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20" w:lineRule="auto"/>
        <w:jc w:val="center"/>
        <w:rPr>
          <w:rFonts w:hint="eastAsia" w:ascii="宋体" w:hAnsi="宋体"/>
          <w:color w:val="auto"/>
          <w:sz w:val="36"/>
          <w:szCs w:val="36"/>
        </w:rPr>
      </w:pPr>
      <w:bookmarkStart w:id="0" w:name="_GoBack"/>
      <w:bookmarkEnd w:id="0"/>
    </w:p>
    <w:p>
      <w:pPr>
        <w:adjustRightInd w:val="0"/>
        <w:snapToGrid w:val="0"/>
        <w:spacing w:line="720" w:lineRule="auto"/>
        <w:jc w:val="center"/>
        <w:rPr>
          <w:rFonts w:hint="eastAsia" w:ascii="宋体" w:hAnsi="宋体"/>
          <w:color w:val="auto"/>
          <w:sz w:val="40"/>
          <w:szCs w:val="36"/>
        </w:rPr>
      </w:pPr>
      <w:r>
        <w:rPr>
          <w:rFonts w:hint="eastAsia" w:ascii="宋体" w:hAnsi="宋体"/>
          <w:color w:val="auto"/>
          <w:sz w:val="40"/>
          <w:szCs w:val="36"/>
        </w:rPr>
        <w:t>宇泽东川年产2</w:t>
      </w:r>
      <w:r>
        <w:rPr>
          <w:rFonts w:hint="eastAsia" w:ascii="宋体" w:hAnsi="宋体"/>
          <w:color w:val="auto"/>
          <w:sz w:val="40"/>
          <w:szCs w:val="36"/>
          <w:lang w:val="en-US" w:eastAsia="zh-CN"/>
        </w:rPr>
        <w:t>0</w:t>
      </w:r>
      <w:r>
        <w:rPr>
          <w:rFonts w:hint="eastAsia" w:ascii="宋体" w:hAnsi="宋体"/>
          <w:color w:val="auto"/>
          <w:sz w:val="40"/>
          <w:szCs w:val="36"/>
        </w:rPr>
        <w:t>GW单晶硅拉棒生产线项目</w:t>
      </w:r>
    </w:p>
    <w:p>
      <w:pPr>
        <w:adjustRightInd w:val="0"/>
        <w:snapToGrid w:val="0"/>
        <w:spacing w:line="720" w:lineRule="auto"/>
        <w:jc w:val="center"/>
        <w:rPr>
          <w:rFonts w:hint="eastAsia" w:ascii="宋体" w:hAnsi="宋体"/>
          <w:color w:val="auto"/>
          <w:sz w:val="40"/>
          <w:szCs w:val="36"/>
        </w:rPr>
      </w:pPr>
      <w:r>
        <w:rPr>
          <w:rFonts w:hint="eastAsia" w:ascii="宋体" w:hAnsi="宋体"/>
          <w:color w:val="auto"/>
          <w:sz w:val="40"/>
          <w:szCs w:val="36"/>
        </w:rPr>
        <w:t>环境风险影响专项评价</w:t>
      </w:r>
    </w:p>
    <w:p>
      <w:pPr>
        <w:pStyle w:val="4"/>
        <w:rPr>
          <w:rFonts w:hint="eastAsia"/>
          <w:color w:val="auto"/>
        </w:rPr>
      </w:pPr>
    </w:p>
    <w:p>
      <w:pPr>
        <w:pStyle w:val="14"/>
        <w:rPr>
          <w:rFonts w:hint="eastAsia"/>
          <w:color w:val="auto"/>
        </w:rPr>
      </w:pPr>
    </w:p>
    <w:p>
      <w:pPr>
        <w:rPr>
          <w:rFonts w:hint="eastAsia"/>
          <w:color w:val="auto"/>
        </w:rPr>
      </w:pPr>
    </w:p>
    <w:p>
      <w:pPr>
        <w:pStyle w:val="4"/>
        <w:rPr>
          <w:rFonts w:hint="eastAsia"/>
          <w:color w:val="auto"/>
        </w:rPr>
      </w:pPr>
    </w:p>
    <w:p>
      <w:pPr>
        <w:pStyle w:val="14"/>
        <w:rPr>
          <w:rFonts w:hint="eastAsia"/>
          <w:color w:val="auto"/>
        </w:rPr>
      </w:pPr>
    </w:p>
    <w:p>
      <w:pPr>
        <w:rPr>
          <w:rFonts w:hint="eastAsia"/>
          <w:color w:val="auto"/>
        </w:rPr>
      </w:pPr>
    </w:p>
    <w:p>
      <w:pPr>
        <w:pStyle w:val="4"/>
        <w:rPr>
          <w:rFonts w:hint="eastAsia"/>
          <w:color w:val="auto"/>
        </w:rPr>
      </w:pPr>
    </w:p>
    <w:p>
      <w:pPr>
        <w:pStyle w:val="14"/>
        <w:rPr>
          <w:rFonts w:hint="eastAsia"/>
          <w:color w:val="auto"/>
        </w:rPr>
      </w:pPr>
    </w:p>
    <w:p>
      <w:pPr>
        <w:rPr>
          <w:rFonts w:hint="eastAsia"/>
          <w:color w:val="auto"/>
        </w:rPr>
      </w:pPr>
    </w:p>
    <w:p>
      <w:pPr>
        <w:pStyle w:val="4"/>
        <w:rPr>
          <w:rFonts w:hint="eastAsia"/>
          <w:color w:val="auto"/>
        </w:rPr>
      </w:pPr>
    </w:p>
    <w:p>
      <w:pPr>
        <w:pStyle w:val="14"/>
        <w:rPr>
          <w:rFonts w:hint="eastAsia"/>
          <w:color w:val="auto"/>
        </w:rPr>
      </w:pPr>
    </w:p>
    <w:p>
      <w:pPr>
        <w:rPr>
          <w:rFonts w:hint="eastAsia"/>
          <w:color w:val="auto"/>
        </w:rPr>
      </w:pPr>
    </w:p>
    <w:p>
      <w:pPr>
        <w:pStyle w:val="14"/>
        <w:rPr>
          <w:rFonts w:hint="eastAsia"/>
          <w:color w:val="auto"/>
        </w:rPr>
      </w:pPr>
    </w:p>
    <w:p>
      <w:pPr>
        <w:rPr>
          <w:rFonts w:hint="eastAsia"/>
          <w:color w:val="auto"/>
        </w:rPr>
      </w:pPr>
    </w:p>
    <w:p>
      <w:pPr>
        <w:pStyle w:val="4"/>
        <w:rPr>
          <w:rFonts w:hint="eastAsia"/>
          <w:color w:val="auto"/>
        </w:rPr>
      </w:pPr>
    </w:p>
    <w:p>
      <w:pPr>
        <w:pStyle w:val="14"/>
        <w:rPr>
          <w:rFonts w:hint="eastAsia"/>
          <w:color w:val="auto"/>
        </w:rPr>
      </w:pPr>
    </w:p>
    <w:p>
      <w:pPr>
        <w:rPr>
          <w:rFonts w:hint="eastAsia"/>
          <w:color w:val="auto"/>
          <w:sz w:val="28"/>
        </w:rPr>
      </w:pPr>
    </w:p>
    <w:p>
      <w:pPr>
        <w:pStyle w:val="4"/>
        <w:jc w:val="center"/>
        <w:rPr>
          <w:color w:val="auto"/>
          <w:sz w:val="36"/>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36"/>
        </w:rPr>
        <w:t>202</w:t>
      </w:r>
      <w:r>
        <w:rPr>
          <w:rFonts w:hint="eastAsia" w:ascii="Times New Roman" w:hAnsi="Times New Roman" w:cs="Times New Roman"/>
          <w:color w:val="auto"/>
          <w:sz w:val="36"/>
          <w:lang w:val="en-US" w:eastAsia="zh-CN"/>
        </w:rPr>
        <w:t>3</w:t>
      </w:r>
      <w:r>
        <w:rPr>
          <w:rFonts w:hint="eastAsia"/>
          <w:color w:val="auto"/>
          <w:sz w:val="36"/>
        </w:rPr>
        <w:t>年</w:t>
      </w:r>
      <w:r>
        <w:rPr>
          <w:rFonts w:hint="eastAsia" w:ascii="Times New Roman" w:hAnsi="Times New Roman" w:cs="Times New Roman"/>
          <w:color w:val="auto"/>
          <w:sz w:val="36"/>
          <w:lang w:val="en-US" w:eastAsia="zh-CN"/>
        </w:rPr>
        <w:t>6</w:t>
      </w:r>
      <w:r>
        <w:rPr>
          <w:rFonts w:hint="eastAsia"/>
          <w:color w:val="auto"/>
          <w:sz w:val="36"/>
        </w:rPr>
        <w:t>月</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一、专项由来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根据《建设项目环境影响报告表编制技术指南》（污染影响类）（试行）要求，本项目使用的氢氟酸、硝酸、稀硫酸属于危险物质，且存储量超过了临界量，需开展专项评价。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w:t>
      </w:r>
      <w:r>
        <w:rPr>
          <w:rFonts w:hint="eastAsia" w:cs="Times New Roman"/>
          <w:b/>
          <w:bCs/>
          <w:color w:val="auto"/>
          <w:sz w:val="24"/>
          <w:szCs w:val="24"/>
          <w:lang w:val="en-US" w:eastAsia="zh-CN"/>
        </w:rPr>
        <w:t>评价原则及工作程序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sz w:val="24"/>
          <w:szCs w:val="24"/>
        </w:rPr>
        <w:t>按照《建设项目环境风险评价技术导则》（</w:t>
      </w:r>
      <w:r>
        <w:rPr>
          <w:rFonts w:hint="default" w:ascii="Times New Roman" w:hAnsi="Times New Roman" w:eastAsia="TimesNewRomanPSMT" w:cs="Times New Roman"/>
          <w:sz w:val="24"/>
          <w:szCs w:val="24"/>
        </w:rPr>
        <w:t xml:space="preserve">HJ </w:t>
      </w:r>
      <w:r>
        <w:rPr>
          <w:rFonts w:hint="eastAsia" w:eastAsia="宋体" w:cs="Times New Roman"/>
          <w:sz w:val="24"/>
          <w:szCs w:val="24"/>
          <w:lang w:eastAsia="zh-CN"/>
        </w:rPr>
        <w:t>***</w:t>
      </w:r>
      <w:r>
        <w:rPr>
          <w:rFonts w:hint="default" w:ascii="Times New Roman" w:hAnsi="Times New Roman" w:eastAsia="TimesNewRomanPSMT" w:cs="Times New Roman"/>
          <w:sz w:val="24"/>
          <w:szCs w:val="24"/>
        </w:rPr>
        <w:t>-2018</w:t>
      </w:r>
      <w:r>
        <w:rPr>
          <w:rFonts w:hint="default" w:ascii="Times New Roman" w:hAnsi="Times New Roman" w:eastAsia="宋体" w:cs="Times New Roman"/>
          <w:sz w:val="24"/>
          <w:szCs w:val="24"/>
        </w:rPr>
        <w:t>）的要求，环境风险评价应以突发性事故导致的危险物质环境急性损害防控为目标，对建设项目的环境风险进行分析、预测和评估，提出环境风险预防、控制、减缓措施，明确环境风险监控及应急要求，为建设项目环境风险提供科学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5271135" cy="5274945"/>
            <wp:effectExtent l="0" t="0" r="5715" b="1905"/>
            <wp:docPr id="4" name="图片 4" descr="风险工作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风险工作程序"/>
                    <pic:cNvPicPr>
                      <a:picLocks noChangeAspect="1"/>
                    </pic:cNvPicPr>
                  </pic:nvPicPr>
                  <pic:blipFill>
                    <a:blip r:embed="rId5"/>
                    <a:stretch>
                      <a:fillRect/>
                    </a:stretch>
                  </pic:blipFill>
                  <pic:spPr>
                    <a:xfrm>
                      <a:off x="0" y="0"/>
                      <a:ext cx="5271135" cy="5274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图</w:t>
      </w:r>
      <w:r>
        <w:rPr>
          <w:rFonts w:hint="default" w:ascii="Times New Roman" w:hAnsi="Times New Roman" w:eastAsia="TimesNewRomanPS-BoldMT" w:cs="Times New Roman"/>
          <w:b/>
          <w:bCs/>
          <w:sz w:val="21"/>
          <w:szCs w:val="21"/>
        </w:rPr>
        <w:t xml:space="preserve">1 </w:t>
      </w:r>
      <w:r>
        <w:rPr>
          <w:rFonts w:hint="default" w:ascii="Times New Roman" w:hAnsi="Times New Roman" w:eastAsia="宋体" w:cs="Times New Roman"/>
          <w:b/>
          <w:bCs/>
          <w:sz w:val="21"/>
          <w:szCs w:val="21"/>
        </w:rPr>
        <w:t>项目环境风险评价工程程序</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三</w:t>
      </w:r>
      <w:r>
        <w:rPr>
          <w:rFonts w:hint="eastAsia" w:ascii="Times New Roman" w:hAnsi="Times New Roman" w:eastAsia="宋体" w:cs="Times New Roman"/>
          <w:b/>
          <w:bCs/>
          <w:color w:val="auto"/>
          <w:sz w:val="24"/>
          <w:szCs w:val="24"/>
          <w:lang w:val="en-US" w:eastAsia="zh-CN"/>
        </w:rPr>
        <w:t>、风险调查</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1.建设项目风险源调查</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危险物质识别</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根据《建设项目环境风险评价技术导则》（HJ </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-2018）附录B、《企业突发环境事件风险分级方法》（HJ</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-2018）、《危险化学品分类信息表（2015）》对本项目原辅料、主要产品及副产物、污染物进行危险物质识别，危险物质识别情况如</w:t>
      </w:r>
      <w:r>
        <w:rPr>
          <w:rFonts w:hint="default" w:ascii="Times New Roman" w:hAnsi="Times New Roman" w:eastAsia="宋体" w:cs="Times New Roman"/>
          <w:color w:val="auto"/>
          <w:sz w:val="24"/>
          <w:szCs w:val="24"/>
          <w:lang w:val="en-US" w:eastAsia="zh-CN"/>
        </w:rPr>
        <w:t>表</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表1  项目危险物质识别及分布情况表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55"/>
        <w:gridCol w:w="1140"/>
        <w:gridCol w:w="1305"/>
        <w:gridCol w:w="975"/>
        <w:gridCol w:w="294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val="en-US" w:eastAsia="zh-CN"/>
              </w:rPr>
              <w:t>分类</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CAS</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分布位置</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是否计入危险物质</w:t>
            </w:r>
          </w:p>
        </w:tc>
        <w:tc>
          <w:tcPr>
            <w:tcW w:w="29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依据</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产品</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单晶硅棒</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单晶车间+综合仓库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不属于《建设项目环境风险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评价技术导则》（HJ</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-2018）附录B、《企业突发环境事件风险分级方法》（HJ</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-2018）附录A中的物质，也不是健康危害急性毒性物质（类别1、类别2、类别3）、危害水环境物质（急性毒性类别1）</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原辅料</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多晶硅原料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单晶车间+综合仓库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石英坩埚</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单晶车间+综合仓库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石墨件</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单晶车间+综合仓库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氢氧化钠固体</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危废库化学品</w:t>
            </w:r>
            <w:r>
              <w:rPr>
                <w:rFonts w:hint="eastAsia" w:cs="Times New Roman"/>
                <w:b w:val="0"/>
                <w:bCs w:val="0"/>
                <w:color w:val="auto"/>
                <w:sz w:val="21"/>
                <w:szCs w:val="21"/>
                <w:vertAlign w:val="baseline"/>
                <w:lang w:val="en-US" w:eastAsia="zh-CN"/>
              </w:rPr>
              <w:t>区</w:t>
            </w:r>
            <w:r>
              <w:rPr>
                <w:rFonts w:hint="default"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sz w:val="21"/>
                <w:szCs w:val="21"/>
              </w:rPr>
              <w:t>四级氢氧化钠洗涤塔</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生石灰</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化学品库、</w:t>
            </w:r>
            <w:r>
              <w:rPr>
                <w:rFonts w:hint="default" w:ascii="Times New Roman" w:hAnsi="Times New Roman" w:eastAsia="宋体" w:cs="Times New Roman"/>
                <w:sz w:val="21"/>
                <w:szCs w:val="21"/>
              </w:rPr>
              <w:t>废水处理站</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切割钢线</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机加车间</w:t>
            </w:r>
            <w:r>
              <w:rPr>
                <w:rFonts w:hint="eastAsia" w:cs="Times New Roman"/>
                <w:b w:val="0"/>
                <w:bCs w:val="0"/>
                <w:color w:val="auto"/>
                <w:sz w:val="21"/>
                <w:szCs w:val="21"/>
                <w:vertAlign w:val="baseline"/>
                <w:lang w:val="en-US" w:eastAsia="zh-CN"/>
              </w:rPr>
              <w:t>、综合仓库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氩气</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氩气回收站、单晶车间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氢氟酸</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-39-3</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危废库化学品</w:t>
            </w:r>
            <w:r>
              <w:rPr>
                <w:rFonts w:hint="eastAsia" w:cs="Times New Roman"/>
                <w:b w:val="0"/>
                <w:bCs w:val="0"/>
                <w:color w:val="auto"/>
                <w:sz w:val="21"/>
                <w:szCs w:val="21"/>
                <w:vertAlign w:val="baseline"/>
                <w:lang w:val="en-US" w:eastAsia="zh-CN"/>
              </w:rPr>
              <w:t>区</w:t>
            </w:r>
            <w:r>
              <w:rPr>
                <w:rFonts w:hint="default" w:ascii="Times New Roman" w:hAnsi="Times New Roman" w:cs="Times New Roman"/>
                <w:b w:val="0"/>
                <w:bCs w:val="0"/>
                <w:color w:val="auto"/>
                <w:sz w:val="21"/>
                <w:szCs w:val="21"/>
                <w:vertAlign w:val="baseline"/>
                <w:lang w:val="en-US" w:eastAsia="zh-CN"/>
              </w:rPr>
              <w:t>、废料清洗车间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Merge w:val="restart"/>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属于《建设项目环境风险评价技术导则》（</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B</w:t>
            </w:r>
            <w:r>
              <w:rPr>
                <w:rFonts w:hint="default" w:ascii="Times New Roman" w:hAnsi="Times New Roman" w:eastAsia="宋体" w:cs="Times New Roman"/>
                <w:sz w:val="21"/>
                <w:szCs w:val="21"/>
              </w:rPr>
              <w:t>列入的风险物质</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硝酸</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-37-2</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危废库化学品</w:t>
            </w:r>
            <w:r>
              <w:rPr>
                <w:rFonts w:hint="eastAsia" w:cs="Times New Roman"/>
                <w:b w:val="0"/>
                <w:bCs w:val="0"/>
                <w:color w:val="auto"/>
                <w:sz w:val="21"/>
                <w:szCs w:val="21"/>
                <w:vertAlign w:val="baseline"/>
                <w:lang w:val="en-US" w:eastAsia="zh-CN"/>
              </w:rPr>
              <w:t>区</w:t>
            </w:r>
            <w:r>
              <w:rPr>
                <w:rFonts w:hint="default" w:ascii="Times New Roman" w:hAnsi="Times New Roman" w:cs="Times New Roman"/>
                <w:b w:val="0"/>
                <w:bCs w:val="0"/>
                <w:color w:val="auto"/>
                <w:sz w:val="21"/>
                <w:szCs w:val="21"/>
                <w:vertAlign w:val="baseline"/>
                <w:lang w:val="en-US" w:eastAsia="zh-CN"/>
              </w:rPr>
              <w:t>、废料清洗车间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稀硫酸</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-93-9</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危废库化学品</w:t>
            </w:r>
            <w:r>
              <w:rPr>
                <w:rFonts w:hint="eastAsia" w:cs="Times New Roman"/>
                <w:b w:val="0"/>
                <w:bCs w:val="0"/>
                <w:color w:val="auto"/>
                <w:sz w:val="21"/>
                <w:szCs w:val="21"/>
                <w:vertAlign w:val="baseline"/>
                <w:lang w:val="en-US" w:eastAsia="zh-CN"/>
              </w:rPr>
              <w:t>区</w:t>
            </w:r>
            <w:r>
              <w:rPr>
                <w:rFonts w:hint="default" w:ascii="Times New Roman" w:hAnsi="Times New Roman" w:cs="Times New Roman"/>
                <w:b w:val="0"/>
                <w:bCs w:val="0"/>
                <w:color w:val="auto"/>
                <w:sz w:val="21"/>
                <w:szCs w:val="21"/>
                <w:vertAlign w:val="baseline"/>
                <w:lang w:val="en-US" w:eastAsia="zh-CN"/>
              </w:rPr>
              <w:t>、废料清洗车间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润滑油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机加车间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中间产物</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氢气</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-74-0</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氩气回收站</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属于《企业突发环境事件风险分级方法》（</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A</w:t>
            </w:r>
            <w:r>
              <w:rPr>
                <w:rFonts w:hint="default" w:ascii="Times New Roman" w:hAnsi="Times New Roman" w:eastAsia="宋体" w:cs="Times New Roman"/>
                <w:sz w:val="21"/>
                <w:szCs w:val="21"/>
              </w:rPr>
              <w:t>中的物质</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燃料</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w:t>
            </w:r>
          </w:p>
        </w:tc>
        <w:tc>
          <w:tcPr>
            <w:tcW w:w="29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颗粒物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单晶车间、氩气回收站</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restart"/>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不属于《建设项目环境风险评价技术导则》（</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B</w:t>
            </w:r>
            <w:r>
              <w:rPr>
                <w:rFonts w:hint="default" w:ascii="Times New Roman" w:hAnsi="Times New Roman" w:eastAsia="宋体" w:cs="Times New Roman"/>
                <w:sz w:val="21"/>
                <w:szCs w:val="21"/>
              </w:rPr>
              <w:t>、《企业突发环境事件风险分级方法》（</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A</w:t>
            </w:r>
            <w:r>
              <w:rPr>
                <w:rFonts w:hint="default" w:ascii="Times New Roman" w:hAnsi="Times New Roman" w:eastAsia="宋体" w:cs="Times New Roman"/>
                <w:sz w:val="21"/>
                <w:szCs w:val="21"/>
              </w:rPr>
              <w:t>中的物质，也不是健康危害急性毒性物质（类别</w:t>
            </w:r>
            <w:r>
              <w:rPr>
                <w:rFonts w:hint="default" w:ascii="Times New Roman" w:hAnsi="Times New Roman" w:eastAsia="TimesNewRomanPSMT" w:cs="Times New Roman"/>
                <w:sz w:val="21"/>
                <w:szCs w:val="21"/>
              </w:rPr>
              <w:t>1</w:t>
            </w:r>
            <w:r>
              <w:rPr>
                <w:rFonts w:hint="default" w:ascii="Times New Roman" w:hAnsi="Times New Roman" w:eastAsia="宋体" w:cs="Times New Roman"/>
                <w:sz w:val="21"/>
                <w:szCs w:val="21"/>
              </w:rPr>
              <w:t>、类别</w:t>
            </w:r>
            <w:r>
              <w:rPr>
                <w:rFonts w:hint="default" w:ascii="Times New Roman" w:hAnsi="Times New Roman" w:eastAsia="TimesNewRomanPSMT" w:cs="Times New Roman"/>
                <w:sz w:val="21"/>
                <w:szCs w:val="21"/>
              </w:rPr>
              <w:t>2</w:t>
            </w:r>
            <w:r>
              <w:rPr>
                <w:rFonts w:hint="default" w:ascii="Times New Roman" w:hAnsi="Times New Roman" w:eastAsia="宋体" w:cs="Times New Roman"/>
                <w:sz w:val="21"/>
                <w:szCs w:val="21"/>
              </w:rPr>
              <w:t>、类别</w:t>
            </w:r>
            <w:r>
              <w:rPr>
                <w:rFonts w:hint="default" w:ascii="Times New Roman" w:hAnsi="Times New Roman" w:eastAsia="TimesNewRomanPSMT" w:cs="Times New Roman"/>
                <w:sz w:val="21"/>
                <w:szCs w:val="21"/>
              </w:rPr>
              <w:t>3</w:t>
            </w:r>
            <w:r>
              <w:rPr>
                <w:rFonts w:hint="default" w:ascii="Times New Roman" w:hAnsi="Times New Roman" w:eastAsia="宋体" w:cs="Times New Roman"/>
                <w:sz w:val="21"/>
                <w:szCs w:val="21"/>
              </w:rPr>
              <w:t>）、危害水环境物质（急性毒性类别</w:t>
            </w:r>
            <w:r>
              <w:rPr>
                <w:rFonts w:hint="default" w:ascii="Times New Roman" w:hAnsi="Times New Roman" w:eastAsia="TimesNewRomanPSMT" w:cs="Times New Roman"/>
                <w:sz w:val="21"/>
                <w:szCs w:val="21"/>
              </w:rPr>
              <w:t>1</w:t>
            </w:r>
            <w:r>
              <w:rPr>
                <w:rFonts w:hint="default" w:ascii="Times New Roman" w:hAnsi="Times New Roman" w:eastAsia="宋体" w:cs="Times New Roman"/>
                <w:sz w:val="21"/>
                <w:szCs w:val="21"/>
              </w:rPr>
              <w:t>）</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氮氧化物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Merge w:val="restart"/>
            <w:vAlign w:val="center"/>
          </w:tcPr>
          <w:p>
            <w:pPr>
              <w:spacing w:beforeLines="0" w:afterLine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单晶车间、</w:t>
            </w:r>
            <w:r>
              <w:rPr>
                <w:rFonts w:hint="default" w:ascii="Times New Roman" w:hAnsi="Times New Roman" w:eastAsia="宋体" w:cs="Times New Roman"/>
                <w:sz w:val="21"/>
                <w:szCs w:val="21"/>
              </w:rPr>
              <w:t>四级氢氧化钠洗涤塔</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氟化物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废水</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含氟</w:t>
            </w:r>
            <w:r>
              <w:rPr>
                <w:rFonts w:hint="default" w:ascii="Times New Roman" w:hAnsi="Times New Roman" w:cs="Times New Roman"/>
                <w:b w:val="0"/>
                <w:bCs w:val="0"/>
                <w:color w:val="auto"/>
                <w:sz w:val="21"/>
                <w:szCs w:val="21"/>
                <w:vertAlign w:val="baseline"/>
                <w:lang w:val="en-US" w:eastAsia="zh-CN"/>
              </w:rPr>
              <w:t>废水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废水站</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生活污水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废水站生化区</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机加废水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压滤车间</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固体废物</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废润滑油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危废库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计入</w:t>
            </w:r>
          </w:p>
        </w:tc>
        <w:tc>
          <w:tcPr>
            <w:tcW w:w="29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属于《建设项目环境风险评价技术导则》（</w:t>
            </w:r>
            <w:r>
              <w:rPr>
                <w:rFonts w:hint="default" w:ascii="Times New Roman" w:hAnsi="Times New Roman" w:eastAsia="TimesNewRomanPSMT" w:cs="Times New Roman"/>
                <w:sz w:val="21"/>
                <w:szCs w:val="21"/>
              </w:rPr>
              <w:t xml:space="preserve">HJ </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B</w:t>
            </w:r>
            <w:r>
              <w:rPr>
                <w:rFonts w:hint="default" w:ascii="Times New Roman" w:hAnsi="Times New Roman" w:eastAsia="宋体" w:cs="Times New Roman"/>
                <w:sz w:val="21"/>
                <w:szCs w:val="21"/>
              </w:rPr>
              <w:t>列入的风险物质</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除尘灰</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不属于《建设项目环境风险评价技术导则》（</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B</w:t>
            </w:r>
            <w:r>
              <w:rPr>
                <w:rFonts w:hint="default" w:ascii="Times New Roman" w:hAnsi="Times New Roman" w:eastAsia="宋体" w:cs="Times New Roman"/>
                <w:sz w:val="21"/>
                <w:szCs w:val="21"/>
              </w:rPr>
              <w:t>、《企业突发环境事件风险分级方法》（</w:t>
            </w:r>
            <w:r>
              <w:rPr>
                <w:rFonts w:hint="default" w:ascii="Times New Roman" w:hAnsi="Times New Roman" w:eastAsia="TimesNewRomanPSMT" w:cs="Times New Roman"/>
                <w:sz w:val="21"/>
                <w:szCs w:val="21"/>
              </w:rPr>
              <w:t>HJ</w:t>
            </w:r>
            <w:r>
              <w:rPr>
                <w:rFonts w:hint="eastAsia" w:eastAsia="宋体" w:cs="Times New Roman"/>
                <w:sz w:val="21"/>
                <w:szCs w:val="21"/>
                <w:lang w:eastAsia="zh-CN"/>
              </w:rPr>
              <w:t>***</w:t>
            </w:r>
            <w:r>
              <w:rPr>
                <w:rFonts w:hint="default" w:ascii="Times New Roman" w:hAnsi="Times New Roman" w:eastAsia="TimesNewRomanPSMT" w:cs="Times New Roman"/>
                <w:sz w:val="21"/>
                <w:szCs w:val="21"/>
              </w:rPr>
              <w:t>-2018</w:t>
            </w:r>
            <w:r>
              <w:rPr>
                <w:rFonts w:hint="default" w:ascii="Times New Roman" w:hAnsi="Times New Roman" w:eastAsia="宋体" w:cs="Times New Roman"/>
                <w:sz w:val="21"/>
                <w:szCs w:val="21"/>
              </w:rPr>
              <w:t>）附录</w:t>
            </w:r>
            <w:r>
              <w:rPr>
                <w:rFonts w:hint="default" w:ascii="Times New Roman" w:hAnsi="Times New Roman" w:eastAsia="TimesNewRomanPSMT" w:cs="Times New Roman"/>
                <w:sz w:val="21"/>
                <w:szCs w:val="21"/>
              </w:rPr>
              <w:t>A</w:t>
            </w:r>
            <w:r>
              <w:rPr>
                <w:rFonts w:hint="default" w:ascii="Times New Roman" w:hAnsi="Times New Roman" w:eastAsia="宋体" w:cs="Times New Roman"/>
                <w:sz w:val="21"/>
                <w:szCs w:val="21"/>
              </w:rPr>
              <w:t>中的物质，也不是健康危害急性毒性物质（类别</w:t>
            </w:r>
            <w:r>
              <w:rPr>
                <w:rFonts w:hint="default" w:ascii="Times New Roman" w:hAnsi="Times New Roman" w:eastAsia="TimesNewRomanPSMT" w:cs="Times New Roman"/>
                <w:sz w:val="21"/>
                <w:szCs w:val="21"/>
              </w:rPr>
              <w:t>1</w:t>
            </w:r>
            <w:r>
              <w:rPr>
                <w:rFonts w:hint="default" w:ascii="Times New Roman" w:hAnsi="Times New Roman" w:eastAsia="宋体" w:cs="Times New Roman"/>
                <w:sz w:val="21"/>
                <w:szCs w:val="21"/>
              </w:rPr>
              <w:t>、类别</w:t>
            </w:r>
            <w:r>
              <w:rPr>
                <w:rFonts w:hint="default" w:ascii="Times New Roman" w:hAnsi="Times New Roman" w:eastAsia="TimesNewRomanPSMT" w:cs="Times New Roman"/>
                <w:sz w:val="21"/>
                <w:szCs w:val="21"/>
              </w:rPr>
              <w:t>2</w:t>
            </w:r>
            <w:r>
              <w:rPr>
                <w:rFonts w:hint="default" w:ascii="Times New Roman" w:hAnsi="Times New Roman" w:eastAsia="宋体" w:cs="Times New Roman"/>
                <w:sz w:val="21"/>
                <w:szCs w:val="21"/>
              </w:rPr>
              <w:t>、类别</w:t>
            </w:r>
            <w:r>
              <w:rPr>
                <w:rFonts w:hint="default" w:ascii="Times New Roman" w:hAnsi="Times New Roman" w:eastAsia="TimesNewRomanPSMT" w:cs="Times New Roman"/>
                <w:sz w:val="21"/>
                <w:szCs w:val="21"/>
              </w:rPr>
              <w:t>3</w:t>
            </w:r>
            <w:r>
              <w:rPr>
                <w:rFonts w:hint="default" w:ascii="Times New Roman" w:hAnsi="Times New Roman" w:eastAsia="宋体" w:cs="Times New Roman"/>
                <w:sz w:val="21"/>
                <w:szCs w:val="21"/>
              </w:rPr>
              <w:t>）、危害水环境物质（急性毒性类别</w:t>
            </w:r>
            <w:r>
              <w:rPr>
                <w:rFonts w:hint="default" w:ascii="Times New Roman" w:hAnsi="Times New Roman" w:eastAsia="TimesNewRomanPSMT" w:cs="Times New Roman"/>
                <w:sz w:val="21"/>
                <w:szCs w:val="21"/>
              </w:rPr>
              <w:t>1</w:t>
            </w:r>
            <w:r>
              <w:rPr>
                <w:rFonts w:hint="default" w:ascii="Times New Roman" w:hAnsi="Times New Roman" w:eastAsia="宋体" w:cs="Times New Roman"/>
                <w:sz w:val="21"/>
                <w:szCs w:val="21"/>
              </w:rPr>
              <w:t>）</w:t>
            </w: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坩埚碎片</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废石墨件</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color w:val="auto"/>
                <w:sz w:val="21"/>
                <w:szCs w:val="21"/>
                <w:lang w:val="en-US" w:eastAsia="zh-CN"/>
              </w:rPr>
              <w:t>含油抹布</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废钢丝</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机加压滤硅泥</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废催化剂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废分子筛</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废过滤材料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滤芯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滤料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不储存</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单晶废水站污泥</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废包装材料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固废库</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855" w:type="dxa"/>
            <w:vAlign w:val="center"/>
          </w:tcPr>
          <w:p>
            <w:pPr>
              <w:pStyle w:val="46"/>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 w:val="21"/>
                <w:szCs w:val="21"/>
                <w:lang w:eastAsia="zh-CN"/>
              </w:rPr>
              <w:t>生活垃圾</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垃圾桶</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不计入</w:t>
            </w:r>
          </w:p>
        </w:tc>
        <w:tc>
          <w:tcPr>
            <w:tcW w:w="29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eastAsia" w:cs="Times New Roman"/>
          <w:color w:val="auto"/>
          <w:sz w:val="24"/>
          <w:szCs w:val="24"/>
          <w:lang w:val="en-US" w:eastAsia="zh-CN"/>
        </w:rPr>
        <w:t>危险物质性质</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根据表</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，本项目危险物质为氢氟酸、硝酸、稀硫酸、润滑油、废</w:t>
      </w:r>
      <w:r>
        <w:rPr>
          <w:rFonts w:hint="eastAsia" w:ascii="Times New Roman" w:hAnsi="Times New Roman" w:eastAsia="宋体" w:cs="Times New Roman"/>
          <w:color w:val="auto"/>
          <w:sz w:val="24"/>
          <w:szCs w:val="24"/>
          <w:lang w:val="en-US" w:eastAsia="zh-CN"/>
        </w:rPr>
        <w:t>润滑油</w:t>
      </w:r>
      <w:r>
        <w:rPr>
          <w:rFonts w:hint="eastAsia" w:ascii="Times New Roman" w:hAnsi="Times New Roman" w:eastAsia="宋体" w:cs="Times New Roman"/>
          <w:color w:val="auto"/>
          <w:sz w:val="24"/>
          <w:szCs w:val="24"/>
          <w:lang w:eastAsia="zh-CN"/>
        </w:rPr>
        <w:t>、氢气，根据危险物质安全技术说明书（MSDS），项目涉及的危险物质的理化性状、危险特性、健康危害等安全数据见下表。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氢氟酸安全技术说明书</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500"/>
        <w:gridCol w:w="2129"/>
        <w:gridCol w:w="1538"/>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理化性质</w:t>
            </w: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CAS号</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eastAsia"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中文名称</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氢氟酸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外观与性状</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无色透明有刺激性臭味的液体。商品为40%的水溶液</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熔点（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-83.1</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沸点（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120（35.3%）</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相对蒸汽密度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分子式</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HF</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分子量</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饱和蒸气压</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溶解性</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与水混溶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主要成分</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含量:高浓度55.0％</w:t>
            </w:r>
            <w:r>
              <w:rPr>
                <w:rFonts w:hint="default" w:ascii="Times New Roman" w:hAnsi="Times New Roman" w:eastAsia="宋体"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低浓度40％</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主要用途</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用作分析试剂、高纯氟化物的制备、玻璃蚀刻及电镀表面处理等。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稳定性和反应活性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lang w:val="en-US" w:eastAsia="zh-CN"/>
              </w:rPr>
              <w:t>禁配物：</w:t>
            </w:r>
            <w:r>
              <w:rPr>
                <w:rFonts w:hint="default" w:ascii="Times New Roman" w:hAnsi="Times New Roman" w:eastAsia="宋体" w:cs="Times New Roman"/>
                <w:i w:val="0"/>
                <w:iCs w:val="0"/>
                <w:caps w:val="0"/>
                <w:color w:val="000000"/>
                <w:spacing w:val="0"/>
                <w:sz w:val="21"/>
                <w:szCs w:val="21"/>
                <w:shd w:val="clear" w:fill="FFFFFF"/>
              </w:rPr>
              <w:t>强碱、活性金属粉末、玻璃制品。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毒理学</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LC50：1044mg/m</w:t>
            </w:r>
            <w:r>
              <w:rPr>
                <w:rFonts w:hint="default" w:ascii="Times New Roman" w:hAnsi="Times New Roman" w:eastAsia="宋体" w:cs="Times New Roman"/>
                <w:i w:val="0"/>
                <w:iCs w:val="0"/>
                <w:caps w:val="0"/>
                <w:color w:val="000000"/>
                <w:spacing w:val="0"/>
                <w:sz w:val="21"/>
                <w:szCs w:val="21"/>
                <w:shd w:val="clear" w:fill="FFFFFF"/>
                <w:vertAlign w:val="superscript"/>
              </w:rPr>
              <w:t>3</w:t>
            </w:r>
            <w:r>
              <w:rPr>
                <w:rFonts w:hint="default" w:ascii="Times New Roman" w:hAnsi="Times New Roman" w:eastAsia="宋体" w:cs="Times New Roman"/>
                <w:i w:val="0"/>
                <w:iCs w:val="0"/>
                <w:caps w:val="0"/>
                <w:color w:val="000000"/>
                <w:spacing w:val="0"/>
                <w:sz w:val="21"/>
                <w:szCs w:val="21"/>
                <w:shd w:val="clear" w:fill="FFFFFF"/>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lang w:val="en-US" w:eastAsia="zh-CN"/>
              </w:rPr>
              <w:t>健康危害：</w:t>
            </w:r>
            <w:r>
              <w:rPr>
                <w:rFonts w:hint="default" w:ascii="Times New Roman" w:hAnsi="Times New Roman" w:eastAsia="宋体" w:cs="Times New Roman"/>
                <w:i w:val="0"/>
                <w:iCs w:val="0"/>
                <w:caps w:val="0"/>
                <w:color w:val="000000"/>
                <w:spacing w:val="0"/>
                <w:sz w:val="21"/>
                <w:szCs w:val="21"/>
                <w:shd w:val="clear" w:fill="FFFFFF"/>
              </w:rPr>
              <w:t>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 慢性影响：眼和上呼吸道刺激症状，或有鼻衄，嗅觉减退。可有牙齿酸蚀症。骨骼Ｘ线异常与工业性氟病少见。</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燃爆危险：</w:t>
            </w:r>
            <w:r>
              <w:rPr>
                <w:rFonts w:hint="default" w:ascii="Times New Roman" w:hAnsi="Times New Roman" w:eastAsia="宋体" w:cs="Times New Roman"/>
                <w:i w:val="0"/>
                <w:iCs w:val="0"/>
                <w:caps w:val="0"/>
                <w:color w:val="000000"/>
                <w:spacing w:val="0"/>
                <w:kern w:val="0"/>
                <w:sz w:val="21"/>
                <w:szCs w:val="21"/>
                <w:lang w:val="en-US" w:eastAsia="zh-CN" w:bidi="ar"/>
              </w:rPr>
              <w:t>本品不燃，具强腐蚀性、强刺激性，可致人体灼伤。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急救措施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皮肤接触：</w:t>
            </w:r>
            <w:r>
              <w:rPr>
                <w:rFonts w:hint="default" w:ascii="Times New Roman" w:hAnsi="Times New Roman" w:eastAsia="宋体" w:cs="Times New Roman"/>
                <w:i w:val="0"/>
                <w:iCs w:val="0"/>
                <w:caps w:val="0"/>
                <w:color w:val="000000"/>
                <w:spacing w:val="0"/>
                <w:sz w:val="21"/>
                <w:szCs w:val="21"/>
                <w:shd w:val="clear" w:fill="FFFFFF"/>
              </w:rPr>
              <w:t>立即脱去污染的衣着，用大量流动清水冲洗至少15分钟。就医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眼睛接触：</w:t>
            </w:r>
            <w:r>
              <w:rPr>
                <w:rFonts w:hint="default" w:ascii="Times New Roman" w:hAnsi="Times New Roman" w:eastAsia="宋体" w:cs="Times New Roman"/>
                <w:i w:val="0"/>
                <w:iCs w:val="0"/>
                <w:caps w:val="0"/>
                <w:color w:val="000000"/>
                <w:spacing w:val="0"/>
                <w:sz w:val="21"/>
                <w:szCs w:val="21"/>
                <w:shd w:val="clear" w:fill="FFFFFF"/>
              </w:rPr>
              <w:t>立即提起眼睑，用大量流动清水或生理盐水彻底冲洗至少15分钟。就医。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w:t>
            </w:r>
            <w:r>
              <w:rPr>
                <w:rFonts w:hint="default" w:ascii="Times New Roman" w:hAnsi="Times New Roman" w:eastAsia="宋体" w:cs="Times New Roman"/>
                <w:i w:val="0"/>
                <w:iCs w:val="0"/>
                <w:caps w:val="0"/>
                <w:color w:val="000000"/>
                <w:spacing w:val="0"/>
                <w:sz w:val="21"/>
                <w:szCs w:val="21"/>
                <w:shd w:val="clear" w:fill="FFFFFF"/>
              </w:rPr>
              <w:t>迅速脱离现场至空气新鲜处。保持呼吸道通畅。如呼吸困难，给输氧。如呼吸停止，立即进行人工呼吸。就医。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食入：</w:t>
            </w:r>
            <w:r>
              <w:rPr>
                <w:rFonts w:hint="default" w:ascii="Times New Roman" w:hAnsi="Times New Roman" w:eastAsia="宋体" w:cs="Times New Roman"/>
                <w:i w:val="0"/>
                <w:iCs w:val="0"/>
                <w:caps w:val="0"/>
                <w:color w:val="000000"/>
                <w:spacing w:val="0"/>
                <w:sz w:val="21"/>
                <w:szCs w:val="21"/>
                <w:shd w:val="clear" w:fill="FFFFFF"/>
              </w:rPr>
              <w:t>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消防措施</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本品不燃，但能与大多数金属反应，生成氢气而引起爆炸。遇Ｈ发泡剂立即燃烧。腐蚀性极强。</w:t>
            </w:r>
            <w:r>
              <w:rPr>
                <w:rFonts w:hint="default" w:ascii="Times New Roman" w:hAnsi="Times New Roman" w:eastAsia="宋体" w:cs="Times New Roman"/>
                <w:sz w:val="21"/>
                <w:szCs w:val="21"/>
              </w:rPr>
              <w:t>灭火剂：雾状水、</w:t>
            </w:r>
            <w:r>
              <w:rPr>
                <w:rFonts w:hint="default" w:ascii="Times New Roman" w:hAnsi="Times New Roman" w:eastAsia="宋体" w:cs="Times New Roman"/>
                <w:sz w:val="21"/>
                <w:szCs w:val="21"/>
                <w:lang w:val="en-US" w:eastAsia="zh-CN"/>
              </w:rPr>
              <w:t>泡</w:t>
            </w:r>
            <w:r>
              <w:rPr>
                <w:rFonts w:hint="default" w:ascii="Times New Roman" w:hAnsi="Times New Roman" w:eastAsia="宋体" w:cs="Times New Roman"/>
                <w:sz w:val="21"/>
                <w:szCs w:val="21"/>
              </w:rPr>
              <w:t>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泄漏应急处理</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fill="FFFFFF"/>
              </w:rPr>
              <w:t>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操作处置与储存</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操作：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洗水稀释后放入废水系统。大量泄漏：构筑围堤或挖坑收容。用泵转移至槽车或专用收集器内，回收或运至废物处理场所处置。</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存：储存于阴凉、通风的库房。远离火种、热源。库温不超过30℃，相对湿度不超过85％。保持容器密封。应与碱类、活性金属粉末、玻璃制品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防护措施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w:t>
            </w:r>
            <w:r>
              <w:rPr>
                <w:rFonts w:hint="default" w:ascii="Times New Roman" w:hAnsi="Times New Roman" w:eastAsia="宋体" w:cs="Times New Roman"/>
                <w:i w:val="0"/>
                <w:iCs w:val="0"/>
                <w:caps w:val="0"/>
                <w:color w:val="000000"/>
                <w:spacing w:val="0"/>
                <w:kern w:val="0"/>
                <w:sz w:val="21"/>
                <w:szCs w:val="21"/>
                <w:lang w:val="en-US" w:eastAsia="zh-CN" w:bidi="ar"/>
              </w:rPr>
              <w:t>可能接触其烟雾时，佩戴自吸过滤式防毒面具（全面罩）或空气呼吸器。紧急事态抢救或撤离时，建议佩戴氧气呼吸器。</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w:t>
            </w:r>
            <w:r>
              <w:rPr>
                <w:rFonts w:hint="default" w:ascii="Times New Roman" w:hAnsi="Times New Roman" w:eastAsia="宋体" w:cs="Times New Roman"/>
                <w:sz w:val="21"/>
                <w:szCs w:val="21"/>
                <w:lang w:val="en-US" w:eastAsia="zh-CN"/>
              </w:rPr>
              <w:t>同呼吸系统</w:t>
            </w:r>
            <w:r>
              <w:rPr>
                <w:rFonts w:hint="default" w:ascii="Times New Roman" w:hAnsi="Times New Roman" w:eastAsia="宋体" w:cs="Times New Roman"/>
                <w:sz w:val="21"/>
                <w:szCs w:val="21"/>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服。</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手套。</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其他：</w:t>
            </w:r>
            <w:r>
              <w:rPr>
                <w:rFonts w:hint="default" w:ascii="Times New Roman" w:hAnsi="Times New Roman" w:eastAsia="宋体" w:cs="Times New Roman"/>
                <w:i w:val="0"/>
                <w:iCs w:val="0"/>
                <w:caps w:val="0"/>
                <w:color w:val="000000"/>
                <w:spacing w:val="0"/>
                <w:sz w:val="21"/>
                <w:szCs w:val="21"/>
                <w:shd w:val="clear" w:fill="FFFFFF"/>
              </w:rPr>
              <w:t>工作现场禁止吸烟、进食和饮水。工作完毕，淋浴更衣。单独存放被毒物污染的衣服，洗后备用。保持良好的卫生习惯。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废弃处置</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用过量石灰水中和，析出的沉淀填埋处理或回收利用，上清液稀释后排入废水系统。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运输</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装入铅桶或特殊塑料容器内，再装入木箱中。空隙用不燃材料填充妥实；装入塑料瓶，特种电木、橡胶或铅容器，严封后再装入坚固木箱中。木箱内用不燃材料衬垫，每箱净重不超过20公斤，3～5公斤包装每箱限装4瓶。</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硝酸安全技术说明书</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500"/>
        <w:gridCol w:w="2129"/>
        <w:gridCol w:w="1538"/>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理化性质</w:t>
            </w: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CAS号</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eastAsia"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中文名称</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硝酸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外观与性状</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无色透明发烟液体，有酸味</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熔点（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42（无水）</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沸点（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86（无水）</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相对蒸汽密度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分子式</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3</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分子量</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饱和蒸气压</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4.4（20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溶解性</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与水混溶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主要成分</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含量: 工业级 一级≥98.2％; 二级≥97.2％</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主要用途</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用途极广。主要用于化肥、染料、国防、炸药、冶金、医药等工业。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稳定性和反应活性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lang w:val="en-US" w:eastAsia="zh-CN"/>
              </w:rPr>
              <w:t>禁配物：</w:t>
            </w:r>
            <w:r>
              <w:rPr>
                <w:rFonts w:hint="default" w:ascii="Times New Roman" w:hAnsi="Times New Roman" w:eastAsia="宋体" w:cs="Times New Roman"/>
                <w:i w:val="0"/>
                <w:iCs w:val="0"/>
                <w:caps w:val="0"/>
                <w:color w:val="000000"/>
                <w:spacing w:val="0"/>
                <w:sz w:val="21"/>
                <w:szCs w:val="21"/>
                <w:shd w:val="clear" w:fill="FFFFFF"/>
              </w:rPr>
              <w:t>还原剂、碱类、醇类、碱金属、铜、胺类。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lang w:val="en-US" w:eastAsia="zh-CN"/>
              </w:rPr>
              <w:t>健康危害：</w:t>
            </w:r>
            <w:r>
              <w:rPr>
                <w:rFonts w:hint="default" w:ascii="Times New Roman" w:hAnsi="Times New Roman" w:eastAsia="宋体" w:cs="Times New Roman"/>
                <w:i w:val="0"/>
                <w:iCs w:val="0"/>
                <w:caps w:val="0"/>
                <w:color w:val="000000"/>
                <w:spacing w:val="0"/>
                <w:sz w:val="21"/>
                <w:szCs w:val="21"/>
                <w:shd w:val="clear" w:fill="FFFFFF"/>
              </w:rPr>
              <w:t>其蒸气有刺激作用，引起眼和上呼吸道刺激症状，如流泪、咽喉刺激感、呛咳，并伴有头痛、头晕、胸闷等。口服引起腹部剧痛，严重者可有胃穿孔、腹膜炎、喉痉挛、肾损害、休克以及窒息。皮肤接触引起灼伤。慢性影响：长期接触可引起牙齿酸蚀症。</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环境危害：对水体和土壤可造成污染。</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燃爆危险：</w:t>
            </w:r>
            <w:r>
              <w:rPr>
                <w:rFonts w:hint="default" w:ascii="Times New Roman" w:hAnsi="Times New Roman" w:eastAsia="宋体" w:cs="Times New Roman"/>
                <w:i w:val="0"/>
                <w:iCs w:val="0"/>
                <w:caps w:val="0"/>
                <w:color w:val="000000"/>
                <w:spacing w:val="0"/>
                <w:kern w:val="0"/>
                <w:sz w:val="21"/>
                <w:szCs w:val="21"/>
                <w:lang w:val="en-US" w:eastAsia="zh-CN" w:bidi="ar"/>
              </w:rPr>
              <w:t>本品助燃，具强腐蚀性、强刺激性，可致人体灼伤。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急救措施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皮肤接触：</w:t>
            </w:r>
            <w:r>
              <w:rPr>
                <w:rFonts w:hint="default" w:ascii="Times New Roman" w:hAnsi="Times New Roman" w:eastAsia="宋体" w:cs="Times New Roman"/>
                <w:i w:val="0"/>
                <w:iCs w:val="0"/>
                <w:caps w:val="0"/>
                <w:color w:val="000000"/>
                <w:spacing w:val="0"/>
                <w:sz w:val="21"/>
                <w:szCs w:val="21"/>
                <w:shd w:val="clear" w:fill="FFFFFF"/>
              </w:rPr>
              <w:t>立即脱去污染的衣着，用大量流动清水冲洗至少15分钟。就医</w:t>
            </w:r>
            <w:r>
              <w:rPr>
                <w:rFonts w:hint="eastAsia" w:ascii="Times New Roman" w:hAnsi="Times New Roman" w:eastAsia="宋体" w:cs="Times New Roman"/>
                <w:i w:val="0"/>
                <w:iCs w:val="0"/>
                <w:caps w:val="0"/>
                <w:color w:val="000000"/>
                <w:spacing w:val="0"/>
                <w:sz w:val="21"/>
                <w:szCs w:val="21"/>
                <w:shd w:val="clear"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眼睛接触：</w:t>
            </w:r>
            <w:r>
              <w:rPr>
                <w:rFonts w:hint="default" w:ascii="Times New Roman" w:hAnsi="Times New Roman" w:eastAsia="宋体" w:cs="Times New Roman"/>
                <w:i w:val="0"/>
                <w:iCs w:val="0"/>
                <w:caps w:val="0"/>
                <w:color w:val="000000"/>
                <w:spacing w:val="0"/>
                <w:sz w:val="21"/>
                <w:szCs w:val="21"/>
                <w:shd w:val="clear" w:fill="FFFFFF"/>
              </w:rPr>
              <w:t>立即提起眼睑，用大量流动清水或生理盐水彻底冲洗至少15分钟。就医。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w:t>
            </w:r>
            <w:r>
              <w:rPr>
                <w:rFonts w:hint="default" w:ascii="Times New Roman" w:hAnsi="Times New Roman" w:eastAsia="宋体" w:cs="Times New Roman"/>
                <w:i w:val="0"/>
                <w:iCs w:val="0"/>
                <w:caps w:val="0"/>
                <w:color w:val="000000"/>
                <w:spacing w:val="0"/>
                <w:sz w:val="21"/>
                <w:szCs w:val="21"/>
                <w:shd w:val="clear" w:fill="FFFFFF"/>
              </w:rPr>
              <w:t>迅速脱离现场至空气新鲜处。保持呼吸道通畅。如呼吸困难，给输氧。如呼吸停止，立即进行人工呼吸。就医。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食入：</w:t>
            </w:r>
            <w:r>
              <w:rPr>
                <w:rFonts w:hint="default" w:ascii="Times New Roman" w:hAnsi="Times New Roman" w:eastAsia="宋体" w:cs="Times New Roman"/>
                <w:i w:val="0"/>
                <w:iCs w:val="0"/>
                <w:caps w:val="0"/>
                <w:color w:val="000000"/>
                <w:spacing w:val="0"/>
                <w:sz w:val="21"/>
                <w:szCs w:val="21"/>
                <w:shd w:val="clear" w:fill="FFFFFF"/>
              </w:rPr>
              <w:t>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消防措施</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强氧化剂。能与多种物质如金属粉末、电石、硫化氢、松节油等猛烈反应，甚至发生爆炸。与还原剂、可燃物如糖、纤维素、木屑、棉花、稻草或废纱头等接触，引起燃烧并散发出剧毒的棕色烟雾。具有强腐蚀性。消防人员必须穿全身耐酸碱消防服。灭火剂：雾状水、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泄漏应急处理</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fill="FFFFFF"/>
              </w:rPr>
              <w:t>迅速撤离泄漏污染区人员至安全区，并进行隔离，严格限制出入。建议应急处理人员戴自给正压式呼吸器，穿防酸碱工作服。从上风处进入现场。尽可能切断泄漏源。防止流入下水道、排洪沟等限制性空间。小量泄漏：将地面洒上苏打灰，然后用大量水冲洗，洗水稀释后放入废水系统。大量泄漏：构筑围堤或挖坑收容。喷雾状水冷却和稀释蒸汽、保护现场人员、把泄漏物稀释成不燃物。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操作处置与储存</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操作：密闭操作，注意通风。操作尽可能机械化、自动化。操作人员必须经过专门培训，严格遵守操作规程。建议操作人员佩戴自吸过滤式防毒面具（全面罩），穿橡胶耐酸碱服，戴橡胶耐酸碱手套。远离火种、热源，工作场所严禁吸烟。防止蒸气泄漏到工作场所空气中。避免与还原剂、碱类、醇类、碱金属接触。搬运时要轻装轻卸，防止包装及容器损坏。配备相应品种和数量的消防器材及泄漏应急处理设备。倒空的容器可能残留有害物。稀释或制备溶液时，应把酸加入水中，避免沸腾和飞溅。</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储存：储存于阴凉、通风的库房。远离火种、热源。库温不宜超过30℃。保持容器密封。应与还原剂、碱类、醇类、碱金属等分开存放，切忌混储。储区应备有泄漏应急处理设备和合适的收容材料。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防护措施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w:t>
            </w:r>
            <w:r>
              <w:rPr>
                <w:rFonts w:hint="default" w:ascii="Times New Roman" w:hAnsi="Times New Roman" w:eastAsia="宋体" w:cs="Times New Roman"/>
                <w:i w:val="0"/>
                <w:iCs w:val="0"/>
                <w:caps w:val="0"/>
                <w:color w:val="000000"/>
                <w:spacing w:val="0"/>
                <w:kern w:val="0"/>
                <w:sz w:val="21"/>
                <w:szCs w:val="21"/>
                <w:lang w:val="en-US" w:eastAsia="zh-CN" w:bidi="ar"/>
              </w:rPr>
              <w:t>可能接触其烟雾时，佩戴自吸过滤式防毒面具（全面罩）或空气呼吸器。紧急事态抢救或撤离时，建议佩戴氧气呼吸器。</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w:t>
            </w:r>
            <w:r>
              <w:rPr>
                <w:rFonts w:hint="default" w:ascii="Times New Roman" w:hAnsi="Times New Roman" w:eastAsia="宋体" w:cs="Times New Roman"/>
                <w:sz w:val="21"/>
                <w:szCs w:val="21"/>
                <w:lang w:val="en-US" w:eastAsia="zh-CN"/>
              </w:rPr>
              <w:t>同呼吸系统</w:t>
            </w:r>
            <w:r>
              <w:rPr>
                <w:rFonts w:hint="default" w:ascii="Times New Roman" w:hAnsi="Times New Roman" w:eastAsia="宋体" w:cs="Times New Roman"/>
                <w:sz w:val="21"/>
                <w:szCs w:val="21"/>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服。</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手套。</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其他：</w:t>
            </w:r>
            <w:r>
              <w:rPr>
                <w:rFonts w:hint="default" w:ascii="Times New Roman" w:hAnsi="Times New Roman" w:eastAsia="宋体" w:cs="Times New Roman"/>
                <w:i w:val="0"/>
                <w:iCs w:val="0"/>
                <w:caps w:val="0"/>
                <w:color w:val="000000"/>
                <w:spacing w:val="0"/>
                <w:sz w:val="21"/>
                <w:szCs w:val="21"/>
                <w:shd w:val="clear" w:fill="FFFFFF"/>
              </w:rPr>
              <w:t>工作现场禁止吸烟、进食和饮水。工作完毕，淋浴更衣。单独存放被毒物污染的衣服，洗后备用。保持良好的卫生习惯。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废弃处置</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加入纯碱－硝石灰溶液中，生成中性的硝酸盐溶液，用水稀释后排入废水系统。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运输</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耐酸坛或陶瓷瓶外普通木箱或半花格木箱；磨砂口玻璃瓶或螺纹口玻璃瓶外普通木箱。</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4</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硫酸安全技术说明书</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500"/>
        <w:gridCol w:w="2129"/>
        <w:gridCol w:w="1538"/>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理化性质</w:t>
            </w: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CAS号</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w:t>
            </w:r>
            <w:r>
              <w:rPr>
                <w:rFonts w:hint="eastAsia" w:ascii="Times New Roman" w:hAnsi="Times New Roman" w:eastAsia="宋体" w:cs="Times New Roman"/>
                <w:i w:val="0"/>
                <w:iCs w:val="0"/>
                <w:caps w:val="0"/>
                <w:color w:val="000000"/>
                <w:spacing w:val="0"/>
                <w:sz w:val="21"/>
                <w:szCs w:val="21"/>
                <w:shd w:val="clear" w:fill="FFFFFF"/>
                <w:lang w:val="en-US" w:eastAsia="zh-CN"/>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中文名称</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外观与性状</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无色透明油状液体，无臭</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熔点（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10.5</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沸点（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330.0</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相对蒸汽密度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分子式</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4</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分子量</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饱和蒸气压</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0.13（145.8</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溶解性</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与水混溶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主要成分</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含量:工业级92.5％或98％</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主要用途</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用于生产化学肥料，在化工、医药、塑料、染料、石油提炼等工业也有广泛的应用。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稳定性和反应活性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lang w:val="en-US" w:eastAsia="zh-CN"/>
              </w:rPr>
              <w:t>禁配物：</w:t>
            </w:r>
            <w:r>
              <w:rPr>
                <w:rFonts w:hint="default" w:ascii="Times New Roman" w:hAnsi="Times New Roman" w:eastAsia="宋体" w:cs="Times New Roman"/>
                <w:i w:val="0"/>
                <w:iCs w:val="0"/>
                <w:caps w:val="0"/>
                <w:color w:val="000000"/>
                <w:spacing w:val="0"/>
                <w:sz w:val="21"/>
                <w:szCs w:val="21"/>
                <w:shd w:val="clear" w:fill="FFFFFF"/>
              </w:rPr>
              <w:t>碱类、碱金属、水、强还原剂、易燃或可燃物。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毒理学</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LD50：2140mg/kg(大鼠经口)</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LC50：510mg/m</w:t>
            </w:r>
            <w:r>
              <w:rPr>
                <w:rFonts w:hint="default" w:ascii="Times New Roman" w:hAnsi="Times New Roman" w:eastAsia="宋体" w:cs="Times New Roman"/>
                <w:i w:val="0"/>
                <w:iCs w:val="0"/>
                <w:caps w:val="0"/>
                <w:color w:val="000000"/>
                <w:spacing w:val="0"/>
                <w:sz w:val="21"/>
                <w:szCs w:val="21"/>
                <w:shd w:val="clear" w:fill="FFFFFF"/>
                <w:vertAlign w:val="superscript"/>
              </w:rPr>
              <w:t>3</w:t>
            </w:r>
            <w:r>
              <w:rPr>
                <w:rFonts w:hint="default" w:ascii="Times New Roman" w:hAnsi="Times New Roman" w:eastAsia="宋体" w:cs="Times New Roman"/>
                <w:i w:val="0"/>
                <w:iCs w:val="0"/>
                <w:caps w:val="0"/>
                <w:color w:val="000000"/>
                <w:spacing w:val="0"/>
                <w:sz w:val="21"/>
                <w:szCs w:val="21"/>
                <w:shd w:val="clear" w:fill="FFFFFF"/>
              </w:rPr>
              <w:t>，2小时(大鼠吸入)；320mg/m</w:t>
            </w:r>
            <w:r>
              <w:rPr>
                <w:rFonts w:hint="default" w:ascii="Times New Roman" w:hAnsi="Times New Roman" w:eastAsia="宋体" w:cs="Times New Roman"/>
                <w:i w:val="0"/>
                <w:iCs w:val="0"/>
                <w:caps w:val="0"/>
                <w:color w:val="000000"/>
                <w:spacing w:val="0"/>
                <w:sz w:val="21"/>
                <w:szCs w:val="21"/>
                <w:shd w:val="clear" w:fill="FFFFFF"/>
                <w:vertAlign w:val="superscript"/>
              </w:rPr>
              <w:t>3</w:t>
            </w:r>
            <w:r>
              <w:rPr>
                <w:rFonts w:hint="default" w:ascii="Times New Roman" w:hAnsi="Times New Roman" w:eastAsia="宋体" w:cs="Times New Roman"/>
                <w:i w:val="0"/>
                <w:iCs w:val="0"/>
                <w:caps w:val="0"/>
                <w:color w:val="000000"/>
                <w:spacing w:val="0"/>
                <w:sz w:val="21"/>
                <w:szCs w:val="21"/>
                <w:shd w:val="clear" w:fill="FFFFFF"/>
              </w:rPr>
              <w:t>，2小时(小鼠吸入)</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i w:val="0"/>
                <w:iCs w:val="0"/>
                <w:caps w:val="0"/>
                <w:color w:val="000000"/>
                <w:spacing w:val="0"/>
                <w:sz w:val="21"/>
                <w:szCs w:val="21"/>
                <w:shd w:val="clear" w:fill="FFFFFF"/>
                <w:lang w:eastAsia="zh-CN"/>
              </w:rPr>
            </w:pPr>
            <w:r>
              <w:rPr>
                <w:rFonts w:hint="default" w:ascii="Times New Roman" w:hAnsi="Times New Roman" w:eastAsia="宋体" w:cs="Times New Roman"/>
                <w:i w:val="0"/>
                <w:iCs w:val="0"/>
                <w:caps w:val="0"/>
                <w:color w:val="000000"/>
                <w:spacing w:val="0"/>
                <w:sz w:val="21"/>
                <w:szCs w:val="21"/>
                <w:shd w:val="clear" w:fill="FFFFFF"/>
              </w:rPr>
              <w:t>家兔经眼：1380μg，重度刺激</w:t>
            </w:r>
            <w:r>
              <w:rPr>
                <w:rFonts w:hint="eastAsia"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lang w:val="en-US" w:eastAsia="zh-CN"/>
              </w:rPr>
              <w:t>健康危害：</w:t>
            </w:r>
            <w:r>
              <w:rPr>
                <w:rFonts w:hint="default" w:ascii="Times New Roman" w:hAnsi="Times New Roman" w:eastAsia="宋体" w:cs="Times New Roman"/>
                <w:i w:val="0"/>
                <w:iCs w:val="0"/>
                <w:caps w:val="0"/>
                <w:color w:val="000000"/>
                <w:spacing w:val="0"/>
                <w:sz w:val="21"/>
                <w:szCs w:val="21"/>
                <w:shd w:val="clear" w:fill="FFFFFF"/>
              </w:rPr>
              <w:t>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 慢性影响：牙齿酸蚀症、慢性支气管炎、肺气肿和肺硬化。</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环境危害：对水体和土壤可造成污染。</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燃爆危险：</w:t>
            </w:r>
            <w:r>
              <w:rPr>
                <w:rFonts w:hint="default" w:ascii="Times New Roman" w:hAnsi="Times New Roman" w:eastAsia="宋体" w:cs="Times New Roman"/>
                <w:i w:val="0"/>
                <w:iCs w:val="0"/>
                <w:caps w:val="0"/>
                <w:color w:val="000000"/>
                <w:spacing w:val="0"/>
                <w:kern w:val="0"/>
                <w:sz w:val="21"/>
                <w:szCs w:val="21"/>
                <w:lang w:val="en-US" w:eastAsia="zh-CN" w:bidi="ar"/>
              </w:rPr>
              <w:t>本品</w:t>
            </w:r>
            <w:r>
              <w:rPr>
                <w:rFonts w:hint="eastAsia" w:ascii="Times New Roman" w:hAnsi="Times New Roman" w:eastAsia="宋体" w:cs="Times New Roman"/>
                <w:i w:val="0"/>
                <w:iCs w:val="0"/>
                <w:caps w:val="0"/>
                <w:color w:val="000000"/>
                <w:spacing w:val="0"/>
                <w:kern w:val="0"/>
                <w:sz w:val="21"/>
                <w:szCs w:val="21"/>
                <w:lang w:val="en-US" w:eastAsia="zh-CN" w:bidi="ar"/>
              </w:rPr>
              <w:t>助</w:t>
            </w:r>
            <w:r>
              <w:rPr>
                <w:rFonts w:hint="default" w:ascii="Times New Roman" w:hAnsi="Times New Roman" w:eastAsia="宋体" w:cs="Times New Roman"/>
                <w:i w:val="0"/>
                <w:iCs w:val="0"/>
                <w:caps w:val="0"/>
                <w:color w:val="000000"/>
                <w:spacing w:val="0"/>
                <w:kern w:val="0"/>
                <w:sz w:val="21"/>
                <w:szCs w:val="21"/>
                <w:lang w:val="en-US" w:eastAsia="zh-CN" w:bidi="ar"/>
              </w:rPr>
              <w:t>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急救措施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皮肤接触：</w:t>
            </w:r>
            <w:r>
              <w:rPr>
                <w:rFonts w:hint="default" w:ascii="Times New Roman" w:hAnsi="Times New Roman" w:eastAsia="宋体" w:cs="Times New Roman"/>
                <w:i w:val="0"/>
                <w:iCs w:val="0"/>
                <w:caps w:val="0"/>
                <w:color w:val="000000"/>
                <w:spacing w:val="0"/>
                <w:sz w:val="21"/>
                <w:szCs w:val="21"/>
                <w:shd w:val="clear" w:fill="FFFFFF"/>
              </w:rPr>
              <w:t>立即脱去污染的衣着，用大量流动清水冲洗至少15分钟。就医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眼睛接触：</w:t>
            </w:r>
            <w:r>
              <w:rPr>
                <w:rFonts w:hint="default" w:ascii="Times New Roman" w:hAnsi="Times New Roman" w:eastAsia="宋体" w:cs="Times New Roman"/>
                <w:i w:val="0"/>
                <w:iCs w:val="0"/>
                <w:caps w:val="0"/>
                <w:color w:val="000000"/>
                <w:spacing w:val="0"/>
                <w:sz w:val="21"/>
                <w:szCs w:val="21"/>
                <w:shd w:val="clear" w:fill="FFFFFF"/>
              </w:rPr>
              <w:t>立即提起眼睑，用大量流动清水或生理盐水彻底冲洗至少15分钟。就医。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w:t>
            </w:r>
            <w:r>
              <w:rPr>
                <w:rFonts w:hint="default" w:ascii="Times New Roman" w:hAnsi="Times New Roman" w:eastAsia="宋体" w:cs="Times New Roman"/>
                <w:i w:val="0"/>
                <w:iCs w:val="0"/>
                <w:caps w:val="0"/>
                <w:color w:val="000000"/>
                <w:spacing w:val="0"/>
                <w:sz w:val="21"/>
                <w:szCs w:val="21"/>
                <w:shd w:val="clear" w:fill="FFFFFF"/>
              </w:rPr>
              <w:t>迅速脱离现场至空气新鲜处。保持呼吸道通畅。如呼吸困难，给输氧。如呼吸停止，立即进行人工呼吸。就医。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食入：</w:t>
            </w:r>
            <w:r>
              <w:rPr>
                <w:rFonts w:hint="default" w:ascii="Times New Roman" w:hAnsi="Times New Roman" w:eastAsia="宋体" w:cs="Times New Roman"/>
                <w:i w:val="0"/>
                <w:iCs w:val="0"/>
                <w:caps w:val="0"/>
                <w:color w:val="000000"/>
                <w:spacing w:val="0"/>
                <w:sz w:val="21"/>
                <w:szCs w:val="21"/>
                <w:shd w:val="clear" w:fill="FFFFFF"/>
              </w:rPr>
              <w:t>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消防措施</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遇水大量放热, 可发生沸溅。与易燃物（如苯）和可燃物（如糖、纤维素等）接触会发生剧烈反应，甚至引起燃烧。遇电石、高氯酸盐、雷酸盐、硝酸盐、苦味酸盐、金属粉末等猛烈反应，发生爆炸或燃烧。有强烈的腐蚀性和吸水性。</w:t>
            </w:r>
            <w:r>
              <w:rPr>
                <w:rFonts w:hint="default" w:ascii="Times New Roman" w:hAnsi="Times New Roman" w:eastAsia="宋体" w:cs="Times New Roman"/>
                <w:sz w:val="21"/>
                <w:szCs w:val="21"/>
              </w:rPr>
              <w:t>消防人员必须穿全身耐酸碱消防服。灭火剂：干粉、二氧化碳、砂土。避免水流冲击物品，以免遇水会放出大量热量发生喷溅而灼伤皮肤</w:t>
            </w:r>
            <w:r>
              <w:rPr>
                <w:rFonts w:hint="eastAsia"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泄漏应急处理</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fill="FFFFFF"/>
              </w:rPr>
              <w:t>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操作处置与储存</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操作：密闭操作，注意通风。操作尽可能机械化、自动化。操作人员必须经过专门培训，严格遵守操作规程。建议操作人员佩戴自吸过滤式防毒面具（全面罩），穿橡胶耐酸碱服，戴橡胶耐酸碱手套。远离火种、热源，工作场所严禁吸烟。远离易燃、可燃物。防止蒸气泄漏到工作场所空气中。避免与还原剂、碱类、碱金属接触。搬运时要轻装轻卸，防止包装及容器损坏。配备相应品种和数量的消防器材及泄漏应急处理设备。倒空的容器可能残留有害物。稀释或制备溶液时，应把酸加入水中，避免沸腾和飞溅。</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存：储存于阴凉、通风的库房。库温不超过35℃，相对湿度不超过85％。保持容器密封。应与易（可）燃物、还原剂、碱类、碱金属、食用化学品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防护措施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w:t>
            </w:r>
            <w:r>
              <w:rPr>
                <w:rFonts w:hint="default" w:ascii="Times New Roman" w:hAnsi="Times New Roman" w:eastAsia="宋体" w:cs="Times New Roman"/>
                <w:i w:val="0"/>
                <w:iCs w:val="0"/>
                <w:caps w:val="0"/>
                <w:color w:val="000000"/>
                <w:spacing w:val="0"/>
                <w:kern w:val="0"/>
                <w:sz w:val="21"/>
                <w:szCs w:val="21"/>
                <w:lang w:val="en-US" w:eastAsia="zh-CN" w:bidi="ar"/>
              </w:rPr>
              <w:t>可能接触其烟雾时，佩戴自吸过滤式防毒面具（全面罩）或空气呼吸器。紧急事态抢救或撤离时，建议佩戴氧气呼吸器。</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w:t>
            </w:r>
            <w:r>
              <w:rPr>
                <w:rFonts w:hint="default" w:ascii="Times New Roman" w:hAnsi="Times New Roman" w:eastAsia="宋体" w:cs="Times New Roman"/>
                <w:sz w:val="21"/>
                <w:szCs w:val="21"/>
                <w:lang w:val="en-US" w:eastAsia="zh-CN"/>
              </w:rPr>
              <w:t>同呼吸系统</w:t>
            </w:r>
            <w:r>
              <w:rPr>
                <w:rFonts w:hint="default" w:ascii="Times New Roman" w:hAnsi="Times New Roman" w:eastAsia="宋体" w:cs="Times New Roman"/>
                <w:sz w:val="21"/>
                <w:szCs w:val="21"/>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服。</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w:t>
            </w:r>
            <w:r>
              <w:rPr>
                <w:rFonts w:hint="default" w:ascii="Times New Roman" w:hAnsi="Times New Roman" w:eastAsia="宋体" w:cs="Times New Roman"/>
                <w:sz w:val="21"/>
                <w:szCs w:val="21"/>
                <w:lang w:val="en-US" w:eastAsia="zh-CN"/>
              </w:rPr>
              <w:t>橡胶耐酸碱</w:t>
            </w:r>
            <w:r>
              <w:rPr>
                <w:rFonts w:hint="default" w:ascii="Times New Roman" w:hAnsi="Times New Roman" w:eastAsia="宋体" w:cs="Times New Roman"/>
                <w:sz w:val="21"/>
                <w:szCs w:val="21"/>
              </w:rPr>
              <w:t>手套。</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其他：</w:t>
            </w:r>
            <w:r>
              <w:rPr>
                <w:rFonts w:hint="default" w:ascii="Times New Roman" w:hAnsi="Times New Roman" w:eastAsia="宋体" w:cs="Times New Roman"/>
                <w:i w:val="0"/>
                <w:iCs w:val="0"/>
                <w:caps w:val="0"/>
                <w:color w:val="000000"/>
                <w:spacing w:val="0"/>
                <w:sz w:val="21"/>
                <w:szCs w:val="21"/>
                <w:shd w:val="clear" w:fill="FFFFFF"/>
              </w:rPr>
              <w:t>工作现场禁止吸烟、进食和饮水。工作完毕，淋浴更衣。单独存放被毒物污染的衣服，洗后备用。保持良好的卫生习惯。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废弃处置</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缓慢加入碱液－石灰水中，并不断搅拌，反应停止后，用大量水冲入废水系统。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运输</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耐酸坛或陶瓷瓶外普通木箱或半花格木箱；磨砂口玻璃瓶或螺纹口玻璃瓶外普通木箱。</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5</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润滑油安全技术说明书</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500"/>
        <w:gridCol w:w="2129"/>
        <w:gridCol w:w="1538"/>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理化性质</w:t>
            </w: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CAS号</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中文名称</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外观与性状</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油状液体,淡黄色至褐色,无气味或略带异味</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熔点（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&lt;</w:t>
            </w:r>
            <w:r>
              <w:rPr>
                <w:rFonts w:hint="eastAsia" w:ascii="Times New Roman" w:hAnsi="Times New Roman" w:eastAsia="宋体" w:cs="Times New Roman"/>
                <w:spacing w:val="-8"/>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沸点（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相对蒸汽密度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分子式</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分子量</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闪点</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引燃温度</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主要成分</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含量:高浓度55.0％</w:t>
            </w:r>
            <w:r>
              <w:rPr>
                <w:rFonts w:hint="default" w:ascii="Times New Roman" w:hAnsi="Times New Roman" w:eastAsia="宋体"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低浓度40％</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主要用途</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i w:val="0"/>
                <w:iCs w:val="0"/>
                <w:caps w:val="0"/>
                <w:color w:val="000000"/>
                <w:spacing w:val="0"/>
                <w:sz w:val="21"/>
                <w:szCs w:val="21"/>
                <w:shd w:val="clear" w:fill="FFFFFF"/>
                <w:lang w:val="en-US" w:eastAsia="zh-CN"/>
              </w:rPr>
              <w:t>用于机械的摩擦部分，起润滑、冷却和密封作用</w:t>
            </w:r>
            <w:r>
              <w:rPr>
                <w:rFonts w:hint="default" w:ascii="Times New Roman" w:hAnsi="Times New Roman" w:eastAsia="宋体" w:cs="Times New Roman"/>
                <w:i w:val="0"/>
                <w:iCs w:val="0"/>
                <w:caps w:val="0"/>
                <w:color w:val="000000"/>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稳定性和反应活性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lang w:val="en-US" w:eastAsia="zh-CN"/>
              </w:rPr>
              <w:t>禁配物：</w:t>
            </w:r>
            <w:r>
              <w:rPr>
                <w:rFonts w:hint="default" w:ascii="Times New Roman" w:hAnsi="Times New Roman" w:eastAsia="宋体" w:cs="Times New Roman"/>
                <w:i w:val="0"/>
                <w:iCs w:val="0"/>
                <w:caps w:val="0"/>
                <w:color w:val="000000"/>
                <w:spacing w:val="0"/>
                <w:sz w:val="21"/>
                <w:szCs w:val="21"/>
                <w:shd w:val="clear" w:fill="FFFFFF"/>
              </w:rPr>
              <w:t>强</w:t>
            </w:r>
            <w:r>
              <w:rPr>
                <w:rFonts w:hint="eastAsia" w:ascii="Times New Roman" w:hAnsi="Times New Roman" w:eastAsia="宋体" w:cs="Times New Roman"/>
                <w:i w:val="0"/>
                <w:iCs w:val="0"/>
                <w:caps w:val="0"/>
                <w:color w:val="000000"/>
                <w:spacing w:val="0"/>
                <w:sz w:val="21"/>
                <w:szCs w:val="21"/>
                <w:shd w:val="clear" w:fill="FFFFFF"/>
                <w:lang w:val="en-US" w:eastAsia="zh-CN"/>
              </w:rPr>
              <w:t>氧化剂</w:t>
            </w:r>
            <w:r>
              <w:rPr>
                <w:rFonts w:hint="default" w:ascii="Times New Roman" w:hAnsi="Times New Roman" w:eastAsia="宋体" w:cs="Times New Roman"/>
                <w:i w:val="0"/>
                <w:iCs w:val="0"/>
                <w:caps w:val="0"/>
                <w:color w:val="000000"/>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lang w:val="en-US" w:eastAsia="zh-CN"/>
              </w:rPr>
              <w:t>健康危害：</w:t>
            </w:r>
            <w:r>
              <w:rPr>
                <w:rFonts w:hint="default" w:ascii="Times New Roman" w:hAnsi="Times New Roman" w:eastAsia="宋体" w:cs="Times New Roman"/>
                <w:i w:val="0"/>
                <w:iCs w:val="0"/>
                <w:caps w:val="0"/>
                <w:color w:val="000000"/>
                <w:spacing w:val="0"/>
                <w:sz w:val="21"/>
                <w:szCs w:val="21"/>
                <w:shd w:val="clear" w:fill="FFFFFF"/>
              </w:rPr>
              <w:t>急性吸入，可出现乏力、头晕、头痛、恶心，严重者可引起油脂性肺炎。 慢接触者，暴露部位可发生油性痤疮和接触性皮炎。可引起神经衰弱综合征，呼吸道和眼刺激症状及慢性油脂性肺炎。有资料报道，接触石油润滑油类的工人，有致癌的病例报告。</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燃爆危险：</w:t>
            </w:r>
            <w:r>
              <w:rPr>
                <w:rFonts w:hint="default" w:ascii="Times New Roman" w:hAnsi="Times New Roman" w:eastAsia="宋体" w:cs="Times New Roman"/>
                <w:i w:val="0"/>
                <w:iCs w:val="0"/>
                <w:caps w:val="0"/>
                <w:color w:val="000000"/>
                <w:spacing w:val="0"/>
                <w:kern w:val="0"/>
                <w:sz w:val="21"/>
                <w:szCs w:val="21"/>
                <w:lang w:val="en-US" w:eastAsia="zh-CN" w:bidi="ar"/>
              </w:rPr>
              <w:t>本品</w:t>
            </w:r>
            <w:r>
              <w:rPr>
                <w:rFonts w:hint="eastAsia" w:ascii="Times New Roman" w:hAnsi="Times New Roman" w:eastAsia="宋体" w:cs="Times New Roman"/>
                <w:i w:val="0"/>
                <w:iCs w:val="0"/>
                <w:caps w:val="0"/>
                <w:color w:val="000000"/>
                <w:spacing w:val="0"/>
                <w:kern w:val="0"/>
                <w:sz w:val="21"/>
                <w:szCs w:val="21"/>
                <w:lang w:val="en-US" w:eastAsia="zh-CN" w:bidi="ar"/>
              </w:rPr>
              <w:t>可</w:t>
            </w:r>
            <w:r>
              <w:rPr>
                <w:rFonts w:hint="default" w:ascii="Times New Roman" w:hAnsi="Times New Roman" w:eastAsia="宋体" w:cs="Times New Roman"/>
                <w:i w:val="0"/>
                <w:iCs w:val="0"/>
                <w:caps w:val="0"/>
                <w:color w:val="000000"/>
                <w:spacing w:val="0"/>
                <w:kern w:val="0"/>
                <w:sz w:val="21"/>
                <w:szCs w:val="21"/>
                <w:lang w:val="en-US" w:eastAsia="zh-CN" w:bidi="ar"/>
              </w:rPr>
              <w:t>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急救措施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皮肤接触：</w:t>
            </w:r>
            <w:r>
              <w:rPr>
                <w:rFonts w:hint="default" w:ascii="Times New Roman" w:hAnsi="Times New Roman" w:eastAsia="宋体" w:cs="Times New Roman"/>
                <w:i w:val="0"/>
                <w:iCs w:val="0"/>
                <w:caps w:val="0"/>
                <w:color w:val="000000"/>
                <w:spacing w:val="0"/>
                <w:sz w:val="21"/>
                <w:szCs w:val="21"/>
                <w:shd w:val="clear" w:fill="FFFFFF"/>
              </w:rPr>
              <w:t>脱去污染的衣着，用大量流动清水冲洗。就医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眼睛接触：</w:t>
            </w:r>
            <w:r>
              <w:rPr>
                <w:rFonts w:hint="default" w:ascii="Times New Roman" w:hAnsi="Times New Roman" w:eastAsia="宋体" w:cs="Times New Roman"/>
                <w:i w:val="0"/>
                <w:iCs w:val="0"/>
                <w:caps w:val="0"/>
                <w:color w:val="000000"/>
                <w:spacing w:val="0"/>
                <w:sz w:val="21"/>
                <w:szCs w:val="21"/>
                <w:shd w:val="clear" w:fill="FFFFFF"/>
              </w:rPr>
              <w:t>提起眼睑，用流动清水或生理盐水冲洗。就医。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w:t>
            </w:r>
            <w:r>
              <w:rPr>
                <w:rFonts w:hint="default" w:ascii="Times New Roman" w:hAnsi="Times New Roman" w:eastAsia="宋体" w:cs="Times New Roman"/>
                <w:i w:val="0"/>
                <w:iCs w:val="0"/>
                <w:caps w:val="0"/>
                <w:color w:val="000000"/>
                <w:spacing w:val="0"/>
                <w:sz w:val="21"/>
                <w:szCs w:val="21"/>
                <w:shd w:val="clear" w:fill="FFFFFF"/>
              </w:rPr>
              <w:t>迅速脱离现场至空气新鲜处。保持呼吸道通畅。如呼吸困难，给输氧。如呼吸停止，立即进行人工呼吸。就医。</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食入：</w:t>
            </w:r>
            <w:r>
              <w:rPr>
                <w:rFonts w:hint="eastAsia" w:ascii="Times New Roman" w:hAnsi="Times New Roman" w:eastAsia="宋体" w:cs="Times New Roman"/>
                <w:i w:val="0"/>
                <w:iCs w:val="0"/>
                <w:caps w:val="0"/>
                <w:color w:val="000000"/>
                <w:spacing w:val="0"/>
                <w:sz w:val="21"/>
                <w:szCs w:val="21"/>
                <w:shd w:val="clear" w:fill="FFFFFF"/>
                <w:lang w:val="en-US" w:eastAsia="zh-CN"/>
              </w:rPr>
              <w:t>饮足量温水，催吐</w:t>
            </w:r>
            <w:r>
              <w:rPr>
                <w:rFonts w:hint="default" w:ascii="Times New Roman" w:hAnsi="Times New Roman" w:eastAsia="宋体" w:cs="Times New Roman"/>
                <w:i w:val="0"/>
                <w:iCs w:val="0"/>
                <w:caps w:val="0"/>
                <w:color w:val="000000"/>
                <w:spacing w:val="0"/>
                <w:sz w:val="21"/>
                <w:szCs w:val="21"/>
                <w:shd w:val="clear" w:fill="FFFFFF"/>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消防措施</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遇明火、高热可燃。</w:t>
            </w:r>
            <w:r>
              <w:rPr>
                <w:rFonts w:hint="default" w:ascii="Times New Roman" w:hAnsi="Times New Roman" w:eastAsia="宋体" w:cs="Times New Roman"/>
                <w:i w:val="0"/>
                <w:iCs w:val="0"/>
                <w:caps w:val="0"/>
                <w:color w:val="000000"/>
                <w:spacing w:val="0"/>
                <w:sz w:val="21"/>
                <w:szCs w:val="21"/>
                <w:shd w:val="clear" w:fill="FFFFFF"/>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r>
              <w:rPr>
                <w:rFonts w:hint="eastAsia"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泄漏应急处理</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fill="FFFFFF"/>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操作处置与储存</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操作：密闭操作，注意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搬运时要轻装轻卸，防止包装及容器损坏。配备相应品种和数量的消防器材及泄漏应急处理设备。倒空的容器可能残留有害物。</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储存：储存于阴凉、通风的库房。远离火种、热源。应与氧化剂分开存放，切忌混储。配备相应品种和数量的消防器材。储区应备有泄漏应急处理设备和合适的收容材料。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防护措施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w:t>
            </w:r>
            <w:r>
              <w:rPr>
                <w:rFonts w:hint="eastAsia" w:ascii="Times New Roman" w:hAnsi="Times New Roman" w:eastAsia="宋体" w:cs="Times New Roman"/>
                <w:i w:val="0"/>
                <w:iCs w:val="0"/>
                <w:caps w:val="0"/>
                <w:color w:val="000000"/>
                <w:spacing w:val="0"/>
                <w:kern w:val="0"/>
                <w:sz w:val="21"/>
                <w:szCs w:val="21"/>
                <w:lang w:val="en-US" w:eastAsia="zh-CN" w:bidi="ar"/>
              </w:rPr>
              <w:t>空气中浓度超标时，必须佩戴自吸过滤式防毒面具（半面罩）。紧急事态抢救或撤离时，应该佩戴空气呼吸器</w:t>
            </w:r>
            <w:r>
              <w:rPr>
                <w:rFonts w:hint="default" w:ascii="Times New Roman" w:hAnsi="Times New Roman" w:eastAsia="宋体" w:cs="Times New Roman"/>
                <w:i w:val="0"/>
                <w:iCs w:val="0"/>
                <w:caps w:val="0"/>
                <w:color w:val="000000"/>
                <w:spacing w:val="0"/>
                <w:kern w:val="0"/>
                <w:sz w:val="21"/>
                <w:szCs w:val="21"/>
                <w:lang w:val="en-US" w:eastAsia="zh-CN" w:bidi="ar"/>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w:t>
            </w:r>
            <w:r>
              <w:rPr>
                <w:rFonts w:hint="eastAsia" w:ascii="Times New Roman" w:hAnsi="Times New Roman" w:eastAsia="宋体" w:cs="Times New Roman"/>
                <w:sz w:val="21"/>
                <w:szCs w:val="21"/>
                <w:lang w:val="en-US" w:eastAsia="zh-CN"/>
              </w:rPr>
              <w:t>戴化学安全防护眼镜</w:t>
            </w:r>
            <w:r>
              <w:rPr>
                <w:rFonts w:hint="default" w:ascii="Times New Roman" w:hAnsi="Times New Roman" w:eastAsia="宋体" w:cs="Times New Roman"/>
                <w:sz w:val="21"/>
                <w:szCs w:val="21"/>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w:t>
            </w:r>
            <w:r>
              <w:rPr>
                <w:rFonts w:hint="eastAsia" w:ascii="Times New Roman" w:hAnsi="Times New Roman" w:eastAsia="宋体" w:cs="Times New Roman"/>
                <w:sz w:val="21"/>
                <w:szCs w:val="21"/>
                <w:lang w:val="en-US" w:eastAsia="zh-CN"/>
              </w:rPr>
              <w:t>防毒物渗透工作</w:t>
            </w:r>
            <w:r>
              <w:rPr>
                <w:rFonts w:hint="default" w:ascii="Times New Roman" w:hAnsi="Times New Roman" w:eastAsia="宋体" w:cs="Times New Roman"/>
                <w:sz w:val="21"/>
                <w:szCs w:val="21"/>
              </w:rPr>
              <w:t>服。</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w:t>
            </w:r>
            <w:r>
              <w:rPr>
                <w:rFonts w:hint="default" w:ascii="Times New Roman" w:hAnsi="Times New Roman" w:eastAsia="宋体" w:cs="Times New Roman"/>
                <w:sz w:val="21"/>
                <w:szCs w:val="21"/>
                <w:lang w:val="en-US" w:eastAsia="zh-CN"/>
              </w:rPr>
              <w:t>橡胶耐</w:t>
            </w:r>
            <w:r>
              <w:rPr>
                <w:rFonts w:hint="eastAsia" w:ascii="Times New Roman" w:hAnsi="Times New Roman" w:eastAsia="宋体" w:cs="Times New Roman"/>
                <w:sz w:val="21"/>
                <w:szCs w:val="21"/>
                <w:lang w:val="en-US" w:eastAsia="zh-CN"/>
              </w:rPr>
              <w:t>油</w:t>
            </w:r>
            <w:r>
              <w:rPr>
                <w:rFonts w:hint="default" w:ascii="Times New Roman" w:hAnsi="Times New Roman" w:eastAsia="宋体" w:cs="Times New Roman"/>
                <w:sz w:val="21"/>
                <w:szCs w:val="21"/>
              </w:rPr>
              <w:t>手套。</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其他：</w:t>
            </w:r>
            <w:r>
              <w:rPr>
                <w:rFonts w:hint="default" w:ascii="Times New Roman" w:hAnsi="Times New Roman" w:eastAsia="宋体" w:cs="Times New Roman"/>
                <w:i w:val="0"/>
                <w:iCs w:val="0"/>
                <w:caps w:val="0"/>
                <w:color w:val="000000"/>
                <w:spacing w:val="0"/>
                <w:sz w:val="21"/>
                <w:szCs w:val="21"/>
                <w:shd w:val="clear" w:fill="FFFFFF"/>
              </w:rPr>
              <w:t>工作现场禁止吸烟。</w:t>
            </w:r>
            <w:r>
              <w:rPr>
                <w:rFonts w:hint="eastAsia" w:ascii="Times New Roman" w:hAnsi="Times New Roman" w:eastAsia="宋体" w:cs="Times New Roman"/>
                <w:i w:val="0"/>
                <w:iCs w:val="0"/>
                <w:caps w:val="0"/>
                <w:color w:val="000000"/>
                <w:spacing w:val="0"/>
                <w:sz w:val="21"/>
                <w:szCs w:val="21"/>
                <w:shd w:val="clear" w:fill="FFFFFF"/>
                <w:lang w:val="en-US" w:eastAsia="zh-CN"/>
              </w:rPr>
              <w:t>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废弃处置</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aps w:val="0"/>
                <w:color w:val="000000"/>
                <w:spacing w:val="0"/>
                <w:sz w:val="21"/>
                <w:szCs w:val="21"/>
                <w:shd w:val="clear" w:fill="FFFFFF"/>
                <w:lang w:val="en-US" w:eastAsia="zh-CN"/>
              </w:rPr>
              <w:t>参阅国家和地方有关法规</w:t>
            </w:r>
            <w:r>
              <w:rPr>
                <w:rFonts w:hint="default" w:ascii="Times New Roman" w:hAnsi="Times New Roman" w:eastAsia="宋体" w:cs="Times New Roman"/>
                <w:i w:val="0"/>
                <w:iCs w:val="0"/>
                <w:caps w:val="0"/>
                <w:color w:val="000000"/>
                <w:spacing w:val="0"/>
                <w:sz w:val="21"/>
                <w:szCs w:val="21"/>
                <w:shd w:val="clear" w:fill="FFFFFF"/>
              </w:rPr>
              <w:t>。</w:t>
            </w:r>
            <w:r>
              <w:rPr>
                <w:rFonts w:hint="eastAsia" w:ascii="Times New Roman" w:hAnsi="Times New Roman" w:eastAsia="宋体" w:cs="Times New Roman"/>
                <w:i w:val="0"/>
                <w:iCs w:val="0"/>
                <w:caps w:val="0"/>
                <w:color w:val="000000"/>
                <w:spacing w:val="0"/>
                <w:sz w:val="21"/>
                <w:szCs w:val="21"/>
                <w:shd w:val="clear" w:fill="FFFFFF"/>
                <w:lang w:val="en-US" w:eastAsia="zh-CN"/>
              </w:rPr>
              <w:t>建议用焚烧法处置。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运输</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氢气安全技术说明书</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500"/>
        <w:gridCol w:w="2129"/>
        <w:gridCol w:w="1538"/>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理化性质</w:t>
            </w: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CAS号</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i w:val="0"/>
                <w:iCs w:val="0"/>
                <w:caps w:val="0"/>
                <w:color w:val="000000"/>
                <w:spacing w:val="0"/>
                <w:sz w:val="21"/>
                <w:szCs w:val="21"/>
                <w:shd w:val="clear" w:fill="FFFFFF"/>
                <w:lang w:val="en-US" w:eastAsia="zh-CN"/>
              </w:rPr>
              <w:t>****</w:t>
            </w:r>
            <w:r>
              <w:rPr>
                <w:rFonts w:hint="eastAsia" w:ascii="Times New Roman" w:hAnsi="Times New Roman" w:eastAsia="宋体" w:cs="Times New Roman"/>
                <w:i w:val="0"/>
                <w:iCs w:val="0"/>
                <w:caps w:val="0"/>
                <w:color w:val="000000"/>
                <w:spacing w:val="0"/>
                <w:sz w:val="21"/>
                <w:szCs w:val="21"/>
                <w:shd w:val="clear" w:fill="FFFFFF"/>
                <w:lang w:val="en-US" w:eastAsia="zh-CN"/>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中文名称</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外观与性状</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aps w:val="0"/>
                <w:color w:val="000000"/>
                <w:spacing w:val="0"/>
                <w:sz w:val="21"/>
                <w:szCs w:val="21"/>
                <w:shd w:val="clear" w:fill="FFFFFF"/>
              </w:rPr>
              <w:t>无色</w:t>
            </w:r>
            <w:r>
              <w:rPr>
                <w:rFonts w:hint="eastAsia" w:ascii="Times New Roman" w:hAnsi="Times New Roman" w:eastAsia="宋体" w:cs="Times New Roman"/>
                <w:i w:val="0"/>
                <w:iCs w:val="0"/>
                <w:caps w:val="0"/>
                <w:color w:val="000000"/>
                <w:spacing w:val="0"/>
                <w:sz w:val="21"/>
                <w:szCs w:val="21"/>
                <w:shd w:val="clear" w:fill="FFFFFF"/>
                <w:lang w:val="en-US" w:eastAsia="zh-CN"/>
              </w:rPr>
              <w:t>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熔点（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-259.2</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0.07（-252</w:t>
            </w:r>
            <w:r>
              <w:rPr>
                <w:rFonts w:hint="default" w:ascii="Times New Roman" w:hAnsi="Times New Roman" w:eastAsia="宋体" w:cs="Times New Roman"/>
                <w:sz w:val="21"/>
                <w:szCs w:val="21"/>
              </w:rPr>
              <w:t>℃</w:t>
            </w:r>
            <w:r>
              <w:rPr>
                <w:rFonts w:hint="eastAsia" w:ascii="Times New Roman" w:hAnsi="Times New Roman" w:eastAsia="宋体" w:cs="Times New Roman"/>
                <w:spacing w:val="-8"/>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沸点（</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-252.8</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相对蒸汽密度</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分子式</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t>
            </w:r>
            <w:r>
              <w:rPr>
                <w:rFonts w:hint="eastAsia" w:ascii="Times New Roman" w:hAnsi="Times New Roman" w:eastAsia="宋体" w:cs="Times New Roman"/>
                <w:sz w:val="21"/>
                <w:szCs w:val="21"/>
                <w:vertAlign w:val="subscript"/>
                <w:lang w:val="en-US" w:eastAsia="zh-CN"/>
              </w:rPr>
              <w:t>2</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分子量</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饱和蒸气压</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13.33（-257.9</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sz w:val="21"/>
                <w:szCs w:val="21"/>
                <w:lang w:val="en-US" w:eastAsia="zh-CN"/>
              </w:rPr>
              <w:t>溶解性</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不溶于水，不溶于乙醇、乙醚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临界温度</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w:t>
            </w:r>
          </w:p>
        </w:tc>
        <w:tc>
          <w:tcPr>
            <w:tcW w:w="9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引燃温度</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lang w:val="en-US" w:eastAsia="zh-CN"/>
              </w:rPr>
              <w:t>）</w:t>
            </w:r>
          </w:p>
        </w:tc>
        <w:tc>
          <w:tcPr>
            <w:tcW w:w="128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主要成分</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含量:高浓度55.0％</w:t>
            </w:r>
            <w:r>
              <w:rPr>
                <w:rFonts w:hint="default" w:ascii="Times New Roman" w:hAnsi="Times New Roman" w:eastAsia="宋体"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rPr>
              <w:t>低浓度40％</w:t>
            </w:r>
            <w:r>
              <w:rPr>
                <w:rFonts w:hint="default"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p>
        </w:tc>
        <w:tc>
          <w:tcPr>
            <w:tcW w:w="88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主要用途</w:t>
            </w:r>
          </w:p>
        </w:tc>
        <w:tc>
          <w:tcPr>
            <w:tcW w:w="343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用于合成氨和甲醇等，石油精制，有机物氢化及作火箭燃料。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稳定性和反应活性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禁配物：</w:t>
            </w:r>
            <w:r>
              <w:rPr>
                <w:rFonts w:hint="eastAsia" w:ascii="Times New Roman" w:hAnsi="Times New Roman" w:eastAsia="宋体" w:cs="Times New Roman"/>
                <w:i w:val="0"/>
                <w:iCs w:val="0"/>
                <w:caps w:val="0"/>
                <w:color w:val="000000"/>
                <w:spacing w:val="0"/>
                <w:sz w:val="21"/>
                <w:szCs w:val="21"/>
                <w:shd w:val="clear" w:fill="FFFFFF"/>
                <w:lang w:val="en-US" w:eastAsia="zh-CN"/>
              </w:rPr>
              <w:t>强氧化剂、卤素</w:t>
            </w:r>
            <w:r>
              <w:rPr>
                <w:rFonts w:hint="default" w:ascii="Times New Roman" w:hAnsi="Times New Roman" w:eastAsia="宋体" w:cs="Times New Roman"/>
                <w:i w:val="0"/>
                <w:iCs w:val="0"/>
                <w:caps w:val="0"/>
                <w:color w:val="000000"/>
                <w:spacing w:val="0"/>
                <w:sz w:val="21"/>
                <w:szCs w:val="21"/>
                <w:shd w:val="clear" w:fill="FFFFFF"/>
              </w:rPr>
              <w:t>。</w:t>
            </w:r>
            <w:r>
              <w:rPr>
                <w:rFonts w:hint="eastAsia" w:ascii="Times New Roman" w:hAnsi="Times New Roman" w:eastAsia="宋体" w:cs="Times New Roman"/>
                <w:i w:val="0"/>
                <w:iCs w:val="0"/>
                <w:caps w:val="0"/>
                <w:color w:val="000000"/>
                <w:spacing w:val="0"/>
                <w:sz w:val="21"/>
                <w:szCs w:val="21"/>
                <w:shd w:val="clear" w:fill="FFFFFF"/>
                <w:lang w:val="en-US" w:eastAsia="zh-CN"/>
              </w:rPr>
              <w:t>光照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危险性</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lang w:val="en-US" w:eastAsia="zh-CN"/>
              </w:rPr>
              <w:t>健康危害：</w:t>
            </w:r>
            <w:r>
              <w:rPr>
                <w:rFonts w:hint="default" w:ascii="Times New Roman" w:hAnsi="Times New Roman" w:eastAsia="宋体" w:cs="Times New Roman"/>
                <w:i w:val="0"/>
                <w:iCs w:val="0"/>
                <w:caps w:val="0"/>
                <w:color w:val="000000"/>
                <w:spacing w:val="0"/>
                <w:sz w:val="21"/>
                <w:szCs w:val="21"/>
                <w:shd w:val="clear" w:fill="FFFFFF"/>
              </w:rPr>
              <w:t>本品在生理学上是惰性气体，仅在高浓度时，由于空气中氧分压降低才引起窒息。在很高的分压下，氢气可呈现出麻醉作用。</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燃爆危险：</w:t>
            </w:r>
            <w:r>
              <w:rPr>
                <w:rFonts w:hint="eastAsia" w:ascii="Times New Roman" w:hAnsi="Times New Roman" w:eastAsia="宋体" w:cs="Times New Roman"/>
                <w:i w:val="0"/>
                <w:iCs w:val="0"/>
                <w:caps w:val="0"/>
                <w:color w:val="000000"/>
                <w:spacing w:val="0"/>
                <w:kern w:val="0"/>
                <w:sz w:val="21"/>
                <w:szCs w:val="21"/>
                <w:lang w:val="en-US" w:eastAsia="zh-CN" w:bidi="ar"/>
              </w:rPr>
              <w:t>易燃</w:t>
            </w:r>
            <w:r>
              <w:rPr>
                <w:rFonts w:hint="default" w:ascii="Times New Roman" w:hAnsi="Times New Roman" w:eastAsia="宋体" w:cs="Times New Roman"/>
                <w:i w:val="0"/>
                <w:iCs w:val="0"/>
                <w:caps w:val="0"/>
                <w:color w:val="000000"/>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急救措施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吸入：</w:t>
            </w:r>
            <w:r>
              <w:rPr>
                <w:rFonts w:hint="default" w:ascii="Times New Roman" w:hAnsi="Times New Roman" w:eastAsia="宋体" w:cs="Times New Roman"/>
                <w:i w:val="0"/>
                <w:iCs w:val="0"/>
                <w:caps w:val="0"/>
                <w:color w:val="000000"/>
                <w:spacing w:val="0"/>
                <w:sz w:val="21"/>
                <w:szCs w:val="21"/>
                <w:shd w:val="clear" w:fill="FFFFFF"/>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消防措施</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i w:val="0"/>
                <w:iCs w:val="0"/>
                <w:caps w:val="0"/>
                <w:color w:val="000000"/>
                <w:spacing w:val="0"/>
                <w:sz w:val="21"/>
                <w:szCs w:val="21"/>
                <w:shd w:val="clear" w:fill="FFFFFF"/>
              </w:rPr>
              <w:t>与空气混合能形成爆炸性混合物，遇热或明火即爆炸。气体比空气轻，在室内使用和储存时，漏气上升滞留屋顶不易排出，遇火星会引起爆炸。氢气与氟、氯、溴等卤素会剧烈反应。切断气源。若不能切断气源，则不允许熄灭泄漏处的火焰。喷水冷却容器，可能的话将容器从火场移至空旷处。灭火剂：雾状水、泡沫、二氧化碳、干粉</w:t>
            </w:r>
            <w:r>
              <w:rPr>
                <w:rFonts w:hint="eastAsia" w:ascii="Times New Roman" w:hAnsi="Times New Roman" w:eastAsia="宋体" w:cs="Times New Roman"/>
                <w:i w:val="0"/>
                <w:iCs w:val="0"/>
                <w:caps w:val="0"/>
                <w:color w:val="000000"/>
                <w:spacing w:val="0"/>
                <w:sz w:val="21"/>
                <w:szCs w:val="21"/>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泄漏应急处理</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aps w:val="0"/>
                <w:color w:val="000000"/>
                <w:spacing w:val="0"/>
                <w:sz w:val="21"/>
                <w:szCs w:val="21"/>
                <w:shd w:val="clear" w:fill="FFFFFF"/>
              </w:rPr>
              <w:t>迅速撤离泄漏污染区人员至上风处，并进行隔离，严格限制出入。切断火源。建议应急处理人员戴自给正压式呼吸器，穿防静电工作服。尽可能切断泄漏源。合理通风，加速扩散。如有可能，将漏出气用排风机送至空旷地方或装设适当喷头烧掉。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操作处置与储存</w:t>
            </w:r>
          </w:p>
        </w:tc>
        <w:tc>
          <w:tcPr>
            <w:tcW w:w="431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操作：密闭操作，加强通风。操作人员必须经过专门培训，严格遵守操作规程。建议操作人员穿防静电工作服。远离火种、热源，工作场所严禁吸烟。使用防爆型的通风系统和设备。防止气体泄漏到工作场所空气中。避免与氧化剂、卤素接触。在传送过程中，钢瓶和容器必须接地和跨接，防止产生静电。搬运时轻装轻卸，防止钢瓶及附件破损。配备相应品种和数量的消防器材及泄漏应急处理设备。</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存：储存于阴凉、通风的库房。远离火种、热源。库温不超过30℃，相对湿度不超过80％。应与氧化剂、卤素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sz w:val="21"/>
                <w:szCs w:val="21"/>
              </w:rPr>
              <w:t>防护措施</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w:t>
            </w:r>
            <w:r>
              <w:rPr>
                <w:rFonts w:hint="eastAsia" w:ascii="Times New Roman" w:hAnsi="Times New Roman" w:eastAsia="宋体" w:cs="Times New Roman"/>
                <w:i w:val="0"/>
                <w:iCs w:val="0"/>
                <w:caps w:val="0"/>
                <w:color w:val="000000"/>
                <w:spacing w:val="0"/>
                <w:kern w:val="0"/>
                <w:sz w:val="21"/>
                <w:szCs w:val="21"/>
                <w:lang w:val="en-US" w:eastAsia="zh-CN" w:bidi="ar"/>
              </w:rPr>
              <w:t>一般不需要特殊防护</w:t>
            </w:r>
            <w:r>
              <w:rPr>
                <w:rFonts w:hint="default" w:ascii="Times New Roman" w:hAnsi="Times New Roman" w:eastAsia="宋体" w:cs="Times New Roman"/>
                <w:i w:val="0"/>
                <w:iCs w:val="0"/>
                <w:caps w:val="0"/>
                <w:color w:val="000000"/>
                <w:spacing w:val="0"/>
                <w:kern w:val="0"/>
                <w:sz w:val="21"/>
                <w:szCs w:val="21"/>
                <w:lang w:val="en-US" w:eastAsia="zh-CN" w:bidi="ar"/>
              </w:rPr>
              <w:t>，</w:t>
            </w:r>
            <w:r>
              <w:rPr>
                <w:rFonts w:hint="eastAsia" w:ascii="Times New Roman" w:hAnsi="Times New Roman" w:eastAsia="宋体" w:cs="Times New Roman"/>
                <w:i w:val="0"/>
                <w:iCs w:val="0"/>
                <w:caps w:val="0"/>
                <w:color w:val="000000"/>
                <w:spacing w:val="0"/>
                <w:kern w:val="0"/>
                <w:sz w:val="21"/>
                <w:szCs w:val="21"/>
                <w:lang w:val="en-US" w:eastAsia="zh-CN" w:bidi="ar"/>
              </w:rPr>
              <w:t>高浓度接触时可</w:t>
            </w:r>
            <w:r>
              <w:rPr>
                <w:rFonts w:hint="default" w:ascii="Times New Roman" w:hAnsi="Times New Roman" w:eastAsia="宋体" w:cs="Times New Roman"/>
                <w:i w:val="0"/>
                <w:iCs w:val="0"/>
                <w:caps w:val="0"/>
                <w:color w:val="000000"/>
                <w:spacing w:val="0"/>
                <w:kern w:val="0"/>
                <w:sz w:val="21"/>
                <w:szCs w:val="21"/>
                <w:lang w:val="en-US" w:eastAsia="zh-CN" w:bidi="ar"/>
              </w:rPr>
              <w:t>佩戴空气呼吸器。</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w:t>
            </w:r>
            <w:r>
              <w:rPr>
                <w:rFonts w:hint="eastAsia" w:ascii="Times New Roman" w:hAnsi="Times New Roman" w:eastAsia="宋体" w:cs="Times New Roman"/>
                <w:sz w:val="21"/>
                <w:szCs w:val="21"/>
                <w:lang w:val="en-US" w:eastAsia="zh-CN"/>
              </w:rPr>
              <w:t>防静电工作</w:t>
            </w:r>
            <w:r>
              <w:rPr>
                <w:rFonts w:hint="default" w:ascii="Times New Roman" w:hAnsi="Times New Roman" w:eastAsia="宋体" w:cs="Times New Roman"/>
                <w:sz w:val="21"/>
                <w:szCs w:val="21"/>
              </w:rPr>
              <w:t>服。</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w:t>
            </w:r>
            <w:r>
              <w:rPr>
                <w:rFonts w:hint="eastAsia" w:ascii="Times New Roman" w:hAnsi="Times New Roman" w:eastAsia="宋体" w:cs="Times New Roman"/>
                <w:sz w:val="21"/>
                <w:szCs w:val="21"/>
                <w:lang w:val="en-US" w:eastAsia="zh-CN"/>
              </w:rPr>
              <w:t>一般作业防护</w:t>
            </w:r>
            <w:r>
              <w:rPr>
                <w:rFonts w:hint="default" w:ascii="Times New Roman" w:hAnsi="Times New Roman" w:eastAsia="宋体" w:cs="Times New Roman"/>
                <w:sz w:val="21"/>
                <w:szCs w:val="21"/>
              </w:rPr>
              <w:t>手套。</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其他：</w:t>
            </w:r>
            <w:r>
              <w:rPr>
                <w:rFonts w:hint="default" w:ascii="Times New Roman" w:hAnsi="Times New Roman" w:eastAsia="宋体" w:cs="Times New Roman"/>
                <w:i w:val="0"/>
                <w:iCs w:val="0"/>
                <w:caps w:val="0"/>
                <w:color w:val="000000"/>
                <w:spacing w:val="0"/>
                <w:sz w:val="21"/>
                <w:szCs w:val="21"/>
                <w:shd w:val="clear" w:fill="FFFFFF"/>
              </w:rPr>
              <w:t>工作现场严禁吸烟。避免高浓度吸入。进入罐、限制性空间或其它高浓度区作业，须有人监护。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运输</w:t>
            </w:r>
          </w:p>
        </w:tc>
        <w:tc>
          <w:tcPr>
            <w:tcW w:w="4312" w:type="pct"/>
            <w:gridSpan w:val="4"/>
            <w:shd w:val="clear" w:color="auto" w:fill="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caps w:val="0"/>
                <w:color w:val="000000"/>
                <w:spacing w:val="0"/>
                <w:sz w:val="21"/>
                <w:szCs w:val="21"/>
                <w:shd w:val="clear" w:fill="FFFFFF"/>
              </w:rPr>
              <w:t>钢质气瓶。</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2.环境敏感目标调查</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本项目环境风险评价价调查了厂界周边5km范围内的居民区、医院、学校及其他人口密集场所；厂址周边地表水体及其环境功能、下游环境敏感目标；地下水环境敏感特征等。</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根据导则附录D判断各要素的环境敏感程度等级，本项目环境敏感特征情况详见表7。</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黑体"/>
          <w:b/>
          <w:bCs/>
          <w:sz w:val="21"/>
          <w:szCs w:val="21"/>
        </w:rPr>
      </w:pPr>
      <w:r>
        <w:rPr>
          <w:rFonts w:eastAsia="黑体"/>
          <w:b/>
          <w:bCs/>
          <w:sz w:val="21"/>
          <w:szCs w:val="21"/>
        </w:rPr>
        <w:t>表</w:t>
      </w:r>
      <w:r>
        <w:rPr>
          <w:rFonts w:hint="eastAsia" w:eastAsia="黑体"/>
          <w:b/>
          <w:bCs/>
          <w:sz w:val="21"/>
          <w:szCs w:val="21"/>
          <w:lang w:val="en-US" w:eastAsia="zh-CN"/>
        </w:rPr>
        <w:t>7</w:t>
      </w:r>
      <w:r>
        <w:rPr>
          <w:rFonts w:hint="eastAsia" w:eastAsia="黑体"/>
          <w:b/>
          <w:bCs/>
          <w:sz w:val="21"/>
          <w:szCs w:val="21"/>
        </w:rPr>
        <w:t xml:space="preserve"> </w:t>
      </w:r>
      <w:r>
        <w:rPr>
          <w:rFonts w:eastAsia="黑体"/>
          <w:b/>
          <w:bCs/>
          <w:sz w:val="21"/>
          <w:szCs w:val="21"/>
        </w:rPr>
        <w:t xml:space="preserve">   </w:t>
      </w:r>
      <w:r>
        <w:rPr>
          <w:rFonts w:hint="eastAsia" w:eastAsia="黑体"/>
          <w:b/>
          <w:bCs/>
          <w:sz w:val="21"/>
          <w:szCs w:val="21"/>
          <w:lang w:val="en-US" w:eastAsia="zh-CN"/>
        </w:rPr>
        <w:t>环境风险</w:t>
      </w:r>
      <w:r>
        <w:rPr>
          <w:rFonts w:eastAsia="黑体"/>
          <w:b/>
          <w:bCs/>
          <w:sz w:val="21"/>
          <w:szCs w:val="21"/>
        </w:rPr>
        <w:t>保护目标</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841"/>
        <w:gridCol w:w="1438"/>
        <w:gridCol w:w="320"/>
        <w:gridCol w:w="1165"/>
        <w:gridCol w:w="455"/>
        <w:gridCol w:w="567"/>
        <w:gridCol w:w="378"/>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rFonts w:hint="eastAsia"/>
                <w:b/>
              </w:rPr>
              <w:t>环境</w:t>
            </w:r>
            <w:r>
              <w:rPr>
                <w:b/>
              </w:rPr>
              <w:t>要素</w:t>
            </w:r>
          </w:p>
        </w:tc>
        <w:tc>
          <w:tcPr>
            <w:tcW w:w="4353" w:type="pct"/>
            <w:gridSpan w:val="8"/>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rFonts w:hint="eastAsia"/>
                <w:b/>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t>空气</w:t>
            </w: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b/>
              </w:rPr>
              <w:t>保护</w:t>
            </w:r>
            <w:r>
              <w:rPr>
                <w:rFonts w:hint="eastAsia"/>
                <w:b/>
              </w:rPr>
              <w:t>对象</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rFonts w:hint="eastAsia"/>
                <w:b/>
              </w:rPr>
              <w:t>相对厂址方位</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rPr>
            </w:pPr>
            <w:r>
              <w:rPr>
                <w:rFonts w:hint="eastAsia"/>
                <w:b/>
              </w:rPr>
              <w:t>相对厂界距离/m</w:t>
            </w:r>
          </w:p>
        </w:tc>
        <w:tc>
          <w:tcPr>
            <w:tcW w:w="599" w:type="pct"/>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rPr>
            </w:pPr>
            <w:r>
              <w:rPr>
                <w:rFonts w:hint="eastAsia"/>
                <w:b/>
              </w:rPr>
              <w:t>人数</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rPr>
            </w:pPr>
            <w:r>
              <w:rPr>
                <w:rFonts w:hint="eastAsia"/>
                <w:b/>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cs="Times New Roman"/>
                <w:color w:val="auto"/>
                <w:spacing w:val="-4"/>
                <w:szCs w:val="21"/>
                <w:lang w:val="en-US" w:eastAsia="zh-CN"/>
              </w:rPr>
              <w:t>大龙潭村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spacing w:val="-4"/>
                <w:szCs w:val="21"/>
                <w:lang w:val="en-US" w:eastAsia="zh-CN"/>
              </w:rPr>
              <w:t>3</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584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pacing w:val="-10"/>
                <w:szCs w:val="21"/>
              </w:rPr>
            </w:pPr>
            <w:r>
              <w:rPr>
                <w:rFonts w:hint="eastAsia" w:cs="Times New Roman"/>
                <w:color w:val="auto"/>
                <w:lang w:val="en-US" w:eastAsia="zh-CN"/>
              </w:rPr>
              <w:t>龙潭社区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458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lang w:val="en-US" w:eastAsia="zh-CN"/>
              </w:rPr>
              <w:t>龙潭幼儿园</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477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lang w:val="en-US" w:eastAsia="zh-CN"/>
              </w:rPr>
              <w:t>石夹地</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336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420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lang w:val="en-US" w:eastAsia="zh-CN"/>
              </w:rPr>
              <w:t>新街小学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446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cs="Times New Roman"/>
                <w:color w:val="auto"/>
                <w:lang w:val="en-US" w:eastAsia="zh-CN"/>
              </w:rPr>
              <w:t>洗尾嘎村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30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728</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三家村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cs="Times New Roman"/>
                <w:color w:val="auto"/>
                <w:lang w:val="en-US" w:eastAsia="zh-CN"/>
              </w:rPr>
              <w:t>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824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小龙潭</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650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野牛村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2125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495</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小橄榄坡</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3035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大橄榄坡</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3763</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乱草街</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3294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毛家包</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3459</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新民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3861</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仓房</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1564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营盘</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NW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2903</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大寨村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2404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大寨小学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3110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小葫芦口</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3264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大葫芦口</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spacing w:val="-4"/>
                <w:szCs w:val="21"/>
                <w:lang w:val="en-US" w:eastAsia="zh-CN"/>
              </w:rPr>
              <w:t>N</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3594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梅子村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3391</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小火塘</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1792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大坪子</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2812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脑包地</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3882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梅子小学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3006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陷塘</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2445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新田</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3288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大梁子</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3255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小水井</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3898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杉松坪</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NE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3818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513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新田坝</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3257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大殿村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3899</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小水沟</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1923</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糯谷田社区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1260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792</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罗家村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1204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315</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龙潭</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3000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中殿村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3688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小新街</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505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324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移民新村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4107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郭家山</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4127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嘎德村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3086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1053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东川区老年病医院</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3375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430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医疗休养区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伍家湾</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4139</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起嘎</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2587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486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王家村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2307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东川第一中学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2075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1680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布依</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891</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梭山</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1747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洗马塘</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1419</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小新村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1956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祥鹏社区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1758</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1296</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东川碧谷三合医院</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792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125</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lang w:val="en-US" w:eastAsia="zh-CN"/>
              </w:rPr>
              <w:t>医疗休养区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新街社区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660</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1800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东升幼儿园</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1281</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1200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嘉和社区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1569</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864</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东川区体育职业中学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2012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1200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石夹小井</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1482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扇子田</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1885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沙沟</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2044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沙坝幼儿园</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2102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沙坝</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2324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田坝</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2767</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423</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东川区仁和医院</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3265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lang w:val="en-US" w:eastAsia="zh-CN"/>
              </w:rPr>
              <w:t>医疗休养区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法它</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3286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山洼子</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3345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468</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集义小学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4014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山脚</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cs="Times New Roman"/>
                <w:color w:val="auto"/>
                <w:lang w:val="en-US" w:eastAsia="zh-CN"/>
              </w:rPr>
              <w:t>S</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4016</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深沟村</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3725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1260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桥北社区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3112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1800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东川区第一小学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4155</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720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东川区第三小学</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4174</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1080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szCs w:val="21"/>
              </w:rPr>
              <w:t>文化教育区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东川区</w:t>
            </w:r>
          </w:p>
        </w:tc>
        <w:tc>
          <w:tcPr>
            <w:tcW w:w="8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lang w:val="en-US" w:eastAsia="zh-CN"/>
              </w:rPr>
              <w:t>SE</w:t>
            </w:r>
          </w:p>
        </w:tc>
        <w:tc>
          <w:tcPr>
            <w:tcW w:w="87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3612</w:t>
            </w:r>
          </w:p>
        </w:tc>
        <w:tc>
          <w:tcPr>
            <w:tcW w:w="599" w:type="pct"/>
            <w:gridSpan w:val="2"/>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2250</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农村居民区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3394" w:type="pct"/>
            <w:gridSpan w:val="6"/>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lang w:val="en-US" w:eastAsia="zh-CN"/>
              </w:rPr>
              <w:t>厂址周边500m范围内人口数小计</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3394" w:type="pct"/>
            <w:gridSpan w:val="6"/>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lang w:val="en-US" w:eastAsia="zh-CN"/>
              </w:rPr>
              <w:t>厂址周边5000m范围内人口数小计</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33671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3394" w:type="pct"/>
            <w:gridSpan w:val="6"/>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lang w:val="en-US" w:eastAsia="zh-CN"/>
              </w:rPr>
              <w:t>大气环境敏感程度E值</w:t>
            </w:r>
          </w:p>
        </w:tc>
        <w:tc>
          <w:tcPr>
            <w:tcW w:w="95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b/>
                <w:bCs/>
                <w:lang w:val="en-US" w:eastAsia="zh-CN"/>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lang w:val="en-US" w:eastAsia="zh-CN"/>
              </w:rPr>
              <w:t>地表水</w:t>
            </w:r>
          </w:p>
        </w:tc>
        <w:tc>
          <w:tcPr>
            <w:tcW w:w="4353" w:type="pct"/>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rPr>
            </w:pPr>
            <w:r>
              <w:rPr>
                <w:rFonts w:hint="eastAsia"/>
                <w:b/>
                <w:bCs/>
                <w:lang w:val="en-US" w:eastAsia="zh-CN"/>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4"/>
                <w:lang w:val="en-US" w:eastAsia="zh-CN" w:bidi="ar-SA"/>
              </w:rPr>
            </w:pPr>
            <w:r>
              <w:rPr>
                <w:rFonts w:hint="eastAsia" w:cs="Times New Roman"/>
                <w:b/>
                <w:bCs/>
                <w:kern w:val="2"/>
                <w:sz w:val="21"/>
                <w:szCs w:val="24"/>
                <w:lang w:val="en-US" w:eastAsia="zh-CN" w:bidi="ar-SA"/>
              </w:rPr>
              <w:t>受纳水体名称</w:t>
            </w:r>
          </w:p>
        </w:tc>
        <w:tc>
          <w:tcPr>
            <w:tcW w:w="171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kern w:val="2"/>
                <w:sz w:val="21"/>
                <w:szCs w:val="24"/>
                <w:lang w:val="en-US" w:eastAsia="zh-CN" w:bidi="ar-SA"/>
              </w:rPr>
            </w:pPr>
            <w:r>
              <w:rPr>
                <w:rFonts w:hint="eastAsia"/>
                <w:b/>
                <w:bCs/>
                <w:lang w:val="en-US" w:eastAsia="zh-CN"/>
              </w:rPr>
              <w:t>环境功能</w:t>
            </w:r>
          </w:p>
        </w:tc>
        <w:tc>
          <w:tcPr>
            <w:tcW w:w="1558"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4"/>
                <w:lang w:val="en-US" w:eastAsia="zh-CN" w:bidi="ar-SA"/>
              </w:rPr>
            </w:pPr>
            <w:r>
              <w:rPr>
                <w:rFonts w:hint="eastAsia" w:cs="Times New Roman"/>
                <w:b/>
                <w:bCs/>
                <w:kern w:val="2"/>
                <w:sz w:val="21"/>
                <w:szCs w:val="24"/>
                <w:lang w:val="en-US" w:eastAsia="zh-CN" w:bidi="ar-SA"/>
              </w:rPr>
              <w:t>24h内流经范围/km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大白河</w:t>
            </w:r>
          </w:p>
        </w:tc>
        <w:tc>
          <w:tcPr>
            <w:tcW w:w="171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rPr>
              <w:t>《地表水环境质量标准》（GB3838-2002）III类</w:t>
            </w:r>
          </w:p>
        </w:tc>
        <w:tc>
          <w:tcPr>
            <w:tcW w:w="1558"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不涉及跨省或跨国界，无敏感区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4353" w:type="pct"/>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eastAsia"/>
                <w:b/>
                <w:bCs/>
                <w:lang w:val="en-US" w:eastAsia="zh-CN"/>
              </w:rPr>
              <w:t>内陆水体排放点下游10km范围内敏感目标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lang w:val="en-US" w:eastAsia="zh-CN"/>
              </w:rPr>
            </w:pPr>
            <w:r>
              <w:rPr>
                <w:rFonts w:hint="eastAsia"/>
                <w:b/>
                <w:bCs/>
                <w:lang w:val="en-US" w:eastAsia="zh-CN"/>
              </w:rPr>
              <w:t>敏感目标名称</w:t>
            </w:r>
          </w:p>
        </w:tc>
        <w:tc>
          <w:tcPr>
            <w:tcW w:w="103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lang w:val="en-US" w:eastAsia="zh-CN"/>
              </w:rPr>
            </w:pPr>
            <w:r>
              <w:rPr>
                <w:rFonts w:hint="eastAsia" w:cs="Times New Roman"/>
                <w:b/>
                <w:bCs/>
                <w:color w:val="auto"/>
                <w:lang w:val="en-US" w:eastAsia="zh-CN"/>
              </w:rPr>
              <w:t>环境敏感特征</w:t>
            </w:r>
          </w:p>
        </w:tc>
        <w:tc>
          <w:tcPr>
            <w:tcW w:w="95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lang w:val="en-US" w:eastAsia="zh-CN"/>
              </w:rPr>
              <w:t>水质目标</w:t>
            </w:r>
          </w:p>
        </w:tc>
        <w:tc>
          <w:tcPr>
            <w:tcW w:w="1291" w:type="pct"/>
            <w:gridSpan w:val="3"/>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与排放点距离/m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大白河</w:t>
            </w:r>
          </w:p>
        </w:tc>
        <w:tc>
          <w:tcPr>
            <w:tcW w:w="103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lang w:val="en-US" w:eastAsia="zh-CN"/>
              </w:rPr>
            </w:pPr>
            <w:r>
              <w:rPr>
                <w:rFonts w:hint="eastAsia" w:cs="Times New Roman"/>
                <w:color w:val="auto"/>
                <w:lang w:val="en-US" w:eastAsia="zh-CN"/>
              </w:rPr>
              <w:t>农灌为主导</w:t>
            </w:r>
          </w:p>
        </w:tc>
        <w:tc>
          <w:tcPr>
            <w:tcW w:w="95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III类</w:t>
            </w:r>
          </w:p>
        </w:tc>
        <w:tc>
          <w:tcPr>
            <w:tcW w:w="1291" w:type="pct"/>
            <w:gridSpan w:val="3"/>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3062"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lang w:val="en-US" w:eastAsia="zh-CN"/>
              </w:rPr>
              <w:t>地表水环境敏感程度E值</w:t>
            </w:r>
          </w:p>
        </w:tc>
        <w:tc>
          <w:tcPr>
            <w:tcW w:w="1291" w:type="pct"/>
            <w:gridSpan w:val="3"/>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地下水</w:t>
            </w: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环境敏感区名称</w:t>
            </w:r>
          </w:p>
        </w:tc>
        <w:tc>
          <w:tcPr>
            <w:tcW w:w="103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环境敏感特征</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水质目标</w:t>
            </w:r>
          </w:p>
        </w:tc>
        <w:tc>
          <w:tcPr>
            <w:tcW w:w="821" w:type="pct"/>
            <w:gridSpan w:val="3"/>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包气带防污性能</w:t>
            </w:r>
          </w:p>
        </w:tc>
        <w:tc>
          <w:tcPr>
            <w:tcW w:w="736"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0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无</w:t>
            </w:r>
          </w:p>
        </w:tc>
        <w:tc>
          <w:tcPr>
            <w:tcW w:w="103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lang w:val="en-US" w:eastAsia="zh-CN"/>
              </w:rPr>
            </w:pPr>
            <w:r>
              <w:rPr>
                <w:rFonts w:hint="eastAsia" w:cs="Times New Roman"/>
                <w:color w:val="auto"/>
                <w:lang w:val="en-US" w:eastAsia="zh-CN"/>
              </w:rPr>
              <w:t>G3</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lang w:val="en-US" w:eastAsia="zh-CN"/>
              </w:rPr>
            </w:pPr>
            <w:r>
              <w:rPr>
                <w:rFonts w:hint="default" w:ascii="Times New Roman" w:hAnsi="Times New Roman" w:cs="Times New Roman"/>
                <w:color w:val="auto"/>
                <w:sz w:val="21"/>
                <w:szCs w:val="21"/>
              </w:rPr>
              <w:t>III类</w:t>
            </w:r>
          </w:p>
        </w:tc>
        <w:tc>
          <w:tcPr>
            <w:tcW w:w="821" w:type="pct"/>
            <w:gridSpan w:val="3"/>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D2</w:t>
            </w:r>
          </w:p>
        </w:tc>
        <w:tc>
          <w:tcPr>
            <w:tcW w:w="736"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3616" w:type="pct"/>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lang w:val="en-US" w:eastAsia="zh-CN"/>
              </w:rPr>
              <w:t>地下水环境敏感程度E值</w:t>
            </w:r>
          </w:p>
        </w:tc>
        <w:tc>
          <w:tcPr>
            <w:tcW w:w="73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E3</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s="Times New Roman"/>
          <w:color w:val="auto"/>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982345</wp:posOffset>
                </wp:positionH>
                <wp:positionV relativeFrom="paragraph">
                  <wp:posOffset>2237105</wp:posOffset>
                </wp:positionV>
                <wp:extent cx="398780" cy="1117600"/>
                <wp:effectExtent l="0" t="0" r="0" b="0"/>
                <wp:wrapNone/>
                <wp:docPr id="5" name="文本框 5"/>
                <wp:cNvGraphicFramePr/>
                <a:graphic xmlns:a="http://schemas.openxmlformats.org/drawingml/2006/main">
                  <a:graphicData uri="http://schemas.microsoft.com/office/word/2010/wordprocessingShape">
                    <wps:wsp>
                      <wps:cNvSpPr txBox="1"/>
                      <wps:spPr>
                        <a:xfrm rot="20520000">
                          <a:off x="1836420" y="3151505"/>
                          <a:ext cx="398780" cy="1117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val="en-US" w:eastAsia="zh-CN"/>
                              </w:rPr>
                            </w:pPr>
                            <w:r>
                              <w:rPr>
                                <w:rFonts w:hint="eastAsia"/>
                                <w:b/>
                                <w:bCs/>
                                <w:color w:val="FFFF00"/>
                                <w:lang w:val="en-US" w:eastAsia="zh-CN"/>
                              </w:rPr>
                              <w:t>大白河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176.15pt;height:88pt;width:31.4pt;rotation:-1179648f;z-index:251660288;mso-width-relative:page;mso-height-relative:page;" filled="f" stroked="f" coordsize="21600,21600" o:gfxdata="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qWfBXbAAAACwEA&#10;AA8AAAAAAAAAAQAgAAAAIgAAAGRycy9kb3ducmV2LnhtbFBLAQIUABQAAAAIAIdO4kD79EWdUAIA&#10;AIEEAAAOAAAAAAAAAAEAIAAAACoBAABkcnMvZTJvRG9jLnhtbFBLBQYAAAAABgAGAFkBAADsBQAA&#10;AAA=&#10;">
                <v:fill on="f" focussize="0,0"/>
                <v:stroke on="f" weight="0.5pt"/>
                <v:imagedata o:title=""/>
                <o:lock v:ext="edit" aspectratio="f"/>
                <v:textbox>
                  <w:txbxContent>
                    <w:p>
                      <w:pPr>
                        <w:rPr>
                          <w:rFonts w:hint="eastAsia" w:eastAsia="宋体"/>
                          <w:b/>
                          <w:bCs/>
                          <w:color w:val="FFFF00"/>
                          <w:lang w:val="en-US" w:eastAsia="zh-CN"/>
                        </w:rPr>
                      </w:pPr>
                      <w:r>
                        <w:rPr>
                          <w:rFonts w:hint="eastAsia"/>
                          <w:b/>
                          <w:bCs/>
                          <w:color w:val="FFFF00"/>
                          <w:lang w:val="en-US" w:eastAsia="zh-CN"/>
                        </w:rPr>
                        <w:t>大白河</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340995</wp:posOffset>
                </wp:positionV>
                <wp:extent cx="2303145" cy="4840605"/>
                <wp:effectExtent l="6350" t="10795" r="14605" b="6350"/>
                <wp:wrapNone/>
                <wp:docPr id="3" name="任意多边形 3"/>
                <wp:cNvGraphicFramePr/>
                <a:graphic xmlns:a="http://schemas.openxmlformats.org/drawingml/2006/main">
                  <a:graphicData uri="http://schemas.microsoft.com/office/word/2010/wordprocessingShape">
                    <wps:wsp>
                      <wps:cNvSpPr/>
                      <wps:spPr>
                        <a:xfrm>
                          <a:off x="1161415" y="1255395"/>
                          <a:ext cx="2303145" cy="4840605"/>
                        </a:xfrm>
                        <a:custGeom>
                          <a:avLst/>
                          <a:gdLst>
                            <a:gd name="connisteX0" fmla="*/ 0 w 2303145"/>
                            <a:gd name="connsiteY0" fmla="*/ 0 h 4840605"/>
                            <a:gd name="connisteX1" fmla="*/ 69215 w 2303145"/>
                            <a:gd name="connsiteY1" fmla="*/ 52070 h 4840605"/>
                            <a:gd name="connisteX2" fmla="*/ 69215 w 2303145"/>
                            <a:gd name="connsiteY2" fmla="*/ 121285 h 4840605"/>
                            <a:gd name="connisteX3" fmla="*/ 95250 w 2303145"/>
                            <a:gd name="connsiteY3" fmla="*/ 190500 h 4840605"/>
                            <a:gd name="connisteX4" fmla="*/ 120650 w 2303145"/>
                            <a:gd name="connsiteY4" fmla="*/ 259715 h 4840605"/>
                            <a:gd name="connisteX5" fmla="*/ 129540 w 2303145"/>
                            <a:gd name="connsiteY5" fmla="*/ 328930 h 4840605"/>
                            <a:gd name="connisteX6" fmla="*/ 129540 w 2303145"/>
                            <a:gd name="connsiteY6" fmla="*/ 398145 h 4840605"/>
                            <a:gd name="connisteX7" fmla="*/ 129540 w 2303145"/>
                            <a:gd name="connsiteY7" fmla="*/ 467360 h 4840605"/>
                            <a:gd name="connisteX8" fmla="*/ 146685 w 2303145"/>
                            <a:gd name="connsiteY8" fmla="*/ 537210 h 4840605"/>
                            <a:gd name="connisteX9" fmla="*/ 164465 w 2303145"/>
                            <a:gd name="connsiteY9" fmla="*/ 606425 h 4840605"/>
                            <a:gd name="connisteX10" fmla="*/ 181610 w 2303145"/>
                            <a:gd name="connsiteY10" fmla="*/ 675640 h 4840605"/>
                            <a:gd name="connisteX11" fmla="*/ 190500 w 2303145"/>
                            <a:gd name="connsiteY11" fmla="*/ 744855 h 4840605"/>
                            <a:gd name="connisteX12" fmla="*/ 207645 w 2303145"/>
                            <a:gd name="connsiteY12" fmla="*/ 814070 h 4840605"/>
                            <a:gd name="connisteX13" fmla="*/ 215900 w 2303145"/>
                            <a:gd name="connsiteY13" fmla="*/ 883285 h 4840605"/>
                            <a:gd name="connisteX14" fmla="*/ 241935 w 2303145"/>
                            <a:gd name="connsiteY14" fmla="*/ 952500 h 4840605"/>
                            <a:gd name="connisteX15" fmla="*/ 267970 w 2303145"/>
                            <a:gd name="connsiteY15" fmla="*/ 1021715 h 4840605"/>
                            <a:gd name="connisteX16" fmla="*/ 294005 w 2303145"/>
                            <a:gd name="connsiteY16" fmla="*/ 1090930 h 4840605"/>
                            <a:gd name="connisteX17" fmla="*/ 320040 w 2303145"/>
                            <a:gd name="connsiteY17" fmla="*/ 1160145 h 4840605"/>
                            <a:gd name="connisteX18" fmla="*/ 354965 w 2303145"/>
                            <a:gd name="connsiteY18" fmla="*/ 1229360 h 4840605"/>
                            <a:gd name="connisteX19" fmla="*/ 398145 w 2303145"/>
                            <a:gd name="connsiteY19" fmla="*/ 1299210 h 4840605"/>
                            <a:gd name="connisteX20" fmla="*/ 458470 w 2303145"/>
                            <a:gd name="connsiteY20" fmla="*/ 1368425 h 4840605"/>
                            <a:gd name="connisteX21" fmla="*/ 527685 w 2303145"/>
                            <a:gd name="connsiteY21" fmla="*/ 1385570 h 4840605"/>
                            <a:gd name="connisteX22" fmla="*/ 596900 w 2303145"/>
                            <a:gd name="connsiteY22" fmla="*/ 1428750 h 4840605"/>
                            <a:gd name="connisteX23" fmla="*/ 666750 w 2303145"/>
                            <a:gd name="connsiteY23" fmla="*/ 1480820 h 4840605"/>
                            <a:gd name="connisteX24" fmla="*/ 735965 w 2303145"/>
                            <a:gd name="connsiteY24" fmla="*/ 1524000 h 4840605"/>
                            <a:gd name="connisteX25" fmla="*/ 805180 w 2303145"/>
                            <a:gd name="connsiteY25" fmla="*/ 1593215 h 4840605"/>
                            <a:gd name="connisteX26" fmla="*/ 865505 w 2303145"/>
                            <a:gd name="connsiteY26" fmla="*/ 1662430 h 4840605"/>
                            <a:gd name="connisteX27" fmla="*/ 934720 w 2303145"/>
                            <a:gd name="connsiteY27" fmla="*/ 1714500 h 4840605"/>
                            <a:gd name="connisteX28" fmla="*/ 969645 w 2303145"/>
                            <a:gd name="connsiteY28" fmla="*/ 1783715 h 4840605"/>
                            <a:gd name="connisteX29" fmla="*/ 1029970 w 2303145"/>
                            <a:gd name="connsiteY29" fmla="*/ 1852930 h 4840605"/>
                            <a:gd name="connisteX30" fmla="*/ 1099185 w 2303145"/>
                            <a:gd name="connsiteY30" fmla="*/ 1913890 h 4840605"/>
                            <a:gd name="connisteX31" fmla="*/ 1151255 w 2303145"/>
                            <a:gd name="connsiteY31" fmla="*/ 1983105 h 4840605"/>
                            <a:gd name="connisteX32" fmla="*/ 1169035 w 2303145"/>
                            <a:gd name="connsiteY32" fmla="*/ 2052320 h 4840605"/>
                            <a:gd name="connisteX33" fmla="*/ 1177290 w 2303145"/>
                            <a:gd name="connsiteY33" fmla="*/ 2121535 h 4840605"/>
                            <a:gd name="connisteX34" fmla="*/ 1212215 w 2303145"/>
                            <a:gd name="connsiteY34" fmla="*/ 2190750 h 4840605"/>
                            <a:gd name="connisteX35" fmla="*/ 1272540 w 2303145"/>
                            <a:gd name="connsiteY35" fmla="*/ 2259965 h 4840605"/>
                            <a:gd name="connisteX36" fmla="*/ 1341755 w 2303145"/>
                            <a:gd name="connsiteY36" fmla="*/ 2286000 h 4840605"/>
                            <a:gd name="connisteX37" fmla="*/ 1410970 w 2303145"/>
                            <a:gd name="connsiteY37" fmla="*/ 2346960 h 4840605"/>
                            <a:gd name="connisteX38" fmla="*/ 1471930 w 2303145"/>
                            <a:gd name="connsiteY38" fmla="*/ 2416175 h 4840605"/>
                            <a:gd name="connisteX39" fmla="*/ 1532255 w 2303145"/>
                            <a:gd name="connsiteY39" fmla="*/ 2485390 h 4840605"/>
                            <a:gd name="connisteX40" fmla="*/ 1575435 w 2303145"/>
                            <a:gd name="connsiteY40" fmla="*/ 2554605 h 4840605"/>
                            <a:gd name="connisteX41" fmla="*/ 1610360 w 2303145"/>
                            <a:gd name="connsiteY41" fmla="*/ 2623820 h 4840605"/>
                            <a:gd name="connisteX42" fmla="*/ 1627505 w 2303145"/>
                            <a:gd name="connsiteY42" fmla="*/ 2693035 h 4840605"/>
                            <a:gd name="connisteX43" fmla="*/ 1627505 w 2303145"/>
                            <a:gd name="connsiteY43" fmla="*/ 2762250 h 4840605"/>
                            <a:gd name="connisteX44" fmla="*/ 1627505 w 2303145"/>
                            <a:gd name="connsiteY44" fmla="*/ 2831465 h 4840605"/>
                            <a:gd name="connisteX45" fmla="*/ 1619250 w 2303145"/>
                            <a:gd name="connsiteY45" fmla="*/ 2900680 h 4840605"/>
                            <a:gd name="connisteX46" fmla="*/ 1610360 w 2303145"/>
                            <a:gd name="connsiteY46" fmla="*/ 2969895 h 4840605"/>
                            <a:gd name="connisteX47" fmla="*/ 1610360 w 2303145"/>
                            <a:gd name="connsiteY47" fmla="*/ 3039110 h 4840605"/>
                            <a:gd name="connisteX48" fmla="*/ 1601470 w 2303145"/>
                            <a:gd name="connsiteY48" fmla="*/ 3117215 h 4840605"/>
                            <a:gd name="connisteX49" fmla="*/ 1601470 w 2303145"/>
                            <a:gd name="connsiteY49" fmla="*/ 3186430 h 4840605"/>
                            <a:gd name="connisteX50" fmla="*/ 1601470 w 2303145"/>
                            <a:gd name="connsiteY50" fmla="*/ 3255645 h 4840605"/>
                            <a:gd name="connisteX51" fmla="*/ 1601470 w 2303145"/>
                            <a:gd name="connsiteY51" fmla="*/ 3324860 h 4840605"/>
                            <a:gd name="connisteX52" fmla="*/ 1601470 w 2303145"/>
                            <a:gd name="connsiteY52" fmla="*/ 3394710 h 4840605"/>
                            <a:gd name="connisteX53" fmla="*/ 1636395 w 2303145"/>
                            <a:gd name="connsiteY53" fmla="*/ 3463925 h 4840605"/>
                            <a:gd name="connisteX54" fmla="*/ 1705610 w 2303145"/>
                            <a:gd name="connsiteY54" fmla="*/ 3524250 h 4840605"/>
                            <a:gd name="connisteX55" fmla="*/ 1740535 w 2303145"/>
                            <a:gd name="connsiteY55" fmla="*/ 3593465 h 4840605"/>
                            <a:gd name="connisteX56" fmla="*/ 1774825 w 2303145"/>
                            <a:gd name="connsiteY56" fmla="*/ 3662680 h 4840605"/>
                            <a:gd name="connisteX57" fmla="*/ 1809750 w 2303145"/>
                            <a:gd name="connsiteY57" fmla="*/ 3731895 h 4840605"/>
                            <a:gd name="connisteX58" fmla="*/ 1878965 w 2303145"/>
                            <a:gd name="connsiteY58" fmla="*/ 3775710 h 4840605"/>
                            <a:gd name="connisteX59" fmla="*/ 1948180 w 2303145"/>
                            <a:gd name="connsiteY59" fmla="*/ 3818890 h 4840605"/>
                            <a:gd name="connisteX60" fmla="*/ 2017395 w 2303145"/>
                            <a:gd name="connsiteY60" fmla="*/ 3870960 h 4840605"/>
                            <a:gd name="connisteX61" fmla="*/ 2060575 w 2303145"/>
                            <a:gd name="connsiteY61" fmla="*/ 3940175 h 4840605"/>
                            <a:gd name="connisteX62" fmla="*/ 2069465 w 2303145"/>
                            <a:gd name="connsiteY62" fmla="*/ 4009390 h 4840605"/>
                            <a:gd name="connisteX63" fmla="*/ 2069465 w 2303145"/>
                            <a:gd name="connsiteY63" fmla="*/ 4078605 h 4840605"/>
                            <a:gd name="connisteX64" fmla="*/ 2103755 w 2303145"/>
                            <a:gd name="connsiteY64" fmla="*/ 4147820 h 4840605"/>
                            <a:gd name="connisteX65" fmla="*/ 2138680 w 2303145"/>
                            <a:gd name="connsiteY65" fmla="*/ 4217035 h 4840605"/>
                            <a:gd name="connisteX66" fmla="*/ 2190750 w 2303145"/>
                            <a:gd name="connsiteY66" fmla="*/ 4286250 h 4840605"/>
                            <a:gd name="connisteX67" fmla="*/ 2207895 w 2303145"/>
                            <a:gd name="connsiteY67" fmla="*/ 4355465 h 4840605"/>
                            <a:gd name="connisteX68" fmla="*/ 2216785 w 2303145"/>
                            <a:gd name="connsiteY68" fmla="*/ 4424680 h 4840605"/>
                            <a:gd name="connisteX69" fmla="*/ 2242185 w 2303145"/>
                            <a:gd name="connsiteY69" fmla="*/ 4493895 h 4840605"/>
                            <a:gd name="connisteX70" fmla="*/ 2242185 w 2303145"/>
                            <a:gd name="connsiteY70" fmla="*/ 4563110 h 4840605"/>
                            <a:gd name="connisteX71" fmla="*/ 2259965 w 2303145"/>
                            <a:gd name="connsiteY71" fmla="*/ 4632960 h 4840605"/>
                            <a:gd name="connisteX72" fmla="*/ 2268220 w 2303145"/>
                            <a:gd name="connsiteY72" fmla="*/ 4702175 h 4840605"/>
                            <a:gd name="connisteX73" fmla="*/ 2277110 w 2303145"/>
                            <a:gd name="connsiteY73" fmla="*/ 4771390 h 4840605"/>
                            <a:gd name="connisteX74" fmla="*/ 2303145 w 2303145"/>
                            <a:gd name="connsiteY74" fmla="*/ 4840605 h 48406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 ang="0">
                              <a:pos x="connisteX67" y="connsiteY67"/>
                            </a:cxn>
                            <a:cxn ang="0">
                              <a:pos x="connisteX68" y="connsiteY68"/>
                            </a:cxn>
                            <a:cxn ang="0">
                              <a:pos x="connisteX69" y="connsiteY69"/>
                            </a:cxn>
                            <a:cxn ang="0">
                              <a:pos x="connisteX70" y="connsiteY70"/>
                            </a:cxn>
                            <a:cxn ang="0">
                              <a:pos x="connisteX71" y="connsiteY71"/>
                            </a:cxn>
                            <a:cxn ang="0">
                              <a:pos x="connisteX72" y="connsiteY72"/>
                            </a:cxn>
                            <a:cxn ang="0">
                              <a:pos x="connisteX73" y="connsiteY73"/>
                            </a:cxn>
                            <a:cxn ang="0">
                              <a:pos x="connisteX74" y="connsiteY74"/>
                            </a:cxn>
                          </a:cxnLst>
                          <a:rect l="l" t="t" r="r" b="b"/>
                          <a:pathLst>
                            <a:path w="2303145" h="4840605">
                              <a:moveTo>
                                <a:pt x="0" y="0"/>
                              </a:moveTo>
                              <a:cubicBezTo>
                                <a:pt x="13970" y="8890"/>
                                <a:pt x="55245" y="27940"/>
                                <a:pt x="69215" y="52070"/>
                              </a:cubicBezTo>
                              <a:cubicBezTo>
                                <a:pt x="83185" y="76200"/>
                                <a:pt x="64135" y="93345"/>
                                <a:pt x="69215" y="121285"/>
                              </a:cubicBezTo>
                              <a:cubicBezTo>
                                <a:pt x="74295" y="149225"/>
                                <a:pt x="85090" y="162560"/>
                                <a:pt x="95250" y="190500"/>
                              </a:cubicBezTo>
                              <a:cubicBezTo>
                                <a:pt x="105410" y="218440"/>
                                <a:pt x="113665" y="231775"/>
                                <a:pt x="120650" y="259715"/>
                              </a:cubicBezTo>
                              <a:cubicBezTo>
                                <a:pt x="127635" y="287655"/>
                                <a:pt x="127635" y="300990"/>
                                <a:pt x="129540" y="328930"/>
                              </a:cubicBezTo>
                              <a:cubicBezTo>
                                <a:pt x="131445" y="356870"/>
                                <a:pt x="129540" y="370205"/>
                                <a:pt x="129540" y="398145"/>
                              </a:cubicBezTo>
                              <a:cubicBezTo>
                                <a:pt x="129540" y="426085"/>
                                <a:pt x="126365" y="439420"/>
                                <a:pt x="129540" y="467360"/>
                              </a:cubicBezTo>
                              <a:cubicBezTo>
                                <a:pt x="132715" y="495300"/>
                                <a:pt x="139700" y="509270"/>
                                <a:pt x="146685" y="537210"/>
                              </a:cubicBezTo>
                              <a:cubicBezTo>
                                <a:pt x="153670" y="565150"/>
                                <a:pt x="157480" y="578485"/>
                                <a:pt x="164465" y="606425"/>
                              </a:cubicBezTo>
                              <a:cubicBezTo>
                                <a:pt x="171450" y="634365"/>
                                <a:pt x="176530" y="647700"/>
                                <a:pt x="181610" y="675640"/>
                              </a:cubicBezTo>
                              <a:cubicBezTo>
                                <a:pt x="186690" y="703580"/>
                                <a:pt x="185420" y="716915"/>
                                <a:pt x="190500" y="744855"/>
                              </a:cubicBezTo>
                              <a:cubicBezTo>
                                <a:pt x="195580" y="772795"/>
                                <a:pt x="202565" y="786130"/>
                                <a:pt x="207645" y="814070"/>
                              </a:cubicBezTo>
                              <a:cubicBezTo>
                                <a:pt x="212725" y="842010"/>
                                <a:pt x="208915" y="855345"/>
                                <a:pt x="215900" y="883285"/>
                              </a:cubicBezTo>
                              <a:cubicBezTo>
                                <a:pt x="222885" y="911225"/>
                                <a:pt x="231775" y="924560"/>
                                <a:pt x="241935" y="952500"/>
                              </a:cubicBezTo>
                              <a:cubicBezTo>
                                <a:pt x="252095" y="980440"/>
                                <a:pt x="257810" y="993775"/>
                                <a:pt x="267970" y="1021715"/>
                              </a:cubicBezTo>
                              <a:cubicBezTo>
                                <a:pt x="278130" y="1049655"/>
                                <a:pt x="283845" y="1062990"/>
                                <a:pt x="294005" y="1090930"/>
                              </a:cubicBezTo>
                              <a:cubicBezTo>
                                <a:pt x="304165" y="1118870"/>
                                <a:pt x="307975" y="1132205"/>
                                <a:pt x="320040" y="1160145"/>
                              </a:cubicBezTo>
                              <a:cubicBezTo>
                                <a:pt x="332105" y="1188085"/>
                                <a:pt x="339090" y="1201420"/>
                                <a:pt x="354965" y="1229360"/>
                              </a:cubicBezTo>
                              <a:cubicBezTo>
                                <a:pt x="370840" y="1257300"/>
                                <a:pt x="377190" y="1271270"/>
                                <a:pt x="398145" y="1299210"/>
                              </a:cubicBezTo>
                              <a:cubicBezTo>
                                <a:pt x="419100" y="1327150"/>
                                <a:pt x="432435" y="1351280"/>
                                <a:pt x="458470" y="1368425"/>
                              </a:cubicBezTo>
                              <a:cubicBezTo>
                                <a:pt x="484505" y="1385570"/>
                                <a:pt x="499745" y="1373505"/>
                                <a:pt x="527685" y="1385570"/>
                              </a:cubicBezTo>
                              <a:cubicBezTo>
                                <a:pt x="555625" y="1397635"/>
                                <a:pt x="568960" y="1409700"/>
                                <a:pt x="596900" y="1428750"/>
                              </a:cubicBezTo>
                              <a:cubicBezTo>
                                <a:pt x="624840" y="1447800"/>
                                <a:pt x="638810" y="1461770"/>
                                <a:pt x="666750" y="1480820"/>
                              </a:cubicBezTo>
                              <a:cubicBezTo>
                                <a:pt x="694690" y="1499870"/>
                                <a:pt x="708025" y="1501775"/>
                                <a:pt x="735965" y="1524000"/>
                              </a:cubicBezTo>
                              <a:cubicBezTo>
                                <a:pt x="763905" y="1546225"/>
                                <a:pt x="779145" y="1565275"/>
                                <a:pt x="805180" y="1593215"/>
                              </a:cubicBezTo>
                              <a:cubicBezTo>
                                <a:pt x="831215" y="1621155"/>
                                <a:pt x="839470" y="1638300"/>
                                <a:pt x="865505" y="1662430"/>
                              </a:cubicBezTo>
                              <a:cubicBezTo>
                                <a:pt x="891540" y="1686560"/>
                                <a:pt x="913765" y="1690370"/>
                                <a:pt x="934720" y="1714500"/>
                              </a:cubicBezTo>
                              <a:cubicBezTo>
                                <a:pt x="955675" y="1738630"/>
                                <a:pt x="950595" y="1755775"/>
                                <a:pt x="969645" y="1783715"/>
                              </a:cubicBezTo>
                              <a:cubicBezTo>
                                <a:pt x="988695" y="1811655"/>
                                <a:pt x="1003935" y="1826895"/>
                                <a:pt x="1029970" y="1852930"/>
                              </a:cubicBezTo>
                              <a:cubicBezTo>
                                <a:pt x="1056005" y="1878965"/>
                                <a:pt x="1075055" y="1887855"/>
                                <a:pt x="1099185" y="1913890"/>
                              </a:cubicBezTo>
                              <a:cubicBezTo>
                                <a:pt x="1123315" y="1939925"/>
                                <a:pt x="1137285" y="1955165"/>
                                <a:pt x="1151255" y="1983105"/>
                              </a:cubicBezTo>
                              <a:cubicBezTo>
                                <a:pt x="1165225" y="2011045"/>
                                <a:pt x="1163955" y="2024380"/>
                                <a:pt x="1169035" y="2052320"/>
                              </a:cubicBezTo>
                              <a:cubicBezTo>
                                <a:pt x="1174115" y="2080260"/>
                                <a:pt x="1168400" y="2093595"/>
                                <a:pt x="1177290" y="2121535"/>
                              </a:cubicBezTo>
                              <a:cubicBezTo>
                                <a:pt x="1186180" y="2149475"/>
                                <a:pt x="1193165" y="2162810"/>
                                <a:pt x="1212215" y="2190750"/>
                              </a:cubicBezTo>
                              <a:cubicBezTo>
                                <a:pt x="1231265" y="2218690"/>
                                <a:pt x="1246505" y="2240915"/>
                                <a:pt x="1272540" y="2259965"/>
                              </a:cubicBezTo>
                              <a:cubicBezTo>
                                <a:pt x="1298575" y="2279015"/>
                                <a:pt x="1313815" y="2268855"/>
                                <a:pt x="1341755" y="2286000"/>
                              </a:cubicBezTo>
                              <a:cubicBezTo>
                                <a:pt x="1369695" y="2303145"/>
                                <a:pt x="1384935" y="2320925"/>
                                <a:pt x="1410970" y="2346960"/>
                              </a:cubicBezTo>
                              <a:cubicBezTo>
                                <a:pt x="1437005" y="2372995"/>
                                <a:pt x="1447800" y="2388235"/>
                                <a:pt x="1471930" y="2416175"/>
                              </a:cubicBezTo>
                              <a:cubicBezTo>
                                <a:pt x="1496060" y="2444115"/>
                                <a:pt x="1511300" y="2457450"/>
                                <a:pt x="1532255" y="2485390"/>
                              </a:cubicBezTo>
                              <a:cubicBezTo>
                                <a:pt x="1553210" y="2513330"/>
                                <a:pt x="1559560" y="2526665"/>
                                <a:pt x="1575435" y="2554605"/>
                              </a:cubicBezTo>
                              <a:cubicBezTo>
                                <a:pt x="1591310" y="2582545"/>
                                <a:pt x="1600200" y="2595880"/>
                                <a:pt x="1610360" y="2623820"/>
                              </a:cubicBezTo>
                              <a:cubicBezTo>
                                <a:pt x="1620520" y="2651760"/>
                                <a:pt x="1624330" y="2665095"/>
                                <a:pt x="1627505" y="2693035"/>
                              </a:cubicBezTo>
                              <a:cubicBezTo>
                                <a:pt x="1630680" y="2720975"/>
                                <a:pt x="1627505" y="2734310"/>
                                <a:pt x="1627505" y="2762250"/>
                              </a:cubicBezTo>
                              <a:cubicBezTo>
                                <a:pt x="1627505" y="2790190"/>
                                <a:pt x="1629410" y="2803525"/>
                                <a:pt x="1627505" y="2831465"/>
                              </a:cubicBezTo>
                              <a:cubicBezTo>
                                <a:pt x="1625600" y="2859405"/>
                                <a:pt x="1622425" y="2872740"/>
                                <a:pt x="1619250" y="2900680"/>
                              </a:cubicBezTo>
                              <a:cubicBezTo>
                                <a:pt x="1616075" y="2928620"/>
                                <a:pt x="1612265" y="2941955"/>
                                <a:pt x="1610360" y="2969895"/>
                              </a:cubicBezTo>
                              <a:cubicBezTo>
                                <a:pt x="1608455" y="2997835"/>
                                <a:pt x="1612265" y="3009900"/>
                                <a:pt x="1610360" y="3039110"/>
                              </a:cubicBezTo>
                              <a:cubicBezTo>
                                <a:pt x="1608455" y="3068320"/>
                                <a:pt x="1603375" y="3088005"/>
                                <a:pt x="1601470" y="3117215"/>
                              </a:cubicBezTo>
                              <a:cubicBezTo>
                                <a:pt x="1599565" y="3146425"/>
                                <a:pt x="1601470" y="3158490"/>
                                <a:pt x="1601470" y="3186430"/>
                              </a:cubicBezTo>
                              <a:cubicBezTo>
                                <a:pt x="1601470" y="3214370"/>
                                <a:pt x="1601470" y="3227705"/>
                                <a:pt x="1601470" y="3255645"/>
                              </a:cubicBezTo>
                              <a:cubicBezTo>
                                <a:pt x="1601470" y="3283585"/>
                                <a:pt x="1601470" y="3296920"/>
                                <a:pt x="1601470" y="3324860"/>
                              </a:cubicBezTo>
                              <a:cubicBezTo>
                                <a:pt x="1601470" y="3352800"/>
                                <a:pt x="1594485" y="3366770"/>
                                <a:pt x="1601470" y="3394710"/>
                              </a:cubicBezTo>
                              <a:cubicBezTo>
                                <a:pt x="1608455" y="3422650"/>
                                <a:pt x="1615440" y="3437890"/>
                                <a:pt x="1636395" y="3463925"/>
                              </a:cubicBezTo>
                              <a:cubicBezTo>
                                <a:pt x="1657350" y="3489960"/>
                                <a:pt x="1684655" y="3498215"/>
                                <a:pt x="1705610" y="3524250"/>
                              </a:cubicBezTo>
                              <a:cubicBezTo>
                                <a:pt x="1726565" y="3550285"/>
                                <a:pt x="1726565" y="3565525"/>
                                <a:pt x="1740535" y="3593465"/>
                              </a:cubicBezTo>
                              <a:cubicBezTo>
                                <a:pt x="1754505" y="3621405"/>
                                <a:pt x="1760855" y="3634740"/>
                                <a:pt x="1774825" y="3662680"/>
                              </a:cubicBezTo>
                              <a:cubicBezTo>
                                <a:pt x="1788795" y="3690620"/>
                                <a:pt x="1788795" y="3709035"/>
                                <a:pt x="1809750" y="3731895"/>
                              </a:cubicBezTo>
                              <a:cubicBezTo>
                                <a:pt x="1830705" y="3754755"/>
                                <a:pt x="1851025" y="3758565"/>
                                <a:pt x="1878965" y="3775710"/>
                              </a:cubicBezTo>
                              <a:cubicBezTo>
                                <a:pt x="1906905" y="3792855"/>
                                <a:pt x="1920240" y="3799840"/>
                                <a:pt x="1948180" y="3818890"/>
                              </a:cubicBezTo>
                              <a:cubicBezTo>
                                <a:pt x="1976120" y="3837940"/>
                                <a:pt x="1995170" y="3846830"/>
                                <a:pt x="2017395" y="3870960"/>
                              </a:cubicBezTo>
                              <a:cubicBezTo>
                                <a:pt x="2039620" y="3895090"/>
                                <a:pt x="2050415" y="3912235"/>
                                <a:pt x="2060575" y="3940175"/>
                              </a:cubicBezTo>
                              <a:cubicBezTo>
                                <a:pt x="2070735" y="3968115"/>
                                <a:pt x="2067560" y="3981450"/>
                                <a:pt x="2069465" y="4009390"/>
                              </a:cubicBezTo>
                              <a:cubicBezTo>
                                <a:pt x="2071370" y="4037330"/>
                                <a:pt x="2062480" y="4050665"/>
                                <a:pt x="2069465" y="4078605"/>
                              </a:cubicBezTo>
                              <a:cubicBezTo>
                                <a:pt x="2076450" y="4106545"/>
                                <a:pt x="2089785" y="4119880"/>
                                <a:pt x="2103755" y="4147820"/>
                              </a:cubicBezTo>
                              <a:cubicBezTo>
                                <a:pt x="2117725" y="4175760"/>
                                <a:pt x="2121535" y="4189095"/>
                                <a:pt x="2138680" y="4217035"/>
                              </a:cubicBezTo>
                              <a:cubicBezTo>
                                <a:pt x="2155825" y="4244975"/>
                                <a:pt x="2176780" y="4258310"/>
                                <a:pt x="2190750" y="4286250"/>
                              </a:cubicBezTo>
                              <a:cubicBezTo>
                                <a:pt x="2204720" y="4314190"/>
                                <a:pt x="2202815" y="4327525"/>
                                <a:pt x="2207895" y="4355465"/>
                              </a:cubicBezTo>
                              <a:cubicBezTo>
                                <a:pt x="2212975" y="4383405"/>
                                <a:pt x="2209800" y="4396740"/>
                                <a:pt x="2216785" y="4424680"/>
                              </a:cubicBezTo>
                              <a:cubicBezTo>
                                <a:pt x="2223770" y="4452620"/>
                                <a:pt x="2237105" y="4465955"/>
                                <a:pt x="2242185" y="4493895"/>
                              </a:cubicBezTo>
                              <a:cubicBezTo>
                                <a:pt x="2247265" y="4521835"/>
                                <a:pt x="2238375" y="4535170"/>
                                <a:pt x="2242185" y="4563110"/>
                              </a:cubicBezTo>
                              <a:cubicBezTo>
                                <a:pt x="2245995" y="4591050"/>
                                <a:pt x="2254885" y="4605020"/>
                                <a:pt x="2259965" y="4632960"/>
                              </a:cubicBezTo>
                              <a:cubicBezTo>
                                <a:pt x="2265045" y="4660900"/>
                                <a:pt x="2265045" y="4674235"/>
                                <a:pt x="2268220" y="4702175"/>
                              </a:cubicBezTo>
                              <a:cubicBezTo>
                                <a:pt x="2271395" y="4730115"/>
                                <a:pt x="2270125" y="4743450"/>
                                <a:pt x="2277110" y="4771390"/>
                              </a:cubicBezTo>
                              <a:cubicBezTo>
                                <a:pt x="2284095" y="4799330"/>
                                <a:pt x="2298065" y="4827905"/>
                                <a:pt x="2303145" y="484060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5pt;margin-top:26.85pt;height:381.15pt;width:181.35pt;z-index:251659264;mso-width-relative:page;mso-height-relative:page;" filled="f" stroked="t" coordsize="2303145,4840605" o:gfxdata="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" path="m0,0c13970,8890,55245,27940,69215,52070c83185,76200,64135,93345,69215,121285c74295,149225,85090,162560,95250,190500c105410,218440,113665,231775,120650,259715c127635,287655,127635,300990,129540,328930c131445,356870,129540,370205,129540,398145c129540,426085,126365,439420,129540,467360c132715,495300,139700,509270,146685,537210c153670,565150,157480,578485,164465,606425c171450,634365,176530,647700,181610,675640c186690,703580,185420,716915,190500,744855c195580,772795,202565,786130,207645,814070c212725,842010,208915,855345,215900,883285c222885,911225,231775,924560,241935,952500c252095,980440,257810,993775,267970,1021715c278130,1049655,283845,1062990,294005,1090930c304165,1118870,307975,1132205,320040,1160145c332105,1188085,339090,1201420,354965,1229360c370840,1257300,377190,1271270,398145,1299210c419100,1327150,432435,1351280,458470,1368425c484505,1385570,499745,1373505,527685,1385570c555625,1397635,568960,1409700,596900,1428750c624840,1447800,638810,1461770,666750,1480820c694690,1499870,708025,1501775,735965,1524000c763905,1546225,779145,1565275,805180,1593215c831215,1621155,839470,1638300,865505,1662430c891540,1686560,913765,1690370,934720,1714500c955675,1738630,950595,1755775,969645,1783715c988695,1811655,1003935,1826895,1029970,1852930c1056005,1878965,1075055,1887855,1099185,1913890c1123315,1939925,1137285,1955165,1151255,1983105c1165225,2011045,1163955,2024380,1169035,2052320c1174115,2080260,1168400,2093595,1177290,2121535c1186180,2149475,1193165,2162810,1212215,2190750c1231265,2218690,1246505,2240915,1272540,2259965c1298575,2279015,1313815,2268855,1341755,2286000c1369695,2303145,1384935,2320925,1410970,2346960c1437005,2372995,1447800,2388235,1471930,2416175c1496060,2444115,1511300,2457450,1532255,2485390c1553210,2513330,1559560,2526665,1575435,2554605c1591310,2582545,1600200,2595880,1610360,2623820c1620520,2651760,1624330,2665095,1627505,2693035c1630680,2720975,1627505,2734310,1627505,2762250c1627505,2790190,1629410,2803525,1627505,2831465c1625600,2859405,1622425,2872740,1619250,2900680c1616075,2928620,1612265,2941955,1610360,2969895c1608455,2997835,1612265,3009900,1610360,3039110c1608455,3068320,1603375,3088005,1601470,3117215c1599565,3146425,1601470,3158490,1601470,3186430c1601470,3214370,1601470,3227705,1601470,3255645c1601470,3283585,1601470,3296920,1601470,3324860c1601470,3352800,1594485,3366770,1601470,3394710c1608455,3422650,1615440,3437890,1636395,3463925c1657350,3489960,1684655,3498215,1705610,3524250c1726565,3550285,1726565,3565525,1740535,3593465c1754505,3621405,1760855,3634740,1774825,3662680c1788795,3690620,1788795,3709035,1809750,3731895c1830705,3754755,1851025,3758565,1878965,3775710c1906905,3792855,1920240,3799840,1948180,3818890c1976120,3837940,1995170,3846830,2017395,3870960c2039620,3895090,2050415,3912235,2060575,3940175c2070735,3968115,2067560,3981450,2069465,4009390c2071370,4037330,2062480,4050665,2069465,4078605c2076450,4106545,2089785,4119880,2103755,4147820c2117725,4175760,2121535,4189095,2138680,4217035c2155825,4244975,2176780,4258310,2190750,4286250c2204720,4314190,2202815,4327525,2207895,4355465c2212975,4383405,2209800,4396740,2216785,4424680c2223770,4452620,2237105,4465955,2242185,4493895c2247265,4521835,2238375,4535170,2242185,4563110c2245995,4591050,2254885,4605020,2259965,4632960c2265045,4660900,2265045,4674235,2268220,4702175c2271395,4730115,2270125,4743450,2277110,4771390c2284095,4799330,2298065,4827905,2303145,4840605e">
                <v:path o:connectlocs="0,0;69215,52070;69215,121285;95250,190500;120650,259715;129540,328930;129540,398145;129540,467360;146685,537210;164465,606425;181610,675640;190500,744855;207645,814070;215900,883285;241935,952500;267970,1021715;294005,1090930;320040,1160145;354965,1229360;398145,1299210;458470,1368425;527685,1385570;596900,1428750;666750,1480820;735965,1524000;805180,1593215;865505,1662430;934720,1714500;969645,1783715;1029970,1852930;1099185,1913890;1151255,1983105;1169035,2052320;1177290,2121535;1212215,2190750;1272540,2259965;1341755,2286000;1410970,2346960;1471930,2416175;1532255,2485390;1575435,2554605;1610360,2623820;1627505,2693035;1627505,2762250;1627505,2831465;1619250,2900680;1610360,2969895;1610360,3039110;1601470,3117215;1601470,3186430;1601470,3255645;1601470,3324860;1601470,3394710;1636395,3463925;1705610,3524250;1740535,3593465;1774825,3662680;1809750,3731895;1878965,3775710;1948180,3818890;2017395,3870960;2060575,3940175;2069465,4009390;2069465,4078605;2103755,4147820;2138680,4217035;2190750,4286250;2207895,4355465;2216785,4424680;2242185,4493895;2242185,4563110;2259965,4632960;2268220,4702175;2277110,4771390;2303145,4840605" o:connectangles="0,0,0,0,0,0,0,0,0,0,0,0,0,0,0,0,0,0,0,0,0,0,0,0,0,0,0,0,0,0,0,0,0,0,0,0,0,0,0,0,0,0,0,0,0,0,0,0,0,0,0,0,0,0,0,0,0,0,0,0,0,0,0,0,0,0,0,0,0,0,0,0,0,0,0"/>
                <v:fill on="f" focussize="0,0"/>
                <v:stroke weight="2pt" color="#FFFF00 [3204]" joinstyle="round"/>
                <v:imagedata o:title=""/>
                <o:lock v:ext="edit" aspectratio="f"/>
              </v:shape>
            </w:pict>
          </mc:Fallback>
        </mc:AlternateContent>
      </w:r>
      <w:r>
        <w:rPr>
          <w:rFonts w:hint="eastAsia" w:cs="Times New Roman"/>
          <w:color w:val="auto"/>
          <w:sz w:val="24"/>
          <w:szCs w:val="24"/>
          <w:lang w:val="en-US" w:eastAsia="zh-CN"/>
        </w:rPr>
        <w:drawing>
          <wp:inline distT="0" distB="0" distL="114300" distR="114300">
            <wp:extent cx="5328285" cy="5165090"/>
            <wp:effectExtent l="0" t="0" r="5715" b="16510"/>
            <wp:docPr id="1" name="图片 1" descr="环境风险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境风险保护目标"/>
                    <pic:cNvPicPr>
                      <a:picLocks noChangeAspect="1"/>
                    </pic:cNvPicPr>
                  </pic:nvPicPr>
                  <pic:blipFill>
                    <a:blip r:embed="rId6"/>
                    <a:srcRect l="12192" t="3583" r="16200" b="18548"/>
                    <a:stretch>
                      <a:fillRect/>
                    </a:stretch>
                  </pic:blipFill>
                  <pic:spPr>
                    <a:xfrm>
                      <a:off x="0" y="0"/>
                      <a:ext cx="5328285" cy="5165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图1  环境风险评价范围图</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ascii="Times New Roman" w:hAnsi="Times New Roman" w:eastAsia="宋体" w:cs="Times New Roman"/>
          <w:b/>
          <w:bCs/>
          <w:color w:val="auto"/>
          <w:sz w:val="24"/>
          <w:szCs w:val="24"/>
        </w:rPr>
      </w:pPr>
      <w:r>
        <w:rPr>
          <w:rFonts w:hint="eastAsia" w:cs="Times New Roman"/>
          <w:b/>
          <w:bCs/>
          <w:color w:val="auto"/>
          <w:kern w:val="0"/>
          <w:sz w:val="24"/>
          <w:szCs w:val="24"/>
          <w:lang w:val="en-US" w:eastAsia="zh-CN"/>
        </w:rPr>
        <w:t>三、</w:t>
      </w:r>
      <w:r>
        <w:rPr>
          <w:rFonts w:hint="eastAsia" w:ascii="Times New Roman" w:hAnsi="Times New Roman" w:eastAsia="宋体" w:cs="Times New Roman"/>
          <w:b/>
          <w:bCs/>
          <w:color w:val="auto"/>
          <w:kern w:val="0"/>
          <w:sz w:val="24"/>
          <w:szCs w:val="24"/>
          <w:lang w:val="en-GB"/>
        </w:rPr>
        <w:t>环境风险评价等级</w:t>
      </w:r>
      <w:r>
        <w:rPr>
          <w:rFonts w:hint="eastAsia" w:cs="Times New Roman"/>
          <w:b/>
          <w:bCs/>
          <w:color w:val="auto"/>
          <w:kern w:val="0"/>
          <w:sz w:val="24"/>
          <w:szCs w:val="24"/>
          <w:lang w:val="en-GB" w:eastAsia="zh-CN"/>
        </w:rPr>
        <w:t>、</w:t>
      </w:r>
      <w:r>
        <w:rPr>
          <w:rFonts w:hint="eastAsia" w:cs="Times New Roman"/>
          <w:b/>
          <w:bCs/>
          <w:color w:val="auto"/>
          <w:kern w:val="0"/>
          <w:sz w:val="24"/>
          <w:szCs w:val="24"/>
          <w:lang w:val="en-US" w:eastAsia="zh-CN"/>
        </w:rPr>
        <w:t>范围的确定</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1、危险物质及工艺系统危险性（P）的分级</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ascii="宋体" w:hAnsi="宋体" w:eastAsia="宋体" w:cs="宋体"/>
          <w:b w:val="0"/>
          <w:bCs w:val="0"/>
          <w:color w:val="auto"/>
          <w:sz w:val="24"/>
          <w:szCs w:val="24"/>
        </w:rPr>
        <w:t>①</w:t>
      </w:r>
      <w:r>
        <w:rPr>
          <w:rFonts w:ascii="Times New Roman" w:hAnsi="Times New Roman" w:eastAsia="宋体" w:cs="Times New Roman"/>
          <w:b w:val="0"/>
          <w:bCs w:val="0"/>
          <w:color w:val="auto"/>
          <w:sz w:val="24"/>
          <w:szCs w:val="24"/>
        </w:rPr>
        <w:t>危险物质数量与临界量比值（Q）</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根据《建设项目环境风险技术评价导则》（HJ</w:t>
      </w:r>
      <w:r>
        <w:rPr>
          <w:rFonts w:hint="eastAsia" w:cs="Times New Roman"/>
          <w:color w:val="auto"/>
          <w:sz w:val="24"/>
          <w:szCs w:val="24"/>
          <w:lang w:eastAsia="zh-CN"/>
        </w:rPr>
        <w:t>***</w:t>
      </w:r>
      <w:r>
        <w:rPr>
          <w:rFonts w:ascii="Times New Roman" w:hAnsi="Times New Roman" w:eastAsia="宋体" w:cs="Times New Roman"/>
          <w:color w:val="auto"/>
          <w:sz w:val="24"/>
          <w:szCs w:val="24"/>
        </w:rPr>
        <w:t>-2018）附录C中C.C.1危险物质数量与临界量比值Q的计算方法：</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color w:val="auto"/>
          <w:sz w:val="24"/>
          <w:szCs w:val="24"/>
        </w:rPr>
      </w:pPr>
      <w:r>
        <w:rPr>
          <w:rFonts w:ascii="Times New Roman" w:hAnsi="Times New Roman" w:eastAsia="宋体" w:cs="Times New Roman"/>
          <w:color w:val="auto"/>
          <w:sz w:val="24"/>
          <w:szCs w:val="24"/>
        </w:rPr>
        <w:t>计算所涉及的每种危险物质在</w:t>
      </w:r>
      <w:r>
        <w:rPr>
          <w:rFonts w:hint="eastAsia" w:ascii="Times New Roman" w:hAnsi="Times New Roman" w:eastAsia="宋体" w:cs="Times New Roman"/>
          <w:color w:val="auto"/>
          <w:sz w:val="24"/>
          <w:szCs w:val="24"/>
        </w:rPr>
        <w:t>厂界内的最大存在总量与其在附录</w:t>
      </w:r>
      <w:r>
        <w:rPr>
          <w:rFonts w:hint="eastAsia"/>
          <w:color w:val="auto"/>
          <w:sz w:val="24"/>
          <w:szCs w:val="24"/>
        </w:rPr>
        <w:t>B中对应临界量的比值Q。在不同厂区的同一种物质，按其在厂界内的最大存在总量计算。对于长输管线项目，按照两个截断阀室之间管段危险物质最大存在总量计算。</w:t>
      </w:r>
    </w:p>
    <w:p>
      <w:pPr>
        <w:keepNext w:val="0"/>
        <w:keepLines w:val="0"/>
        <w:pageBreakBefore w:val="0"/>
        <w:widowControl w:val="0"/>
        <w:kinsoku/>
        <w:wordWrap/>
        <w:overflowPunct/>
        <w:topLinePunct w:val="0"/>
        <w:bidi w:val="0"/>
        <w:adjustRightInd w:val="0"/>
        <w:snapToGrid w:val="0"/>
        <w:spacing w:line="480" w:lineRule="exact"/>
        <w:ind w:firstLine="482"/>
        <w:textAlignment w:val="auto"/>
        <w:rPr>
          <w:color w:val="auto"/>
          <w:sz w:val="24"/>
          <w:szCs w:val="24"/>
        </w:rPr>
      </w:pPr>
      <w:r>
        <w:rPr>
          <w:rFonts w:hint="eastAsia"/>
          <w:color w:val="auto"/>
          <w:sz w:val="24"/>
          <w:szCs w:val="24"/>
        </w:rPr>
        <w:t>当只涉及一种危险物质时，计算该物质的总量与其临界量比值，即为Q，当存在多种危险物质时，则按下式计算物质总量与其临界量比值（Q）：</w:t>
      </w:r>
    </w:p>
    <w:p>
      <w:pPr>
        <w:keepNext w:val="0"/>
        <w:keepLines w:val="0"/>
        <w:pageBreakBefore w:val="0"/>
        <w:widowControl w:val="0"/>
        <w:kinsoku/>
        <w:wordWrap/>
        <w:overflowPunct/>
        <w:topLinePunct w:val="0"/>
        <w:autoSpaceDE w:val="0"/>
        <w:autoSpaceDN w:val="0"/>
        <w:bidi w:val="0"/>
        <w:adjustRightInd w:val="0"/>
        <w:spacing w:line="480" w:lineRule="exact"/>
        <w:ind w:firstLine="482"/>
        <w:textAlignment w:val="auto"/>
        <w:rPr>
          <w:color w:val="auto"/>
          <w:kern w:val="0"/>
          <w:sz w:val="24"/>
          <w:szCs w:val="24"/>
        </w:rPr>
      </w:pPr>
      <w:r>
        <w:rPr>
          <w:color w:val="auto"/>
          <w:kern w:val="0"/>
          <w:sz w:val="24"/>
          <w:szCs w:val="24"/>
        </w:rPr>
        <w:t>Q=q1/Q1+q2/Q2+…+qn/Qn</w:t>
      </w:r>
    </w:p>
    <w:p>
      <w:pPr>
        <w:keepNext w:val="0"/>
        <w:keepLines w:val="0"/>
        <w:pageBreakBefore w:val="0"/>
        <w:widowControl w:val="0"/>
        <w:kinsoku/>
        <w:wordWrap/>
        <w:overflowPunct/>
        <w:topLinePunct w:val="0"/>
        <w:autoSpaceDE w:val="0"/>
        <w:autoSpaceDN w:val="0"/>
        <w:bidi w:val="0"/>
        <w:adjustRightInd w:val="0"/>
        <w:spacing w:line="480" w:lineRule="exact"/>
        <w:ind w:firstLine="482"/>
        <w:textAlignment w:val="auto"/>
        <w:rPr>
          <w:rFonts w:ascii="宋体" w:cs="宋体"/>
          <w:color w:val="auto"/>
          <w:kern w:val="0"/>
          <w:sz w:val="24"/>
          <w:szCs w:val="24"/>
        </w:rPr>
      </w:pPr>
      <w:r>
        <w:rPr>
          <w:color w:val="auto"/>
          <w:kern w:val="0"/>
          <w:sz w:val="24"/>
          <w:szCs w:val="24"/>
        </w:rPr>
        <w:t>q1</w:t>
      </w:r>
      <w:r>
        <w:rPr>
          <w:rFonts w:hint="eastAsia" w:ascii="宋体" w:cs="宋体"/>
          <w:color w:val="auto"/>
          <w:kern w:val="0"/>
          <w:sz w:val="24"/>
          <w:szCs w:val="24"/>
        </w:rPr>
        <w:t>、</w:t>
      </w:r>
      <w:r>
        <w:rPr>
          <w:color w:val="auto"/>
          <w:kern w:val="0"/>
          <w:sz w:val="24"/>
          <w:szCs w:val="24"/>
        </w:rPr>
        <w:t>q2……qn——</w:t>
      </w:r>
      <w:r>
        <w:rPr>
          <w:rFonts w:hint="eastAsia" w:ascii="宋体" w:cs="宋体"/>
          <w:color w:val="auto"/>
          <w:kern w:val="0"/>
          <w:sz w:val="24"/>
          <w:szCs w:val="24"/>
        </w:rPr>
        <w:t>每种危险物质的最大存在量，</w:t>
      </w:r>
      <w:r>
        <w:rPr>
          <w:color w:val="auto"/>
          <w:kern w:val="0"/>
          <w:sz w:val="24"/>
          <w:szCs w:val="24"/>
        </w:rPr>
        <w:t>t</w:t>
      </w:r>
      <w:r>
        <w:rPr>
          <w:rFonts w:hint="eastAsia" w:ascii="宋体" w:cs="宋体"/>
          <w:color w:val="auto"/>
          <w:kern w:val="0"/>
          <w:sz w:val="24"/>
          <w:szCs w:val="24"/>
        </w:rPr>
        <w:t>；</w:t>
      </w:r>
    </w:p>
    <w:p>
      <w:pPr>
        <w:keepNext w:val="0"/>
        <w:keepLines w:val="0"/>
        <w:pageBreakBefore w:val="0"/>
        <w:widowControl w:val="0"/>
        <w:kinsoku/>
        <w:wordWrap/>
        <w:overflowPunct/>
        <w:topLinePunct w:val="0"/>
        <w:autoSpaceDE w:val="0"/>
        <w:autoSpaceDN w:val="0"/>
        <w:bidi w:val="0"/>
        <w:adjustRightInd w:val="0"/>
        <w:spacing w:line="480" w:lineRule="exact"/>
        <w:ind w:firstLine="482"/>
        <w:textAlignment w:val="auto"/>
        <w:rPr>
          <w:rFonts w:ascii="宋体" w:cs="宋体"/>
          <w:color w:val="auto"/>
          <w:kern w:val="0"/>
          <w:sz w:val="24"/>
          <w:szCs w:val="24"/>
        </w:rPr>
      </w:pPr>
      <w:r>
        <w:rPr>
          <w:color w:val="auto"/>
          <w:kern w:val="0"/>
          <w:sz w:val="24"/>
          <w:szCs w:val="24"/>
        </w:rPr>
        <w:t>Q1</w:t>
      </w:r>
      <w:r>
        <w:rPr>
          <w:rFonts w:hint="eastAsia" w:ascii="宋体" w:cs="宋体"/>
          <w:color w:val="auto"/>
          <w:kern w:val="0"/>
          <w:sz w:val="24"/>
          <w:szCs w:val="24"/>
        </w:rPr>
        <w:t>、</w:t>
      </w:r>
      <w:r>
        <w:rPr>
          <w:color w:val="auto"/>
          <w:kern w:val="0"/>
          <w:sz w:val="24"/>
          <w:szCs w:val="24"/>
        </w:rPr>
        <w:t>Q2……Qn——</w:t>
      </w:r>
      <w:r>
        <w:rPr>
          <w:rFonts w:hint="eastAsia" w:ascii="宋体" w:cs="宋体"/>
          <w:color w:val="auto"/>
          <w:kern w:val="0"/>
          <w:sz w:val="24"/>
          <w:szCs w:val="24"/>
        </w:rPr>
        <w:t>每种物质的临界量，</w:t>
      </w:r>
      <w:r>
        <w:rPr>
          <w:color w:val="auto"/>
          <w:kern w:val="0"/>
          <w:sz w:val="24"/>
          <w:szCs w:val="24"/>
        </w:rPr>
        <w:t>t</w:t>
      </w:r>
      <w:r>
        <w:rPr>
          <w:rFonts w:hint="eastAsia" w:ascii="宋体" w:cs="宋体"/>
          <w:color w:val="auto"/>
          <w:kern w:val="0"/>
          <w:sz w:val="24"/>
          <w:szCs w:val="24"/>
        </w:rPr>
        <w:t>。</w:t>
      </w:r>
    </w:p>
    <w:p>
      <w:pPr>
        <w:keepNext w:val="0"/>
        <w:keepLines w:val="0"/>
        <w:pageBreakBefore w:val="0"/>
        <w:widowControl w:val="0"/>
        <w:kinsoku/>
        <w:wordWrap/>
        <w:overflowPunct/>
        <w:topLinePunct w:val="0"/>
        <w:bidi w:val="0"/>
        <w:adjustRightInd w:val="0"/>
        <w:snapToGrid w:val="0"/>
        <w:spacing w:line="480" w:lineRule="exact"/>
        <w:ind w:firstLine="482"/>
        <w:textAlignment w:val="auto"/>
        <w:rPr>
          <w:rFonts w:ascii="宋体" w:cs="宋体"/>
          <w:color w:val="auto"/>
          <w:kern w:val="0"/>
          <w:sz w:val="24"/>
          <w:szCs w:val="24"/>
        </w:rPr>
      </w:pPr>
      <w:r>
        <w:rPr>
          <w:rFonts w:hint="eastAsia" w:ascii="宋体" w:cs="宋体"/>
          <w:color w:val="auto"/>
          <w:kern w:val="0"/>
          <w:sz w:val="24"/>
          <w:szCs w:val="24"/>
        </w:rPr>
        <w:t>当</w:t>
      </w:r>
      <w:r>
        <w:rPr>
          <w:color w:val="auto"/>
          <w:kern w:val="0"/>
          <w:sz w:val="24"/>
          <w:szCs w:val="24"/>
        </w:rPr>
        <w:t>Q</w:t>
      </w:r>
      <w:r>
        <w:rPr>
          <w:rFonts w:hint="eastAsia" w:ascii="宋体" w:cs="宋体"/>
          <w:color w:val="auto"/>
          <w:kern w:val="0"/>
          <w:sz w:val="24"/>
          <w:szCs w:val="24"/>
        </w:rPr>
        <w:t>＜</w:t>
      </w:r>
      <w:r>
        <w:rPr>
          <w:color w:val="auto"/>
          <w:kern w:val="0"/>
          <w:sz w:val="24"/>
          <w:szCs w:val="24"/>
        </w:rPr>
        <w:t>1</w:t>
      </w:r>
      <w:r>
        <w:rPr>
          <w:rFonts w:hint="eastAsia" w:ascii="宋体" w:cs="宋体"/>
          <w:color w:val="auto"/>
          <w:kern w:val="0"/>
          <w:sz w:val="24"/>
          <w:szCs w:val="24"/>
        </w:rPr>
        <w:t>时，该项目环境风险潜势为</w:t>
      </w:r>
      <w:r>
        <w:rPr>
          <w:rFonts w:hint="default" w:ascii="Times New Roman" w:hAnsi="Times New Roman" w:cs="Times New Roman"/>
          <w:color w:val="auto"/>
          <w:kern w:val="0"/>
          <w:sz w:val="24"/>
          <w:szCs w:val="24"/>
        </w:rPr>
        <w:t>Ⅰ</w:t>
      </w:r>
      <w:r>
        <w:rPr>
          <w:rFonts w:hint="eastAsia" w:ascii="宋体" w:cs="宋体"/>
          <w:color w:val="auto"/>
          <w:kern w:val="0"/>
          <w:sz w:val="24"/>
          <w:szCs w:val="24"/>
        </w:rPr>
        <w:t>。</w:t>
      </w:r>
    </w:p>
    <w:p>
      <w:pPr>
        <w:pStyle w:val="41"/>
        <w:keepNext w:val="0"/>
        <w:keepLines w:val="0"/>
        <w:pageBreakBefore w:val="0"/>
        <w:widowControl w:val="0"/>
        <w:kinsoku/>
        <w:wordWrap/>
        <w:overflowPunct/>
        <w:topLinePunct w:val="0"/>
        <w:bidi w:val="0"/>
        <w:adjustRightInd w:val="0"/>
        <w:spacing w:line="480" w:lineRule="exact"/>
        <w:ind w:firstLine="482"/>
        <w:textAlignment w:val="auto"/>
        <w:rPr>
          <w:color w:val="auto"/>
          <w:sz w:val="24"/>
          <w:szCs w:val="24"/>
        </w:rPr>
      </w:pPr>
      <w:r>
        <w:rPr>
          <w:color w:val="auto"/>
          <w:sz w:val="24"/>
          <w:szCs w:val="24"/>
        </w:rPr>
        <w:t>当Q≥1时，将Q值划分为：（1）1≤Q＜10；（2）10≤Q＜100；（3）Q≥100。</w:t>
      </w:r>
    </w:p>
    <w:p>
      <w:pPr>
        <w:keepNext w:val="0"/>
        <w:keepLines w:val="0"/>
        <w:pageBreakBefore w:val="0"/>
        <w:widowControl w:val="0"/>
        <w:kinsoku/>
        <w:wordWrap/>
        <w:overflowPunct/>
        <w:topLinePunct w:val="0"/>
        <w:bidi w:val="0"/>
        <w:adjustRightInd w:val="0"/>
        <w:snapToGrid w:val="0"/>
        <w:spacing w:line="480" w:lineRule="exact"/>
        <w:ind w:firstLine="482"/>
        <w:textAlignment w:val="auto"/>
        <w:rPr>
          <w:rFonts w:hint="eastAsia" w:ascii="Times New Roman" w:hAnsi="Times New Roman" w:eastAsia="宋体" w:cs="Times New Roman"/>
          <w:color w:val="auto"/>
          <w:sz w:val="24"/>
          <w:szCs w:val="24"/>
        </w:rPr>
      </w:pPr>
      <w:r>
        <w:rPr>
          <w:rFonts w:hint="eastAsia" w:cs="Times New Roman"/>
          <w:color w:val="auto"/>
          <w:sz w:val="24"/>
          <w:szCs w:val="24"/>
          <w:lang w:val="en-US" w:eastAsia="zh-CN"/>
        </w:rPr>
        <w:t>根据危险物质识别，</w:t>
      </w:r>
      <w:r>
        <w:rPr>
          <w:rFonts w:hint="eastAsia" w:ascii="Times New Roman" w:hAnsi="Times New Roman" w:eastAsia="宋体" w:cs="Times New Roman"/>
          <w:color w:val="auto"/>
          <w:sz w:val="24"/>
          <w:szCs w:val="24"/>
        </w:rPr>
        <w:t>本项目风险物质涉及</w:t>
      </w:r>
      <w:r>
        <w:rPr>
          <w:rFonts w:hint="eastAsia" w:ascii="Times New Roman" w:hAnsi="Times New Roman" w:eastAsia="宋体" w:cs="Times New Roman"/>
          <w:color w:val="auto"/>
          <w:sz w:val="24"/>
          <w:szCs w:val="24"/>
          <w:lang w:eastAsia="zh-CN"/>
        </w:rPr>
        <w:t>氢氟酸、硝酸、稀硫酸、润滑油、废</w:t>
      </w:r>
      <w:r>
        <w:rPr>
          <w:rFonts w:hint="eastAsia" w:ascii="Times New Roman" w:hAnsi="Times New Roman" w:eastAsia="宋体" w:cs="Times New Roman"/>
          <w:color w:val="auto"/>
          <w:sz w:val="24"/>
          <w:szCs w:val="24"/>
          <w:lang w:val="en-US" w:eastAsia="zh-CN"/>
        </w:rPr>
        <w:t>润滑油</w:t>
      </w:r>
      <w:r>
        <w:rPr>
          <w:rFonts w:hint="eastAsia" w:ascii="Times New Roman" w:hAnsi="Times New Roman" w:eastAsia="宋体" w:cs="Times New Roman"/>
          <w:color w:val="auto"/>
          <w:sz w:val="24"/>
          <w:szCs w:val="24"/>
          <w:lang w:eastAsia="zh-CN"/>
        </w:rPr>
        <w:t>、氢气</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项目Q值确定</w:t>
      </w:r>
      <w:r>
        <w:rPr>
          <w:rFonts w:hint="eastAsia" w:ascii="Times New Roman" w:hAnsi="Times New Roman" w:eastAsia="宋体" w:cs="Times New Roman"/>
          <w:color w:val="auto"/>
          <w:sz w:val="24"/>
          <w:szCs w:val="24"/>
          <w:lang w:val="en-US" w:eastAsia="zh-CN"/>
        </w:rPr>
        <w:t>见下表</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lang w:val="en-US" w:eastAsia="zh-CN"/>
        </w:rPr>
        <w:t>危险化学品的临界量</w:t>
      </w:r>
    </w:p>
    <w:tbl>
      <w:tblPr>
        <w:tblStyle w:val="19"/>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1695"/>
        <w:gridCol w:w="1920"/>
        <w:gridCol w:w="2005"/>
        <w:gridCol w:w="1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b/>
                <w:bCs/>
                <w:color w:val="auto"/>
                <w:szCs w:val="21"/>
              </w:rPr>
            </w:pPr>
            <w:r>
              <w:rPr>
                <w:rFonts w:ascii="Times New Roman" w:hAnsi="Times New Roman" w:eastAsia="宋体"/>
                <w:b/>
                <w:bCs/>
                <w:color w:val="auto"/>
                <w:szCs w:val="21"/>
              </w:rPr>
              <w:t>序号</w:t>
            </w:r>
          </w:p>
        </w:tc>
        <w:tc>
          <w:tcPr>
            <w:tcW w:w="1018" w:type="pct"/>
            <w:tcBorders>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b/>
                <w:bCs/>
                <w:color w:val="auto"/>
                <w:szCs w:val="21"/>
              </w:rPr>
            </w:pPr>
            <w:r>
              <w:rPr>
                <w:rFonts w:ascii="Times New Roman" w:hAnsi="Times New Roman" w:eastAsia="宋体"/>
                <w:b/>
                <w:bCs/>
                <w:color w:val="auto"/>
                <w:szCs w:val="21"/>
              </w:rPr>
              <w:t>物质名称</w:t>
            </w:r>
          </w:p>
        </w:tc>
        <w:tc>
          <w:tcPr>
            <w:tcW w:w="1153" w:type="pct"/>
            <w:tcBorders>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cs="Times New Roman"/>
                <w:b/>
                <w:bCs/>
                <w:color w:val="auto"/>
                <w:kern w:val="2"/>
                <w:sz w:val="21"/>
                <w:szCs w:val="21"/>
                <w:lang w:val="en-US" w:eastAsia="zh-CN" w:bidi="ar-SA"/>
              </w:rPr>
            </w:pPr>
            <w:r>
              <w:rPr>
                <w:rFonts w:ascii="Times New Roman" w:hAnsi="Times New Roman" w:eastAsia="宋体"/>
                <w:b/>
                <w:bCs/>
                <w:color w:val="auto"/>
                <w:szCs w:val="21"/>
              </w:rPr>
              <w:t>存在量（t）</w:t>
            </w:r>
          </w:p>
        </w:tc>
        <w:tc>
          <w:tcPr>
            <w:tcW w:w="1204" w:type="pct"/>
            <w:tcBorders>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cs="Times New Roman"/>
                <w:b/>
                <w:bCs/>
                <w:color w:val="auto"/>
                <w:kern w:val="2"/>
                <w:sz w:val="21"/>
                <w:szCs w:val="21"/>
                <w:lang w:val="en-US" w:eastAsia="zh-CN" w:bidi="ar-SA"/>
              </w:rPr>
            </w:pPr>
            <w:r>
              <w:rPr>
                <w:rFonts w:ascii="Times New Roman" w:hAnsi="Times New Roman" w:eastAsia="宋体"/>
                <w:b/>
                <w:bCs/>
                <w:color w:val="auto"/>
                <w:szCs w:val="21"/>
              </w:rPr>
              <w:t>临界量（t）</w:t>
            </w:r>
          </w:p>
        </w:tc>
        <w:tc>
          <w:tcPr>
            <w:tcW w:w="1139" w:type="pct"/>
            <w:tcBorders>
              <w:left w:val="single" w:color="000000" w:sz="6" w:space="0"/>
              <w:bottom w:val="single" w:color="000000" w:sz="6" w:space="0"/>
            </w:tcBorders>
            <w:noWrap w:val="0"/>
            <w:vAlign w:val="center"/>
          </w:tcPr>
          <w:p>
            <w:pPr>
              <w:spacing w:line="240" w:lineRule="atLeast"/>
              <w:jc w:val="center"/>
              <w:textAlignment w:val="baseline"/>
              <w:rPr>
                <w:rFonts w:hint="default" w:ascii="Times New Roman" w:hAnsi="Times New Roman" w:eastAsia="宋体"/>
                <w:b/>
                <w:bCs/>
                <w:color w:val="auto"/>
                <w:szCs w:val="21"/>
                <w:lang w:val="en-US" w:eastAsia="zh-CN"/>
              </w:rPr>
            </w:pPr>
            <w:r>
              <w:rPr>
                <w:rFonts w:hint="eastAsia"/>
                <w:b/>
                <w:bCs/>
                <w:color w:val="auto"/>
                <w:szCs w:val="21"/>
                <w:lang w:val="en-US" w:eastAsia="zh-CN"/>
              </w:rPr>
              <w:t>Q</w:t>
            </w:r>
            <w:r>
              <w:rPr>
                <w:rFonts w:hint="eastAsia"/>
                <w:b/>
                <w:bCs/>
                <w:color w:val="auto"/>
                <w:szCs w:val="21"/>
                <w:vertAlign w:val="subscript"/>
                <w:lang w:val="en-US" w:eastAsia="zh-CN"/>
              </w:rPr>
              <w:t>i</w:t>
            </w:r>
            <w:r>
              <w:rPr>
                <w:rFonts w:hint="eastAsia"/>
                <w:b/>
                <w:bCs/>
                <w:color w:val="auto"/>
                <w:szCs w:val="21"/>
                <w:lang w:val="en-US" w:eastAsia="zh-CN"/>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color w:val="auto"/>
                <w:szCs w:val="21"/>
              </w:rPr>
            </w:pPr>
            <w:r>
              <w:rPr>
                <w:rFonts w:ascii="Times New Roman" w:hAnsi="Times New Roman" w:eastAsia="宋体"/>
                <w:color w:val="auto"/>
                <w:szCs w:val="21"/>
              </w:rPr>
              <w:t>1</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氢氟酸</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24</w:t>
            </w:r>
          </w:p>
        </w:tc>
        <w:tc>
          <w:tcPr>
            <w:tcW w:w="200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Cs w:val="21"/>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硝酸</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84</w:t>
            </w:r>
          </w:p>
        </w:tc>
        <w:tc>
          <w:tcPr>
            <w:tcW w:w="200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Cs w:val="21"/>
                <w:lang w:val="en-US" w:eastAsia="zh-CN"/>
              </w:rPr>
            </w:pPr>
            <w:r>
              <w:rPr>
                <w:rFonts w:hint="default" w:ascii="Times New Roman" w:hAnsi="Times New Roman" w:cs="Times New Roman"/>
                <w:b w:val="0"/>
                <w:bCs w:val="0"/>
                <w:color w:val="auto"/>
                <w:sz w:val="21"/>
                <w:szCs w:val="21"/>
                <w:vertAlign w:val="baseline"/>
                <w:lang w:val="en-US" w:eastAsia="zh-CN"/>
              </w:rPr>
              <w:t>7.5</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3</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硫酸</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ascii="Times New Roman" w:hAnsi="Times New Roman" w:eastAsia="宋体"/>
                <w:color w:val="auto"/>
                <w:szCs w:val="21"/>
                <w:lang w:val="en-US" w:eastAsia="zh-CN"/>
              </w:rPr>
            </w:pPr>
            <w:r>
              <w:rPr>
                <w:rFonts w:hint="eastAsia"/>
                <w:color w:val="auto"/>
                <w:szCs w:val="21"/>
                <w:lang w:val="en-US" w:eastAsia="zh-CN"/>
              </w:rPr>
              <w:t>30</w:t>
            </w:r>
          </w:p>
        </w:tc>
        <w:tc>
          <w:tcPr>
            <w:tcW w:w="200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Cs w:val="21"/>
                <w:lang w:val="en-US" w:eastAsia="zh-CN"/>
              </w:rPr>
            </w:pPr>
            <w:r>
              <w:rPr>
                <w:rFonts w:hint="default" w:ascii="Times New Roman" w:hAnsi="Times New Roman" w:cs="Times New Roman"/>
                <w:b w:val="0"/>
                <w:bCs w:val="0"/>
                <w:color w:val="auto"/>
                <w:sz w:val="21"/>
                <w:szCs w:val="21"/>
                <w:vertAlign w:val="baseline"/>
                <w:lang w:val="en-US" w:eastAsia="zh-CN"/>
              </w:rPr>
              <w:t>10</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4</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润滑油</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18</w:t>
            </w:r>
          </w:p>
        </w:tc>
        <w:tc>
          <w:tcPr>
            <w:tcW w:w="1204"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eastAsia"/>
                <w:color w:val="auto"/>
                <w:szCs w:val="21"/>
                <w:lang w:val="en-US" w:eastAsia="zh-CN"/>
              </w:rPr>
            </w:pPr>
            <w:r>
              <w:rPr>
                <w:rFonts w:hint="eastAsia"/>
                <w:color w:val="auto"/>
                <w:szCs w:val="21"/>
                <w:lang w:val="en-US" w:eastAsia="zh-CN"/>
              </w:rPr>
              <w:t>2500</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5</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废润滑油</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16.2</w:t>
            </w:r>
          </w:p>
        </w:tc>
        <w:tc>
          <w:tcPr>
            <w:tcW w:w="1204"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eastAsia"/>
                <w:color w:val="auto"/>
                <w:szCs w:val="21"/>
                <w:lang w:val="en-US" w:eastAsia="zh-CN"/>
              </w:rPr>
            </w:pPr>
            <w:r>
              <w:rPr>
                <w:rFonts w:hint="eastAsia"/>
                <w:color w:val="auto"/>
                <w:szCs w:val="21"/>
                <w:lang w:val="en-US" w:eastAsia="zh-CN"/>
              </w:rPr>
              <w:t>2500</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83" w:type="pct"/>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6</w:t>
            </w:r>
          </w:p>
        </w:tc>
        <w:tc>
          <w:tcPr>
            <w:tcW w:w="1018"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氢气</w:t>
            </w:r>
          </w:p>
        </w:tc>
        <w:tc>
          <w:tcPr>
            <w:tcW w:w="1153"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default"/>
                <w:color w:val="auto"/>
                <w:szCs w:val="21"/>
                <w:lang w:val="en-US" w:eastAsia="zh-CN"/>
              </w:rPr>
            </w:pPr>
            <w:r>
              <w:rPr>
                <w:rFonts w:hint="eastAsia"/>
                <w:color w:val="auto"/>
                <w:szCs w:val="21"/>
                <w:lang w:val="en-US" w:eastAsia="zh-CN"/>
              </w:rPr>
              <w:t>1.92</w:t>
            </w:r>
          </w:p>
        </w:tc>
        <w:tc>
          <w:tcPr>
            <w:tcW w:w="1204" w:type="pct"/>
            <w:tcBorders>
              <w:top w:val="single" w:color="000000" w:sz="6" w:space="0"/>
              <w:left w:val="single" w:color="000000" w:sz="6" w:space="0"/>
              <w:bottom w:val="single" w:color="000000" w:sz="6" w:space="0"/>
              <w:right w:val="single" w:color="000000" w:sz="6" w:space="0"/>
            </w:tcBorders>
            <w:noWrap w:val="0"/>
            <w:vAlign w:val="center"/>
          </w:tcPr>
          <w:p>
            <w:pPr>
              <w:spacing w:line="240" w:lineRule="atLeast"/>
              <w:jc w:val="center"/>
              <w:textAlignment w:val="baseline"/>
              <w:rPr>
                <w:rFonts w:hint="eastAsia"/>
                <w:color w:val="auto"/>
                <w:szCs w:val="21"/>
                <w:lang w:val="en-US" w:eastAsia="zh-CN"/>
              </w:rPr>
            </w:pPr>
            <w:r>
              <w:rPr>
                <w:rFonts w:hint="eastAsia"/>
                <w:color w:val="auto"/>
                <w:szCs w:val="21"/>
                <w:lang w:val="en-US" w:eastAsia="zh-CN"/>
              </w:rPr>
              <w:t>10</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860" w:type="pct"/>
            <w:gridSpan w:val="4"/>
            <w:tcBorders>
              <w:top w:val="single" w:color="000000" w:sz="6" w:space="0"/>
              <w:bottom w:val="single" w:color="000000" w:sz="6" w:space="0"/>
              <w:right w:val="single" w:color="000000" w:sz="6" w:space="0"/>
            </w:tcBorders>
            <w:noWrap w:val="0"/>
            <w:vAlign w:val="center"/>
          </w:tcPr>
          <w:p>
            <w:pPr>
              <w:spacing w:line="240" w:lineRule="atLeast"/>
              <w:jc w:val="center"/>
              <w:textAlignment w:val="baseline"/>
              <w:rPr>
                <w:rFonts w:ascii="Times New Roman" w:hAnsi="Times New Roman" w:eastAsia="宋体"/>
                <w:color w:val="auto"/>
                <w:szCs w:val="21"/>
              </w:rPr>
            </w:pPr>
            <w:r>
              <w:rPr>
                <w:rFonts w:ascii="Times New Roman" w:hAnsi="Times New Roman" w:eastAsia="宋体"/>
                <w:color w:val="auto"/>
                <w:szCs w:val="21"/>
              </w:rPr>
              <w:t>项目Q值</w:t>
            </w:r>
          </w:p>
        </w:tc>
        <w:tc>
          <w:tcPr>
            <w:tcW w:w="1897" w:type="dxa"/>
            <w:tcBorders>
              <w:top w:val="single" w:color="000000" w:sz="6" w:space="0"/>
              <w:left w:val="single" w:color="000000" w:sz="6" w:space="0"/>
              <w:bottom w:val="single" w:color="000000" w:sz="6"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38.40</w:t>
            </w:r>
            <w:r>
              <w:rPr>
                <w:rFonts w:hint="eastAsia" w:ascii="Times New Roman" w:hAnsi="Times New Roman" w:cs="Times New Roman"/>
                <w:i w:val="0"/>
                <w:iCs w:val="0"/>
                <w:color w:val="000000"/>
                <w:kern w:val="0"/>
                <w:sz w:val="22"/>
                <w:szCs w:val="22"/>
                <w:u w:val="none"/>
                <w:lang w:val="en-US" w:eastAsia="zh-CN" w:bidi="ar"/>
              </w:rPr>
              <w:t>7</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firstLine="482"/>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由上表可知，Q比值为</w:t>
      </w:r>
      <w:r>
        <w:rPr>
          <w:rFonts w:hint="eastAsia" w:cs="Times New Roman"/>
          <w:color w:val="auto"/>
          <w:kern w:val="0"/>
          <w:sz w:val="24"/>
          <w:szCs w:val="24"/>
          <w:lang w:val="en-US" w:eastAsia="zh-CN"/>
        </w:rPr>
        <w:t>38.407</w:t>
      </w:r>
      <w:r>
        <w:rPr>
          <w:rFonts w:hint="eastAsia" w:ascii="Times New Roman" w:hAnsi="Times New Roman" w:eastAsia="宋体" w:cs="Times New Roman"/>
          <w:color w:val="auto"/>
          <w:kern w:val="0"/>
          <w:sz w:val="24"/>
          <w:szCs w:val="24"/>
        </w:rPr>
        <w:t>，因此本项目</w:t>
      </w:r>
      <w:r>
        <w:rPr>
          <w:color w:val="auto"/>
          <w:sz w:val="24"/>
          <w:szCs w:val="24"/>
        </w:rPr>
        <w:t>10≤Q＜100</w:t>
      </w:r>
      <w:r>
        <w:rPr>
          <w:rFonts w:hint="eastAsia"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b/>
          <w:bCs/>
          <w:color w:val="auto"/>
          <w:sz w:val="24"/>
          <w:szCs w:val="24"/>
        </w:rPr>
      </w:pPr>
      <w:r>
        <w:rPr>
          <w:rFonts w:hint="eastAsia" w:ascii="宋体" w:hAnsi="宋体" w:eastAsia="宋体" w:cs="宋体"/>
          <w:b/>
          <w:bCs/>
          <w:color w:val="auto"/>
          <w:sz w:val="24"/>
          <w:szCs w:val="24"/>
          <w:lang w:val="en-US" w:eastAsia="zh-CN"/>
        </w:rPr>
        <w:t>②</w:t>
      </w:r>
      <w:r>
        <w:rPr>
          <w:b/>
          <w:bCs/>
          <w:color w:val="auto"/>
          <w:sz w:val="24"/>
          <w:szCs w:val="24"/>
        </w:rPr>
        <w:t>行业及生产工艺（M）</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分析项目所属行业及生产工艺特点，按照表6评估生产工艺情况。具有多套工艺单元的项目，对每套生产工艺分别评分并求和。将M划分为⑴M＞20；⑵10＜M≤20；⑶5＜M≤10；⑷M=5，分别以M1、M2、M3、M4表示。</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6</w:t>
      </w:r>
      <w:r>
        <w:rPr>
          <w:rFonts w:hint="eastAsia" w:ascii="Times New Roman" w:hAnsi="Times New Roman" w:eastAsia="宋体" w:cs="Times New Roman"/>
          <w:b/>
          <w:bCs w:val="0"/>
          <w:color w:val="auto"/>
          <w:sz w:val="24"/>
          <w:szCs w:val="24"/>
          <w:lang w:val="en-US" w:eastAsia="zh-CN"/>
        </w:rPr>
        <w:t xml:space="preserve">  行业及生产工艺</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5493"/>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
                <w:szCs w:val="21"/>
              </w:rPr>
            </w:pPr>
            <w:r>
              <w:rPr>
                <w:b/>
                <w:szCs w:val="21"/>
              </w:rPr>
              <w:t>行业</w:t>
            </w:r>
          </w:p>
        </w:tc>
        <w:tc>
          <w:tcPr>
            <w:tcW w:w="32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
                <w:szCs w:val="21"/>
              </w:rPr>
            </w:pPr>
            <w:r>
              <w:rPr>
                <w:b/>
                <w:szCs w:val="21"/>
              </w:rPr>
              <w:t>评估依据</w:t>
            </w: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b/>
                <w:szCs w:val="21"/>
              </w:rPr>
            </w:pPr>
            <w:r>
              <w:rPr>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vMerge w:val="restar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r>
              <w:rPr>
                <w:szCs w:val="21"/>
              </w:rPr>
              <w:t>石化、化工、医药、轻工、化纤、有色冶炼等</w:t>
            </w: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vMerge w:val="continue"/>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无机酸制酸工艺、焦化工艺</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vMerge w:val="continue"/>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其他高温或高压、且涉及危险物质的工艺过程</w:t>
            </w:r>
            <w:r>
              <w:rPr>
                <w:bCs/>
                <w:szCs w:val="21"/>
                <w:vertAlign w:val="superscript"/>
              </w:rPr>
              <w:t>a</w:t>
            </w:r>
            <w:r>
              <w:rPr>
                <w:bCs/>
                <w:szCs w:val="21"/>
              </w:rPr>
              <w:t>、危险物质贮存罐区</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r>
              <w:rPr>
                <w:szCs w:val="21"/>
              </w:rPr>
              <w:t>管道、港口/码头等</w:t>
            </w: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涉及危险物质管道运输项目、港口/码头等</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r>
              <w:rPr>
                <w:szCs w:val="21"/>
              </w:rPr>
              <w:t>石油天然气</w:t>
            </w: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石油、天然气、页岩气开采（含净化），气库（不含加气站的气库），油库（不含加气站的油库）、油气管线</w:t>
            </w:r>
            <w:r>
              <w:rPr>
                <w:bCs/>
                <w:szCs w:val="21"/>
                <w:vertAlign w:val="superscript"/>
              </w:rPr>
              <w:t>b</w:t>
            </w:r>
            <w:r>
              <w:rPr>
                <w:bCs/>
                <w:szCs w:val="21"/>
              </w:rPr>
              <w:t>（不含城镇燃气管线）</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9"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szCs w:val="21"/>
              </w:rPr>
            </w:pPr>
            <w:r>
              <w:rPr>
                <w:szCs w:val="21"/>
              </w:rPr>
              <w:t>其他</w:t>
            </w:r>
          </w:p>
        </w:tc>
        <w:tc>
          <w:tcPr>
            <w:tcW w:w="3223"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涉及危险物质使用、贮存的项目</w:t>
            </w:r>
          </w:p>
        </w:tc>
        <w:tc>
          <w:tcPr>
            <w:tcW w:w="498" w:type="pct"/>
            <w:noWrap w:val="0"/>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3"/>
            <w:noWrap w:val="0"/>
            <w:vAlign w:val="center"/>
          </w:tcPr>
          <w:p>
            <w:pPr>
              <w:keepNext w:val="0"/>
              <w:keepLines w:val="0"/>
              <w:pageBreakBefore w:val="0"/>
              <w:widowControl w:val="0"/>
              <w:kinsoku/>
              <w:wordWrap/>
              <w:overflowPunct/>
              <w:topLinePunct w:val="0"/>
              <w:autoSpaceDE/>
              <w:autoSpaceDN/>
              <w:bidi w:val="0"/>
              <w:spacing w:line="240" w:lineRule="atLeast"/>
              <w:jc w:val="both"/>
              <w:textAlignment w:val="auto"/>
              <w:rPr>
                <w:bCs/>
                <w:szCs w:val="21"/>
              </w:rPr>
            </w:pPr>
            <w:r>
              <w:rPr>
                <w:bCs/>
                <w:szCs w:val="21"/>
              </w:rPr>
              <w:t>a高温指工艺温度≥30</w:t>
            </w:r>
            <w:r>
              <w:rPr>
                <w:rFonts w:hint="eastAsia" w:ascii="宋体" w:hAnsi="宋体" w:cs="宋体"/>
                <w:bCs/>
                <w:szCs w:val="21"/>
              </w:rPr>
              <w:t>℃</w:t>
            </w:r>
            <w:r>
              <w:rPr>
                <w:bCs/>
                <w:szCs w:val="21"/>
              </w:rPr>
              <w:t>，高压指压力容器的设计压力（P）≥10.0MPa；</w:t>
            </w:r>
          </w:p>
          <w:p>
            <w:pPr>
              <w:keepNext w:val="0"/>
              <w:keepLines w:val="0"/>
              <w:pageBreakBefore w:val="0"/>
              <w:widowControl w:val="0"/>
              <w:kinsoku/>
              <w:wordWrap/>
              <w:overflowPunct/>
              <w:topLinePunct w:val="0"/>
              <w:autoSpaceDE/>
              <w:autoSpaceDN/>
              <w:bidi w:val="0"/>
              <w:spacing w:line="240" w:lineRule="atLeast"/>
              <w:jc w:val="both"/>
              <w:textAlignment w:val="auto"/>
              <w:rPr>
                <w:bCs/>
                <w:szCs w:val="21"/>
              </w:rPr>
            </w:pPr>
            <w:r>
              <w:rPr>
                <w:bCs/>
                <w:szCs w:val="21"/>
              </w:rPr>
              <w:t>b长输管道运输项目应按站场、管线分段进行评价</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本项目行业属于其他，以M4表示。</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根据危险物质数量与临界量比值（Q）和行业及生产工艺（M），按照下表确定危险物质及生产工艺危险性等级（P），分别以P1、P2、P3、P4表示。</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7</w:t>
      </w:r>
      <w:r>
        <w:rPr>
          <w:rFonts w:hint="eastAsia" w:ascii="Times New Roman" w:hAnsi="Times New Roman" w:eastAsia="宋体" w:cs="Times New Roman"/>
          <w:b/>
          <w:bCs w:val="0"/>
          <w:color w:val="auto"/>
          <w:sz w:val="24"/>
          <w:szCs w:val="24"/>
          <w:lang w:val="en-US" w:eastAsia="zh-CN"/>
        </w:rPr>
        <w:t xml:space="preserve">  危险物质及工艺系统危险性登记判断（P）</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618"/>
        <w:gridCol w:w="1457"/>
        <w:gridCol w:w="185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23" w:type="pct"/>
            <w:vMerge w:val="restart"/>
            <w:noWrap w:val="0"/>
            <w:vAlign w:val="center"/>
          </w:tcPr>
          <w:p>
            <w:pPr>
              <w:pStyle w:val="18"/>
              <w:spacing w:after="0" w:line="240" w:lineRule="exact"/>
              <w:ind w:left="0" w:leftChars="0" w:firstLine="0" w:firstLineChars="0"/>
              <w:jc w:val="center"/>
              <w:rPr>
                <w:szCs w:val="21"/>
              </w:rPr>
            </w:pPr>
            <w:r>
              <w:rPr>
                <w:rFonts w:hint="eastAsia"/>
                <w:szCs w:val="21"/>
              </w:rPr>
              <w:t>危险物质数量与临界量比值（Q）</w:t>
            </w:r>
          </w:p>
        </w:tc>
        <w:tc>
          <w:tcPr>
            <w:tcW w:w="3777" w:type="pct"/>
            <w:gridSpan w:val="4"/>
            <w:noWrap w:val="0"/>
            <w:vAlign w:val="center"/>
          </w:tcPr>
          <w:p>
            <w:pPr>
              <w:pStyle w:val="18"/>
              <w:spacing w:after="0" w:line="240" w:lineRule="exact"/>
              <w:jc w:val="center"/>
              <w:rPr>
                <w:szCs w:val="21"/>
              </w:rPr>
            </w:pPr>
            <w:r>
              <w:rPr>
                <w:rFonts w:hint="eastAsia"/>
                <w:szCs w:val="21"/>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23" w:type="pct"/>
            <w:vMerge w:val="continue"/>
            <w:noWrap w:val="0"/>
            <w:vAlign w:val="center"/>
          </w:tcPr>
          <w:p>
            <w:pPr>
              <w:pStyle w:val="18"/>
              <w:spacing w:after="0" w:line="240" w:lineRule="exact"/>
              <w:ind w:left="0" w:leftChars="0" w:firstLine="0" w:firstLineChars="0"/>
              <w:jc w:val="center"/>
              <w:rPr>
                <w:szCs w:val="21"/>
              </w:rPr>
            </w:pPr>
          </w:p>
        </w:tc>
        <w:tc>
          <w:tcPr>
            <w:tcW w:w="949" w:type="pct"/>
            <w:noWrap w:val="0"/>
            <w:vAlign w:val="center"/>
          </w:tcPr>
          <w:p>
            <w:pPr>
              <w:pStyle w:val="18"/>
              <w:spacing w:after="0" w:line="240" w:lineRule="exact"/>
              <w:ind w:left="0" w:leftChars="0" w:firstLine="0" w:firstLineChars="0"/>
              <w:jc w:val="center"/>
              <w:rPr>
                <w:szCs w:val="21"/>
              </w:rPr>
            </w:pPr>
            <w:r>
              <w:rPr>
                <w:rFonts w:hint="eastAsia"/>
                <w:szCs w:val="21"/>
              </w:rPr>
              <w:t>M1</w:t>
            </w:r>
          </w:p>
        </w:tc>
        <w:tc>
          <w:tcPr>
            <w:tcW w:w="855" w:type="pct"/>
            <w:noWrap w:val="0"/>
            <w:vAlign w:val="center"/>
          </w:tcPr>
          <w:p>
            <w:pPr>
              <w:pStyle w:val="18"/>
              <w:spacing w:after="0" w:line="240" w:lineRule="exact"/>
              <w:ind w:left="0" w:leftChars="0" w:firstLine="0" w:firstLineChars="0"/>
              <w:jc w:val="center"/>
              <w:rPr>
                <w:szCs w:val="21"/>
              </w:rPr>
            </w:pPr>
            <w:r>
              <w:rPr>
                <w:rFonts w:hint="eastAsia"/>
                <w:szCs w:val="21"/>
              </w:rPr>
              <w:t>M2</w:t>
            </w:r>
          </w:p>
        </w:tc>
        <w:tc>
          <w:tcPr>
            <w:tcW w:w="1086" w:type="pct"/>
            <w:noWrap w:val="0"/>
            <w:vAlign w:val="center"/>
          </w:tcPr>
          <w:p>
            <w:pPr>
              <w:pStyle w:val="18"/>
              <w:spacing w:after="0" w:line="240" w:lineRule="exact"/>
              <w:ind w:left="0" w:leftChars="0" w:firstLine="0" w:firstLineChars="0"/>
              <w:jc w:val="center"/>
              <w:rPr>
                <w:szCs w:val="21"/>
              </w:rPr>
            </w:pPr>
            <w:r>
              <w:rPr>
                <w:rFonts w:hint="eastAsia"/>
                <w:szCs w:val="21"/>
              </w:rPr>
              <w:t>M3</w:t>
            </w:r>
          </w:p>
        </w:tc>
        <w:tc>
          <w:tcPr>
            <w:tcW w:w="887" w:type="pct"/>
            <w:noWrap w:val="0"/>
            <w:vAlign w:val="center"/>
          </w:tcPr>
          <w:p>
            <w:pPr>
              <w:pStyle w:val="18"/>
              <w:spacing w:after="0" w:line="240" w:lineRule="exact"/>
              <w:ind w:left="0" w:leftChars="0" w:firstLine="0" w:firstLineChars="0"/>
              <w:jc w:val="center"/>
              <w:rPr>
                <w:szCs w:val="21"/>
              </w:rPr>
            </w:pPr>
            <w:r>
              <w:rPr>
                <w:rFonts w:hint="eastAsia"/>
                <w:szCs w:val="21"/>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23" w:type="pct"/>
            <w:noWrap w:val="0"/>
            <w:vAlign w:val="center"/>
          </w:tcPr>
          <w:p>
            <w:pPr>
              <w:pStyle w:val="18"/>
              <w:spacing w:after="0" w:line="240" w:lineRule="exact"/>
              <w:ind w:left="0" w:leftChars="0" w:firstLine="0" w:firstLineChars="0"/>
              <w:jc w:val="center"/>
              <w:rPr>
                <w:szCs w:val="21"/>
              </w:rPr>
            </w:pPr>
            <w:r>
              <w:rPr>
                <w:rFonts w:hint="eastAsia"/>
                <w:szCs w:val="21"/>
              </w:rPr>
              <w:t>Q≥100</w:t>
            </w:r>
          </w:p>
        </w:tc>
        <w:tc>
          <w:tcPr>
            <w:tcW w:w="949"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rPr>
              <w:t>P1</w:t>
            </w:r>
          </w:p>
        </w:tc>
        <w:tc>
          <w:tcPr>
            <w:tcW w:w="855"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rPr>
            </w:pPr>
            <w:r>
              <w:rPr>
                <w:rFonts w:hint="eastAsia" w:ascii="Times New Roman" w:hAnsi="Times New Roman" w:eastAsia="宋体" w:cs="Times New Roman"/>
                <w:szCs w:val="21"/>
              </w:rPr>
              <w:t>P1</w:t>
            </w:r>
          </w:p>
        </w:tc>
        <w:tc>
          <w:tcPr>
            <w:tcW w:w="1086" w:type="pct"/>
            <w:noWrap w:val="0"/>
            <w:vAlign w:val="center"/>
          </w:tcPr>
          <w:p>
            <w:pPr>
              <w:pStyle w:val="18"/>
              <w:spacing w:after="0" w:line="240" w:lineRule="exact"/>
              <w:ind w:left="0" w:leftChars="0" w:firstLine="0" w:firstLineChars="0"/>
              <w:jc w:val="center"/>
              <w:rPr>
                <w:szCs w:val="21"/>
              </w:rPr>
            </w:pPr>
            <w:r>
              <w:rPr>
                <w:rFonts w:hint="eastAsia"/>
                <w:color w:val="000000"/>
                <w:szCs w:val="21"/>
              </w:rPr>
              <w:t>P2</w:t>
            </w:r>
          </w:p>
        </w:tc>
        <w:tc>
          <w:tcPr>
            <w:tcW w:w="887" w:type="pct"/>
            <w:noWrap w:val="0"/>
            <w:vAlign w:val="center"/>
          </w:tcPr>
          <w:p>
            <w:pPr>
              <w:pStyle w:val="18"/>
              <w:spacing w:after="0" w:line="240" w:lineRule="exact"/>
              <w:ind w:left="0" w:leftChars="0" w:firstLine="0" w:firstLineChars="0"/>
              <w:jc w:val="center"/>
              <w:rPr>
                <w:szCs w:val="21"/>
              </w:rPr>
            </w:pPr>
            <w:r>
              <w:rPr>
                <w:rFonts w:hint="eastAsia"/>
                <w:color w:val="000000"/>
                <w:szCs w:val="21"/>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23"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10≤Q＜100</w:t>
            </w:r>
          </w:p>
        </w:tc>
        <w:tc>
          <w:tcPr>
            <w:tcW w:w="949"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P1</w:t>
            </w:r>
          </w:p>
        </w:tc>
        <w:tc>
          <w:tcPr>
            <w:tcW w:w="855"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P2</w:t>
            </w:r>
          </w:p>
        </w:tc>
        <w:tc>
          <w:tcPr>
            <w:tcW w:w="1086"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P3</w:t>
            </w:r>
          </w:p>
        </w:tc>
        <w:tc>
          <w:tcPr>
            <w:tcW w:w="887"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23"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1≤Q＜10</w:t>
            </w:r>
          </w:p>
        </w:tc>
        <w:tc>
          <w:tcPr>
            <w:tcW w:w="949"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P2</w:t>
            </w:r>
          </w:p>
        </w:tc>
        <w:tc>
          <w:tcPr>
            <w:tcW w:w="855" w:type="pct"/>
            <w:noWrap w:val="0"/>
            <w:vAlign w:val="center"/>
          </w:tcPr>
          <w:p>
            <w:pPr>
              <w:pStyle w:val="18"/>
              <w:spacing w:after="0" w:line="240" w:lineRule="exact"/>
              <w:ind w:left="0" w:leftChars="0" w:firstLine="0" w:firstLineChars="0"/>
              <w:jc w:val="center"/>
              <w:rPr>
                <w:rFonts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P3</w:t>
            </w:r>
          </w:p>
        </w:tc>
        <w:tc>
          <w:tcPr>
            <w:tcW w:w="1086"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P4</w:t>
            </w:r>
          </w:p>
        </w:tc>
        <w:tc>
          <w:tcPr>
            <w:tcW w:w="887" w:type="pct"/>
            <w:noWrap w:val="0"/>
            <w:vAlign w:val="center"/>
          </w:tcPr>
          <w:p>
            <w:pPr>
              <w:pStyle w:val="37"/>
              <w:widowControl w:val="0"/>
              <w:spacing w:before="0" w:after="0" w:line="240" w:lineRule="exact"/>
              <w:jc w:val="center"/>
              <w:rPr>
                <w:rFonts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P4</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由上表可知，本项目危险物质及工艺系统危险性等级判定为P4。</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2、大气环境风险评价等级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hAnsi="宋体"/>
          <w:color w:val="auto"/>
          <w:sz w:val="24"/>
          <w:szCs w:val="24"/>
        </w:rPr>
        <w:t>（</w:t>
      </w:r>
      <w:r>
        <w:rPr>
          <w:rFonts w:hint="eastAsia" w:hAnsi="宋体"/>
          <w:color w:val="auto"/>
          <w:sz w:val="24"/>
          <w:szCs w:val="24"/>
          <w:lang w:val="en-US" w:eastAsia="zh-CN"/>
        </w:rPr>
        <w:t>1</w:t>
      </w:r>
      <w:r>
        <w:rPr>
          <w:rFonts w:hint="eastAsia" w:hAnsi="宋体"/>
          <w:color w:val="auto"/>
          <w:sz w:val="24"/>
          <w:szCs w:val="24"/>
        </w:rPr>
        <w:t>）</w:t>
      </w:r>
      <w:r>
        <w:rPr>
          <w:rFonts w:hint="eastAsia" w:ascii="Times New Roman" w:hAnsi="Times New Roman" w:eastAsia="宋体" w:cs="Times New Roman"/>
          <w:color w:val="auto"/>
          <w:sz w:val="24"/>
          <w:szCs w:val="24"/>
        </w:rPr>
        <w:t>环境敏感程度（E）的分级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依据环境敏感目标环境敏感性及人口密度划分环境风险受体的敏感性，共分为三种类型，E1为环境高度敏感区，E2为环境中度敏感区，E3为环境低度敏感区，分级原则见表</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8</w:t>
      </w:r>
      <w:r>
        <w:rPr>
          <w:rFonts w:hint="eastAsia" w:ascii="Times New Roman" w:hAnsi="Times New Roman" w:eastAsia="宋体" w:cs="Times New Roman"/>
          <w:b/>
          <w:bCs w:val="0"/>
          <w:color w:val="auto"/>
          <w:sz w:val="24"/>
          <w:szCs w:val="24"/>
          <w:lang w:val="en-US" w:eastAsia="zh-CN"/>
        </w:rPr>
        <w:t xml:space="preserve">  大气环境敏感程度分级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6"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Ansi="宋体"/>
                <w:b/>
                <w:szCs w:val="21"/>
              </w:rPr>
            </w:pPr>
            <w:r>
              <w:rPr>
                <w:rFonts w:hint="eastAsia" w:hAnsi="宋体"/>
                <w:b/>
                <w:szCs w:val="21"/>
              </w:rPr>
              <w:t>分级</w:t>
            </w:r>
          </w:p>
        </w:tc>
        <w:tc>
          <w:tcPr>
            <w:tcW w:w="745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Ansi="宋体"/>
                <w:b/>
                <w:szCs w:val="21"/>
              </w:rPr>
            </w:pPr>
            <w:r>
              <w:rPr>
                <w:rFonts w:hint="eastAsia" w:hAnsi="宋体"/>
                <w:b/>
                <w:szCs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6" w:type="dxa"/>
            <w:noWrap w:val="0"/>
            <w:vAlign w:val="center"/>
          </w:tcPr>
          <w:p>
            <w:pPr>
              <w:pStyle w:val="41"/>
              <w:keepNext w:val="0"/>
              <w:keepLines w:val="0"/>
              <w:pageBreakBefore w:val="0"/>
              <w:widowControl w:val="0"/>
              <w:kinsoku/>
              <w:wordWrap/>
              <w:overflowPunct/>
              <w:topLinePunct w:val="0"/>
              <w:bidi w:val="0"/>
              <w:adjustRightInd w:val="0"/>
              <w:spacing w:line="240" w:lineRule="auto"/>
              <w:jc w:val="center"/>
              <w:textAlignment w:val="auto"/>
              <w:rPr>
                <w:sz w:val="21"/>
                <w:szCs w:val="21"/>
              </w:rPr>
            </w:pPr>
            <w:r>
              <w:rPr>
                <w:sz w:val="21"/>
                <w:szCs w:val="21"/>
              </w:rPr>
              <w:t>E1</w:t>
            </w:r>
          </w:p>
        </w:tc>
        <w:tc>
          <w:tcPr>
            <w:tcW w:w="745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Ansi="宋体"/>
                <w:szCs w:val="21"/>
              </w:rPr>
            </w:pPr>
            <w:r>
              <w:rPr>
                <w:rFonts w:hint="eastAsia" w:hAnsi="宋体"/>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6" w:type="dxa"/>
            <w:noWrap w:val="0"/>
            <w:vAlign w:val="center"/>
          </w:tcPr>
          <w:p>
            <w:pPr>
              <w:pStyle w:val="41"/>
              <w:keepNext w:val="0"/>
              <w:keepLines w:val="0"/>
              <w:pageBreakBefore w:val="0"/>
              <w:widowControl w:val="0"/>
              <w:kinsoku/>
              <w:wordWrap/>
              <w:overflowPunct/>
              <w:topLinePunct w:val="0"/>
              <w:bidi w:val="0"/>
              <w:adjustRightInd w:val="0"/>
              <w:spacing w:line="240" w:lineRule="auto"/>
              <w:jc w:val="center"/>
              <w:textAlignment w:val="auto"/>
              <w:rPr>
                <w:sz w:val="21"/>
                <w:szCs w:val="21"/>
              </w:rPr>
            </w:pPr>
            <w:r>
              <w:rPr>
                <w:sz w:val="21"/>
                <w:szCs w:val="21"/>
              </w:rPr>
              <w:t>E2</w:t>
            </w:r>
          </w:p>
        </w:tc>
        <w:tc>
          <w:tcPr>
            <w:tcW w:w="745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Ansi="宋体"/>
                <w:szCs w:val="21"/>
              </w:rPr>
            </w:pPr>
            <w:r>
              <w:rPr>
                <w:rFonts w:hint="eastAsia" w:hAnsi="宋体"/>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46" w:type="dxa"/>
            <w:noWrap w:val="0"/>
            <w:vAlign w:val="center"/>
          </w:tcPr>
          <w:p>
            <w:pPr>
              <w:pStyle w:val="41"/>
              <w:keepNext w:val="0"/>
              <w:keepLines w:val="0"/>
              <w:pageBreakBefore w:val="0"/>
              <w:widowControl w:val="0"/>
              <w:kinsoku/>
              <w:wordWrap/>
              <w:overflowPunct/>
              <w:topLinePunct w:val="0"/>
              <w:bidi w:val="0"/>
              <w:adjustRightInd w:val="0"/>
              <w:spacing w:line="240" w:lineRule="auto"/>
              <w:jc w:val="center"/>
              <w:textAlignment w:val="auto"/>
              <w:rPr>
                <w:sz w:val="21"/>
                <w:szCs w:val="21"/>
              </w:rPr>
            </w:pPr>
            <w:r>
              <w:rPr>
                <w:sz w:val="21"/>
                <w:szCs w:val="21"/>
              </w:rPr>
              <w:t>E3</w:t>
            </w:r>
          </w:p>
        </w:tc>
        <w:tc>
          <w:tcPr>
            <w:tcW w:w="745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Ansi="宋体"/>
                <w:szCs w:val="21"/>
              </w:rPr>
            </w:pPr>
            <w:r>
              <w:rPr>
                <w:rFonts w:hint="eastAsia" w:hAnsi="宋体"/>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w:t>
      </w:r>
      <w:r>
        <w:rPr>
          <w:rFonts w:hint="eastAsia" w:cs="Times New Roman"/>
          <w:color w:val="auto"/>
          <w:sz w:val="24"/>
          <w:szCs w:val="24"/>
          <w:lang w:val="en-US" w:eastAsia="zh-CN"/>
        </w:rPr>
        <w:t>东川区碧谷产业园区内</w:t>
      </w:r>
      <w:r>
        <w:rPr>
          <w:rFonts w:hint="eastAsia" w:ascii="Times New Roman" w:hAnsi="Times New Roman" w:eastAsia="宋体" w:cs="Times New Roman"/>
          <w:color w:val="auto"/>
          <w:sz w:val="24"/>
          <w:szCs w:val="24"/>
        </w:rPr>
        <w:t>，经调查核实，项目占地范围内的居民点已完成搬迁，项目占地范围外的500m范围内</w:t>
      </w:r>
      <w:r>
        <w:rPr>
          <w:rFonts w:hint="eastAsia" w:cs="Times New Roman"/>
          <w:color w:val="auto"/>
          <w:sz w:val="24"/>
          <w:szCs w:val="24"/>
          <w:lang w:val="en-US" w:eastAsia="zh-CN"/>
        </w:rPr>
        <w:t>总人口为944人</w:t>
      </w:r>
      <w:r>
        <w:rPr>
          <w:rFonts w:hint="eastAsia" w:ascii="Times New Roman" w:hAnsi="Times New Roman" w:eastAsia="宋体" w:cs="Times New Roman"/>
          <w:color w:val="auto"/>
          <w:sz w:val="24"/>
          <w:szCs w:val="24"/>
        </w:rPr>
        <w:t>，项目周边5000m范围内总人口为</w:t>
      </w:r>
      <w:r>
        <w:rPr>
          <w:rFonts w:hint="eastAsia" w:cs="Times New Roman"/>
          <w:color w:val="auto"/>
          <w:sz w:val="24"/>
          <w:szCs w:val="24"/>
          <w:lang w:val="en-US" w:eastAsia="zh-CN"/>
        </w:rPr>
        <w:t>33671</w:t>
      </w:r>
      <w:r>
        <w:rPr>
          <w:rFonts w:hint="eastAsia" w:ascii="Times New Roman" w:hAnsi="Times New Roman" w:eastAsia="宋体" w:cs="Times New Roman"/>
          <w:color w:val="auto"/>
          <w:sz w:val="24"/>
          <w:szCs w:val="24"/>
        </w:rPr>
        <w:t>人，无其他需要特殊保护的区域。根据《建设项目环境风险评价技术导则》（HJ</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－2018）附录D，项目大气环境敏感程度为中度敏感区E2。</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大气环境</w:t>
      </w:r>
      <w:r>
        <w:rPr>
          <w:rFonts w:hint="eastAsia" w:ascii="Times New Roman" w:hAnsi="Times New Roman" w:eastAsia="宋体" w:cs="Times New Roman"/>
          <w:color w:val="auto"/>
          <w:sz w:val="24"/>
          <w:szCs w:val="24"/>
        </w:rPr>
        <w:t>风险潜势划分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建设项目环境风险潜势</w:t>
      </w:r>
      <w:r>
        <w:rPr>
          <w:rFonts w:hint="default" w:ascii="Times New Roman" w:hAnsi="Times New Roman" w:eastAsia="宋体" w:cs="Times New Roman"/>
          <w:color w:val="auto"/>
          <w:sz w:val="24"/>
          <w:szCs w:val="24"/>
        </w:rPr>
        <w:t>划分为Ⅰ、Ⅱ、Ⅲ、Ⅳ/Ⅳ</w:t>
      </w:r>
      <w:r>
        <w:rPr>
          <w:rFonts w:hint="default" w:ascii="Times New Roman" w:hAnsi="Times New Roman" w:eastAsia="宋体" w:cs="Times New Roman"/>
          <w:color w:val="auto"/>
          <w:sz w:val="24"/>
          <w:szCs w:val="24"/>
          <w:vertAlign w:val="superscript"/>
          <w:lang w:val="en-US" w:eastAsia="zh-CN"/>
        </w:rPr>
        <w:t>+</w:t>
      </w:r>
      <w:r>
        <w:rPr>
          <w:rFonts w:hint="default" w:ascii="Times New Roman" w:hAnsi="Times New Roman" w:eastAsia="宋体" w:cs="Times New Roman"/>
          <w:color w:val="auto"/>
          <w:sz w:val="24"/>
          <w:szCs w:val="24"/>
        </w:rPr>
        <w:t>级，</w:t>
      </w:r>
      <w:r>
        <w:rPr>
          <w:rFonts w:hint="default" w:ascii="Times New Roman" w:hAnsi="Times New Roman" w:eastAsia="宋体" w:cs="Times New Roman"/>
          <w:b/>
          <w:bCs/>
          <w:color w:val="auto"/>
          <w:sz w:val="24"/>
          <w:szCs w:val="24"/>
        </w:rPr>
        <w:t>本项目大气环境风险潜势为Ⅱ。</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ascii="Times New Roman" w:hAnsi="Times New Roman" w:cs="Times New Roman"/>
          <w:b/>
          <w:bCs w:val="0"/>
          <w:color w:val="auto"/>
          <w:sz w:val="24"/>
          <w:szCs w:val="24"/>
          <w:lang w:val="en-US" w:eastAsia="zh-CN"/>
        </w:rPr>
        <w:t>9</w:t>
      </w:r>
      <w:r>
        <w:rPr>
          <w:rFonts w:hint="default" w:ascii="Times New Roman" w:hAnsi="Times New Roman" w:eastAsia="宋体" w:cs="Times New Roman"/>
          <w:b/>
          <w:bCs w:val="0"/>
          <w:color w:val="auto"/>
          <w:sz w:val="24"/>
          <w:szCs w:val="24"/>
          <w:lang w:val="en-US" w:eastAsia="zh-CN"/>
        </w:rPr>
        <w:t xml:space="preserve">  建设项目环境风险潜势划分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1558"/>
        <w:gridCol w:w="1558"/>
        <w:gridCol w:w="1416"/>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restar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环境敏感程度（E）</w:t>
            </w:r>
          </w:p>
        </w:tc>
        <w:tc>
          <w:tcPr>
            <w:tcW w:w="3426" w:type="pct"/>
            <w:gridSpan w:val="4"/>
            <w:noWrap w:val="0"/>
            <w:vAlign w:val="center"/>
          </w:tcPr>
          <w:p>
            <w:pPr>
              <w:pStyle w:val="18"/>
              <w:spacing w:after="0" w:line="240" w:lineRule="exact"/>
              <w:jc w:val="center"/>
              <w:rPr>
                <w:rFonts w:hint="default" w:ascii="Times New Roman" w:hAnsi="Times New Roman" w:cs="Times New Roman"/>
                <w:szCs w:val="21"/>
              </w:rPr>
            </w:pPr>
            <w:r>
              <w:rPr>
                <w:rFonts w:hint="default" w:ascii="Times New Roman" w:hAnsi="Times New Roman" w:cs="Times New Roman"/>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continue"/>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P1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P2</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P3</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环境高度敏感区（E1）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r>
              <w:rPr>
                <w:rFonts w:hint="default" w:ascii="Times New Roman" w:hAnsi="Times New Roman" w:cs="Times New Roman"/>
                <w:color w:val="000000"/>
                <w:szCs w:val="21"/>
                <w:vertAlign w:val="superscript"/>
              </w:rPr>
              <w:t>+</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p>
        </w:tc>
        <w:tc>
          <w:tcPr>
            <w:tcW w:w="831"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c>
          <w:tcPr>
            <w:tcW w:w="767"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环境中度敏感区（E2）</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Ⅳ</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环境低度敏感区（E3）</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pPr>
              <w:pStyle w:val="37"/>
              <w:widowControl w:val="0"/>
              <w:spacing w:before="0" w:after="0" w:line="240" w:lineRule="exact"/>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注：Ⅳ</w:t>
            </w:r>
            <w:r>
              <w:rPr>
                <w:rFonts w:hint="default" w:ascii="Times New Roman" w:hAnsi="Times New Roman" w:eastAsia="宋体" w:cs="Times New Roman"/>
                <w:color w:val="000000"/>
                <w:sz w:val="21"/>
                <w:szCs w:val="21"/>
                <w:vertAlign w:val="superscript"/>
                <w:lang w:eastAsia="zh-CN"/>
              </w:rPr>
              <w:t>+</w:t>
            </w:r>
            <w:r>
              <w:rPr>
                <w:rFonts w:hint="default" w:ascii="Times New Roman" w:hAnsi="Times New Roman" w:eastAsia="宋体" w:cs="Times New Roman"/>
                <w:color w:val="000000"/>
                <w:sz w:val="21"/>
                <w:szCs w:val="21"/>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大气环境</w:t>
      </w:r>
      <w:r>
        <w:rPr>
          <w:rFonts w:hint="eastAsia" w:ascii="Times New Roman" w:hAnsi="Times New Roman" w:eastAsia="宋体" w:cs="Times New Roman"/>
          <w:color w:val="auto"/>
          <w:sz w:val="24"/>
          <w:szCs w:val="24"/>
        </w:rPr>
        <w:t>环境风险评价等级划分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根据《建设项目环境风险评价技术导则》（HJ</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-2018）中评价工作等级划分要求，如下表</w:t>
      </w: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10</w:t>
      </w:r>
      <w:r>
        <w:rPr>
          <w:rFonts w:hint="eastAsia" w:ascii="Times New Roman" w:hAnsi="Times New Roman" w:eastAsia="宋体" w:cs="Times New Roman"/>
          <w:b/>
          <w:bCs w:val="0"/>
          <w:color w:val="auto"/>
          <w:sz w:val="24"/>
          <w:szCs w:val="24"/>
          <w:lang w:val="en-US" w:eastAsia="zh-CN"/>
        </w:rPr>
        <w:t xml:space="preserve">  评价工作等级划分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环境风险潜势</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Ⅳ、Ⅳ</w:t>
            </w:r>
            <w:r>
              <w:rPr>
                <w:rFonts w:hint="default" w:ascii="Times New Roman" w:hAnsi="Times New Roman" w:cs="Times New Roman"/>
                <w:vertAlign w:val="superscript"/>
              </w:rPr>
              <w:t>+</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Ⅲ</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Ⅱ</w:t>
            </w:r>
          </w:p>
        </w:tc>
        <w:tc>
          <w:tcPr>
            <w:tcW w:w="1000" w:type="pct"/>
            <w:noWrap w:val="0"/>
            <w:vAlign w:val="center"/>
          </w:tcPr>
          <w:p>
            <w:pPr>
              <w:adjustRightInd w:val="0"/>
              <w:snapToGrid w:val="0"/>
              <w:spacing w:line="240" w:lineRule="atLeast"/>
              <w:jc w:val="cente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评价工作等级</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一</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二</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三</w:t>
            </w:r>
          </w:p>
        </w:tc>
        <w:tc>
          <w:tcPr>
            <w:tcW w:w="1000" w:type="pct"/>
            <w:noWrap w:val="0"/>
            <w:vAlign w:val="center"/>
          </w:tcPr>
          <w:p>
            <w:pPr>
              <w:adjustRightInd w:val="0"/>
              <w:snapToGrid w:val="0"/>
              <w:spacing w:line="240" w:lineRule="atLeast"/>
              <w:jc w:val="center"/>
            </w:pPr>
            <w:r>
              <w:t>简单分析</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cs="Times New Roman"/>
          <w:color w:val="auto"/>
          <w:sz w:val="24"/>
          <w:szCs w:val="24"/>
          <w:lang w:eastAsia="zh-CN"/>
        </w:rPr>
        <w:t>本项目大气</w:t>
      </w:r>
      <w:r>
        <w:rPr>
          <w:rFonts w:hint="eastAsia" w:ascii="Times New Roman" w:hAnsi="Times New Roman" w:eastAsia="宋体" w:cs="Times New Roman"/>
          <w:color w:val="auto"/>
          <w:sz w:val="24"/>
          <w:szCs w:val="24"/>
        </w:rPr>
        <w:t>环境风险评价工作</w:t>
      </w:r>
      <w:r>
        <w:rPr>
          <w:rFonts w:hint="eastAsia" w:cs="Times New Roman"/>
          <w:color w:val="auto"/>
          <w:sz w:val="24"/>
          <w:szCs w:val="24"/>
          <w:lang w:val="en-US" w:eastAsia="zh-CN"/>
        </w:rPr>
        <w:t>等级为三级</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大气</w:t>
      </w:r>
      <w:r>
        <w:rPr>
          <w:rFonts w:hint="eastAsia" w:ascii="Times New Roman" w:hAnsi="Times New Roman" w:eastAsia="宋体" w:cs="Times New Roman"/>
          <w:color w:val="auto"/>
          <w:sz w:val="24"/>
          <w:szCs w:val="24"/>
        </w:rPr>
        <w:t>环境风险评价</w:t>
      </w:r>
      <w:r>
        <w:rPr>
          <w:rFonts w:hint="eastAsia" w:ascii="Times New Roman" w:hAnsi="Times New Roman" w:eastAsia="宋体" w:cs="Times New Roman"/>
          <w:color w:val="auto"/>
          <w:sz w:val="24"/>
          <w:szCs w:val="24"/>
          <w:lang w:eastAsia="zh-CN"/>
        </w:rPr>
        <w:t>范围</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本项目大气环境风险评价范围</w:t>
      </w:r>
      <w:r>
        <w:rPr>
          <w:rFonts w:hint="default" w:ascii="Times New Roman" w:hAnsi="Times New Roman" w:eastAsia="宋体" w:cs="Times New Roman"/>
          <w:b w:val="0"/>
          <w:bCs w:val="0"/>
          <w:color w:val="auto"/>
          <w:kern w:val="2"/>
          <w:sz w:val="24"/>
          <w:szCs w:val="24"/>
          <w:lang w:val="en-US" w:eastAsia="zh-CN" w:bidi="ar-SA"/>
        </w:rPr>
        <w:t>为厂界外5</w:t>
      </w:r>
      <w:r>
        <w:rPr>
          <w:rFonts w:hint="eastAsia" w:cs="Times New Roman"/>
          <w:b w:val="0"/>
          <w:bCs w:val="0"/>
          <w:color w:val="auto"/>
          <w:kern w:val="2"/>
          <w:sz w:val="24"/>
          <w:szCs w:val="24"/>
          <w:lang w:val="en-US" w:eastAsia="zh-CN" w:bidi="ar-SA"/>
        </w:rPr>
        <w:t>km</w:t>
      </w:r>
      <w:r>
        <w:rPr>
          <w:rFonts w:hint="default" w:ascii="Times New Roman" w:hAnsi="Times New Roman" w:eastAsia="宋体" w:cs="Times New Roman"/>
          <w:b w:val="0"/>
          <w:bCs w:val="0"/>
          <w:color w:val="auto"/>
          <w:kern w:val="2"/>
          <w:sz w:val="24"/>
          <w:szCs w:val="24"/>
          <w:lang w:val="en-US" w:eastAsia="zh-CN" w:bidi="ar-SA"/>
        </w:rPr>
        <w:t>范围内的自然保护区、风景名胜区、居住区、文化区和农村地区中人群较集中的区域</w:t>
      </w:r>
      <w:r>
        <w:rPr>
          <w:rFonts w:hint="eastAsia" w:cs="Times New Roman"/>
          <w:b w:val="0"/>
          <w:bCs w:val="0"/>
          <w:color w:val="auto"/>
          <w:sz w:val="24"/>
          <w:szCs w:val="24"/>
          <w:lang w:val="en-US" w:eastAsia="zh-CN"/>
        </w:rPr>
        <w:t>。</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3、地下水环境风险评价等级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hAnsi="宋体"/>
          <w:color w:val="auto"/>
          <w:sz w:val="24"/>
          <w:szCs w:val="24"/>
        </w:rPr>
        <w:t>（</w:t>
      </w:r>
      <w:r>
        <w:rPr>
          <w:rFonts w:hint="eastAsia" w:hAnsi="宋体"/>
          <w:color w:val="auto"/>
          <w:sz w:val="24"/>
          <w:szCs w:val="24"/>
          <w:lang w:val="en-US" w:eastAsia="zh-CN"/>
        </w:rPr>
        <w:t>1</w:t>
      </w:r>
      <w:r>
        <w:rPr>
          <w:rFonts w:hint="eastAsia" w:hAnsi="宋体"/>
          <w:color w:val="auto"/>
          <w:sz w:val="24"/>
          <w:szCs w:val="24"/>
        </w:rPr>
        <w:t>）</w:t>
      </w:r>
      <w:r>
        <w:rPr>
          <w:rFonts w:hint="eastAsia" w:ascii="Times New Roman" w:hAnsi="Times New Roman" w:eastAsia="宋体" w:cs="Times New Roman"/>
          <w:color w:val="auto"/>
          <w:sz w:val="24"/>
          <w:szCs w:val="24"/>
        </w:rPr>
        <w:t>环境敏感程度（E）的分级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依据地下水功能敏感性与包气带防污性能，共分为三种类型，E1为环境高度敏感区，E2为环境中度敏感区，E3为环境低度敏感区，分级原则见表12。其中地下水功能敏感性分区和包气带防污性能分级分别见表13和表14。当同一建设项目涉及两个G分区或D分级及以上时，取相对高值。</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 xml:space="preserve">12  </w:t>
      </w:r>
      <w:r>
        <w:rPr>
          <w:rFonts w:hint="eastAsia" w:ascii="Times New Roman" w:hAnsi="Times New Roman" w:eastAsia="宋体" w:cs="Times New Roman"/>
          <w:b/>
          <w:bCs w:val="0"/>
          <w:color w:val="auto"/>
          <w:sz w:val="24"/>
          <w:szCs w:val="24"/>
          <w:lang w:val="en-US" w:eastAsia="zh-CN"/>
        </w:rPr>
        <w:t>地下水环境敏感程度分级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289"/>
        <w:gridCol w:w="200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shd w:val="clear" w:color="auto" w:fill="auto"/>
            <w:vAlign w:val="center"/>
          </w:tcPr>
          <w:p>
            <w:pPr>
              <w:adjustRightInd w:val="0"/>
              <w:snapToGrid w:val="0"/>
              <w:spacing w:line="240" w:lineRule="atLeast"/>
              <w:jc w:val="center"/>
              <w:rPr>
                <w:b/>
                <w:color w:val="auto"/>
              </w:rPr>
            </w:pPr>
            <w:r>
              <w:rPr>
                <w:rFonts w:hint="eastAsia"/>
                <w:b/>
                <w:color w:val="auto"/>
              </w:rPr>
              <w:t>包气带防污</w:t>
            </w:r>
            <w:r>
              <w:rPr>
                <w:b/>
                <w:color w:val="auto"/>
              </w:rPr>
              <w:t>性能</w:t>
            </w:r>
          </w:p>
        </w:tc>
        <w:tc>
          <w:tcPr>
            <w:tcW w:w="4000" w:type="pct"/>
            <w:gridSpan w:val="3"/>
            <w:shd w:val="clear" w:color="auto" w:fill="auto"/>
            <w:vAlign w:val="center"/>
          </w:tcPr>
          <w:p>
            <w:pPr>
              <w:adjustRightInd w:val="0"/>
              <w:snapToGrid w:val="0"/>
              <w:spacing w:line="240" w:lineRule="atLeast"/>
              <w:jc w:val="center"/>
              <w:rPr>
                <w:rFonts w:ascii="宋体" w:hAnsi="宋体" w:cs="宋体"/>
                <w:b/>
                <w:color w:val="auto"/>
              </w:rPr>
            </w:pPr>
            <w:r>
              <w:rPr>
                <w:rFonts w:hint="eastAsia" w:ascii="宋体" w:hAnsi="宋体" w:cs="宋体"/>
                <w:b/>
                <w:color w:val="auto"/>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shd w:val="clear" w:color="auto" w:fill="auto"/>
            <w:vAlign w:val="center"/>
          </w:tcPr>
          <w:p>
            <w:pPr>
              <w:adjustRightInd w:val="0"/>
              <w:snapToGrid w:val="0"/>
              <w:spacing w:line="240" w:lineRule="atLeast"/>
              <w:jc w:val="center"/>
              <w:rPr>
                <w:b/>
                <w:color w:val="auto"/>
              </w:rPr>
            </w:pPr>
          </w:p>
        </w:tc>
        <w:tc>
          <w:tcPr>
            <w:tcW w:w="1343" w:type="pct"/>
            <w:shd w:val="clear" w:color="auto" w:fill="auto"/>
            <w:vAlign w:val="center"/>
          </w:tcPr>
          <w:p>
            <w:pPr>
              <w:adjustRightInd w:val="0"/>
              <w:snapToGrid w:val="0"/>
              <w:spacing w:line="240" w:lineRule="atLeast"/>
              <w:jc w:val="center"/>
              <w:rPr>
                <w:b/>
                <w:color w:val="auto"/>
              </w:rPr>
            </w:pPr>
            <w:r>
              <w:rPr>
                <w:rFonts w:hint="eastAsia" w:ascii="宋体" w:hAnsi="宋体" w:cs="宋体"/>
                <w:b/>
                <w:color w:val="auto"/>
              </w:rPr>
              <w:t>G1</w:t>
            </w:r>
          </w:p>
        </w:tc>
        <w:tc>
          <w:tcPr>
            <w:tcW w:w="1179" w:type="pct"/>
            <w:shd w:val="clear" w:color="auto" w:fill="auto"/>
            <w:vAlign w:val="center"/>
          </w:tcPr>
          <w:p>
            <w:pPr>
              <w:adjustRightInd w:val="0"/>
              <w:snapToGrid w:val="0"/>
              <w:spacing w:line="240" w:lineRule="atLeast"/>
              <w:jc w:val="center"/>
              <w:rPr>
                <w:b/>
                <w:color w:val="auto"/>
              </w:rPr>
            </w:pPr>
            <w:r>
              <w:rPr>
                <w:rFonts w:hint="eastAsia" w:ascii="宋体" w:hAnsi="宋体" w:cs="宋体"/>
                <w:b/>
                <w:color w:val="auto"/>
              </w:rPr>
              <w:t>G2</w:t>
            </w:r>
          </w:p>
        </w:tc>
        <w:tc>
          <w:tcPr>
            <w:tcW w:w="1478" w:type="pct"/>
            <w:shd w:val="clear" w:color="auto" w:fill="auto"/>
            <w:vAlign w:val="center"/>
          </w:tcPr>
          <w:p>
            <w:pPr>
              <w:adjustRightInd w:val="0"/>
              <w:snapToGrid w:val="0"/>
              <w:spacing w:line="240" w:lineRule="atLeast"/>
              <w:jc w:val="center"/>
              <w:rPr>
                <w:b/>
                <w:color w:val="auto"/>
              </w:rPr>
            </w:pPr>
            <w:r>
              <w:rPr>
                <w:rFonts w:hint="eastAsia"/>
                <w:b/>
                <w:color w:val="auto"/>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D1</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D2</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D3</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3</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3</w:t>
            </w:r>
          </w:p>
        </w:tc>
      </w:tr>
    </w:tbl>
    <w:p>
      <w:pPr>
        <w:adjustRightInd w:val="0"/>
        <w:snapToGrid w:val="0"/>
        <w:spacing w:line="480" w:lineRule="exact"/>
        <w:ind w:firstLine="480"/>
        <w:jc w:val="center"/>
        <w:rPr>
          <w:color w:val="auto"/>
          <w:sz w:val="24"/>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 xml:space="preserve">13 </w:t>
      </w:r>
      <w:r>
        <w:rPr>
          <w:rFonts w:hint="default" w:ascii="Times New Roman" w:hAnsi="Times New Roman" w:eastAsia="宋体"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地下水功能敏感性分区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7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shd w:val="clear" w:color="auto" w:fill="auto"/>
            <w:vAlign w:val="center"/>
          </w:tcPr>
          <w:p>
            <w:pPr>
              <w:adjustRightInd w:val="0"/>
              <w:snapToGrid w:val="0"/>
              <w:spacing w:line="240" w:lineRule="atLeast"/>
              <w:jc w:val="center"/>
              <w:rPr>
                <w:b/>
                <w:color w:val="auto"/>
              </w:rPr>
            </w:pPr>
            <w:r>
              <w:rPr>
                <w:rFonts w:hint="eastAsia"/>
                <w:b/>
                <w:color w:val="auto"/>
              </w:rPr>
              <w:t>敏感性</w:t>
            </w:r>
          </w:p>
        </w:tc>
        <w:tc>
          <w:tcPr>
            <w:tcW w:w="4150" w:type="pct"/>
            <w:shd w:val="clear" w:color="auto" w:fill="auto"/>
            <w:vAlign w:val="center"/>
          </w:tcPr>
          <w:p>
            <w:pPr>
              <w:adjustRightInd w:val="0"/>
              <w:snapToGrid w:val="0"/>
              <w:spacing w:line="240" w:lineRule="atLeast"/>
              <w:jc w:val="center"/>
              <w:rPr>
                <w:b/>
                <w:color w:val="auto"/>
              </w:rPr>
            </w:pPr>
            <w:r>
              <w:rPr>
                <w:b/>
                <w:color w:val="auto"/>
              </w:rPr>
              <w:t>地</w:t>
            </w:r>
            <w:r>
              <w:rPr>
                <w:rFonts w:hint="eastAsia"/>
                <w:b/>
                <w:color w:val="auto"/>
              </w:rPr>
              <w:t>下</w:t>
            </w:r>
            <w:r>
              <w:rPr>
                <w:b/>
                <w:color w:val="auto"/>
              </w:rPr>
              <w:t>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shd w:val="clear" w:color="auto" w:fill="auto"/>
            <w:vAlign w:val="center"/>
          </w:tcPr>
          <w:p>
            <w:pPr>
              <w:adjustRightInd w:val="0"/>
              <w:snapToGrid w:val="0"/>
              <w:spacing w:line="240" w:lineRule="atLeast"/>
              <w:jc w:val="center"/>
              <w:rPr>
                <w:color w:val="auto"/>
              </w:rPr>
            </w:pPr>
            <w:r>
              <w:rPr>
                <w:color w:val="auto"/>
              </w:rPr>
              <w:t>敏感</w:t>
            </w:r>
            <w:r>
              <w:rPr>
                <w:rFonts w:hint="eastAsia"/>
                <w:color w:val="auto"/>
              </w:rPr>
              <w:t>G1</w:t>
            </w:r>
          </w:p>
        </w:tc>
        <w:tc>
          <w:tcPr>
            <w:tcW w:w="4150" w:type="pct"/>
            <w:shd w:val="clear" w:color="auto" w:fill="auto"/>
            <w:vAlign w:val="center"/>
          </w:tcPr>
          <w:p>
            <w:pPr>
              <w:adjustRightInd w:val="0"/>
              <w:snapToGrid w:val="0"/>
              <w:spacing w:line="220" w:lineRule="atLeast"/>
              <w:jc w:val="left"/>
              <w:rPr>
                <w:color w:val="auto"/>
              </w:rPr>
            </w:pPr>
            <w:r>
              <w:rPr>
                <w:rFonts w:hint="eastAsia"/>
                <w:color w:val="auto"/>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shd w:val="clear" w:color="auto" w:fill="auto"/>
            <w:vAlign w:val="center"/>
          </w:tcPr>
          <w:p>
            <w:pPr>
              <w:adjustRightInd w:val="0"/>
              <w:snapToGrid w:val="0"/>
              <w:spacing w:line="240" w:lineRule="atLeast"/>
              <w:jc w:val="center"/>
              <w:rPr>
                <w:color w:val="auto"/>
              </w:rPr>
            </w:pPr>
            <w:r>
              <w:rPr>
                <w:color w:val="auto"/>
              </w:rPr>
              <w:t>较敏感</w:t>
            </w:r>
            <w:r>
              <w:rPr>
                <w:rFonts w:hint="eastAsia"/>
                <w:color w:val="auto"/>
              </w:rPr>
              <w:t>G2</w:t>
            </w:r>
          </w:p>
        </w:tc>
        <w:tc>
          <w:tcPr>
            <w:tcW w:w="4150" w:type="pct"/>
            <w:shd w:val="clear" w:color="auto" w:fill="auto"/>
            <w:vAlign w:val="center"/>
          </w:tcPr>
          <w:p>
            <w:pPr>
              <w:adjustRightInd w:val="0"/>
              <w:snapToGrid w:val="0"/>
              <w:spacing w:line="220" w:lineRule="atLeast"/>
              <w:jc w:val="left"/>
              <w:rPr>
                <w:color w:val="auto"/>
              </w:rPr>
            </w:pPr>
            <w:r>
              <w:rPr>
                <w:rFonts w:hint="eastAsia"/>
                <w:color w:val="auto"/>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color w:val="auto"/>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shd w:val="clear" w:color="auto" w:fill="auto"/>
            <w:vAlign w:val="center"/>
          </w:tcPr>
          <w:p>
            <w:pPr>
              <w:adjustRightInd w:val="0"/>
              <w:snapToGrid w:val="0"/>
              <w:spacing w:line="240" w:lineRule="atLeast"/>
              <w:jc w:val="center"/>
              <w:rPr>
                <w:color w:val="auto"/>
              </w:rPr>
            </w:pPr>
            <w:r>
              <w:rPr>
                <w:rFonts w:hint="eastAsia"/>
                <w:color w:val="auto"/>
              </w:rPr>
              <w:t>不</w:t>
            </w:r>
            <w:r>
              <w:rPr>
                <w:color w:val="auto"/>
              </w:rPr>
              <w:t>敏感</w:t>
            </w:r>
            <w:r>
              <w:rPr>
                <w:rFonts w:hint="eastAsia"/>
                <w:color w:val="auto"/>
              </w:rPr>
              <w:t>G3</w:t>
            </w:r>
          </w:p>
        </w:tc>
        <w:tc>
          <w:tcPr>
            <w:tcW w:w="4150" w:type="pct"/>
            <w:shd w:val="clear" w:color="auto" w:fill="auto"/>
            <w:vAlign w:val="center"/>
          </w:tcPr>
          <w:p>
            <w:pPr>
              <w:adjustRightInd w:val="0"/>
              <w:snapToGrid w:val="0"/>
              <w:spacing w:line="240" w:lineRule="atLeast"/>
              <w:jc w:val="left"/>
              <w:rPr>
                <w:color w:val="auto"/>
              </w:rPr>
            </w:pPr>
            <w:r>
              <w:rPr>
                <w:rFonts w:hint="eastAsia"/>
                <w:color w:val="auto"/>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000" w:type="pct"/>
            <w:gridSpan w:val="2"/>
            <w:shd w:val="clear" w:color="auto" w:fill="auto"/>
            <w:vAlign w:val="center"/>
          </w:tcPr>
          <w:p>
            <w:pPr>
              <w:adjustRightInd w:val="0"/>
              <w:snapToGrid w:val="0"/>
              <w:spacing w:line="240" w:lineRule="atLeast"/>
              <w:jc w:val="center"/>
              <w:rPr>
                <w:color w:val="auto"/>
                <w:spacing w:val="-4"/>
              </w:rPr>
            </w:pPr>
            <w:r>
              <w:rPr>
                <w:rFonts w:hint="eastAsia"/>
                <w:color w:val="auto"/>
                <w:spacing w:val="-4"/>
                <w:vertAlign w:val="superscript"/>
              </w:rPr>
              <w:t xml:space="preserve">a </w:t>
            </w:r>
            <w:r>
              <w:rPr>
                <w:rFonts w:hint="eastAsia"/>
                <w:color w:val="auto"/>
                <w:spacing w:val="-4"/>
              </w:rPr>
              <w:t>“环境敏感区”是指《建设项目环境影响评价分类管理名录》中所界定的涉及地下水的环境敏感区</w:t>
            </w:r>
          </w:p>
        </w:tc>
      </w:tr>
    </w:tbl>
    <w:p>
      <w:pPr>
        <w:adjustRightInd w:val="0"/>
        <w:snapToGrid w:val="0"/>
        <w:spacing w:line="480" w:lineRule="exact"/>
        <w:ind w:firstLine="480"/>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 xml:space="preserve">14  </w:t>
      </w:r>
      <w:r>
        <w:rPr>
          <w:rFonts w:hint="eastAsia" w:ascii="Times New Roman" w:hAnsi="Times New Roman" w:eastAsia="宋体" w:cs="Times New Roman"/>
          <w:b/>
          <w:bCs w:val="0"/>
          <w:color w:val="auto"/>
          <w:sz w:val="24"/>
          <w:szCs w:val="24"/>
          <w:lang w:val="en-US" w:eastAsia="zh-CN"/>
        </w:rPr>
        <w:t>包气带防污性能分级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b/>
                <w:color w:val="auto"/>
              </w:rPr>
            </w:pPr>
            <w:r>
              <w:rPr>
                <w:rFonts w:hint="eastAsia"/>
                <w:b/>
                <w:color w:val="auto"/>
              </w:rPr>
              <w:t>分级</w:t>
            </w:r>
          </w:p>
        </w:tc>
        <w:tc>
          <w:tcPr>
            <w:tcW w:w="4000" w:type="pct"/>
            <w:shd w:val="clear" w:color="auto" w:fill="auto"/>
            <w:vAlign w:val="center"/>
          </w:tcPr>
          <w:p>
            <w:pPr>
              <w:adjustRightInd w:val="0"/>
              <w:snapToGrid w:val="0"/>
              <w:spacing w:line="240" w:lineRule="atLeast"/>
              <w:jc w:val="center"/>
              <w:rPr>
                <w:b/>
                <w:color w:val="auto"/>
              </w:rPr>
            </w:pPr>
            <w:r>
              <w:rPr>
                <w:rFonts w:hint="eastAsia"/>
                <w:b/>
                <w:color w:val="auto"/>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D3</w:t>
            </w:r>
          </w:p>
        </w:tc>
        <w:tc>
          <w:tcPr>
            <w:tcW w:w="4000" w:type="pct"/>
            <w:shd w:val="clear" w:color="auto" w:fill="auto"/>
            <w:vAlign w:val="center"/>
          </w:tcPr>
          <w:p>
            <w:pPr>
              <w:adjustRightInd w:val="0"/>
              <w:snapToGrid w:val="0"/>
              <w:spacing w:line="240" w:lineRule="atLeast"/>
              <w:jc w:val="center"/>
              <w:rPr>
                <w:color w:val="auto"/>
              </w:rPr>
            </w:pPr>
            <w:r>
              <w:rPr>
                <w:rFonts w:hint="eastAsia"/>
                <w:color w:val="auto"/>
              </w:rPr>
              <w:t>Mb≥1.0m，K≤1.0×10</w:t>
            </w:r>
            <w:r>
              <w:rPr>
                <w:rFonts w:hint="eastAsia"/>
                <w:color w:val="auto"/>
                <w:vertAlign w:val="superscript"/>
              </w:rPr>
              <w:t>-6</w:t>
            </w:r>
            <w:r>
              <w:rPr>
                <w:rFonts w:hint="eastAsia"/>
                <w:color w:val="auto"/>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20" w:lineRule="atLeast"/>
              <w:jc w:val="center"/>
              <w:rPr>
                <w:color w:val="auto"/>
              </w:rPr>
            </w:pPr>
            <w:r>
              <w:rPr>
                <w:rFonts w:hint="eastAsia"/>
                <w:color w:val="auto"/>
              </w:rPr>
              <w:t>D2</w:t>
            </w:r>
          </w:p>
        </w:tc>
        <w:tc>
          <w:tcPr>
            <w:tcW w:w="4000" w:type="pct"/>
            <w:shd w:val="clear" w:color="auto" w:fill="auto"/>
            <w:vAlign w:val="center"/>
          </w:tcPr>
          <w:p>
            <w:pPr>
              <w:adjustRightInd w:val="0"/>
              <w:snapToGrid w:val="0"/>
              <w:spacing w:line="220" w:lineRule="atLeast"/>
              <w:jc w:val="center"/>
              <w:rPr>
                <w:color w:val="auto"/>
              </w:rPr>
            </w:pPr>
            <w:r>
              <w:rPr>
                <w:rFonts w:hint="eastAsia"/>
                <w:color w:val="auto"/>
              </w:rPr>
              <w:t>0.5m≤Mb&lt;1.0m，K≤1.0×10</w:t>
            </w:r>
            <w:r>
              <w:rPr>
                <w:rFonts w:hint="eastAsia"/>
                <w:color w:val="auto"/>
                <w:vertAlign w:val="superscript"/>
              </w:rPr>
              <w:t>-6</w:t>
            </w:r>
            <w:r>
              <w:rPr>
                <w:rFonts w:hint="eastAsia"/>
                <w:color w:val="auto"/>
              </w:rPr>
              <w:t>cm/s，且分布连续、稳定</w:t>
            </w:r>
          </w:p>
          <w:p>
            <w:pPr>
              <w:adjustRightInd w:val="0"/>
              <w:snapToGrid w:val="0"/>
              <w:spacing w:line="220" w:lineRule="atLeast"/>
              <w:jc w:val="center"/>
              <w:rPr>
                <w:color w:val="auto"/>
              </w:rPr>
            </w:pPr>
            <w:r>
              <w:rPr>
                <w:rFonts w:hint="eastAsia"/>
                <w:color w:val="auto"/>
              </w:rPr>
              <w:t>Mb≥1.0m，1.0×10</w:t>
            </w:r>
            <w:r>
              <w:rPr>
                <w:rFonts w:hint="eastAsia"/>
                <w:color w:val="auto"/>
                <w:vertAlign w:val="superscript"/>
              </w:rPr>
              <w:t>-6</w:t>
            </w:r>
            <w:r>
              <w:rPr>
                <w:rFonts w:hint="eastAsia"/>
                <w:color w:val="auto"/>
              </w:rPr>
              <w:t>cm/s＜K≤1.0×10</w:t>
            </w:r>
            <w:r>
              <w:rPr>
                <w:rFonts w:hint="eastAsia"/>
                <w:color w:val="auto"/>
                <w:vertAlign w:val="superscript"/>
              </w:rPr>
              <w:t>-4</w:t>
            </w:r>
            <w:r>
              <w:rPr>
                <w:rFonts w:hint="eastAsia"/>
                <w:color w:val="auto"/>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D1</w:t>
            </w:r>
          </w:p>
        </w:tc>
        <w:tc>
          <w:tcPr>
            <w:tcW w:w="4000" w:type="pct"/>
            <w:shd w:val="clear" w:color="auto" w:fill="auto"/>
            <w:vAlign w:val="center"/>
          </w:tcPr>
          <w:p>
            <w:pPr>
              <w:adjustRightInd w:val="0"/>
              <w:snapToGrid w:val="0"/>
              <w:spacing w:line="240" w:lineRule="atLeast"/>
              <w:jc w:val="center"/>
              <w:rPr>
                <w:color w:val="auto"/>
              </w:rPr>
            </w:pPr>
            <w:r>
              <w:rPr>
                <w:rFonts w:hint="eastAsia"/>
                <w:color w:val="auto"/>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shd w:val="clear" w:color="auto" w:fill="auto"/>
            <w:vAlign w:val="center"/>
          </w:tcPr>
          <w:p>
            <w:pPr>
              <w:adjustRightInd w:val="0"/>
              <w:snapToGrid w:val="0"/>
              <w:spacing w:line="240" w:lineRule="atLeast"/>
              <w:jc w:val="left"/>
              <w:rPr>
                <w:color w:val="auto"/>
              </w:rPr>
            </w:pPr>
            <w:r>
              <w:rPr>
                <w:rFonts w:hint="eastAsia"/>
                <w:color w:val="auto"/>
              </w:rPr>
              <w:t>Mb：岩土层单层厚度；K：渗透系数</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根据《云南省东川再就业特色产业园-四方地碧谷产业园规划修编（2014-2025）环境影响报告书》，东川再就业特色产业园区中部乱草街、小新村一带基底岩石西侧为Zz2dn白云岩，中部为Plq+m灰岩，东部为P2玄武岩。本项目占地范围内包气带岩石层可能为白云岩和灰岩。</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参考《云南中利铝业有限公司10万吨/年再生资源综合利用项目环境影响报告书》，通过现场渗水试验，包气带第四系人工填土和震旦系上统灯影组（Zz2dn）白云岩渗透系数为8.74×10</w:t>
      </w:r>
      <w:r>
        <w:rPr>
          <w:rFonts w:hint="eastAsia" w:cs="Times New Roman"/>
          <w:b w:val="0"/>
          <w:bCs w:val="0"/>
          <w:color w:val="auto"/>
          <w:sz w:val="24"/>
          <w:szCs w:val="24"/>
          <w:vertAlign w:val="superscript"/>
          <w:lang w:val="en-US" w:eastAsia="zh-CN"/>
        </w:rPr>
        <w:t>-5</w:t>
      </w:r>
      <w:r>
        <w:rPr>
          <w:rFonts w:hint="eastAsia" w:cs="Times New Roman"/>
          <w:b w:val="0"/>
          <w:bCs w:val="0"/>
          <w:color w:val="auto"/>
          <w:sz w:val="24"/>
          <w:szCs w:val="24"/>
          <w:vertAlign w:val="baseline"/>
          <w:lang w:val="en-US" w:eastAsia="zh-CN"/>
        </w:rPr>
        <w:t>c</w:t>
      </w:r>
      <w:r>
        <w:rPr>
          <w:rFonts w:hint="eastAsia" w:cs="Times New Roman"/>
          <w:b w:val="0"/>
          <w:bCs w:val="0"/>
          <w:color w:val="auto"/>
          <w:sz w:val="24"/>
          <w:szCs w:val="24"/>
          <w:lang w:val="en-US" w:eastAsia="zh-CN"/>
        </w:rPr>
        <w:t>m/s，且场地连续稳定。且岩土层厚度大于1m，确定项目区包气带防污性能为D2。</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不涉及集中式饮用水源准保护区和准保护区以外的补给径流区、除集中式饮用水水源以外的国家或地方政府设定的与地下水环境相关的其他保护区、未划定准保护区的集中式饮用水源、分散式饮用水源地、特殊地下水资源保护区以外的分布区等其他未列入上述敏感分级的环境敏感区，故本项目地下水功能敏感性为不敏感G3。</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因此确定地下水环境敏感程度分级为E3。</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地下水环境</w:t>
      </w:r>
      <w:r>
        <w:rPr>
          <w:rFonts w:hint="eastAsia" w:ascii="Times New Roman" w:hAnsi="Times New Roman" w:eastAsia="宋体" w:cs="Times New Roman"/>
          <w:color w:val="auto"/>
          <w:sz w:val="24"/>
          <w:szCs w:val="24"/>
        </w:rPr>
        <w:t>风险潜势划分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建设项目环境风险潜势</w:t>
      </w:r>
      <w:r>
        <w:rPr>
          <w:rFonts w:hint="default" w:ascii="Times New Roman" w:hAnsi="Times New Roman" w:eastAsia="宋体" w:cs="Times New Roman"/>
          <w:color w:val="auto"/>
          <w:sz w:val="24"/>
          <w:szCs w:val="24"/>
        </w:rPr>
        <w:t>划分为Ⅰ、Ⅱ、Ⅲ、Ⅳ/Ⅳ</w:t>
      </w:r>
      <w:r>
        <w:rPr>
          <w:rFonts w:hint="default" w:ascii="Times New Roman" w:hAnsi="Times New Roman" w:eastAsia="宋体" w:cs="Times New Roman"/>
          <w:color w:val="auto"/>
          <w:sz w:val="24"/>
          <w:szCs w:val="24"/>
          <w:vertAlign w:val="superscript"/>
          <w:lang w:val="en-US" w:eastAsia="zh-CN"/>
        </w:rPr>
        <w:t>+</w:t>
      </w:r>
      <w:r>
        <w:rPr>
          <w:rFonts w:hint="default" w:ascii="Times New Roman" w:hAnsi="Times New Roman" w:eastAsia="宋体" w:cs="Times New Roman"/>
          <w:color w:val="auto"/>
          <w:sz w:val="24"/>
          <w:szCs w:val="24"/>
        </w:rPr>
        <w:t>级，</w:t>
      </w:r>
      <w:r>
        <w:rPr>
          <w:rFonts w:hint="default" w:ascii="Times New Roman" w:hAnsi="Times New Roman" w:eastAsia="宋体" w:cs="Times New Roman"/>
          <w:b/>
          <w:bCs/>
          <w:color w:val="auto"/>
          <w:sz w:val="24"/>
          <w:szCs w:val="24"/>
        </w:rPr>
        <w:t>本项目</w:t>
      </w:r>
      <w:r>
        <w:rPr>
          <w:rFonts w:hint="eastAsia" w:cs="Times New Roman"/>
          <w:b/>
          <w:bCs/>
          <w:color w:val="auto"/>
          <w:sz w:val="24"/>
          <w:szCs w:val="24"/>
          <w:lang w:eastAsia="zh-CN"/>
        </w:rPr>
        <w:t>地下水</w:t>
      </w:r>
      <w:r>
        <w:rPr>
          <w:rFonts w:hint="default" w:ascii="Times New Roman" w:hAnsi="Times New Roman" w:eastAsia="宋体" w:cs="Times New Roman"/>
          <w:b/>
          <w:bCs/>
          <w:color w:val="auto"/>
          <w:sz w:val="24"/>
          <w:szCs w:val="24"/>
        </w:rPr>
        <w:t>环境风险潜势为Ⅰ</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15</w:t>
      </w:r>
      <w:r>
        <w:rPr>
          <w:rFonts w:hint="default" w:ascii="Times New Roman" w:hAnsi="Times New Roman" w:eastAsia="宋体" w:cs="Times New Roman"/>
          <w:b/>
          <w:bCs w:val="0"/>
          <w:color w:val="auto"/>
          <w:sz w:val="24"/>
          <w:szCs w:val="24"/>
          <w:lang w:val="en-US" w:eastAsia="zh-CN"/>
        </w:rPr>
        <w:t xml:space="preserve">  建设项目环境风险潜势划分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1558"/>
        <w:gridCol w:w="1558"/>
        <w:gridCol w:w="1416"/>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restar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环境敏感程度（E）</w:t>
            </w:r>
          </w:p>
        </w:tc>
        <w:tc>
          <w:tcPr>
            <w:tcW w:w="3426" w:type="pct"/>
            <w:gridSpan w:val="4"/>
            <w:noWrap w:val="0"/>
            <w:vAlign w:val="center"/>
          </w:tcPr>
          <w:p>
            <w:pPr>
              <w:pStyle w:val="18"/>
              <w:spacing w:after="0" w:line="240" w:lineRule="exact"/>
              <w:jc w:val="center"/>
              <w:rPr>
                <w:rFonts w:hint="default" w:ascii="Times New Roman" w:hAnsi="Times New Roman" w:cs="Times New Roman"/>
                <w:szCs w:val="21"/>
              </w:rPr>
            </w:pPr>
            <w:r>
              <w:rPr>
                <w:rFonts w:hint="default" w:ascii="Times New Roman" w:hAnsi="Times New Roman" w:cs="Times New Roman"/>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continue"/>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P1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P2</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P3</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环境高度敏感区（E1）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r>
              <w:rPr>
                <w:rFonts w:hint="default" w:ascii="Times New Roman" w:hAnsi="Times New Roman" w:cs="Times New Roman"/>
                <w:color w:val="000000"/>
                <w:szCs w:val="21"/>
                <w:vertAlign w:val="superscript"/>
              </w:rPr>
              <w:t>+</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p>
        </w:tc>
        <w:tc>
          <w:tcPr>
            <w:tcW w:w="831"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c>
          <w:tcPr>
            <w:tcW w:w="767"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环境中度敏感区（E2）</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Ⅳ</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环境低度敏感区（E3）</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pPr>
              <w:pStyle w:val="37"/>
              <w:widowControl w:val="0"/>
              <w:spacing w:before="0" w:after="0" w:line="240" w:lineRule="exact"/>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注：Ⅳ</w:t>
            </w:r>
            <w:r>
              <w:rPr>
                <w:rFonts w:hint="default" w:ascii="Times New Roman" w:hAnsi="Times New Roman" w:eastAsia="宋体" w:cs="Times New Roman"/>
                <w:color w:val="000000"/>
                <w:sz w:val="21"/>
                <w:szCs w:val="21"/>
                <w:vertAlign w:val="superscript"/>
                <w:lang w:eastAsia="zh-CN"/>
              </w:rPr>
              <w:t>+</w:t>
            </w:r>
            <w:r>
              <w:rPr>
                <w:rFonts w:hint="default" w:ascii="Times New Roman" w:hAnsi="Times New Roman" w:eastAsia="宋体" w:cs="Times New Roman"/>
                <w:color w:val="000000"/>
                <w:sz w:val="21"/>
                <w:szCs w:val="21"/>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地下水环境</w:t>
      </w:r>
      <w:r>
        <w:rPr>
          <w:rFonts w:hint="eastAsia" w:ascii="Times New Roman" w:hAnsi="Times New Roman" w:eastAsia="宋体" w:cs="Times New Roman"/>
          <w:color w:val="auto"/>
          <w:sz w:val="24"/>
          <w:szCs w:val="24"/>
        </w:rPr>
        <w:t>环境风险评价等级划分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根据《建设项目环境风险评价技术导则》（HJ</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-2018）中评价工作等级划分要求，如下表</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16</w:t>
      </w:r>
      <w:r>
        <w:rPr>
          <w:rFonts w:hint="eastAsia" w:ascii="Times New Roman" w:hAnsi="Times New Roman" w:eastAsia="宋体" w:cs="Times New Roman"/>
          <w:b/>
          <w:bCs w:val="0"/>
          <w:color w:val="auto"/>
          <w:sz w:val="24"/>
          <w:szCs w:val="24"/>
          <w:lang w:val="en-US" w:eastAsia="zh-CN"/>
        </w:rPr>
        <w:t xml:space="preserve">  评价工作等级划分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环境风险潜势</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Ⅳ、Ⅳ</w:t>
            </w:r>
            <w:r>
              <w:rPr>
                <w:rFonts w:hint="default" w:ascii="Times New Roman" w:hAnsi="Times New Roman" w:cs="Times New Roman"/>
                <w:vertAlign w:val="superscript"/>
              </w:rPr>
              <w:t>+</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Ⅲ</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Ⅱ</w:t>
            </w:r>
          </w:p>
        </w:tc>
        <w:tc>
          <w:tcPr>
            <w:tcW w:w="1000" w:type="pct"/>
            <w:noWrap w:val="0"/>
            <w:vAlign w:val="center"/>
          </w:tcPr>
          <w:p>
            <w:pPr>
              <w:adjustRightInd w:val="0"/>
              <w:snapToGrid w:val="0"/>
              <w:spacing w:line="240" w:lineRule="atLeast"/>
              <w:jc w:val="cente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评价工作等级</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一</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二</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三</w:t>
            </w:r>
          </w:p>
        </w:tc>
        <w:tc>
          <w:tcPr>
            <w:tcW w:w="1000" w:type="pct"/>
            <w:noWrap w:val="0"/>
            <w:vAlign w:val="center"/>
          </w:tcPr>
          <w:p>
            <w:pPr>
              <w:adjustRightInd w:val="0"/>
              <w:snapToGrid w:val="0"/>
              <w:spacing w:line="240" w:lineRule="atLeast"/>
              <w:jc w:val="center"/>
            </w:pPr>
            <w:r>
              <w:t>简单分析</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cs="Times New Roman"/>
          <w:color w:val="auto"/>
          <w:sz w:val="24"/>
          <w:szCs w:val="24"/>
          <w:lang w:eastAsia="zh-CN"/>
        </w:rPr>
        <w:t>本项目地下水</w:t>
      </w:r>
      <w:r>
        <w:rPr>
          <w:rFonts w:hint="eastAsia" w:ascii="Times New Roman" w:hAnsi="Times New Roman" w:eastAsia="宋体" w:cs="Times New Roman"/>
          <w:color w:val="auto"/>
          <w:sz w:val="24"/>
          <w:szCs w:val="24"/>
        </w:rPr>
        <w:t>环境风险评价工作为</w:t>
      </w:r>
      <w:r>
        <w:rPr>
          <w:rFonts w:hint="eastAsia" w:cs="Times New Roman"/>
          <w:color w:val="auto"/>
          <w:sz w:val="24"/>
          <w:szCs w:val="24"/>
          <w:lang w:eastAsia="zh-CN"/>
        </w:rPr>
        <w:t>简单分析</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地下水</w:t>
      </w:r>
      <w:r>
        <w:rPr>
          <w:rFonts w:hint="eastAsia" w:ascii="Times New Roman" w:hAnsi="Times New Roman" w:eastAsia="宋体" w:cs="Times New Roman"/>
          <w:color w:val="auto"/>
          <w:sz w:val="24"/>
          <w:szCs w:val="24"/>
        </w:rPr>
        <w:t>环境风险评价</w:t>
      </w:r>
      <w:r>
        <w:rPr>
          <w:rFonts w:hint="eastAsia" w:ascii="Times New Roman" w:hAnsi="Times New Roman" w:eastAsia="宋体" w:cs="Times New Roman"/>
          <w:color w:val="auto"/>
          <w:sz w:val="24"/>
          <w:szCs w:val="24"/>
          <w:lang w:eastAsia="zh-CN"/>
        </w:rPr>
        <w:t>范围</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cs="Times New Roman"/>
          <w:b/>
          <w:bCs/>
          <w:color w:val="auto"/>
          <w:sz w:val="24"/>
          <w:szCs w:val="24"/>
          <w:lang w:val="en-US" w:eastAsia="zh-CN"/>
        </w:rPr>
      </w:pPr>
      <w:r>
        <w:rPr>
          <w:rFonts w:hint="eastAsia" w:cs="Times New Roman"/>
          <w:b w:val="0"/>
          <w:bCs w:val="0"/>
          <w:color w:val="auto"/>
          <w:sz w:val="24"/>
          <w:szCs w:val="24"/>
          <w:lang w:val="en-US" w:eastAsia="zh-CN"/>
        </w:rPr>
        <w:t>根据《环境影响评价技术导则 地下水环境》（HJ***-2016），本项目无需开展地下水影响评价，因此未设置评价范围。本项目只考虑厂界外500m范围内的矩形区域。</w:t>
      </w:r>
      <w:r>
        <w:rPr>
          <w:rFonts w:hint="eastAsia" w:ascii="Times New Roman" w:hAnsi="Times New Roman" w:eastAsia="宋体" w:cs="Times New Roman"/>
          <w:b w:val="0"/>
          <w:bCs/>
          <w:color w:val="auto"/>
          <w:kern w:val="2"/>
          <w:sz w:val="24"/>
          <w:szCs w:val="24"/>
          <w:lang w:val="en-US" w:eastAsia="zh-CN" w:bidi="ar-SA"/>
        </w:rPr>
        <w:t>环境保护目标为</w:t>
      </w:r>
      <w:r>
        <w:rPr>
          <w:rFonts w:hint="default" w:ascii="Times New Roman" w:hAnsi="Times New Roman" w:eastAsia="宋体" w:cs="Times New Roman"/>
          <w:b w:val="0"/>
          <w:bCs/>
          <w:color w:val="auto"/>
          <w:kern w:val="2"/>
          <w:sz w:val="24"/>
          <w:szCs w:val="24"/>
          <w:lang w:val="en-US" w:eastAsia="zh-CN" w:bidi="ar-SA"/>
        </w:rPr>
        <w:t>地下水集中式饮用水水源和热水、矿泉水、温泉等特殊地下水资源，评价范围内无地下水环境保护目标。</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4、地表水环境风险评价等级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hAnsi="宋体"/>
          <w:color w:val="auto"/>
          <w:sz w:val="24"/>
          <w:szCs w:val="24"/>
        </w:rPr>
        <w:t>（</w:t>
      </w:r>
      <w:r>
        <w:rPr>
          <w:rFonts w:hint="eastAsia" w:hAnsi="宋体"/>
          <w:color w:val="auto"/>
          <w:sz w:val="24"/>
          <w:szCs w:val="24"/>
          <w:lang w:val="en-US" w:eastAsia="zh-CN"/>
        </w:rPr>
        <w:t>1</w:t>
      </w:r>
      <w:r>
        <w:rPr>
          <w:rFonts w:hint="eastAsia" w:hAnsi="宋体"/>
          <w:color w:val="auto"/>
          <w:sz w:val="24"/>
          <w:szCs w:val="24"/>
        </w:rPr>
        <w:t>）</w:t>
      </w:r>
      <w:r>
        <w:rPr>
          <w:rFonts w:hint="eastAsia" w:ascii="Times New Roman" w:hAnsi="Times New Roman" w:eastAsia="宋体" w:cs="Times New Roman"/>
          <w:color w:val="auto"/>
          <w:sz w:val="24"/>
          <w:szCs w:val="24"/>
        </w:rPr>
        <w:t>环境敏感程度（E）的分级</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依据事故情况下危险物质泄漏到水体的排放点受纳地表水体功能敏感性，与下游环境敏感目标情况，共分为三种类型。地表水功能敏感性分区和环境敏感目标分级情况见下表：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17</w:t>
      </w:r>
      <w:r>
        <w:rPr>
          <w:rFonts w:hint="default" w:ascii="Times New Roman" w:hAnsi="Times New Roman" w:eastAsia="宋体"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地表水环境敏感程度分级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289"/>
        <w:gridCol w:w="200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shd w:val="clear" w:color="auto" w:fill="auto"/>
            <w:vAlign w:val="center"/>
          </w:tcPr>
          <w:p>
            <w:pPr>
              <w:adjustRightInd w:val="0"/>
              <w:snapToGrid w:val="0"/>
              <w:spacing w:line="240" w:lineRule="atLeast"/>
              <w:jc w:val="center"/>
              <w:rPr>
                <w:b/>
                <w:color w:val="auto"/>
              </w:rPr>
            </w:pPr>
            <w:r>
              <w:rPr>
                <w:b/>
                <w:color w:val="auto"/>
              </w:rPr>
              <w:t>环境</w:t>
            </w:r>
            <w:r>
              <w:rPr>
                <w:rFonts w:hint="eastAsia"/>
                <w:b/>
                <w:color w:val="auto"/>
              </w:rPr>
              <w:t>敏感目标</w:t>
            </w:r>
          </w:p>
        </w:tc>
        <w:tc>
          <w:tcPr>
            <w:tcW w:w="4000" w:type="pct"/>
            <w:gridSpan w:val="3"/>
            <w:shd w:val="clear" w:color="auto" w:fill="auto"/>
            <w:vAlign w:val="center"/>
          </w:tcPr>
          <w:p>
            <w:pPr>
              <w:adjustRightInd w:val="0"/>
              <w:snapToGrid w:val="0"/>
              <w:spacing w:line="240" w:lineRule="atLeast"/>
              <w:jc w:val="center"/>
              <w:rPr>
                <w:rFonts w:ascii="宋体" w:hAnsi="宋体" w:cs="宋体"/>
                <w:b/>
                <w:color w:val="auto"/>
              </w:rPr>
            </w:pPr>
            <w:r>
              <w:rPr>
                <w:rFonts w:hint="eastAsia" w:ascii="宋体" w:hAnsi="宋体" w:cs="宋体"/>
                <w:b/>
                <w:color w:val="auto"/>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shd w:val="clear" w:color="auto" w:fill="auto"/>
            <w:vAlign w:val="center"/>
          </w:tcPr>
          <w:p>
            <w:pPr>
              <w:adjustRightInd w:val="0"/>
              <w:snapToGrid w:val="0"/>
              <w:spacing w:line="240" w:lineRule="atLeast"/>
              <w:jc w:val="center"/>
              <w:rPr>
                <w:b/>
                <w:color w:val="auto"/>
              </w:rPr>
            </w:pPr>
          </w:p>
        </w:tc>
        <w:tc>
          <w:tcPr>
            <w:tcW w:w="1343" w:type="pct"/>
            <w:shd w:val="clear" w:color="auto" w:fill="auto"/>
            <w:vAlign w:val="center"/>
          </w:tcPr>
          <w:p>
            <w:pPr>
              <w:adjustRightInd w:val="0"/>
              <w:snapToGrid w:val="0"/>
              <w:spacing w:line="240" w:lineRule="atLeast"/>
              <w:jc w:val="center"/>
              <w:rPr>
                <w:b/>
                <w:color w:val="auto"/>
              </w:rPr>
            </w:pPr>
            <w:r>
              <w:rPr>
                <w:rFonts w:hint="eastAsia" w:ascii="宋体" w:hAnsi="宋体" w:cs="宋体"/>
                <w:b/>
                <w:color w:val="auto"/>
              </w:rPr>
              <w:t>F1</w:t>
            </w:r>
          </w:p>
        </w:tc>
        <w:tc>
          <w:tcPr>
            <w:tcW w:w="1179" w:type="pct"/>
            <w:shd w:val="clear" w:color="auto" w:fill="auto"/>
            <w:vAlign w:val="center"/>
          </w:tcPr>
          <w:p>
            <w:pPr>
              <w:adjustRightInd w:val="0"/>
              <w:snapToGrid w:val="0"/>
              <w:spacing w:line="240" w:lineRule="atLeast"/>
              <w:jc w:val="center"/>
              <w:rPr>
                <w:b/>
                <w:color w:val="auto"/>
              </w:rPr>
            </w:pPr>
            <w:r>
              <w:rPr>
                <w:rFonts w:hint="eastAsia" w:ascii="宋体" w:hAnsi="宋体" w:cs="宋体"/>
                <w:b/>
                <w:color w:val="auto"/>
              </w:rPr>
              <w:t>F2</w:t>
            </w:r>
          </w:p>
        </w:tc>
        <w:tc>
          <w:tcPr>
            <w:tcW w:w="1478" w:type="pct"/>
            <w:shd w:val="clear" w:color="auto" w:fill="auto"/>
            <w:vAlign w:val="center"/>
          </w:tcPr>
          <w:p>
            <w:pPr>
              <w:adjustRightInd w:val="0"/>
              <w:snapToGrid w:val="0"/>
              <w:spacing w:line="240" w:lineRule="atLeast"/>
              <w:jc w:val="center"/>
              <w:rPr>
                <w:b/>
                <w:color w:val="auto"/>
              </w:rPr>
            </w:pPr>
            <w:r>
              <w:rPr>
                <w:b/>
                <w:color w:val="auto"/>
              </w:rPr>
              <w:t>F</w:t>
            </w:r>
            <w:r>
              <w:rPr>
                <w:rFonts w:hint="eastAsia"/>
                <w:b/>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S1</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S2</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center"/>
          </w:tcPr>
          <w:p>
            <w:pPr>
              <w:adjustRightInd w:val="0"/>
              <w:snapToGrid w:val="0"/>
              <w:spacing w:line="240" w:lineRule="atLeast"/>
              <w:jc w:val="center"/>
              <w:rPr>
                <w:color w:val="auto"/>
              </w:rPr>
            </w:pPr>
            <w:r>
              <w:rPr>
                <w:rFonts w:hint="eastAsia"/>
                <w:color w:val="auto"/>
              </w:rPr>
              <w:t>S3</w:t>
            </w:r>
          </w:p>
        </w:tc>
        <w:tc>
          <w:tcPr>
            <w:tcW w:w="1343"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1</w:t>
            </w:r>
          </w:p>
        </w:tc>
        <w:tc>
          <w:tcPr>
            <w:tcW w:w="1179"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2</w:t>
            </w:r>
          </w:p>
        </w:tc>
        <w:tc>
          <w:tcPr>
            <w:tcW w:w="1478" w:type="pct"/>
            <w:shd w:val="clear" w:color="auto" w:fill="auto"/>
            <w:vAlign w:val="center"/>
          </w:tcPr>
          <w:p>
            <w:pPr>
              <w:adjustRightInd w:val="0"/>
              <w:snapToGrid w:val="0"/>
              <w:spacing w:line="240" w:lineRule="atLeast"/>
              <w:jc w:val="center"/>
              <w:rPr>
                <w:color w:val="auto"/>
              </w:rPr>
            </w:pPr>
            <w:r>
              <w:rPr>
                <w:color w:val="auto"/>
              </w:rPr>
              <w:t>E</w:t>
            </w:r>
            <w:r>
              <w:rPr>
                <w:rFonts w:hint="eastAsia"/>
                <w:color w:val="auto"/>
              </w:rPr>
              <w:t>3</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 xml:space="preserve">18 </w:t>
      </w:r>
      <w:r>
        <w:rPr>
          <w:rFonts w:hint="default" w:ascii="Times New Roman" w:hAnsi="Times New Roman" w:eastAsia="宋体"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地表水功能敏感性分区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pPr>
              <w:adjustRightInd w:val="0"/>
              <w:snapToGrid w:val="0"/>
              <w:spacing w:line="240" w:lineRule="atLeast"/>
              <w:jc w:val="center"/>
              <w:rPr>
                <w:b/>
                <w:color w:val="auto"/>
              </w:rPr>
            </w:pPr>
            <w:r>
              <w:rPr>
                <w:rFonts w:hint="eastAsia"/>
                <w:b/>
                <w:color w:val="auto"/>
              </w:rPr>
              <w:t>敏感性</w:t>
            </w:r>
          </w:p>
        </w:tc>
        <w:tc>
          <w:tcPr>
            <w:tcW w:w="4308" w:type="pct"/>
            <w:shd w:val="clear" w:color="auto" w:fill="auto"/>
            <w:vAlign w:val="center"/>
          </w:tcPr>
          <w:p>
            <w:pPr>
              <w:adjustRightInd w:val="0"/>
              <w:snapToGrid w:val="0"/>
              <w:spacing w:line="240" w:lineRule="atLeast"/>
              <w:jc w:val="center"/>
              <w:rPr>
                <w:b/>
                <w:color w:val="auto"/>
              </w:rPr>
            </w:pPr>
            <w:r>
              <w:rPr>
                <w:b/>
                <w:color w:val="auto"/>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pPr>
              <w:adjustRightInd w:val="0"/>
              <w:snapToGrid w:val="0"/>
              <w:spacing w:line="240" w:lineRule="atLeast"/>
              <w:jc w:val="center"/>
              <w:rPr>
                <w:color w:val="auto"/>
              </w:rPr>
            </w:pPr>
            <w:r>
              <w:rPr>
                <w:color w:val="auto"/>
              </w:rPr>
              <w:t>敏感F</w:t>
            </w:r>
            <w:r>
              <w:rPr>
                <w:rFonts w:hint="eastAsia"/>
                <w:color w:val="auto"/>
              </w:rPr>
              <w:t>1</w:t>
            </w:r>
          </w:p>
        </w:tc>
        <w:tc>
          <w:tcPr>
            <w:tcW w:w="4308" w:type="pct"/>
            <w:shd w:val="clear" w:color="auto" w:fill="auto"/>
            <w:vAlign w:val="center"/>
          </w:tcPr>
          <w:p>
            <w:pPr>
              <w:adjustRightInd w:val="0"/>
              <w:snapToGrid w:val="0"/>
              <w:spacing w:line="240" w:lineRule="atLeast"/>
              <w:jc w:val="center"/>
              <w:rPr>
                <w:color w:val="auto"/>
              </w:rPr>
            </w:pPr>
            <w:r>
              <w:rPr>
                <w:color w:val="auto"/>
              </w:rPr>
              <w:t>排放点进入</w:t>
            </w:r>
            <w:r>
              <w:rPr>
                <w:rFonts w:hint="eastAsia"/>
                <w:color w:val="auto"/>
              </w:rPr>
              <w:t>地表水水域环境功能为Ⅱ类及以上，或海水水质分类第一类；</w:t>
            </w:r>
          </w:p>
          <w:p>
            <w:pPr>
              <w:adjustRightInd w:val="0"/>
              <w:snapToGrid w:val="0"/>
              <w:spacing w:line="240" w:lineRule="atLeast"/>
              <w:jc w:val="center"/>
              <w:rPr>
                <w:color w:val="auto"/>
              </w:rPr>
            </w:pPr>
            <w:r>
              <w:rPr>
                <w:rFonts w:hint="eastAsia"/>
                <w:color w:val="auto"/>
              </w:rPr>
              <w:t>或以发生事故时，危险物质泄漏到水体的排放点算起，排放进入受纳河流最大流速时，24h流经范围内涉跨国界的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pPr>
              <w:adjustRightInd w:val="0"/>
              <w:snapToGrid w:val="0"/>
              <w:spacing w:line="240" w:lineRule="atLeast"/>
              <w:jc w:val="center"/>
              <w:rPr>
                <w:color w:val="auto"/>
              </w:rPr>
            </w:pPr>
            <w:r>
              <w:rPr>
                <w:color w:val="auto"/>
              </w:rPr>
              <w:t>较敏感F</w:t>
            </w:r>
            <w:r>
              <w:rPr>
                <w:rFonts w:hint="eastAsia"/>
                <w:color w:val="auto"/>
              </w:rPr>
              <w:t>2</w:t>
            </w:r>
          </w:p>
        </w:tc>
        <w:tc>
          <w:tcPr>
            <w:tcW w:w="4308" w:type="pct"/>
            <w:shd w:val="clear" w:color="auto" w:fill="auto"/>
            <w:vAlign w:val="center"/>
          </w:tcPr>
          <w:p>
            <w:pPr>
              <w:adjustRightInd w:val="0"/>
              <w:snapToGrid w:val="0"/>
              <w:spacing w:line="240" w:lineRule="atLeast"/>
              <w:jc w:val="center"/>
              <w:rPr>
                <w:color w:val="auto"/>
              </w:rPr>
            </w:pPr>
            <w:r>
              <w:rPr>
                <w:rFonts w:hint="eastAsia"/>
                <w:color w:val="auto"/>
              </w:rPr>
              <w:t>排放点进入地表水水域环境功能为Ⅲ类，或海水水质分类第二类；</w:t>
            </w:r>
          </w:p>
          <w:p>
            <w:pPr>
              <w:adjustRightInd w:val="0"/>
              <w:snapToGrid w:val="0"/>
              <w:spacing w:line="240" w:lineRule="atLeast"/>
              <w:jc w:val="center"/>
              <w:rPr>
                <w:color w:val="auto"/>
              </w:rPr>
            </w:pPr>
            <w:r>
              <w:rPr>
                <w:rFonts w:hint="eastAsia"/>
                <w:color w:val="auto"/>
              </w:rPr>
              <w:t>或以发生事故时，危险物质泄漏到水体的排放点算起，排放进入受纳河流最大流速时，24h流经范围内涉跨省界的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shd w:val="clear" w:color="auto" w:fill="auto"/>
            <w:vAlign w:val="center"/>
          </w:tcPr>
          <w:p>
            <w:pPr>
              <w:adjustRightInd w:val="0"/>
              <w:snapToGrid w:val="0"/>
              <w:spacing w:line="240" w:lineRule="atLeast"/>
              <w:jc w:val="center"/>
              <w:rPr>
                <w:color w:val="auto"/>
              </w:rPr>
            </w:pPr>
            <w:r>
              <w:rPr>
                <w:color w:val="auto"/>
              </w:rPr>
              <w:t>低敏感F</w:t>
            </w:r>
            <w:r>
              <w:rPr>
                <w:rFonts w:hint="eastAsia"/>
                <w:color w:val="auto"/>
              </w:rPr>
              <w:t>3</w:t>
            </w:r>
          </w:p>
        </w:tc>
        <w:tc>
          <w:tcPr>
            <w:tcW w:w="4308" w:type="pct"/>
            <w:shd w:val="clear" w:color="auto" w:fill="auto"/>
            <w:vAlign w:val="center"/>
          </w:tcPr>
          <w:p>
            <w:pPr>
              <w:adjustRightInd w:val="0"/>
              <w:snapToGrid w:val="0"/>
              <w:spacing w:line="240" w:lineRule="atLeast"/>
              <w:jc w:val="center"/>
              <w:rPr>
                <w:color w:val="auto"/>
              </w:rPr>
            </w:pPr>
            <w:r>
              <w:rPr>
                <w:rFonts w:hint="eastAsia"/>
                <w:color w:val="auto"/>
              </w:rPr>
              <w:t>上述地区之外的其他地区</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19</w:t>
      </w:r>
      <w:r>
        <w:rPr>
          <w:rFonts w:hint="default"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环境敏感目标分级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7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shd w:val="clear" w:color="auto" w:fill="auto"/>
            <w:vAlign w:val="center"/>
          </w:tcPr>
          <w:p>
            <w:pPr>
              <w:adjustRightInd w:val="0"/>
              <w:snapToGrid w:val="0"/>
              <w:spacing w:line="240" w:lineRule="atLeast"/>
              <w:jc w:val="center"/>
              <w:rPr>
                <w:b/>
                <w:color w:val="auto"/>
              </w:rPr>
            </w:pPr>
            <w:r>
              <w:rPr>
                <w:rFonts w:hint="eastAsia"/>
                <w:b/>
                <w:color w:val="auto"/>
              </w:rPr>
              <w:t>分级</w:t>
            </w:r>
          </w:p>
        </w:tc>
        <w:tc>
          <w:tcPr>
            <w:tcW w:w="4528" w:type="pct"/>
            <w:shd w:val="clear" w:color="auto" w:fill="auto"/>
            <w:vAlign w:val="center"/>
          </w:tcPr>
          <w:p>
            <w:pPr>
              <w:adjustRightInd w:val="0"/>
              <w:snapToGrid w:val="0"/>
              <w:spacing w:line="240" w:lineRule="atLeast"/>
              <w:jc w:val="center"/>
              <w:rPr>
                <w:b/>
                <w:color w:val="auto"/>
              </w:rPr>
            </w:pPr>
            <w:r>
              <w:rPr>
                <w:rFonts w:hint="eastAsia"/>
                <w:b/>
                <w:color w:val="auto"/>
              </w:rPr>
              <w:t>环境敏感目标分级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shd w:val="clear" w:color="auto" w:fill="auto"/>
            <w:vAlign w:val="center"/>
          </w:tcPr>
          <w:p>
            <w:pPr>
              <w:adjustRightInd w:val="0"/>
              <w:snapToGrid w:val="0"/>
              <w:spacing w:line="240" w:lineRule="atLeast"/>
              <w:jc w:val="center"/>
              <w:rPr>
                <w:color w:val="auto"/>
              </w:rPr>
            </w:pPr>
            <w:r>
              <w:rPr>
                <w:rFonts w:hint="eastAsia"/>
                <w:color w:val="auto"/>
              </w:rPr>
              <w:t>S1</w:t>
            </w:r>
          </w:p>
        </w:tc>
        <w:tc>
          <w:tcPr>
            <w:tcW w:w="4528" w:type="pct"/>
            <w:shd w:val="clear" w:color="auto" w:fill="auto"/>
            <w:vAlign w:val="center"/>
          </w:tcPr>
          <w:p>
            <w:pPr>
              <w:adjustRightInd w:val="0"/>
              <w:snapToGrid w:val="0"/>
              <w:spacing w:line="240" w:lineRule="atLeast"/>
              <w:jc w:val="center"/>
              <w:rPr>
                <w:color w:val="auto"/>
              </w:rPr>
            </w:pPr>
            <w:r>
              <w:rPr>
                <w:rFonts w:hint="eastAsia"/>
                <w:color w:val="auto"/>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shd w:val="clear" w:color="auto" w:fill="auto"/>
            <w:vAlign w:val="center"/>
          </w:tcPr>
          <w:p>
            <w:pPr>
              <w:adjustRightInd w:val="0"/>
              <w:snapToGrid w:val="0"/>
              <w:spacing w:line="240" w:lineRule="atLeast"/>
              <w:jc w:val="center"/>
              <w:rPr>
                <w:color w:val="auto"/>
              </w:rPr>
            </w:pPr>
            <w:r>
              <w:rPr>
                <w:rFonts w:hint="eastAsia"/>
                <w:color w:val="auto"/>
              </w:rPr>
              <w:t>S2</w:t>
            </w:r>
          </w:p>
        </w:tc>
        <w:tc>
          <w:tcPr>
            <w:tcW w:w="4528" w:type="pct"/>
            <w:shd w:val="clear" w:color="auto" w:fill="auto"/>
            <w:vAlign w:val="center"/>
          </w:tcPr>
          <w:p>
            <w:pPr>
              <w:adjustRightInd w:val="0"/>
              <w:snapToGrid w:val="0"/>
              <w:spacing w:line="240" w:lineRule="atLeast"/>
              <w:jc w:val="center"/>
              <w:rPr>
                <w:color w:val="auto"/>
              </w:rPr>
            </w:pPr>
            <w:r>
              <w:rPr>
                <w:rFonts w:hint="eastAsia"/>
                <w:color w:val="auto"/>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shd w:val="clear" w:color="auto" w:fill="auto"/>
            <w:vAlign w:val="center"/>
          </w:tcPr>
          <w:p>
            <w:pPr>
              <w:adjustRightInd w:val="0"/>
              <w:snapToGrid w:val="0"/>
              <w:spacing w:line="240" w:lineRule="atLeast"/>
              <w:jc w:val="center"/>
              <w:rPr>
                <w:color w:val="auto"/>
              </w:rPr>
            </w:pPr>
            <w:r>
              <w:rPr>
                <w:rFonts w:hint="eastAsia"/>
                <w:color w:val="auto"/>
              </w:rPr>
              <w:t>S3</w:t>
            </w:r>
          </w:p>
        </w:tc>
        <w:tc>
          <w:tcPr>
            <w:tcW w:w="4528" w:type="pct"/>
            <w:shd w:val="clear" w:color="auto" w:fill="auto"/>
            <w:vAlign w:val="center"/>
          </w:tcPr>
          <w:p>
            <w:pPr>
              <w:adjustRightInd w:val="0"/>
              <w:snapToGrid w:val="0"/>
              <w:spacing w:line="240" w:lineRule="atLeast"/>
              <w:jc w:val="center"/>
              <w:rPr>
                <w:color w:val="auto"/>
              </w:rPr>
            </w:pPr>
            <w:r>
              <w:rPr>
                <w:rFonts w:hint="eastAsia"/>
                <w:color w:val="auto"/>
              </w:rPr>
              <w:t>排放点下游（顺水流向）10km范围、近岸海域一个潮周期水质点可能达到的最大水平距离的两倍范围内无上述类型1和类型2包括的敏感保护目标</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本项目综合废水处理站发生事故时，事故废水进入项目事故应急水池储存，极端情况项目区内储存不下时，事故废水进入</w:t>
      </w:r>
      <w:r>
        <w:rPr>
          <w:rFonts w:hint="eastAsia" w:cs="Times New Roman"/>
          <w:color w:val="auto"/>
          <w:sz w:val="24"/>
          <w:szCs w:val="24"/>
          <w:lang w:val="en-US" w:eastAsia="zh-CN"/>
        </w:rPr>
        <w:t>污水管网流向碧谷</w:t>
      </w:r>
      <w:r>
        <w:rPr>
          <w:rFonts w:hint="eastAsia" w:ascii="Times New Roman" w:hAnsi="Times New Roman" w:eastAsia="宋体" w:cs="Times New Roman"/>
          <w:color w:val="auto"/>
          <w:sz w:val="24"/>
          <w:szCs w:val="24"/>
        </w:rPr>
        <w:t>污水处理厂，废水不会直接进入河流</w:t>
      </w:r>
      <w:r>
        <w:rPr>
          <w:rFonts w:hint="eastAsia" w:cs="Times New Roman"/>
          <w:color w:val="auto"/>
          <w:sz w:val="24"/>
          <w:szCs w:val="24"/>
          <w:lang w:eastAsia="zh-CN"/>
        </w:rPr>
        <w:t>。</w:t>
      </w:r>
      <w:r>
        <w:rPr>
          <w:rFonts w:hint="eastAsia" w:cs="Times New Roman"/>
          <w:color w:val="auto"/>
          <w:sz w:val="24"/>
          <w:szCs w:val="24"/>
          <w:lang w:val="en-US" w:eastAsia="zh-CN"/>
        </w:rPr>
        <w:t>碧谷污水处理厂的</w:t>
      </w:r>
      <w:r>
        <w:rPr>
          <w:rFonts w:hint="eastAsia" w:ascii="Times New Roman" w:hAnsi="Times New Roman" w:eastAsia="宋体" w:cs="Times New Roman"/>
          <w:color w:val="auto"/>
          <w:sz w:val="24"/>
          <w:szCs w:val="24"/>
        </w:rPr>
        <w:t>受纳河流</w:t>
      </w:r>
      <w:r>
        <w:rPr>
          <w:rFonts w:hint="eastAsia" w:cs="Times New Roman"/>
          <w:color w:val="auto"/>
          <w:sz w:val="24"/>
          <w:szCs w:val="24"/>
          <w:lang w:val="en-US" w:eastAsia="zh-CN"/>
        </w:rPr>
        <w:t>大白</w:t>
      </w:r>
      <w:r>
        <w:rPr>
          <w:rFonts w:hint="eastAsia" w:ascii="Times New Roman" w:hAnsi="Times New Roman" w:eastAsia="宋体" w:cs="Times New Roman"/>
          <w:color w:val="auto"/>
          <w:sz w:val="24"/>
          <w:szCs w:val="24"/>
        </w:rPr>
        <w:t>河为Ⅲ类水体，24h流经范围不涉及省界或国界；排放点下游（顺水流向）10km范围可能达到的最大水平距离内不涉及饮用水源保护区、自然保护区等需要特殊保护区域。</w:t>
      </w:r>
      <w:r>
        <w:rPr>
          <w:rFonts w:hint="eastAsia" w:cs="Times New Roman"/>
          <w:color w:val="auto"/>
          <w:sz w:val="24"/>
          <w:szCs w:val="24"/>
          <w:lang w:val="en-US" w:eastAsia="zh-CN"/>
        </w:rPr>
        <w:t>本项目无直接排放点，</w:t>
      </w:r>
      <w:r>
        <w:rPr>
          <w:rFonts w:hint="eastAsia" w:ascii="Times New Roman" w:hAnsi="Times New Roman" w:eastAsia="宋体" w:cs="Times New Roman"/>
          <w:color w:val="auto"/>
          <w:sz w:val="24"/>
          <w:szCs w:val="24"/>
        </w:rPr>
        <w:t>根据《建设项目环境风险评价技术导则》（HJ</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－2018）附录D，项目地表水功能敏感性为低敏感F3，环境敏感目标分级为S3，本项目</w:t>
      </w:r>
      <w:r>
        <w:rPr>
          <w:rFonts w:hint="eastAsia" w:ascii="Times New Roman" w:hAnsi="Times New Roman" w:eastAsia="宋体" w:cs="Times New Roman"/>
          <w:b/>
          <w:bCs/>
          <w:color w:val="auto"/>
          <w:sz w:val="24"/>
          <w:szCs w:val="24"/>
        </w:rPr>
        <w:t>地表水环境敏感程度最终判定为E3。</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地表水环境</w:t>
      </w:r>
      <w:r>
        <w:rPr>
          <w:rFonts w:hint="eastAsia" w:ascii="Times New Roman" w:hAnsi="Times New Roman" w:eastAsia="宋体" w:cs="Times New Roman"/>
          <w:color w:val="auto"/>
          <w:sz w:val="24"/>
          <w:szCs w:val="24"/>
        </w:rPr>
        <w:t>风险潜势划分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建设项目环境风险潜势</w:t>
      </w:r>
      <w:r>
        <w:rPr>
          <w:rFonts w:hint="default" w:ascii="Times New Roman" w:hAnsi="Times New Roman" w:eastAsia="宋体" w:cs="Times New Roman"/>
          <w:color w:val="auto"/>
          <w:sz w:val="24"/>
          <w:szCs w:val="24"/>
        </w:rPr>
        <w:t>划分为Ⅰ、Ⅱ、Ⅲ、Ⅳ/Ⅳ</w:t>
      </w:r>
      <w:r>
        <w:rPr>
          <w:rFonts w:hint="default" w:ascii="Times New Roman" w:hAnsi="Times New Roman" w:eastAsia="宋体" w:cs="Times New Roman"/>
          <w:color w:val="auto"/>
          <w:sz w:val="24"/>
          <w:szCs w:val="24"/>
          <w:vertAlign w:val="superscript"/>
          <w:lang w:val="en-US" w:eastAsia="zh-CN"/>
        </w:rPr>
        <w:t>+</w:t>
      </w:r>
      <w:r>
        <w:rPr>
          <w:rFonts w:hint="default" w:ascii="Times New Roman" w:hAnsi="Times New Roman" w:eastAsia="宋体" w:cs="Times New Roman"/>
          <w:color w:val="auto"/>
          <w:sz w:val="24"/>
          <w:szCs w:val="24"/>
        </w:rPr>
        <w:t>级，</w:t>
      </w:r>
      <w:r>
        <w:rPr>
          <w:rFonts w:hint="default" w:ascii="Times New Roman" w:hAnsi="Times New Roman" w:eastAsia="宋体" w:cs="Times New Roman"/>
          <w:b/>
          <w:bCs/>
          <w:color w:val="auto"/>
          <w:sz w:val="24"/>
          <w:szCs w:val="24"/>
        </w:rPr>
        <w:t>本项目</w:t>
      </w:r>
      <w:r>
        <w:rPr>
          <w:rFonts w:hint="eastAsia" w:cs="Times New Roman"/>
          <w:b/>
          <w:bCs/>
          <w:color w:val="auto"/>
          <w:sz w:val="24"/>
          <w:szCs w:val="24"/>
          <w:lang w:eastAsia="zh-CN"/>
        </w:rPr>
        <w:t>地表水</w:t>
      </w:r>
      <w:r>
        <w:rPr>
          <w:rFonts w:hint="default" w:ascii="Times New Roman" w:hAnsi="Times New Roman" w:eastAsia="宋体" w:cs="Times New Roman"/>
          <w:b/>
          <w:bCs/>
          <w:color w:val="auto"/>
          <w:sz w:val="24"/>
          <w:szCs w:val="24"/>
        </w:rPr>
        <w:t>环境风险潜势为Ⅰ。</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20</w:t>
      </w:r>
      <w:r>
        <w:rPr>
          <w:rFonts w:hint="default" w:ascii="Times New Roman" w:hAnsi="Times New Roman" w:eastAsia="宋体" w:cs="Times New Roman"/>
          <w:b/>
          <w:bCs w:val="0"/>
          <w:color w:val="auto"/>
          <w:sz w:val="24"/>
          <w:szCs w:val="24"/>
          <w:lang w:val="en-US" w:eastAsia="zh-CN"/>
        </w:rPr>
        <w:t xml:space="preserve">  建设项目环境风险潜势划分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1558"/>
        <w:gridCol w:w="1558"/>
        <w:gridCol w:w="1416"/>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restar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环境敏感程度（E）</w:t>
            </w:r>
          </w:p>
        </w:tc>
        <w:tc>
          <w:tcPr>
            <w:tcW w:w="3426" w:type="pct"/>
            <w:gridSpan w:val="4"/>
            <w:noWrap w:val="0"/>
            <w:vAlign w:val="center"/>
          </w:tcPr>
          <w:p>
            <w:pPr>
              <w:pStyle w:val="18"/>
              <w:spacing w:after="0" w:line="240" w:lineRule="exact"/>
              <w:jc w:val="center"/>
              <w:rPr>
                <w:rFonts w:hint="default" w:ascii="Times New Roman" w:hAnsi="Times New Roman" w:cs="Times New Roman"/>
                <w:szCs w:val="21"/>
              </w:rPr>
            </w:pPr>
            <w:r>
              <w:rPr>
                <w:rFonts w:hint="default" w:ascii="Times New Roman" w:hAnsi="Times New Roman" w:cs="Times New Roman"/>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vMerge w:val="continue"/>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P1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P2</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P3</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环境高度敏感区（E1）</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r>
              <w:rPr>
                <w:rFonts w:hint="default" w:ascii="Times New Roman" w:hAnsi="Times New Roman" w:cs="Times New Roman"/>
                <w:color w:val="000000"/>
                <w:szCs w:val="21"/>
                <w:vertAlign w:val="superscript"/>
              </w:rPr>
              <w:t>+</w:t>
            </w:r>
          </w:p>
        </w:tc>
        <w:tc>
          <w:tcPr>
            <w:tcW w:w="91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Ⅳ</w:t>
            </w:r>
          </w:p>
        </w:tc>
        <w:tc>
          <w:tcPr>
            <w:tcW w:w="831"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c>
          <w:tcPr>
            <w:tcW w:w="767"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环境中度敏感区（E2）</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Ⅳ</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4" w:type="pct"/>
            <w:noWrap w:val="0"/>
            <w:vAlign w:val="center"/>
          </w:tcPr>
          <w:p>
            <w:pPr>
              <w:pStyle w:val="18"/>
              <w:spacing w:after="0" w:line="240" w:lineRule="exact"/>
              <w:ind w:left="0" w:leftChars="0" w:firstLine="0" w:firstLineChars="0"/>
              <w:jc w:val="center"/>
              <w:rPr>
                <w:rFonts w:hint="default" w:ascii="Times New Roman" w:hAnsi="Times New Roman" w:cs="Times New Roman"/>
                <w:szCs w:val="21"/>
              </w:rPr>
            </w:pPr>
            <w:r>
              <w:rPr>
                <w:rFonts w:hint="default" w:ascii="Times New Roman" w:hAnsi="Times New Roman" w:cs="Times New Roman"/>
                <w:szCs w:val="21"/>
              </w:rPr>
              <w:t>环境低度敏感区（E3）</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914"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Ⅲ</w:t>
            </w:r>
          </w:p>
        </w:tc>
        <w:tc>
          <w:tcPr>
            <w:tcW w:w="831"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Ⅱ</w:t>
            </w:r>
          </w:p>
        </w:tc>
        <w:tc>
          <w:tcPr>
            <w:tcW w:w="767" w:type="pct"/>
            <w:noWrap w:val="0"/>
            <w:vAlign w:val="center"/>
          </w:tcPr>
          <w:p>
            <w:pPr>
              <w:pStyle w:val="37"/>
              <w:widowControl w:val="0"/>
              <w:spacing w:before="0" w:after="0" w:line="240" w:lineRule="exact"/>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pPr>
              <w:pStyle w:val="37"/>
              <w:widowControl w:val="0"/>
              <w:spacing w:before="0" w:after="0" w:line="240" w:lineRule="exact"/>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注：Ⅳ</w:t>
            </w:r>
            <w:r>
              <w:rPr>
                <w:rFonts w:hint="default" w:ascii="Times New Roman" w:hAnsi="Times New Roman" w:eastAsia="宋体" w:cs="Times New Roman"/>
                <w:color w:val="000000"/>
                <w:sz w:val="21"/>
                <w:szCs w:val="21"/>
                <w:vertAlign w:val="superscript"/>
                <w:lang w:eastAsia="zh-CN"/>
              </w:rPr>
              <w:t>+</w:t>
            </w:r>
            <w:r>
              <w:rPr>
                <w:rFonts w:hint="default" w:ascii="Times New Roman" w:hAnsi="Times New Roman" w:eastAsia="宋体" w:cs="Times New Roman"/>
                <w:color w:val="000000"/>
                <w:sz w:val="21"/>
                <w:szCs w:val="21"/>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地表水环境</w:t>
      </w:r>
      <w:r>
        <w:rPr>
          <w:rFonts w:hint="eastAsia" w:ascii="Times New Roman" w:hAnsi="Times New Roman" w:eastAsia="宋体" w:cs="Times New Roman"/>
          <w:color w:val="auto"/>
          <w:sz w:val="24"/>
          <w:szCs w:val="24"/>
        </w:rPr>
        <w:t>环境风险评价等级划分</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根据《建设项目环境风险评价技术导则》（HJ</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-2018）中评价工作等级划分要求，如下表</w:t>
      </w:r>
      <w:r>
        <w:rPr>
          <w:rFonts w:hint="eastAsia" w:cs="Times New Roman"/>
          <w:color w:val="auto"/>
          <w:sz w:val="24"/>
          <w:szCs w:val="24"/>
          <w:lang w:val="en-US" w:eastAsia="zh-CN"/>
        </w:rPr>
        <w:t>21</w:t>
      </w:r>
      <w:r>
        <w:rPr>
          <w:rFonts w:hint="eastAsia"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21</w:t>
      </w:r>
      <w:r>
        <w:rPr>
          <w:rFonts w:hint="eastAsia" w:ascii="Times New Roman" w:hAnsi="Times New Roman" w:eastAsia="宋体" w:cs="Times New Roman"/>
          <w:b/>
          <w:bCs w:val="0"/>
          <w:color w:val="auto"/>
          <w:sz w:val="24"/>
          <w:szCs w:val="24"/>
          <w:lang w:val="en-US" w:eastAsia="zh-CN"/>
        </w:rPr>
        <w:t xml:space="preserve">  评价工作等级划分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环境风险潜势</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Ⅳ、Ⅳ</w:t>
            </w:r>
            <w:r>
              <w:rPr>
                <w:rFonts w:hint="default" w:ascii="Times New Roman" w:hAnsi="Times New Roman" w:cs="Times New Roman"/>
                <w:vertAlign w:val="superscript"/>
              </w:rPr>
              <w:t>+</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Ⅲ</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Ⅱ</w:t>
            </w:r>
          </w:p>
        </w:tc>
        <w:tc>
          <w:tcPr>
            <w:tcW w:w="1000" w:type="pct"/>
            <w:noWrap w:val="0"/>
            <w:vAlign w:val="center"/>
          </w:tcPr>
          <w:p>
            <w:pPr>
              <w:adjustRightInd w:val="0"/>
              <w:snapToGrid w:val="0"/>
              <w:spacing w:line="240" w:lineRule="atLeast"/>
              <w:jc w:val="cente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0" w:type="pct"/>
            <w:noWrap w:val="0"/>
            <w:vAlign w:val="center"/>
          </w:tcPr>
          <w:p>
            <w:pPr>
              <w:adjustRightInd w:val="0"/>
              <w:snapToGrid w:val="0"/>
              <w:spacing w:line="240" w:lineRule="atLeast"/>
              <w:jc w:val="center"/>
            </w:pPr>
            <w:r>
              <w:t>评价工作等级</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一</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二</w:t>
            </w:r>
          </w:p>
        </w:tc>
        <w:tc>
          <w:tcPr>
            <w:tcW w:w="1000" w:type="pct"/>
            <w:noWrap w:val="0"/>
            <w:vAlign w:val="center"/>
          </w:tcPr>
          <w:p>
            <w:pPr>
              <w:adjustRightInd w:val="0"/>
              <w:snapToGrid w:val="0"/>
              <w:spacing w:line="240" w:lineRule="atLeast"/>
              <w:jc w:val="center"/>
              <w:rPr>
                <w:rFonts w:hint="default" w:ascii="Times New Roman" w:hAnsi="Times New Roman" w:cs="Times New Roman"/>
              </w:rPr>
            </w:pPr>
            <w:r>
              <w:rPr>
                <w:rFonts w:hint="default" w:ascii="Times New Roman" w:hAnsi="Times New Roman" w:cs="Times New Roman"/>
              </w:rPr>
              <w:t>三</w:t>
            </w:r>
          </w:p>
        </w:tc>
        <w:tc>
          <w:tcPr>
            <w:tcW w:w="1000" w:type="pct"/>
            <w:noWrap w:val="0"/>
            <w:vAlign w:val="center"/>
          </w:tcPr>
          <w:p>
            <w:pPr>
              <w:adjustRightInd w:val="0"/>
              <w:snapToGrid w:val="0"/>
              <w:spacing w:line="240" w:lineRule="atLeast"/>
              <w:jc w:val="center"/>
            </w:pPr>
            <w:r>
              <w:t>简单分析</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cs="Times New Roman"/>
          <w:color w:val="auto"/>
          <w:sz w:val="24"/>
          <w:szCs w:val="24"/>
          <w:lang w:eastAsia="zh-CN"/>
        </w:rPr>
        <w:t>本项目地表水</w:t>
      </w:r>
      <w:r>
        <w:rPr>
          <w:rFonts w:hint="eastAsia" w:ascii="Times New Roman" w:hAnsi="Times New Roman" w:eastAsia="宋体" w:cs="Times New Roman"/>
          <w:color w:val="auto"/>
          <w:sz w:val="24"/>
          <w:szCs w:val="24"/>
        </w:rPr>
        <w:t>环境风险评价工作为简</w:t>
      </w:r>
      <w:r>
        <w:rPr>
          <w:rFonts w:hint="eastAsia" w:cs="Times New Roman"/>
          <w:color w:val="auto"/>
          <w:sz w:val="24"/>
          <w:szCs w:val="24"/>
          <w:lang w:val="en-US" w:eastAsia="zh-CN"/>
        </w:rPr>
        <w:t>单</w:t>
      </w:r>
      <w:r>
        <w:rPr>
          <w:rFonts w:hint="eastAsia" w:ascii="Times New Roman" w:hAnsi="Times New Roman" w:eastAsia="宋体" w:cs="Times New Roman"/>
          <w:color w:val="auto"/>
          <w:sz w:val="24"/>
          <w:szCs w:val="24"/>
        </w:rPr>
        <w:t>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w:t>
      </w:r>
      <w:r>
        <w:rPr>
          <w:rFonts w:hint="eastAsia" w:cs="Times New Roman"/>
          <w:color w:val="auto"/>
          <w:sz w:val="24"/>
          <w:szCs w:val="24"/>
          <w:lang w:eastAsia="zh-CN"/>
        </w:rPr>
        <w:t>地表水</w:t>
      </w:r>
      <w:r>
        <w:rPr>
          <w:rFonts w:hint="eastAsia" w:ascii="Times New Roman" w:hAnsi="Times New Roman" w:eastAsia="宋体" w:cs="Times New Roman"/>
          <w:color w:val="auto"/>
          <w:sz w:val="24"/>
          <w:szCs w:val="24"/>
        </w:rPr>
        <w:t>环境风险评价</w:t>
      </w:r>
      <w:r>
        <w:rPr>
          <w:rFonts w:hint="eastAsia" w:ascii="Times New Roman" w:hAnsi="Times New Roman" w:eastAsia="宋体" w:cs="Times New Roman"/>
          <w:color w:val="auto"/>
          <w:sz w:val="24"/>
          <w:szCs w:val="24"/>
          <w:lang w:eastAsia="zh-CN"/>
        </w:rPr>
        <w:t>范围</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w:t>
      </w:r>
      <w:r>
        <w:rPr>
          <w:rFonts w:hint="eastAsia" w:cs="Times New Roman"/>
          <w:color w:val="auto"/>
          <w:sz w:val="24"/>
          <w:szCs w:val="24"/>
          <w:lang w:val="en-US" w:eastAsia="zh-CN"/>
        </w:rPr>
        <w:t>距离大白河最近距离为，产生的废水不直接排放至大白河内，项目运营的过程中初期雨水、地面冲刷水均不能排至大白河河道内</w:t>
      </w:r>
      <w:r>
        <w:rPr>
          <w:rFonts w:hint="eastAsia" w:ascii="Times New Roman" w:hAnsi="Times New Roman" w:eastAsia="宋体" w:cs="Times New Roman"/>
          <w:color w:val="auto"/>
          <w:sz w:val="24"/>
          <w:szCs w:val="24"/>
          <w:lang w:eastAsia="zh-CN"/>
        </w:rPr>
        <w:t>附近无地表水体，地表水环境风险评价范围为厂界范围内，环境风险物质不外排。</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b/>
          <w:bCs/>
          <w:color w:val="auto"/>
          <w:sz w:val="24"/>
          <w:szCs w:val="24"/>
        </w:rPr>
      </w:pPr>
      <w:r>
        <w:rPr>
          <w:rFonts w:hint="eastAsia" w:cs="Times New Roman"/>
          <w:b/>
          <w:bCs/>
          <w:color w:val="auto"/>
          <w:sz w:val="24"/>
          <w:szCs w:val="24"/>
          <w:lang w:val="en-US" w:eastAsia="zh-CN"/>
        </w:rPr>
        <w:t>四、</w:t>
      </w:r>
      <w:r>
        <w:rPr>
          <w:rFonts w:hint="eastAsia" w:ascii="Times New Roman" w:hAnsi="Times New Roman" w:eastAsia="宋体" w:cs="Times New Roman"/>
          <w:b/>
          <w:bCs/>
          <w:color w:val="auto"/>
          <w:sz w:val="24"/>
          <w:szCs w:val="24"/>
        </w:rPr>
        <w:t>风险识别</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1、风险物质风险性识别</w:t>
      </w:r>
    </w:p>
    <w:p>
      <w:pPr>
        <w:pStyle w:val="42"/>
        <w:rPr>
          <w:rFonts w:hint="eastAsia"/>
        </w:rPr>
      </w:pPr>
      <w:r>
        <w:rPr>
          <w:rFonts w:hint="eastAsia"/>
        </w:rPr>
        <w:t>根据对项目的原辅料、燃料、中间产物、产品、污染物的识别，确定了本项目风险物质为氢氟酸、硝酸、稀硫酸、润滑油、氢气、废</w:t>
      </w:r>
      <w:r>
        <w:rPr>
          <w:rFonts w:hint="eastAsia"/>
          <w:lang w:val="en-US" w:eastAsia="zh-CN"/>
        </w:rPr>
        <w:t>润滑油</w:t>
      </w:r>
      <w:r>
        <w:rPr>
          <w:rFonts w:hint="eastAsia"/>
        </w:rPr>
        <w:t>，以上危险物质理化性质、毒理毒性、危险特性详见表</w:t>
      </w:r>
      <w:r>
        <w:rPr>
          <w:rFonts w:hint="eastAsia"/>
          <w:lang w:val="en-US" w:eastAsia="zh-CN"/>
        </w:rPr>
        <w:t>2</w:t>
      </w:r>
      <w:r>
        <w:rPr>
          <w:rFonts w:hint="eastAsia"/>
        </w:rPr>
        <w:t>~表7。</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生产</w:t>
      </w:r>
      <w:r>
        <w:rPr>
          <w:rFonts w:hint="eastAsia" w:cs="Times New Roman"/>
          <w:color w:val="auto"/>
          <w:sz w:val="24"/>
          <w:szCs w:val="24"/>
          <w:lang w:val="en-US" w:eastAsia="zh-CN"/>
        </w:rPr>
        <w:t>系统危险性</w:t>
      </w:r>
      <w:r>
        <w:rPr>
          <w:rFonts w:hint="eastAsia" w:ascii="Times New Roman" w:hAnsi="Times New Roman" w:eastAsia="宋体" w:cs="Times New Roman"/>
          <w:color w:val="auto"/>
          <w:sz w:val="24"/>
          <w:szCs w:val="24"/>
        </w:rPr>
        <w:t>识别</w:t>
      </w:r>
    </w:p>
    <w:p>
      <w:pPr>
        <w:pStyle w:val="42"/>
        <w:rPr>
          <w:rFonts w:hint="eastAsia"/>
          <w:bCs/>
          <w:lang w:eastAsia="zh-CN"/>
        </w:rPr>
      </w:pPr>
      <w:r>
        <w:rPr>
          <w:rFonts w:hint="eastAsia"/>
          <w:bCs/>
          <w:lang w:eastAsia="zh-CN"/>
        </w:rPr>
        <w:t>（1）生产过程风险识别</w:t>
      </w:r>
    </w:p>
    <w:p>
      <w:pPr>
        <w:pStyle w:val="42"/>
        <w:rPr>
          <w:rFonts w:hint="eastAsia"/>
          <w:bCs/>
          <w:lang w:eastAsia="zh-CN"/>
        </w:rPr>
      </w:pPr>
      <w:r>
        <w:rPr>
          <w:rFonts w:hint="eastAsia"/>
          <w:bCs/>
          <w:lang w:eastAsia="zh-CN"/>
        </w:rPr>
        <w:t>①生产过程泄漏风险</w:t>
      </w:r>
    </w:p>
    <w:p>
      <w:pPr>
        <w:pStyle w:val="42"/>
        <w:rPr>
          <w:rFonts w:hint="eastAsia"/>
          <w:bCs/>
          <w:lang w:eastAsia="zh-CN"/>
        </w:rPr>
      </w:pPr>
      <w:r>
        <w:rPr>
          <w:rFonts w:hint="eastAsia"/>
          <w:bCs/>
          <w:lang w:eastAsia="zh-CN"/>
        </w:rPr>
        <w:t>生产过程在中可能发生危险物质泄漏事故，泄漏事故形式主要包括：阀门泄漏、管道泄漏、接头破损泄漏等。危险化学品泄漏事故除了造成火灾爆炸事故外，还会导致人员的中毒、腐蚀等事故的发生，存在较大的危险危害性。</w:t>
      </w:r>
    </w:p>
    <w:p>
      <w:pPr>
        <w:pStyle w:val="42"/>
        <w:rPr>
          <w:rFonts w:hint="eastAsia"/>
          <w:bCs/>
          <w:lang w:eastAsia="zh-CN"/>
        </w:rPr>
      </w:pPr>
      <w:r>
        <w:rPr>
          <w:rFonts w:hint="eastAsia"/>
          <w:bCs/>
          <w:lang w:eastAsia="zh-CN"/>
        </w:rPr>
        <w:t>②生产过程火灾爆炸风险</w:t>
      </w:r>
    </w:p>
    <w:p>
      <w:pPr>
        <w:pStyle w:val="42"/>
        <w:rPr>
          <w:rFonts w:hint="eastAsia"/>
          <w:bCs/>
          <w:lang w:eastAsia="zh-CN"/>
        </w:rPr>
      </w:pPr>
      <w:r>
        <w:rPr>
          <w:rFonts w:hint="eastAsia"/>
          <w:bCs/>
          <w:lang w:eastAsia="zh-CN"/>
        </w:rPr>
        <w:t>在生产过程中涉及易燃危险化学品，且存在爆炸极限。若在生产过程中由于设备或者工人操作失误，产生易燃化学品泄漏，并挥发形成爆炸性混合气体，达到爆炸极限，在遇到明火或高温条件下，将产生火灾、爆炸。</w:t>
      </w:r>
    </w:p>
    <w:p>
      <w:pPr>
        <w:pStyle w:val="42"/>
        <w:rPr>
          <w:rFonts w:hint="eastAsia"/>
          <w:bCs/>
          <w:lang w:eastAsia="zh-CN"/>
        </w:rPr>
      </w:pPr>
      <w:r>
        <w:rPr>
          <w:rFonts w:hint="eastAsia"/>
          <w:bCs/>
          <w:lang w:eastAsia="zh-CN"/>
        </w:rPr>
        <w:t>（2）储运设施风险识别</w:t>
      </w:r>
    </w:p>
    <w:p>
      <w:pPr>
        <w:pStyle w:val="42"/>
        <w:rPr>
          <w:rFonts w:hint="eastAsia"/>
          <w:bCs/>
          <w:lang w:eastAsia="zh-CN"/>
        </w:rPr>
      </w:pPr>
      <w:r>
        <w:rPr>
          <w:rFonts w:hint="eastAsia"/>
          <w:bCs/>
          <w:lang w:eastAsia="zh-CN"/>
        </w:rPr>
        <w:t>储运设施风险主要为危险化学品容器的包装损坏或不符合要求而导致泄漏事故以及搬运过程中操作不当导致危险化学品容器破损而发生泄漏事故。</w:t>
      </w:r>
    </w:p>
    <w:p>
      <w:pPr>
        <w:pStyle w:val="42"/>
        <w:rPr>
          <w:rFonts w:hint="eastAsia"/>
          <w:bCs/>
          <w:lang w:eastAsia="zh-CN"/>
        </w:rPr>
      </w:pPr>
      <w:r>
        <w:rPr>
          <w:rFonts w:hint="eastAsia"/>
          <w:bCs/>
          <w:lang w:eastAsia="zh-CN"/>
        </w:rPr>
        <w:t>（3）环保设施风险识别</w:t>
      </w:r>
    </w:p>
    <w:p>
      <w:pPr>
        <w:pStyle w:val="42"/>
        <w:rPr>
          <w:rFonts w:hint="eastAsia"/>
          <w:bCs/>
          <w:lang w:eastAsia="zh-CN"/>
        </w:rPr>
      </w:pPr>
      <w:r>
        <w:rPr>
          <w:rFonts w:hint="eastAsia"/>
          <w:bCs/>
          <w:lang w:eastAsia="zh-CN"/>
        </w:rPr>
        <w:t>①废气处理设施</w:t>
      </w:r>
    </w:p>
    <w:p>
      <w:pPr>
        <w:pStyle w:val="42"/>
        <w:rPr>
          <w:rFonts w:hint="eastAsia"/>
          <w:bCs/>
          <w:lang w:eastAsia="zh-CN"/>
        </w:rPr>
      </w:pPr>
      <w:r>
        <w:rPr>
          <w:rFonts w:hint="eastAsia"/>
          <w:bCs/>
          <w:lang w:eastAsia="zh-CN"/>
        </w:rPr>
        <w:t>废气事故排放项目生产过程中产生多种废气，经厂内废气收集、处理装置处理后达标排放，一旦废气处理系统出现故障，造成大量废气排放浓度迅速增高，将会影响周围的大气环境。若遇到恶劣气象条件，将会使废气久聚不散，造成严重空气污染。</w:t>
      </w:r>
    </w:p>
    <w:p>
      <w:pPr>
        <w:pStyle w:val="42"/>
        <w:rPr>
          <w:rFonts w:hint="eastAsia"/>
          <w:bCs/>
          <w:lang w:eastAsia="zh-CN"/>
        </w:rPr>
      </w:pPr>
      <w:r>
        <w:rPr>
          <w:rFonts w:hint="eastAsia"/>
          <w:bCs/>
          <w:lang w:eastAsia="zh-CN"/>
        </w:rPr>
        <w:t>②废水事故排放</w:t>
      </w:r>
    </w:p>
    <w:p>
      <w:pPr>
        <w:pStyle w:val="42"/>
        <w:rPr>
          <w:rFonts w:hint="eastAsia"/>
          <w:bCs/>
          <w:lang w:eastAsia="zh-CN"/>
        </w:rPr>
      </w:pPr>
      <w:r>
        <w:rPr>
          <w:rFonts w:hint="eastAsia"/>
          <w:bCs/>
          <w:lang w:eastAsia="zh-CN"/>
        </w:rPr>
        <w:t>停电、生物菌种受高浓度废水冲击、处理设施故障等因素将导致废水处理站出现故障，一旦废水处理站出现故障，将使废水处理效率下降或污水处理设施的停止运转，将会有大量超标的废水直接排入所在区域污水管网，加大污水处理厂处理负荷，并可能对纳污水体的水质将间接地造成一定的影响。</w:t>
      </w:r>
    </w:p>
    <w:p>
      <w:pPr>
        <w:pStyle w:val="42"/>
        <w:rPr>
          <w:rFonts w:hint="eastAsia"/>
          <w:bCs/>
          <w:lang w:eastAsia="zh-CN"/>
        </w:rPr>
      </w:pPr>
      <w:r>
        <w:rPr>
          <w:rFonts w:hint="eastAsia"/>
          <w:bCs/>
          <w:lang w:eastAsia="zh-CN"/>
        </w:rPr>
        <w:t>（4）伴生/次生事故环境风险识别</w:t>
      </w:r>
    </w:p>
    <w:p>
      <w:pPr>
        <w:pStyle w:val="42"/>
        <w:rPr>
          <w:rFonts w:hint="eastAsia"/>
          <w:bCs/>
          <w:lang w:eastAsia="zh-CN"/>
        </w:rPr>
      </w:pPr>
      <w:r>
        <w:rPr>
          <w:rFonts w:hint="eastAsia"/>
          <w:bCs/>
          <w:lang w:eastAsia="zh-CN"/>
        </w:rPr>
        <w:t>易燃物质若发生大量泄漏，极有可能引发火灾爆炸事故。一旦发生火灾，主要燃烧产物为颗粒物、CO、NO等，这些均可能会造成一定程度的伴生/次生污染；事故应急救援中产生的消防水将伴有一定的物料，若沿雨水管网外排，将对受纳水体产生严重污染；堵漏过程中可能使用的大量拦截、堵漏材料，掺杂一定的物料，若事故排放后随意丢弃、排放，将对环境产生二次污染。</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环境风险途径识别</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如发生泄露、火灾、爆炸等环境风险事件，危险物质可能通过大气、地表水、地下水、土壤等途径进入环境，并有可能危害到周边工业企业、居民点以及周围水体。</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区内设置事故应急水池、初期雨水收集池，雨水和废水总排口设置截止阀，事故废水和初期雨水可进行有效收集，且废水排放最终进入楚雄市富民工业园区污水处理厂，一般不会进入周边地表水体；厂区按要求做好分区防渗，事故废水一般也不会直接进入土壤和地下水。综合分析，发生环境风险事件时，本项目危险物质主要通过大气进入环境中。</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根据以上风险识别结果，本项目危险单元、危险因素、影响途径等划分如下。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表22    项目环境风险源识别表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110"/>
        <w:gridCol w:w="1155"/>
        <w:gridCol w:w="1395"/>
        <w:gridCol w:w="1320"/>
        <w:gridCol w:w="1797"/>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危险物质</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危险单元</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分布位置</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危险因素</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环境影响途径</w:t>
            </w:r>
          </w:p>
        </w:tc>
        <w:tc>
          <w:tcPr>
            <w:tcW w:w="12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氢氟酸</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储存设施</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化学品库</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泄露</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大气、地表水、地下水</w:t>
            </w:r>
          </w:p>
        </w:tc>
        <w:tc>
          <w:tcPr>
            <w:tcW w:w="12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居民区、文化教育机构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硝酸</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储存设施</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化学品库</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泄露</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地表水、地下水</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稀硫酸</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储存设施</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化学品库</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泄露</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地表水、地下水</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润滑油</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储存设施</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机加车间</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泄露</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rPr>
            </w:pPr>
            <w:r>
              <w:rPr>
                <w:rFonts w:hint="eastAsia" w:cs="Times New Roman"/>
                <w:color w:val="auto"/>
                <w:sz w:val="21"/>
                <w:szCs w:val="21"/>
                <w:vertAlign w:val="baseline"/>
                <w:lang w:val="en-US" w:eastAsia="zh-CN"/>
              </w:rPr>
              <w:t>地表水、地下水、土壤</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废润滑油</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储存设施</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危废库</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泄露</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地表水、地下水、土壤</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氢气</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生产设备</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氩气回收站</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火灾、爆炸</w:t>
            </w:r>
          </w:p>
        </w:tc>
        <w:tc>
          <w:tcPr>
            <w:tcW w:w="17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大气</w:t>
            </w:r>
          </w:p>
        </w:tc>
        <w:tc>
          <w:tcPr>
            <w:tcW w:w="12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五、风险事故情形分析</w:t>
      </w:r>
    </w:p>
    <w:p>
      <w:pPr>
        <w:spacing w:line="360" w:lineRule="auto"/>
        <w:ind w:firstLine="480" w:firstLineChars="200"/>
        <w:jc w:val="left"/>
        <w:rPr>
          <w:rFonts w:hint="default"/>
          <w:sz w:val="24"/>
          <w:szCs w:val="24"/>
          <w:lang w:val="en-US" w:eastAsia="zh-CN"/>
        </w:rPr>
      </w:pPr>
      <w:r>
        <w:rPr>
          <w:rFonts w:hint="eastAsia"/>
          <w:sz w:val="24"/>
          <w:szCs w:val="24"/>
          <w:lang w:val="en-US" w:eastAsia="zh-CN"/>
        </w:rPr>
        <w:t>在风险识别的基础上，选择对环境影响较大的并具有代表性的事故类型，设定为风险事故情形。本项目大气环境风险评价等级较高，本次选取对大气环境危害更大的氢氟酸泄漏事故作分析。</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1、事故统计分析</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根据风险识别结果可知，从原辅材料输送到产品合成，各生产单元大多具有泄漏、火灾、爆炸等潜在危险性，造成事故隐患的因素很多。根据中石化总公司编制的《石油化工典型事故汇编》，在1983～1993年间的774例典型事故中，国内石化企业四大行业炼油、化工、化肥、化纤的生产装置事故发生率占全行业比例分别为37.85%、16.02%、8.65%、9.04%，事故原因统计见下表。由下表可知，阀门、管线泄漏是主要事故原因，占35.1%，其次为设备故障和操作失误，分别占18.2%和15.6%。</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表23    行业一般事故原因统计</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474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事故原因</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阀门管线泄露</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泵、设备故障</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操作失误</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仪表、电器失灵</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突沸、反应失控</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4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雷击、自然灾害</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8.2</w:t>
            </w:r>
          </w:p>
        </w:tc>
      </w:tr>
    </w:tbl>
    <w:p>
      <w:pPr>
        <w:spacing w:line="360" w:lineRule="auto"/>
        <w:ind w:firstLine="480" w:firstLineChars="200"/>
        <w:jc w:val="left"/>
        <w:rPr>
          <w:rFonts w:hint="eastAsia"/>
          <w:sz w:val="24"/>
          <w:szCs w:val="24"/>
          <w:lang w:val="en-US" w:eastAsia="zh-CN"/>
        </w:rPr>
      </w:pPr>
      <w:r>
        <w:rPr>
          <w:rFonts w:hint="eastAsia"/>
          <w:sz w:val="24"/>
          <w:szCs w:val="24"/>
          <w:lang w:val="en-US" w:eastAsia="zh-CN"/>
        </w:rPr>
        <w:t>2、风险事故情形设定</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（1）事故概率</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本项目泄漏事故类型包括容器、管道、泵体、压缩机、装卸臂和装卸软管的泄漏和破裂等。国内外较常用的泄漏频率如见下表。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表24    常用设备泄漏频率一览表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2"/>
        <w:gridCol w:w="3602"/>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部件类型</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泄漏模式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泄漏频率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832" w:type="dxa"/>
            <w:vMerge w:val="restart"/>
            <w:vAlign w:val="center"/>
          </w:tcPr>
          <w:p>
            <w:pPr>
              <w:spacing w:beforeLines="0" w:afterLines="0"/>
              <w:jc w:val="center"/>
              <w:rPr>
                <w:rFonts w:hint="eastAsia" w:cs="Times New Roman"/>
                <w:b w:val="0"/>
                <w:bCs w:val="0"/>
                <w:color w:val="auto"/>
                <w:sz w:val="21"/>
                <w:szCs w:val="21"/>
                <w:vertAlign w:val="baseline"/>
                <w:lang w:val="en-US" w:eastAsia="zh-CN"/>
              </w:rPr>
            </w:pPr>
            <w:r>
              <w:rPr>
                <w:rFonts w:hint="eastAsia" w:ascii="宋体" w:hAnsi="宋体" w:eastAsia="宋体"/>
                <w:sz w:val="21"/>
                <w:szCs w:val="24"/>
              </w:rPr>
              <w:t>反应器</w:t>
            </w:r>
            <w:r>
              <w:rPr>
                <w:rFonts w:hint="eastAsia" w:ascii="TimesNewRomanPSMT" w:hAnsi="TimesNewRomanPSMT" w:eastAsia="TimesNewRomanPSMT"/>
                <w:sz w:val="21"/>
                <w:szCs w:val="24"/>
              </w:rPr>
              <w:t>/</w:t>
            </w:r>
            <w:r>
              <w:rPr>
                <w:rFonts w:hint="eastAsia" w:ascii="宋体" w:hAnsi="宋体" w:eastAsia="宋体"/>
                <w:sz w:val="21"/>
                <w:szCs w:val="24"/>
              </w:rPr>
              <w:t>工艺储罐</w:t>
            </w:r>
            <w:r>
              <w:rPr>
                <w:rFonts w:hint="eastAsia" w:ascii="TimesNewRomanPSMT" w:hAnsi="TimesNewRomanPSMT" w:eastAsia="TimesNewRomanPSMT"/>
                <w:sz w:val="21"/>
                <w:szCs w:val="24"/>
              </w:rPr>
              <w:t>/</w:t>
            </w:r>
            <w:r>
              <w:rPr>
                <w:rFonts w:hint="eastAsia" w:ascii="宋体" w:hAnsi="宋体" w:eastAsia="宋体"/>
                <w:sz w:val="21"/>
                <w:szCs w:val="24"/>
              </w:rPr>
              <w:t>气体储罐</w:t>
            </w:r>
            <w:r>
              <w:rPr>
                <w:rFonts w:hint="eastAsia" w:ascii="TimesNewRomanPSMT" w:hAnsi="TimesNewRomanPSMT" w:eastAsia="TimesNewRomanPSMT"/>
                <w:sz w:val="21"/>
                <w:szCs w:val="24"/>
              </w:rPr>
              <w:t>/</w:t>
            </w:r>
            <w:r>
              <w:rPr>
                <w:rFonts w:hint="eastAsia" w:ascii="宋体" w:hAnsi="宋体" w:eastAsia="宋体"/>
                <w:sz w:val="21"/>
                <w:szCs w:val="24"/>
              </w:rPr>
              <w:t>塔器</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vertAlign w:val="baseline"/>
                <w:lang w:val="en-US" w:eastAsia="zh-CN"/>
              </w:rPr>
            </w:pPr>
            <w:r>
              <w:rPr>
                <w:rFonts w:hint="eastAsia" w:ascii="宋体" w:hAnsi="宋体" w:eastAsia="宋体"/>
                <w:sz w:val="21"/>
                <w:szCs w:val="24"/>
              </w:rPr>
              <w:t>泄漏孔径为</w:t>
            </w:r>
            <w:r>
              <w:rPr>
                <w:rFonts w:hint="eastAsia" w:ascii="TimesNewRomanPSMT" w:hAnsi="TimesNewRomanPSMT" w:eastAsia="TimesNewRomanPSMT"/>
                <w:sz w:val="21"/>
                <w:szCs w:val="24"/>
              </w:rPr>
              <w:t>10mm</w:t>
            </w:r>
            <w:r>
              <w:rPr>
                <w:rFonts w:hint="eastAsia" w:ascii="宋体" w:hAnsi="宋体" w:eastAsia="宋体"/>
                <w:sz w:val="21"/>
                <w:szCs w:val="24"/>
              </w:rPr>
              <w:t>孔</w:t>
            </w:r>
            <w:r>
              <w:rPr>
                <w:rFonts w:hint="eastAsia" w:ascii="宋体" w:hAnsi="宋体" w:eastAsia="宋体"/>
                <w:sz w:val="21"/>
                <w:szCs w:val="24"/>
                <w:lang w:val="en-US" w:eastAsia="zh-CN"/>
              </w:rPr>
              <w:t>径</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-4</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10min</w:t>
            </w:r>
            <w:r>
              <w:rPr>
                <w:rFonts w:hint="eastAsia" w:ascii="宋体" w:hAnsi="宋体" w:eastAsia="宋体"/>
                <w:sz w:val="21"/>
                <w:szCs w:val="24"/>
              </w:rPr>
              <w:t>内储罐泄漏完</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储罐全破裂</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宋体" w:hAnsi="宋体" w:eastAsia="宋体"/>
                <w:sz w:val="21"/>
                <w:szCs w:val="24"/>
              </w:rPr>
              <w:t>常压单包容储罐</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宋体" w:hAnsi="宋体" w:eastAsia="宋体"/>
                <w:sz w:val="21"/>
                <w:szCs w:val="24"/>
              </w:rPr>
              <w:t>泄漏孔径为</w:t>
            </w:r>
            <w:r>
              <w:rPr>
                <w:rFonts w:hint="eastAsia" w:ascii="TimesNewRomanPSMT" w:hAnsi="TimesNewRomanPSMT" w:eastAsia="TimesNewRomanPSMT"/>
                <w:sz w:val="21"/>
                <w:szCs w:val="24"/>
              </w:rPr>
              <w:t>10mm</w:t>
            </w:r>
            <w:r>
              <w:rPr>
                <w:rFonts w:hint="eastAsia" w:ascii="宋体" w:hAnsi="宋体" w:eastAsia="宋体"/>
                <w:sz w:val="21"/>
                <w:szCs w:val="24"/>
              </w:rPr>
              <w:t>孔</w:t>
            </w:r>
            <w:r>
              <w:rPr>
                <w:rFonts w:hint="eastAsia" w:ascii="宋体" w:hAnsi="宋体" w:eastAsia="宋体"/>
                <w:sz w:val="21"/>
                <w:szCs w:val="24"/>
                <w:lang w:val="en-US" w:eastAsia="zh-CN"/>
              </w:rPr>
              <w:t>径</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-4</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NewRomanPSMT" w:hAnsi="TimesNewRomanPSMT" w:eastAsia="TimesNewRomanPSMT"/>
                <w:sz w:val="21"/>
                <w:szCs w:val="24"/>
              </w:rPr>
              <w:t>10min</w:t>
            </w:r>
            <w:r>
              <w:rPr>
                <w:rFonts w:hint="eastAsia" w:ascii="宋体" w:hAnsi="宋体" w:eastAsia="宋体"/>
                <w:sz w:val="21"/>
                <w:szCs w:val="24"/>
              </w:rPr>
              <w:t>内储罐泄漏完</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储罐全破裂</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宋体" w:hAnsi="宋体" w:eastAsia="宋体"/>
                <w:sz w:val="21"/>
                <w:szCs w:val="24"/>
              </w:rPr>
              <w:t>常压双包容储罐</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宋体" w:hAnsi="宋体" w:eastAsia="宋体"/>
                <w:sz w:val="21"/>
                <w:szCs w:val="24"/>
              </w:rPr>
              <w:t>泄漏孔径为</w:t>
            </w:r>
            <w:r>
              <w:rPr>
                <w:rFonts w:hint="eastAsia" w:ascii="TimesNewRomanPSMT" w:hAnsi="TimesNewRomanPSMT" w:eastAsia="TimesNewRomanPSMT"/>
                <w:sz w:val="21"/>
                <w:szCs w:val="24"/>
              </w:rPr>
              <w:t>10mm</w:t>
            </w:r>
            <w:r>
              <w:rPr>
                <w:rFonts w:hint="eastAsia" w:ascii="宋体" w:hAnsi="宋体" w:eastAsia="宋体"/>
                <w:sz w:val="21"/>
                <w:szCs w:val="24"/>
              </w:rPr>
              <w:t>孔</w:t>
            </w:r>
            <w:r>
              <w:rPr>
                <w:rFonts w:hint="eastAsia" w:ascii="宋体" w:hAnsi="宋体" w:eastAsia="宋体"/>
                <w:sz w:val="21"/>
                <w:szCs w:val="24"/>
                <w:lang w:val="en-US" w:eastAsia="zh-CN"/>
              </w:rPr>
              <w:t>径</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-4</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NewRomanPSMT" w:hAnsi="TimesNewRomanPSMT" w:eastAsia="TimesNewRomanPSMT"/>
                <w:sz w:val="21"/>
                <w:szCs w:val="24"/>
              </w:rPr>
              <w:t>10min</w:t>
            </w:r>
            <w:r>
              <w:rPr>
                <w:rFonts w:hint="eastAsia" w:ascii="宋体" w:hAnsi="宋体" w:eastAsia="宋体"/>
                <w:sz w:val="21"/>
                <w:szCs w:val="24"/>
              </w:rPr>
              <w:t>内储罐泄漏完</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w:t>
            </w:r>
            <w:r>
              <w:rPr>
                <w:rFonts w:hint="eastAsia" w:ascii="TimesNewRomanPSMT" w:hAnsi="TimesNewRomanPSMT" w:eastAsia="宋体"/>
                <w:sz w:val="21"/>
                <w:szCs w:val="24"/>
                <w:lang w:val="en-US" w:eastAsia="zh-CN"/>
              </w:rPr>
              <w:t>25</w:t>
            </w:r>
            <w:r>
              <w:rPr>
                <w:rFonts w:hint="eastAsia" w:ascii="TimesNewRomanPSMT" w:hAnsi="TimesNewRomanPSMT" w:eastAsia="TimesNewRomanPSMT"/>
                <w:sz w:val="21"/>
                <w:szCs w:val="24"/>
              </w:rPr>
              <w:t>×10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8</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储罐全破裂</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w:t>
            </w:r>
            <w:r>
              <w:rPr>
                <w:rFonts w:hint="eastAsia" w:ascii="TimesNewRomanPSMT" w:hAnsi="TimesNewRomanPSMT" w:eastAsia="宋体"/>
                <w:sz w:val="21"/>
                <w:szCs w:val="24"/>
                <w:lang w:val="en-US" w:eastAsia="zh-CN"/>
              </w:rPr>
              <w:t>25</w:t>
            </w:r>
            <w:r>
              <w:rPr>
                <w:rFonts w:hint="eastAsia" w:ascii="TimesNewRomanPSMT" w:hAnsi="TimesNewRomanPSMT" w:eastAsia="TimesNewRomanPSMT"/>
                <w:sz w:val="21"/>
                <w:szCs w:val="24"/>
              </w:rPr>
              <w:t>×10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8</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lang w:val="en-US" w:eastAsia="zh-CN"/>
              </w:rPr>
            </w:pPr>
            <w:r>
              <w:rPr>
                <w:rFonts w:hint="eastAsia" w:ascii="宋体" w:hAnsi="宋体" w:eastAsia="宋体"/>
                <w:sz w:val="21"/>
                <w:szCs w:val="24"/>
              </w:rPr>
              <w:t>常压全包容储</w:t>
            </w:r>
            <w:r>
              <w:rPr>
                <w:rFonts w:hint="eastAsia" w:ascii="宋体" w:hAnsi="宋体" w:eastAsia="宋体"/>
                <w:sz w:val="21"/>
                <w:szCs w:val="24"/>
                <w:lang w:val="en-US" w:eastAsia="zh-CN"/>
              </w:rPr>
              <w:t>罐</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val="0"/>
                <w:bCs w:val="0"/>
                <w:color w:val="auto"/>
                <w:sz w:val="21"/>
                <w:szCs w:val="21"/>
                <w:vertAlign w:val="baseline"/>
                <w:lang w:val="en-US" w:eastAsia="zh-CN"/>
              </w:rPr>
              <w:t>储罐全破裂</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8</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r>
              <w:rPr>
                <w:rFonts w:hint="eastAsia" w:ascii="宋体" w:hAnsi="宋体" w:eastAsia="宋体"/>
                <w:sz w:val="21"/>
                <w:szCs w:val="24"/>
              </w:rPr>
              <w:t>内径</w:t>
            </w:r>
            <w:r>
              <w:rPr>
                <w:rFonts w:hint="eastAsia" w:ascii="TimesNewRomanPSMT" w:hAnsi="TimesNewRomanPSMT" w:eastAsia="TimesNewRomanPSMT"/>
                <w:sz w:val="21"/>
                <w:szCs w:val="24"/>
              </w:rPr>
              <w:t>≤75mm</w:t>
            </w:r>
            <w:r>
              <w:rPr>
                <w:rFonts w:hint="eastAsia" w:ascii="宋体" w:hAnsi="宋体" w:eastAsia="宋体"/>
                <w:sz w:val="21"/>
                <w:szCs w:val="24"/>
              </w:rPr>
              <w:t>的管道</w:t>
            </w:r>
          </w:p>
        </w:tc>
        <w:tc>
          <w:tcPr>
            <w:tcW w:w="3602" w:type="dxa"/>
            <w:vAlign w:val="center"/>
          </w:tcPr>
          <w:p>
            <w:pPr>
              <w:spacing w:beforeLines="0" w:afterLines="0"/>
              <w:jc w:val="center"/>
              <w:rPr>
                <w:rFonts w:hint="eastAsia" w:cs="Times New Roman"/>
                <w:b w:val="0"/>
                <w:bCs w:val="0"/>
                <w:color w:val="auto"/>
                <w:sz w:val="21"/>
                <w:szCs w:val="21"/>
                <w:vertAlign w:val="baseline"/>
                <w:lang w:val="en-US" w:eastAsia="zh-CN"/>
              </w:rPr>
            </w:pPr>
            <w:r>
              <w:rPr>
                <w:rFonts w:hint="eastAsia" w:ascii="宋体" w:hAnsi="宋体" w:eastAsia="宋体"/>
                <w:sz w:val="21"/>
                <w:szCs w:val="24"/>
              </w:rPr>
              <w:t>泄漏孔径为</w:t>
            </w:r>
            <w:r>
              <w:rPr>
                <w:rFonts w:hint="eastAsia" w:ascii="TimesNewRomanPSMT" w:hAnsi="TimesNewRomanPSMT" w:eastAsia="TimesNewRomanPSMT"/>
                <w:sz w:val="21"/>
                <w:szCs w:val="24"/>
              </w:rPr>
              <w:t>10%</w:t>
            </w:r>
            <w:r>
              <w:rPr>
                <w:rFonts w:hint="eastAsia" w:ascii="宋体" w:hAnsi="宋体" w:eastAsia="宋体"/>
                <w:sz w:val="21"/>
                <w:szCs w:val="24"/>
              </w:rPr>
              <w:t>孔径</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r>
              <w:rPr>
                <w:rFonts w:hint="eastAsia" w:ascii="宋体" w:hAnsi="宋体" w:eastAsia="宋体"/>
                <w:sz w:val="21"/>
                <w:szCs w:val="24"/>
              </w:rPr>
              <w:t>全管径泄漏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r>
              <w:rPr>
                <w:rFonts w:hint="eastAsia" w:ascii="TimesNewRomanPSMT" w:hAnsi="TimesNewRomanPSMT" w:eastAsia="宋体"/>
                <w:sz w:val="21"/>
                <w:szCs w:val="24"/>
                <w:lang w:val="en-US" w:eastAsia="zh-CN"/>
              </w:rPr>
              <w:t>7</w:t>
            </w:r>
            <w:r>
              <w:rPr>
                <w:rFonts w:hint="eastAsia" w:ascii="TimesNewRomanPSMT" w:hAnsi="TimesNewRomanPSMT" w:eastAsia="TimesNewRomanPSMT"/>
                <w:sz w:val="21"/>
                <w:szCs w:val="24"/>
              </w:rPr>
              <w:t>5mm&lt;</w:t>
            </w:r>
            <w:r>
              <w:rPr>
                <w:rFonts w:hint="eastAsia" w:ascii="宋体" w:hAnsi="宋体" w:eastAsia="宋体"/>
                <w:sz w:val="21"/>
                <w:szCs w:val="24"/>
              </w:rPr>
              <w:t>内径</w:t>
            </w:r>
            <w:r>
              <w:rPr>
                <w:rFonts w:hint="eastAsia" w:ascii="TimesNewRomanPSMT" w:hAnsi="TimesNewRomanPSMT" w:eastAsia="TimesNewRomanPSMT"/>
                <w:sz w:val="21"/>
                <w:szCs w:val="24"/>
              </w:rPr>
              <w:t>≤150mm</w:t>
            </w:r>
            <w:r>
              <w:rPr>
                <w:rFonts w:hint="eastAsia" w:ascii="宋体" w:hAnsi="宋体" w:eastAsia="宋体"/>
                <w:sz w:val="21"/>
                <w:szCs w:val="24"/>
              </w:rPr>
              <w:t>的管道</w:t>
            </w:r>
          </w:p>
        </w:tc>
        <w:tc>
          <w:tcPr>
            <w:tcW w:w="3602" w:type="dxa"/>
            <w:vAlign w:val="center"/>
          </w:tcPr>
          <w:p>
            <w:pPr>
              <w:spacing w:beforeLines="0" w:afterLines="0"/>
              <w:jc w:val="center"/>
              <w:rPr>
                <w:rFonts w:hint="eastAsia" w:cs="Times New Roman"/>
                <w:b w:val="0"/>
                <w:bCs w:val="0"/>
                <w:color w:val="auto"/>
                <w:sz w:val="21"/>
                <w:szCs w:val="21"/>
                <w:vertAlign w:val="baseline"/>
                <w:lang w:val="en-US" w:eastAsia="zh-CN"/>
              </w:rPr>
            </w:pPr>
            <w:r>
              <w:rPr>
                <w:rFonts w:hint="eastAsia" w:ascii="宋体" w:hAnsi="宋体" w:eastAsia="宋体"/>
                <w:sz w:val="21"/>
                <w:szCs w:val="24"/>
              </w:rPr>
              <w:t>泄漏孔径为</w:t>
            </w:r>
            <w:r>
              <w:rPr>
                <w:rFonts w:hint="eastAsia" w:ascii="TimesNewRomanPSMT" w:hAnsi="TimesNewRomanPSMT" w:eastAsia="TimesNewRomanPSMT"/>
                <w:sz w:val="21"/>
                <w:szCs w:val="24"/>
              </w:rPr>
              <w:t>10%</w:t>
            </w:r>
            <w:r>
              <w:rPr>
                <w:rFonts w:hint="eastAsia" w:ascii="宋体" w:hAnsi="宋体" w:eastAsia="宋体"/>
                <w:sz w:val="21"/>
                <w:szCs w:val="24"/>
              </w:rPr>
              <w:t>孔径</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2</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NewRomanPSMT" w:hAnsi="TimesNewRomanPSMT" w:eastAsia="宋体"/>
                <w:sz w:val="21"/>
                <w:szCs w:val="24"/>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r>
              <w:rPr>
                <w:rFonts w:hint="eastAsia" w:ascii="宋体" w:hAnsi="宋体" w:eastAsia="宋体"/>
                <w:sz w:val="21"/>
                <w:szCs w:val="24"/>
              </w:rPr>
              <w:t>全管径泄漏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3</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7</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r>
              <w:rPr>
                <w:rFonts w:hint="eastAsia" w:ascii="宋体" w:hAnsi="宋体" w:eastAsia="宋体"/>
                <w:sz w:val="21"/>
                <w:szCs w:val="24"/>
              </w:rPr>
              <w:t>内径＞</w:t>
            </w:r>
            <w:r>
              <w:rPr>
                <w:rFonts w:hint="eastAsia" w:ascii="TimesNewRomanPSMT" w:hAnsi="TimesNewRomanPSMT" w:eastAsia="TimesNewRomanPSMT"/>
                <w:sz w:val="21"/>
                <w:szCs w:val="24"/>
              </w:rPr>
              <w:t>150mm</w:t>
            </w:r>
            <w:r>
              <w:rPr>
                <w:rFonts w:hint="eastAsia" w:ascii="宋体" w:hAnsi="宋体" w:eastAsia="宋体"/>
                <w:sz w:val="21"/>
                <w:szCs w:val="24"/>
              </w:rPr>
              <w:t>的管道</w:t>
            </w: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宋体" w:hAnsi="宋体" w:eastAsia="宋体"/>
                <w:sz w:val="21"/>
                <w:szCs w:val="24"/>
              </w:rPr>
              <w:t>泄漏孔径为</w:t>
            </w:r>
            <w:r>
              <w:rPr>
                <w:rFonts w:hint="eastAsia" w:ascii="TimesNewRomanPSMT" w:hAnsi="TimesNewRomanPSMT" w:eastAsia="TimesNewRomanPSMT"/>
                <w:sz w:val="21"/>
                <w:szCs w:val="24"/>
              </w:rPr>
              <w:t>10%</w:t>
            </w:r>
            <w:r>
              <w:rPr>
                <w:rFonts w:hint="eastAsia" w:ascii="宋体" w:hAnsi="宋体" w:eastAsia="宋体"/>
                <w:sz w:val="21"/>
                <w:szCs w:val="24"/>
              </w:rPr>
              <w:t>孔径（最大</w:t>
            </w:r>
            <w:r>
              <w:rPr>
                <w:rFonts w:hint="eastAsia" w:ascii="TimesNewRomanPSMT" w:hAnsi="TimesNewRomanPSMT" w:eastAsia="TimesNewRomanPSMT"/>
                <w:sz w:val="21"/>
                <w:szCs w:val="24"/>
              </w:rPr>
              <w:t>50mm</w:t>
            </w:r>
            <w:r>
              <w:rPr>
                <w:rFonts w:hint="eastAsia" w:ascii="宋体" w:hAnsi="宋体" w:eastAsia="宋体"/>
                <w:sz w:val="21"/>
                <w:szCs w:val="24"/>
              </w:rPr>
              <w:t>）</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2</w:t>
            </w:r>
            <w:r>
              <w:rPr>
                <w:rFonts w:hint="eastAsia" w:ascii="TimesNewRomanPSMT" w:hAnsi="TimesNewRomanPSMT" w:eastAsia="TimesNewRomanPSMT"/>
                <w:sz w:val="21"/>
                <w:szCs w:val="24"/>
              </w:rPr>
              <w:t>.</w:t>
            </w:r>
            <w:r>
              <w:rPr>
                <w:rFonts w:hint="eastAsia" w:ascii="TimesNewRomanPSMT" w:hAnsi="TimesNewRomanPSMT" w:eastAsia="宋体"/>
                <w:sz w:val="21"/>
                <w:szCs w:val="24"/>
                <w:lang w:val="en-US" w:eastAsia="zh-CN"/>
              </w:rPr>
              <w:t>4</w:t>
            </w:r>
            <w:r>
              <w:rPr>
                <w:rFonts w:hint="eastAsia" w:ascii="TimesNewRomanPSMT" w:hAnsi="TimesNewRomanPSMT" w:eastAsia="TimesNewRomanPSMT"/>
                <w:sz w:val="21"/>
                <w:szCs w:val="24"/>
              </w:rPr>
              <w:t>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宋体" w:hAnsi="宋体" w:eastAsia="宋体"/>
                <w:sz w:val="21"/>
                <w:szCs w:val="24"/>
              </w:rPr>
              <w:t>全管径泄漏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7</w:t>
            </w:r>
            <w:r>
              <w:rPr>
                <w:rFonts w:hint="eastAsia" w:ascii="TimesNewRomanPSMT" w:hAnsi="TimesNewRomanPSMT" w:eastAsia="TimesNewRomanPSMT"/>
                <w:sz w:val="21"/>
                <w:szCs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sz w:val="21"/>
                <w:szCs w:val="24"/>
                <w:lang w:val="en-US" w:eastAsia="zh-CN"/>
              </w:rPr>
            </w:pPr>
            <w:r>
              <w:rPr>
                <w:rFonts w:hint="eastAsia" w:ascii="宋体" w:hAnsi="宋体" w:eastAsia="宋体"/>
                <w:sz w:val="21"/>
                <w:szCs w:val="24"/>
                <w:lang w:val="en-US" w:eastAsia="zh-CN"/>
              </w:rPr>
              <w:t>泵体和压缩机</w:t>
            </w:r>
          </w:p>
        </w:tc>
        <w:tc>
          <w:tcPr>
            <w:tcW w:w="3602" w:type="dxa"/>
            <w:vAlign w:val="center"/>
          </w:tcPr>
          <w:p>
            <w:pPr>
              <w:spacing w:beforeLines="0" w:afterLines="0"/>
              <w:jc w:val="center"/>
              <w:rPr>
                <w:rFonts w:hint="eastAsia" w:cs="Times New Roman"/>
                <w:b w:val="0"/>
                <w:bCs w:val="0"/>
                <w:color w:val="auto"/>
                <w:sz w:val="21"/>
                <w:szCs w:val="21"/>
                <w:vertAlign w:val="baseline"/>
                <w:lang w:val="en-US" w:eastAsia="zh-CN"/>
              </w:rPr>
            </w:pPr>
            <w:r>
              <w:rPr>
                <w:rFonts w:hint="eastAsia" w:ascii="宋体" w:hAnsi="宋体" w:eastAsia="宋体"/>
                <w:sz w:val="21"/>
                <w:szCs w:val="24"/>
              </w:rPr>
              <w:t>泵体和压缩机最大连接管泄漏孔径为</w:t>
            </w:r>
            <w:r>
              <w:rPr>
                <w:rFonts w:hint="eastAsia" w:ascii="TimesNewRomanPSMT" w:hAnsi="TimesNewRomanPSMT" w:eastAsia="TimesNewRomanPSMT"/>
                <w:sz w:val="21"/>
                <w:szCs w:val="24"/>
              </w:rPr>
              <w:t>10%</w:t>
            </w:r>
            <w:r>
              <w:rPr>
                <w:rFonts w:hint="eastAsia" w:ascii="宋体" w:hAnsi="宋体" w:eastAsia="宋体"/>
                <w:sz w:val="21"/>
                <w:szCs w:val="24"/>
              </w:rPr>
              <w:t>孔径（最大</w:t>
            </w:r>
            <w:r>
              <w:rPr>
                <w:rFonts w:hint="eastAsia" w:ascii="TimesNewRomanPSMT" w:hAnsi="TimesNewRomanPSMT" w:eastAsia="TimesNewRomanPSMT"/>
                <w:sz w:val="21"/>
                <w:szCs w:val="24"/>
              </w:rPr>
              <w:t>50mm</w:t>
            </w:r>
            <w:r>
              <w:rPr>
                <w:rFonts w:hint="eastAsia" w:ascii="宋体" w:hAnsi="宋体" w:eastAsia="宋体"/>
                <w:sz w:val="21"/>
                <w:szCs w:val="24"/>
              </w:rPr>
              <w:t>）</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5</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-4</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vertAlign w:val="baseline"/>
                <w:lang w:val="en-US" w:eastAsia="zh-CN"/>
              </w:rPr>
            </w:pPr>
            <w:r>
              <w:rPr>
                <w:rFonts w:hint="eastAsia" w:ascii="宋体" w:hAnsi="宋体" w:eastAsia="宋体"/>
                <w:sz w:val="21"/>
                <w:szCs w:val="24"/>
              </w:rPr>
              <w:t>泵体和压缩机最大连接管全管径泄</w:t>
            </w:r>
            <w:r>
              <w:rPr>
                <w:rFonts w:hint="eastAsia" w:ascii="宋体" w:hAnsi="宋体" w:eastAsia="宋体"/>
                <w:sz w:val="21"/>
                <w:szCs w:val="24"/>
                <w:lang w:val="en-US" w:eastAsia="zh-CN"/>
              </w:rPr>
              <w:t>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TimesNewRomanPSMT"/>
                <w:sz w:val="21"/>
                <w:szCs w:val="24"/>
              </w:rPr>
              <w:t>1.00×10</w:t>
            </w:r>
            <w:r>
              <w:rPr>
                <w:rFonts w:hint="eastAsia" w:ascii="TimesNewRomanPSMT" w:hAnsi="TimesNewRomanPSMT" w:eastAsia="宋体"/>
                <w:sz w:val="21"/>
                <w:szCs w:val="24"/>
                <w:vertAlign w:val="superscript"/>
                <w:lang w:val="en-US" w:eastAsia="zh-CN"/>
              </w:rPr>
              <w:t>-4</w:t>
            </w:r>
            <w:r>
              <w:rPr>
                <w:rFonts w:hint="eastAsia" w:ascii="TimesNewRomanPSMT" w:hAnsi="TimesNewRomanPSMT" w:eastAsia="TimesNewRomanPSMT"/>
                <w:sz w:val="21"/>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lang w:val="en-US" w:eastAsia="zh-CN"/>
              </w:rPr>
            </w:pPr>
            <w:r>
              <w:rPr>
                <w:rFonts w:hint="eastAsia" w:ascii="宋体" w:hAnsi="宋体" w:eastAsia="宋体"/>
                <w:sz w:val="21"/>
                <w:szCs w:val="24"/>
                <w:lang w:val="en-US" w:eastAsia="zh-CN"/>
              </w:rPr>
              <w:t>装卸臂</w:t>
            </w:r>
          </w:p>
        </w:tc>
        <w:tc>
          <w:tcPr>
            <w:tcW w:w="3602" w:type="dxa"/>
            <w:vAlign w:val="center"/>
          </w:tcPr>
          <w:p>
            <w:pPr>
              <w:spacing w:beforeLines="0" w:afterLines="0"/>
              <w:jc w:val="center"/>
              <w:rPr>
                <w:rFonts w:hint="eastAsia" w:ascii="宋体" w:hAnsi="宋体" w:eastAsia="宋体"/>
                <w:sz w:val="21"/>
                <w:szCs w:val="24"/>
              </w:rPr>
            </w:pPr>
            <w:r>
              <w:rPr>
                <w:rFonts w:hint="eastAsia" w:ascii="宋体" w:hAnsi="宋体" w:eastAsia="宋体"/>
                <w:sz w:val="21"/>
                <w:szCs w:val="24"/>
              </w:rPr>
              <w:t>装卸臂连接管泄漏孔径为</w:t>
            </w:r>
            <w:r>
              <w:rPr>
                <w:rFonts w:hint="eastAsia" w:ascii="TimesNewRomanPSMT" w:hAnsi="TimesNewRomanPSMT" w:eastAsia="TimesNewRomanPSMT"/>
                <w:sz w:val="21"/>
                <w:szCs w:val="24"/>
              </w:rPr>
              <w:t>10%</w:t>
            </w:r>
            <w:r>
              <w:rPr>
                <w:rFonts w:hint="eastAsia" w:ascii="宋体" w:hAnsi="宋体" w:eastAsia="宋体"/>
                <w:sz w:val="21"/>
                <w:szCs w:val="24"/>
              </w:rPr>
              <w:t>孔径（最大</w:t>
            </w:r>
            <w:r>
              <w:rPr>
                <w:rFonts w:hint="eastAsia" w:ascii="TimesNewRomanPSMT" w:hAnsi="TimesNewRomanPSMT" w:eastAsia="TimesNewRomanPSMT"/>
                <w:sz w:val="21"/>
                <w:szCs w:val="24"/>
              </w:rPr>
              <w:t>50mm</w:t>
            </w:r>
            <w:r>
              <w:rPr>
                <w:rFonts w:hint="eastAsia" w:ascii="宋体" w:hAnsi="宋体" w:eastAsia="宋体"/>
                <w:sz w:val="21"/>
                <w:szCs w:val="24"/>
              </w:rPr>
              <w:t>）</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3</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7</w:t>
            </w:r>
            <w:r>
              <w:rPr>
                <w:rFonts w:hint="eastAsia" w:ascii="TimesNewRomanPSMT" w:hAnsi="TimesNewRomanPSMT" w:eastAsia="TimesNewRomanPSMT"/>
                <w:sz w:val="21"/>
                <w:szCs w:val="24"/>
              </w:rPr>
              <w:t>/</w:t>
            </w:r>
            <w:r>
              <w:rPr>
                <w:rFonts w:hint="eastAsia" w:ascii="TimesNewRomanPSMT" w:hAnsi="TimesNewRomanPSMT" w:eastAsia="宋体"/>
                <w:sz w:val="21"/>
                <w:szCs w:val="24"/>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lang w:val="en-US" w:eastAsia="zh-CN"/>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lang w:val="en-US" w:eastAsia="zh-CN"/>
              </w:rPr>
            </w:pPr>
            <w:r>
              <w:rPr>
                <w:rFonts w:hint="eastAsia" w:ascii="宋体" w:hAnsi="宋体" w:eastAsia="宋体"/>
                <w:sz w:val="21"/>
                <w:szCs w:val="24"/>
              </w:rPr>
              <w:t>装卸臂全管径泄</w:t>
            </w:r>
            <w:r>
              <w:rPr>
                <w:rFonts w:hint="eastAsia" w:ascii="宋体" w:hAnsi="宋体" w:eastAsia="宋体"/>
                <w:sz w:val="21"/>
                <w:szCs w:val="24"/>
                <w:lang w:val="en-US" w:eastAsia="zh-CN"/>
              </w:rPr>
              <w:t>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3</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8</w:t>
            </w:r>
            <w:r>
              <w:rPr>
                <w:rFonts w:hint="eastAsia" w:ascii="TimesNewRomanPSMT" w:hAnsi="TimesNewRomanPSMT" w:eastAsia="TimesNewRomanPSMT"/>
                <w:sz w:val="21"/>
                <w:szCs w:val="24"/>
              </w:rPr>
              <w:t>/</w:t>
            </w:r>
            <w:r>
              <w:rPr>
                <w:rFonts w:hint="eastAsia" w:ascii="TimesNewRomanPSMT" w:hAnsi="TimesNewRomanPSMT" w:eastAsia="宋体"/>
                <w:sz w:val="21"/>
                <w:szCs w:val="24"/>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8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sz w:val="21"/>
                <w:szCs w:val="24"/>
                <w:lang w:val="en-US" w:eastAsia="zh-CN"/>
              </w:rPr>
            </w:pPr>
            <w:r>
              <w:rPr>
                <w:rFonts w:hint="eastAsia" w:ascii="宋体" w:hAnsi="宋体" w:eastAsia="宋体"/>
                <w:sz w:val="21"/>
                <w:szCs w:val="24"/>
                <w:lang w:val="en-US" w:eastAsia="zh-CN"/>
              </w:rPr>
              <w:t>装卸软管</w:t>
            </w:r>
          </w:p>
        </w:tc>
        <w:tc>
          <w:tcPr>
            <w:tcW w:w="3602" w:type="dxa"/>
            <w:vAlign w:val="center"/>
          </w:tcPr>
          <w:p>
            <w:pPr>
              <w:spacing w:beforeLines="0" w:afterLines="0"/>
              <w:jc w:val="center"/>
              <w:rPr>
                <w:rFonts w:hint="eastAsia" w:ascii="宋体" w:hAnsi="宋体" w:eastAsia="宋体"/>
                <w:sz w:val="21"/>
                <w:szCs w:val="24"/>
              </w:rPr>
            </w:pPr>
            <w:r>
              <w:rPr>
                <w:rFonts w:hint="eastAsia" w:ascii="宋体" w:hAnsi="宋体" w:eastAsia="宋体"/>
                <w:sz w:val="21"/>
                <w:szCs w:val="24"/>
              </w:rPr>
              <w:t>装卸软管连接管泄漏孔径为</w:t>
            </w:r>
            <w:r>
              <w:rPr>
                <w:rFonts w:hint="eastAsia" w:ascii="TimesNewRomanPSMT" w:hAnsi="TimesNewRomanPSMT" w:eastAsia="TimesNewRomanPSMT"/>
                <w:sz w:val="21"/>
                <w:szCs w:val="24"/>
              </w:rPr>
              <w:t>10%</w:t>
            </w:r>
            <w:r>
              <w:rPr>
                <w:rFonts w:hint="eastAsia" w:ascii="宋体" w:hAnsi="宋体" w:eastAsia="宋体"/>
                <w:sz w:val="21"/>
                <w:szCs w:val="24"/>
              </w:rPr>
              <w:t>孔径（最大</w:t>
            </w:r>
            <w:r>
              <w:rPr>
                <w:rFonts w:hint="eastAsia" w:ascii="TimesNewRomanPSMT" w:hAnsi="TimesNewRomanPSMT" w:eastAsia="TimesNewRomanPSMT"/>
                <w:sz w:val="21"/>
                <w:szCs w:val="24"/>
              </w:rPr>
              <w:t>50mm</w:t>
            </w:r>
            <w:r>
              <w:rPr>
                <w:rFonts w:hint="eastAsia" w:ascii="宋体" w:hAnsi="宋体" w:eastAsia="宋体"/>
                <w:sz w:val="21"/>
                <w:szCs w:val="24"/>
              </w:rPr>
              <w:t>）</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4</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5</w:t>
            </w:r>
            <w:r>
              <w:rPr>
                <w:rFonts w:hint="eastAsia" w:ascii="TimesNewRomanPSMT" w:hAnsi="TimesNewRomanPSMT" w:eastAsia="TimesNewRomanPSMT"/>
                <w:sz w:val="21"/>
                <w:szCs w:val="24"/>
              </w:rPr>
              <w:t>/</w:t>
            </w:r>
            <w:r>
              <w:rPr>
                <w:rFonts w:hint="eastAsia" w:ascii="TimesNewRomanPSMT" w:hAnsi="TimesNewRomanPSMT" w:eastAsia="宋体"/>
                <w:sz w:val="21"/>
                <w:szCs w:val="24"/>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8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rPr>
            </w:pPr>
          </w:p>
        </w:tc>
        <w:tc>
          <w:tcPr>
            <w:tcW w:w="36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4"/>
                <w:lang w:val="en-US" w:eastAsia="zh-CN"/>
              </w:rPr>
            </w:pPr>
            <w:r>
              <w:rPr>
                <w:rFonts w:hint="eastAsia" w:ascii="宋体" w:hAnsi="宋体" w:eastAsia="宋体"/>
                <w:sz w:val="21"/>
                <w:szCs w:val="24"/>
              </w:rPr>
              <w:t>装卸软管全管径泄</w:t>
            </w:r>
            <w:r>
              <w:rPr>
                <w:rFonts w:hint="eastAsia" w:ascii="宋体" w:hAnsi="宋体" w:eastAsia="宋体"/>
                <w:sz w:val="21"/>
                <w:szCs w:val="24"/>
                <w:lang w:val="en-US" w:eastAsia="zh-CN"/>
              </w:rPr>
              <w:t>漏</w:t>
            </w:r>
          </w:p>
        </w:tc>
        <w:tc>
          <w:tcPr>
            <w:tcW w:w="20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r>
              <w:rPr>
                <w:rFonts w:hint="eastAsia" w:ascii="TimesNewRomanPSMT" w:hAnsi="TimesNewRomanPSMT" w:eastAsia="宋体"/>
                <w:sz w:val="21"/>
                <w:szCs w:val="24"/>
                <w:lang w:val="en-US" w:eastAsia="zh-CN"/>
              </w:rPr>
              <w:t>4</w:t>
            </w:r>
            <w:r>
              <w:rPr>
                <w:rFonts w:hint="eastAsia" w:ascii="TimesNewRomanPSMT" w:hAnsi="TimesNewRomanPSMT" w:eastAsia="TimesNewRomanPSMT"/>
                <w:sz w:val="21"/>
                <w:szCs w:val="24"/>
              </w:rPr>
              <w:t>.00×10</w:t>
            </w:r>
            <w:r>
              <w:rPr>
                <w:rFonts w:hint="eastAsia" w:ascii="TimesNewRomanPSMT" w:hAnsi="TimesNewRomanPSMT" w:eastAsia="宋体"/>
                <w:sz w:val="21"/>
                <w:szCs w:val="24"/>
                <w:vertAlign w:val="superscript"/>
                <w:lang w:val="en-US" w:eastAsia="zh-CN"/>
              </w:rPr>
              <w:t>-</w:t>
            </w:r>
            <w:r>
              <w:rPr>
                <w:rFonts w:hint="eastAsia" w:ascii="TimesNewRomanPSMT" w:hAnsi="TimesNewRomanPSMT"/>
                <w:sz w:val="21"/>
                <w:szCs w:val="24"/>
                <w:vertAlign w:val="superscript"/>
                <w:lang w:val="en-US" w:eastAsia="zh-CN"/>
              </w:rPr>
              <w:t>6</w:t>
            </w:r>
            <w:r>
              <w:rPr>
                <w:rFonts w:hint="eastAsia" w:ascii="TimesNewRomanPSMT" w:hAnsi="TimesNewRomanPSMT" w:eastAsia="TimesNewRomanPSMT"/>
                <w:sz w:val="21"/>
                <w:szCs w:val="24"/>
              </w:rPr>
              <w:t>/</w:t>
            </w:r>
            <w:r>
              <w:rPr>
                <w:rFonts w:hint="eastAsia" w:ascii="TimesNewRomanPSMT" w:hAnsi="TimesNewRomanPSMT" w:eastAsia="宋体"/>
                <w:sz w:val="21"/>
                <w:szCs w:val="24"/>
                <w:lang w:val="en-US" w:eastAsia="zh-CN"/>
              </w:rPr>
              <w:t>h</w:t>
            </w:r>
          </w:p>
        </w:tc>
      </w:tr>
    </w:tbl>
    <w:p>
      <w:pPr>
        <w:spacing w:beforeLines="0" w:afterLines="0"/>
        <w:jc w:val="left"/>
        <w:rPr>
          <w:rFonts w:hint="eastAsia"/>
          <w:b w:val="0"/>
          <w:bCs w:val="0"/>
          <w:sz w:val="18"/>
          <w:szCs w:val="18"/>
          <w:lang w:val="en-US" w:eastAsia="zh-CN"/>
        </w:rPr>
      </w:pPr>
      <w:r>
        <w:rPr>
          <w:rFonts w:hint="eastAsia" w:ascii="宋体" w:hAnsi="宋体" w:eastAsia="宋体"/>
          <w:b w:val="0"/>
          <w:bCs w:val="0"/>
          <w:sz w:val="18"/>
          <w:szCs w:val="18"/>
        </w:rPr>
        <w:t>注：以上数据来源于荷兰</w:t>
      </w:r>
      <w:r>
        <w:rPr>
          <w:rFonts w:hint="eastAsia" w:ascii="TimesNewRomanPSMT" w:hAnsi="TimesNewRomanPSMT" w:eastAsia="TimesNewRomanPSMT"/>
          <w:b w:val="0"/>
          <w:bCs w:val="0"/>
          <w:sz w:val="18"/>
          <w:szCs w:val="18"/>
        </w:rPr>
        <w:t>TNO</w:t>
      </w:r>
      <w:r>
        <w:rPr>
          <w:rFonts w:hint="eastAsia" w:ascii="宋体" w:hAnsi="宋体" w:eastAsia="宋体"/>
          <w:b w:val="0"/>
          <w:bCs w:val="0"/>
          <w:sz w:val="18"/>
          <w:szCs w:val="18"/>
        </w:rPr>
        <w:t>紫皮书（</w:t>
      </w:r>
      <w:r>
        <w:rPr>
          <w:rFonts w:hint="eastAsia" w:ascii="TimesNewRomanPSMT" w:hAnsi="TimesNewRomanPSMT" w:eastAsia="TimesNewRomanPSMT"/>
          <w:b w:val="0"/>
          <w:bCs w:val="0"/>
          <w:sz w:val="18"/>
          <w:szCs w:val="18"/>
        </w:rPr>
        <w:t>GuidelinesforQuantitative</w:t>
      </w:r>
      <w:r>
        <w:rPr>
          <w:rFonts w:hint="eastAsia" w:ascii="宋体" w:hAnsi="宋体" w:eastAsia="宋体"/>
          <w:b w:val="0"/>
          <w:bCs w:val="0"/>
          <w:sz w:val="18"/>
          <w:szCs w:val="18"/>
        </w:rPr>
        <w:t>）以及</w:t>
      </w:r>
      <w:r>
        <w:rPr>
          <w:rFonts w:hint="eastAsia" w:ascii="TimesNewRomanPSMT" w:hAnsi="TimesNewRomanPSMT" w:eastAsia="TimesNewRomanPSMT"/>
          <w:b w:val="0"/>
          <w:bCs w:val="0"/>
          <w:sz w:val="18"/>
          <w:szCs w:val="18"/>
        </w:rPr>
        <w:t>ReferenceManualBeviRiskAssessments</w:t>
      </w:r>
      <w:r>
        <w:rPr>
          <w:rFonts w:hint="eastAsia" w:ascii="宋体" w:hAnsi="宋体" w:eastAsia="宋体"/>
          <w:b w:val="0"/>
          <w:bCs w:val="0"/>
          <w:sz w:val="18"/>
          <w:szCs w:val="18"/>
        </w:rPr>
        <w:t>；</w:t>
      </w:r>
      <w:r>
        <w:rPr>
          <w:rFonts w:hint="eastAsia" w:ascii="TimesNewRomanPSMT" w:hAnsi="TimesNewRomanPSMT" w:eastAsia="TimesNewRomanPSMT"/>
          <w:b w:val="0"/>
          <w:bCs w:val="0"/>
          <w:sz w:val="18"/>
          <w:szCs w:val="18"/>
        </w:rPr>
        <w:t>*</w:t>
      </w:r>
      <w:r>
        <w:rPr>
          <w:rFonts w:hint="eastAsia" w:ascii="宋体" w:hAnsi="宋体" w:eastAsia="宋体"/>
          <w:b w:val="0"/>
          <w:bCs w:val="0"/>
          <w:sz w:val="18"/>
          <w:szCs w:val="18"/>
        </w:rPr>
        <w:t>来源于国际油气协会</w:t>
      </w:r>
      <w:r>
        <w:rPr>
          <w:rFonts w:hint="eastAsia" w:ascii="TimesNewRomanPSMT" w:hAnsi="TimesNewRomanPSMT" w:eastAsia="TimesNewRomanPSMT"/>
          <w:b w:val="0"/>
          <w:bCs w:val="0"/>
          <w:sz w:val="18"/>
          <w:szCs w:val="18"/>
        </w:rPr>
        <w:t>InternationalAssociationofOil&amp;GasProducers</w:t>
      </w:r>
      <w:r>
        <w:rPr>
          <w:rFonts w:hint="eastAsia" w:ascii="宋体" w:hAnsi="宋体" w:eastAsia="宋体"/>
          <w:b w:val="0"/>
          <w:bCs w:val="0"/>
          <w:sz w:val="18"/>
          <w:szCs w:val="18"/>
        </w:rPr>
        <w:t>发布的</w:t>
      </w:r>
      <w:r>
        <w:rPr>
          <w:rFonts w:hint="eastAsia" w:ascii="TimesNewRomanPSMT" w:hAnsi="TimesNewRomanPSMT" w:eastAsia="TimesNewRomanPSMT"/>
          <w:b w:val="0"/>
          <w:bCs w:val="0"/>
          <w:sz w:val="18"/>
          <w:szCs w:val="18"/>
        </w:rPr>
        <w:t>RiskAssessmentDataDirectory(2010,3)</w:t>
      </w:r>
      <w:r>
        <w:rPr>
          <w:rFonts w:hint="eastAsia" w:ascii="宋体" w:hAnsi="宋体" w:eastAsia="宋体"/>
          <w:b w:val="0"/>
          <w:bCs w:val="0"/>
          <w:sz w:val="18"/>
          <w:szCs w:val="18"/>
        </w:rPr>
        <w:t>。</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一般情况下，发生频率小于10-6/年的事件是极小概率事件，可作为代表性事故中的最大可信事故设定的参考。因此，本项目最大可信事故情形的设定原则如下：</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（1）内径≤75mm的管道发生全管径泄漏、泵体和压缩机全管径泄漏、装卸软管全管径泄漏的频率均大于或等于1.00×10</w:t>
      </w:r>
      <w:r>
        <w:rPr>
          <w:rFonts w:hint="eastAsia"/>
          <w:sz w:val="24"/>
          <w:szCs w:val="24"/>
          <w:vertAlign w:val="superscript"/>
          <w:lang w:val="en-US" w:eastAsia="zh-CN"/>
        </w:rPr>
        <w:t>-6</w:t>
      </w:r>
      <w:r>
        <w:rPr>
          <w:rFonts w:hint="eastAsia"/>
          <w:sz w:val="24"/>
          <w:szCs w:val="24"/>
          <w:lang w:val="en-US" w:eastAsia="zh-CN"/>
        </w:rPr>
        <w:t>/a，可作为最大可信事故情形；</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（2）内径＞75mm的管道全管径泄漏的频率小于3.00×10</w:t>
      </w:r>
      <w:r>
        <w:rPr>
          <w:rFonts w:hint="eastAsia"/>
          <w:sz w:val="24"/>
          <w:szCs w:val="24"/>
          <w:vertAlign w:val="superscript"/>
          <w:lang w:val="en-US" w:eastAsia="zh-CN"/>
        </w:rPr>
        <w:t>-7</w:t>
      </w:r>
      <w:r>
        <w:rPr>
          <w:rFonts w:hint="eastAsia"/>
          <w:sz w:val="24"/>
          <w:szCs w:val="24"/>
          <w:lang w:val="en-US" w:eastAsia="zh-CN"/>
        </w:rPr>
        <w:t>/a，为小概率事件，因此内径＞75mm的管道选用10%孔径（最大50mm）泄漏作为最大可信事故情形。</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（2）最大可信事故情形设定</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根据项目物质危险性识别、生产系统危险性识别以及事故资料统计分析，氢氟酸是本项目涉及的物料中危险性最高的物质，应作为事故防范的重点。本项目环境风险评价设定最大可信事故情形如下：按照1个400L氢氟酸桶发生泄漏，氟化氢挥发到大气环境。本评价假设有一只氢氟酸桶发生破裂或损坏导致液态氢氟酸泄漏，计算氟化氢吸热挥发后形成的氟化氢气团在空气中飘移、扩散的范围、浓度。</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3、源项分析</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氟化氢酸雾产生量按照《环境统计手册》中酸洗工艺酸液蒸发量的计算公式进行计算：</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Gz=M(0.000352+0.000786U)*PF</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式中：Gz—液体的蒸发量，kg/h；</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M—液体的相对分子量，g/mol，HF取20；</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U—蒸发液体表面上的空气流速，m/s，一般取0.2-0.5，本项目取0.5；</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P—相应于液体温度下的空气中的蒸汽分压力，mmHg；温度为25℃，HF（浓度49%）P=20mmHg；</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F—液体蒸发面表面积，m</w:t>
      </w:r>
      <w:r>
        <w:rPr>
          <w:rFonts w:hint="eastAsia"/>
          <w:sz w:val="24"/>
          <w:szCs w:val="24"/>
          <w:vertAlign w:val="superscript"/>
          <w:lang w:val="en-US" w:eastAsia="zh-CN"/>
        </w:rPr>
        <w:t>2</w:t>
      </w:r>
      <w:r>
        <w:rPr>
          <w:rFonts w:hint="eastAsia"/>
          <w:sz w:val="24"/>
          <w:szCs w:val="24"/>
          <w:lang w:val="en-US" w:eastAsia="zh-CN"/>
        </w:rPr>
        <w:t>，取值5m</w:t>
      </w:r>
      <w:r>
        <w:rPr>
          <w:rFonts w:hint="eastAsia"/>
          <w:sz w:val="24"/>
          <w:szCs w:val="24"/>
          <w:vertAlign w:val="superscript"/>
          <w:lang w:val="en-US" w:eastAsia="zh-CN"/>
        </w:rPr>
        <w:t>2</w:t>
      </w:r>
      <w:r>
        <w:rPr>
          <w:rFonts w:hint="eastAsia"/>
          <w:sz w:val="24"/>
          <w:szCs w:val="24"/>
          <w:lang w:val="en-US" w:eastAsia="zh-CN"/>
        </w:rPr>
        <w:t>。</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根据上式计算可知，氟化氢挥发量为1.49kg/h，评价假设泄漏1h后发现并采用碱进行中和处置，其泄漏时间为1h，挥发进入环境空气中量为1.49kg。</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六、环境风险预测与评价</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1、对大气环境的影响</w:t>
      </w:r>
    </w:p>
    <w:p>
      <w:pPr>
        <w:spacing w:line="360" w:lineRule="auto"/>
        <w:ind w:firstLine="480" w:firstLineChars="200"/>
        <w:jc w:val="left"/>
        <w:rPr>
          <w:rFonts w:hint="eastAsia"/>
          <w:sz w:val="24"/>
          <w:szCs w:val="24"/>
        </w:rPr>
      </w:pPr>
      <w:r>
        <w:rPr>
          <w:rFonts w:hint="eastAsia"/>
          <w:sz w:val="24"/>
          <w:szCs w:val="24"/>
        </w:rPr>
        <w:t>本项目大气环境风险评价等级为三级，仅需定性说明大气环境影响后果。</w:t>
      </w:r>
    </w:p>
    <w:p>
      <w:pPr>
        <w:spacing w:line="360" w:lineRule="auto"/>
        <w:ind w:firstLine="480" w:firstLineChars="200"/>
        <w:jc w:val="left"/>
        <w:rPr>
          <w:rFonts w:hint="default" w:eastAsia="宋体"/>
          <w:sz w:val="24"/>
          <w:szCs w:val="24"/>
          <w:lang w:val="en-US" w:eastAsia="zh-CN"/>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lang w:val="en-US" w:eastAsia="zh-CN"/>
        </w:rPr>
        <w:t>氢氟酸泄漏</w:t>
      </w:r>
    </w:p>
    <w:p>
      <w:pPr>
        <w:spacing w:line="360" w:lineRule="auto"/>
        <w:ind w:firstLine="480" w:firstLineChars="200"/>
        <w:jc w:val="left"/>
        <w:rPr>
          <w:sz w:val="24"/>
          <w:szCs w:val="24"/>
        </w:rPr>
      </w:pPr>
      <w:r>
        <w:rPr>
          <w:rFonts w:hint="eastAsia"/>
          <w:sz w:val="24"/>
          <w:szCs w:val="24"/>
        </w:rPr>
        <w:t>根据建设单位提供的《年产5GW单晶硅拉棒及2GW切片项目环境影响报告书》，该项目最大可信事故设定情形与泄漏源强与本项目相同，本次评价类比该项目预测结论：氢氟酸桶泄漏事故发生后，氟化氢在最不利条件下扩散过程中，最大预测浓度为857.75mg/m</w:t>
      </w:r>
      <w:r>
        <w:rPr>
          <w:rFonts w:hint="eastAsia"/>
          <w:sz w:val="24"/>
          <w:szCs w:val="24"/>
          <w:vertAlign w:val="superscript"/>
        </w:rPr>
        <w:t>3</w:t>
      </w:r>
      <w:r>
        <w:rPr>
          <w:rFonts w:hint="eastAsia"/>
          <w:sz w:val="24"/>
          <w:szCs w:val="24"/>
        </w:rPr>
        <w:t>，大气毒性终点浓度-1出现最远距离为23m，大气毒性终点浓度-2出现最远距离为34m，发生事故后影响范围主要集中于厂区东北侧，不会超过厂界，其环境风险在可接受范围。</w:t>
      </w:r>
    </w:p>
    <w:p>
      <w:pPr>
        <w:spacing w:line="360" w:lineRule="auto"/>
        <w:ind w:firstLine="480" w:firstLineChars="200"/>
        <w:jc w:val="left"/>
        <w:rPr>
          <w:rFonts w:hint="default" w:eastAsia="宋体"/>
          <w:sz w:val="24"/>
          <w:szCs w:val="24"/>
          <w:lang w:val="en-US" w:eastAsia="zh-CN"/>
        </w:rPr>
      </w:pPr>
      <w:r>
        <w:rPr>
          <w:sz w:val="24"/>
          <w:szCs w:val="24"/>
        </w:rPr>
        <w:fldChar w:fldCharType="begin"/>
      </w:r>
      <w:r>
        <w:rPr>
          <w:sz w:val="24"/>
          <w:szCs w:val="24"/>
        </w:rPr>
        <w:instrText xml:space="preserve"> </w:instrText>
      </w:r>
      <w:r>
        <w:rPr>
          <w:rFonts w:hint="eastAsia"/>
          <w:sz w:val="24"/>
          <w:szCs w:val="24"/>
        </w:rPr>
        <w:instrText xml:space="preserve">= 2 \* GB3</w:instrText>
      </w:r>
      <w:r>
        <w:rPr>
          <w:sz w:val="24"/>
          <w:szCs w:val="24"/>
        </w:rPr>
        <w:instrText xml:space="preserve"> </w:instrText>
      </w:r>
      <w:r>
        <w:rPr>
          <w:sz w:val="24"/>
          <w:szCs w:val="24"/>
        </w:rPr>
        <w:fldChar w:fldCharType="separate"/>
      </w:r>
      <w:r>
        <w:rPr>
          <w:rFonts w:hint="eastAsia"/>
          <w:sz w:val="24"/>
          <w:szCs w:val="24"/>
        </w:rPr>
        <w:t>②</w:t>
      </w:r>
      <w:r>
        <w:rPr>
          <w:sz w:val="24"/>
          <w:szCs w:val="24"/>
        </w:rPr>
        <w:fldChar w:fldCharType="end"/>
      </w:r>
      <w:r>
        <w:rPr>
          <w:rFonts w:hint="eastAsia"/>
          <w:sz w:val="24"/>
          <w:szCs w:val="24"/>
          <w:lang w:val="en-US" w:eastAsia="zh-CN"/>
        </w:rPr>
        <w:t>润滑油泄漏</w:t>
      </w:r>
    </w:p>
    <w:p>
      <w:pPr>
        <w:spacing w:line="360" w:lineRule="auto"/>
        <w:ind w:firstLine="472" w:firstLineChars="200"/>
        <w:jc w:val="left"/>
        <w:rPr>
          <w:spacing w:val="-2"/>
          <w:sz w:val="24"/>
          <w:szCs w:val="24"/>
        </w:rPr>
      </w:pPr>
      <w:r>
        <w:rPr>
          <w:rFonts w:hint="eastAsia"/>
          <w:spacing w:val="-2"/>
          <w:sz w:val="24"/>
          <w:szCs w:val="24"/>
          <w:lang w:val="en-US" w:eastAsia="zh-CN"/>
        </w:rPr>
        <w:t>油类物质</w:t>
      </w:r>
      <w:r>
        <w:rPr>
          <w:spacing w:val="-2"/>
          <w:sz w:val="24"/>
          <w:szCs w:val="24"/>
        </w:rPr>
        <w:t>泄漏时局部大气中总烃浓度可比正常情况高出数倍甚至数十倍，由于比重比空气轻，会很快散发，只会对近距离的大气环境造成短时间的影响。</w:t>
      </w:r>
    </w:p>
    <w:p>
      <w:pPr>
        <w:spacing w:line="360" w:lineRule="auto"/>
        <w:ind w:firstLine="480" w:firstLineChars="200"/>
        <w:jc w:val="left"/>
        <w:rPr>
          <w:rFonts w:hint="eastAsia"/>
          <w:sz w:val="24"/>
          <w:szCs w:val="24"/>
        </w:rPr>
      </w:pPr>
      <w:r>
        <w:rPr>
          <w:rFonts w:hint="eastAsia"/>
          <w:sz w:val="24"/>
          <w:szCs w:val="24"/>
        </w:rPr>
        <w:t>非甲烷总烃废气排入大气环境且大气中的非甲烷总烃超过一定浓度，除直接对人体健康有害外，在一定条件下经日光照射还能产生光化学烟雾，对环境和人类造成危害。</w:t>
      </w:r>
    </w:p>
    <w:p>
      <w:pPr>
        <w:spacing w:line="360" w:lineRule="auto"/>
        <w:ind w:firstLine="480" w:firstLineChars="200"/>
        <w:jc w:val="left"/>
        <w:rPr>
          <w:sz w:val="24"/>
          <w:szCs w:val="24"/>
        </w:rPr>
      </w:pPr>
      <w:r>
        <w:rPr>
          <w:rFonts w:hint="eastAsia"/>
          <w:sz w:val="24"/>
          <w:szCs w:val="24"/>
          <w:lang w:val="en-US" w:eastAsia="zh-CN"/>
        </w:rPr>
        <w:t>油品</w:t>
      </w:r>
      <w:r>
        <w:rPr>
          <w:rFonts w:hint="eastAsia"/>
          <w:sz w:val="24"/>
          <w:szCs w:val="24"/>
        </w:rPr>
        <w:t>泄漏事故大多数集中在</w:t>
      </w:r>
      <w:r>
        <w:rPr>
          <w:rFonts w:hint="eastAsia"/>
          <w:sz w:val="24"/>
          <w:szCs w:val="24"/>
          <w:lang w:val="en-US" w:eastAsia="zh-CN"/>
        </w:rPr>
        <w:t>油</w:t>
      </w:r>
      <w:r>
        <w:rPr>
          <w:rFonts w:hint="eastAsia"/>
          <w:sz w:val="24"/>
          <w:szCs w:val="24"/>
        </w:rPr>
        <w:t>罐</w:t>
      </w:r>
      <w:r>
        <w:rPr>
          <w:rFonts w:hint="eastAsia"/>
          <w:sz w:val="24"/>
          <w:szCs w:val="24"/>
          <w:lang w:val="en-US" w:eastAsia="zh-CN"/>
        </w:rPr>
        <w:t>出现裂缝或机加工机械的</w:t>
      </w:r>
      <w:r>
        <w:rPr>
          <w:rFonts w:hint="eastAsia"/>
          <w:sz w:val="24"/>
          <w:szCs w:val="24"/>
        </w:rPr>
        <w:t>阀门</w:t>
      </w:r>
      <w:r>
        <w:rPr>
          <w:rFonts w:hint="eastAsia"/>
          <w:sz w:val="24"/>
          <w:szCs w:val="24"/>
          <w:lang w:eastAsia="zh-CN"/>
        </w:rPr>
        <w:t>、</w:t>
      </w:r>
      <w:r>
        <w:rPr>
          <w:rFonts w:hint="eastAsia"/>
          <w:sz w:val="24"/>
          <w:szCs w:val="24"/>
        </w:rPr>
        <w:t>密封圈破坏</w:t>
      </w:r>
      <w:r>
        <w:rPr>
          <w:rFonts w:hint="eastAsia"/>
          <w:sz w:val="24"/>
          <w:szCs w:val="24"/>
          <w:lang w:eastAsia="zh-CN"/>
        </w:rPr>
        <w:t>。</w:t>
      </w:r>
      <w:r>
        <w:rPr>
          <w:rFonts w:hint="eastAsia"/>
          <w:sz w:val="24"/>
          <w:szCs w:val="24"/>
          <w:lang w:val="en-US" w:eastAsia="zh-CN"/>
        </w:rPr>
        <w:t>一般废润滑油在导入油罐前，工作人员均会检查油罐的密闭性；当油罐放入危废库后，若无外力的作用下基本不会产生破损。机械加工机器本身</w:t>
      </w:r>
      <w:r>
        <w:rPr>
          <w:rFonts w:hint="eastAsia"/>
          <w:sz w:val="24"/>
          <w:szCs w:val="24"/>
        </w:rPr>
        <w:t>设有泄漏检测报警系统，一旦发生泄漏，工作人员会及时控制泄漏源。</w:t>
      </w:r>
      <w:r>
        <w:rPr>
          <w:rFonts w:hint="eastAsia"/>
          <w:sz w:val="24"/>
          <w:szCs w:val="24"/>
          <w:lang w:eastAsia="zh-CN"/>
        </w:rPr>
        <w:t>能够</w:t>
      </w:r>
      <w:r>
        <w:rPr>
          <w:rFonts w:hint="eastAsia"/>
          <w:sz w:val="24"/>
          <w:szCs w:val="24"/>
          <w:lang w:val="en-US" w:eastAsia="zh-CN"/>
        </w:rPr>
        <w:t>及时</w:t>
      </w:r>
      <w:r>
        <w:rPr>
          <w:rFonts w:hint="eastAsia"/>
          <w:sz w:val="24"/>
          <w:szCs w:val="24"/>
          <w:lang w:eastAsia="zh-CN"/>
        </w:rPr>
        <w:t>控制泄漏量，</w:t>
      </w:r>
      <w:r>
        <w:rPr>
          <w:rFonts w:hint="eastAsia"/>
          <w:sz w:val="24"/>
          <w:szCs w:val="24"/>
        </w:rPr>
        <w:t>不会造成大面积的扩散，对大气环境影响较小。</w:t>
      </w:r>
    </w:p>
    <w:p>
      <w:pPr>
        <w:spacing w:line="360" w:lineRule="auto"/>
        <w:ind w:firstLine="480" w:firstLineChars="200"/>
        <w:jc w:val="left"/>
        <w:rPr>
          <w:rFonts w:hint="default" w:eastAsia="宋体"/>
          <w:sz w:val="24"/>
          <w:szCs w:val="24"/>
          <w:lang w:val="en-US" w:eastAsia="zh-CN"/>
        </w:rPr>
      </w:pPr>
      <w:r>
        <w:rPr>
          <w:sz w:val="24"/>
          <w:szCs w:val="24"/>
        </w:rPr>
        <w:fldChar w:fldCharType="begin"/>
      </w:r>
      <w:r>
        <w:rPr>
          <w:sz w:val="24"/>
          <w:szCs w:val="24"/>
        </w:rPr>
        <w:instrText xml:space="preserve"> </w:instrText>
      </w:r>
      <w:r>
        <w:rPr>
          <w:rFonts w:hint="eastAsia"/>
          <w:sz w:val="24"/>
          <w:szCs w:val="24"/>
        </w:rPr>
        <w:instrText xml:space="preserve">= 3 \* GB3</w:instrText>
      </w:r>
      <w:r>
        <w:rPr>
          <w:sz w:val="24"/>
          <w:szCs w:val="24"/>
        </w:rPr>
        <w:instrText xml:space="preserve"> </w:instrText>
      </w:r>
      <w:r>
        <w:rPr>
          <w:sz w:val="24"/>
          <w:szCs w:val="24"/>
        </w:rPr>
        <w:fldChar w:fldCharType="separate"/>
      </w:r>
      <w:r>
        <w:rPr>
          <w:rFonts w:hint="eastAsia"/>
          <w:sz w:val="24"/>
          <w:szCs w:val="24"/>
        </w:rPr>
        <w:t>③</w:t>
      </w:r>
      <w:r>
        <w:rPr>
          <w:sz w:val="24"/>
          <w:szCs w:val="24"/>
        </w:rPr>
        <w:fldChar w:fldCharType="end"/>
      </w:r>
      <w:r>
        <w:rPr>
          <w:rFonts w:hint="eastAsia"/>
          <w:sz w:val="24"/>
          <w:szCs w:val="24"/>
          <w:lang w:val="en-US" w:eastAsia="zh-CN"/>
        </w:rPr>
        <w:t>火灾及爆炸</w:t>
      </w:r>
    </w:p>
    <w:p>
      <w:pPr>
        <w:spacing w:line="360" w:lineRule="auto"/>
        <w:ind w:firstLine="480" w:firstLineChars="200"/>
        <w:jc w:val="left"/>
        <w:rPr>
          <w:rFonts w:hint="default" w:eastAsia="宋体"/>
          <w:sz w:val="24"/>
          <w:szCs w:val="24"/>
          <w:lang w:val="en-US" w:eastAsia="zh-CN"/>
        </w:rPr>
      </w:pPr>
      <w:r>
        <w:rPr>
          <w:rFonts w:hint="eastAsia"/>
          <w:sz w:val="24"/>
          <w:szCs w:val="24"/>
          <w:lang w:val="en-US" w:eastAsia="zh-CN"/>
        </w:rPr>
        <w:t>氢气燃烧产物为水，非污染物，对环境无影响；但燃烧过程放热容易引发火灾甚至爆炸。氢气储罐阀门处设置逆流阀，防止燃烧的气体回吸造成储罐的爆炸；另外氩气回收站与车间保持了足够的防火距离，避免引燃其他建筑物。</w:t>
      </w:r>
    </w:p>
    <w:p>
      <w:pPr>
        <w:spacing w:line="360" w:lineRule="auto"/>
        <w:ind w:firstLine="472" w:firstLineChars="200"/>
        <w:jc w:val="left"/>
        <w:rPr>
          <w:sz w:val="24"/>
          <w:szCs w:val="24"/>
        </w:rPr>
      </w:pPr>
      <w:r>
        <w:rPr>
          <w:spacing w:val="-2"/>
          <w:sz w:val="24"/>
          <w:szCs w:val="24"/>
        </w:rPr>
        <w:t>由于安全措施的设置，</w:t>
      </w:r>
      <w:r>
        <w:rPr>
          <w:rFonts w:hint="eastAsia"/>
          <w:spacing w:val="-2"/>
          <w:sz w:val="24"/>
          <w:szCs w:val="24"/>
          <w:lang w:val="en-US" w:eastAsia="zh-CN"/>
        </w:rPr>
        <w:t>火灾和</w:t>
      </w:r>
      <w:r>
        <w:rPr>
          <w:spacing w:val="-2"/>
          <w:sz w:val="24"/>
          <w:szCs w:val="24"/>
        </w:rPr>
        <w:t>爆炸的几率很小</w:t>
      </w:r>
      <w:r>
        <w:rPr>
          <w:rFonts w:hint="eastAsia"/>
          <w:spacing w:val="-2"/>
          <w:sz w:val="24"/>
          <w:szCs w:val="24"/>
          <w:lang w:eastAsia="zh-CN"/>
        </w:rPr>
        <w:t>。</w:t>
      </w:r>
      <w:r>
        <w:rPr>
          <w:rFonts w:hint="default" w:ascii="Times New Roman" w:hAnsi="Times New Roman" w:cs="Times New Roman"/>
          <w:color w:val="auto"/>
          <w:kern w:val="0"/>
          <w:sz w:val="24"/>
          <w:szCs w:val="24"/>
        </w:rPr>
        <w:t>一旦发生事故，建设单位应及时按照应急预案安排救援和疏散，</w:t>
      </w:r>
      <w:r>
        <w:rPr>
          <w:rFonts w:hint="eastAsia" w:cs="Times New Roman"/>
          <w:color w:val="auto"/>
          <w:kern w:val="0"/>
          <w:sz w:val="24"/>
          <w:szCs w:val="24"/>
          <w:lang w:val="en-US" w:eastAsia="zh-CN"/>
        </w:rPr>
        <w:t>可</w:t>
      </w:r>
      <w:r>
        <w:rPr>
          <w:rFonts w:hint="default" w:ascii="Times New Roman" w:hAnsi="Times New Roman" w:cs="Times New Roman"/>
          <w:color w:val="auto"/>
          <w:kern w:val="0"/>
          <w:sz w:val="24"/>
          <w:szCs w:val="24"/>
        </w:rPr>
        <w:t>迅速采用灭火措施，不会对环境和周边人员产生显著影响。</w:t>
      </w:r>
    </w:p>
    <w:p>
      <w:pPr>
        <w:spacing w:line="360" w:lineRule="auto"/>
        <w:ind w:firstLine="472" w:firstLineChars="200"/>
        <w:jc w:val="left"/>
        <w:rPr>
          <w:spacing w:val="-2"/>
          <w:sz w:val="24"/>
          <w:szCs w:val="24"/>
        </w:rPr>
      </w:pPr>
      <w:r>
        <w:rPr>
          <w:spacing w:val="-2"/>
          <w:sz w:val="24"/>
          <w:szCs w:val="24"/>
        </w:rPr>
        <w:t>爆炸的瞬间，由于冲击波的冲击，土层被掀起，产生一定量的粉尘，对近距离的大气环境造成短时间的影响。</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2、对地下水环境的影响</w:t>
      </w:r>
    </w:p>
    <w:p>
      <w:pPr>
        <w:spacing w:line="360" w:lineRule="auto"/>
        <w:ind w:firstLine="480" w:firstLineChars="200"/>
        <w:jc w:val="left"/>
        <w:rPr>
          <w:rFonts w:hint="eastAsia" w:cs="Times New Roman"/>
          <w:sz w:val="24"/>
          <w:szCs w:val="24"/>
          <w:lang w:val="en-US" w:eastAsia="zh-CN"/>
        </w:rPr>
      </w:pPr>
      <w:r>
        <w:rPr>
          <w:rFonts w:hint="eastAsia" w:cs="Times New Roman"/>
          <w:sz w:val="24"/>
          <w:szCs w:val="24"/>
          <w:lang w:val="en-US" w:eastAsia="zh-CN"/>
        </w:rPr>
        <w:t>本项目对地下水的影响主要是危废库化学品区酸类物质泄漏对地下水的影响，以及机加车间润滑油、危废库废润滑油的泄露对地下水的影响。</w:t>
      </w:r>
    </w:p>
    <w:p>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酸类物质进入地下水后会改变下游一定区域内地下水甚至土壤的酸碱性，对于下游取水及植被种植均有一定的影响。</w:t>
      </w:r>
    </w:p>
    <w:p>
      <w:pPr>
        <w:spacing w:line="360" w:lineRule="auto"/>
        <w:ind w:firstLine="480" w:firstLineChars="200"/>
        <w:jc w:val="left"/>
        <w:rPr>
          <w:rFonts w:hint="default" w:ascii="Times New Roman" w:hAnsi="Times New Roman" w:eastAsia="宋体" w:cs="Times New Roman"/>
          <w:sz w:val="24"/>
          <w:szCs w:val="24"/>
        </w:rPr>
      </w:pPr>
      <w:r>
        <w:rPr>
          <w:rFonts w:hint="eastAsia" w:cs="Times New Roman"/>
          <w:sz w:val="24"/>
          <w:szCs w:val="24"/>
          <w:lang w:val="en-US" w:eastAsia="zh-CN"/>
        </w:rPr>
        <w:t>油类物质因其不溶于水、不易降解，对地下水的污染更为严重。</w:t>
      </w:r>
      <w:r>
        <w:rPr>
          <w:rFonts w:hint="default" w:ascii="Times New Roman" w:hAnsi="Times New Roman" w:eastAsia="宋体" w:cs="Times New Roman"/>
          <w:sz w:val="24"/>
          <w:szCs w:val="24"/>
        </w:rPr>
        <w:t>地下水一旦遭到成品油的污染，将使地下水产生严重异味，并具有较强的致畸致癌性，根本无法饮用。此外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pPr>
        <w:spacing w:line="360" w:lineRule="auto"/>
        <w:ind w:firstLine="480" w:firstLineChars="200"/>
        <w:jc w:val="left"/>
        <w:rPr>
          <w:rFonts w:hint="default" w:cs="Times New Roman"/>
          <w:sz w:val="24"/>
          <w:szCs w:val="24"/>
          <w:lang w:val="en-US" w:eastAsia="zh-CN"/>
        </w:rPr>
      </w:pPr>
      <w:r>
        <w:rPr>
          <w:rFonts w:hint="eastAsia" w:cs="Times New Roman"/>
          <w:sz w:val="24"/>
          <w:szCs w:val="24"/>
          <w:lang w:val="en-US" w:eastAsia="zh-CN"/>
        </w:rPr>
        <w:t>环评建议对厂区进行分区防渗，</w:t>
      </w:r>
      <w:r>
        <w:rPr>
          <w:rFonts w:hint="default" w:cs="Times New Roman"/>
          <w:sz w:val="24"/>
          <w:szCs w:val="24"/>
          <w:lang w:val="en-US" w:eastAsia="zh-CN"/>
        </w:rPr>
        <w:t>化学品库、</w:t>
      </w:r>
      <w:r>
        <w:rPr>
          <w:rFonts w:hint="eastAsia" w:cs="Times New Roman"/>
          <w:sz w:val="24"/>
          <w:szCs w:val="24"/>
          <w:lang w:val="en-US" w:eastAsia="zh-CN"/>
        </w:rPr>
        <w:t>危废库、单晶废水站</w:t>
      </w:r>
      <w:r>
        <w:rPr>
          <w:rFonts w:hint="default" w:cs="Times New Roman"/>
          <w:sz w:val="24"/>
          <w:szCs w:val="24"/>
          <w:lang w:val="en-US" w:eastAsia="zh-CN"/>
        </w:rPr>
        <w:t>、清洗车间、事故应急水池、初期雨水池等区域为重点防渗区；单晶车间、机加车间、固废库等区域为一般防渗区；上述区域之外的区域为简单防渗区。</w:t>
      </w:r>
    </w:p>
    <w:p>
      <w:pPr>
        <w:spacing w:line="360" w:lineRule="auto"/>
        <w:ind w:firstLine="480" w:firstLineChars="200"/>
        <w:jc w:val="left"/>
        <w:rPr>
          <w:rFonts w:hint="default" w:cs="Times New Roman"/>
          <w:sz w:val="24"/>
          <w:szCs w:val="24"/>
          <w:lang w:val="en-US" w:eastAsia="zh-CN"/>
        </w:rPr>
      </w:pPr>
      <w:r>
        <w:rPr>
          <w:rFonts w:hint="eastAsia"/>
          <w:sz w:val="24"/>
          <w:szCs w:val="24"/>
          <w:lang w:val="en-US" w:eastAsia="zh-CN"/>
        </w:rPr>
        <w:t>油品</w:t>
      </w:r>
      <w:r>
        <w:rPr>
          <w:rFonts w:hint="eastAsia"/>
          <w:sz w:val="24"/>
          <w:szCs w:val="24"/>
        </w:rPr>
        <w:t>泄漏事故大多数集中在</w:t>
      </w:r>
      <w:r>
        <w:rPr>
          <w:rFonts w:hint="eastAsia"/>
          <w:sz w:val="24"/>
          <w:szCs w:val="24"/>
          <w:lang w:val="en-US" w:eastAsia="zh-CN"/>
        </w:rPr>
        <w:t>油</w:t>
      </w:r>
      <w:r>
        <w:rPr>
          <w:rFonts w:hint="eastAsia"/>
          <w:sz w:val="24"/>
          <w:szCs w:val="24"/>
        </w:rPr>
        <w:t>罐</w:t>
      </w:r>
      <w:r>
        <w:rPr>
          <w:rFonts w:hint="eastAsia"/>
          <w:sz w:val="24"/>
          <w:szCs w:val="24"/>
          <w:lang w:val="en-US" w:eastAsia="zh-CN"/>
        </w:rPr>
        <w:t>出现裂缝或机加工机械的</w:t>
      </w:r>
      <w:r>
        <w:rPr>
          <w:rFonts w:hint="eastAsia"/>
          <w:sz w:val="24"/>
          <w:szCs w:val="24"/>
        </w:rPr>
        <w:t>阀门</w:t>
      </w:r>
      <w:r>
        <w:rPr>
          <w:rFonts w:hint="eastAsia"/>
          <w:sz w:val="24"/>
          <w:szCs w:val="24"/>
          <w:lang w:eastAsia="zh-CN"/>
        </w:rPr>
        <w:t>、</w:t>
      </w:r>
      <w:r>
        <w:rPr>
          <w:rFonts w:hint="eastAsia"/>
          <w:sz w:val="24"/>
          <w:szCs w:val="24"/>
        </w:rPr>
        <w:t>密封圈破坏</w:t>
      </w:r>
      <w:r>
        <w:rPr>
          <w:rFonts w:hint="eastAsia"/>
          <w:sz w:val="24"/>
          <w:szCs w:val="24"/>
          <w:lang w:eastAsia="zh-CN"/>
        </w:rPr>
        <w:t>。</w:t>
      </w:r>
      <w:r>
        <w:rPr>
          <w:rFonts w:hint="eastAsia"/>
          <w:sz w:val="24"/>
          <w:szCs w:val="24"/>
          <w:lang w:val="en-US" w:eastAsia="zh-CN"/>
        </w:rPr>
        <w:t>一般废润滑油在导入油罐前，工作人员均会检查油罐的密闭性；当油罐放入危废库后，若无外力的作用下基本不会产生破损。机械加工机器本身</w:t>
      </w:r>
      <w:r>
        <w:rPr>
          <w:rFonts w:hint="eastAsia"/>
          <w:sz w:val="24"/>
          <w:szCs w:val="24"/>
        </w:rPr>
        <w:t>设有泄漏检测报警系统，一旦发生泄漏，工作人员会及时控制泄漏源。</w:t>
      </w:r>
    </w:p>
    <w:p>
      <w:pPr>
        <w:spacing w:line="360" w:lineRule="auto"/>
        <w:ind w:firstLine="480" w:firstLineChars="200"/>
        <w:jc w:val="left"/>
        <w:rPr>
          <w:rFonts w:hint="default" w:cs="Times New Roman"/>
          <w:sz w:val="24"/>
          <w:szCs w:val="24"/>
          <w:lang w:val="en-US" w:eastAsia="zh-CN"/>
        </w:rPr>
      </w:pPr>
      <w:r>
        <w:rPr>
          <w:rFonts w:hint="eastAsia" w:cs="Times New Roman"/>
          <w:sz w:val="24"/>
          <w:szCs w:val="24"/>
          <w:lang w:val="en-US" w:eastAsia="zh-CN"/>
        </w:rPr>
        <w:t>增加防渗层基本能够阻断污染物向地下水运移</w:t>
      </w:r>
      <w:r>
        <w:rPr>
          <w:rFonts w:hint="default" w:ascii="Times New Roman" w:hAnsi="Times New Roman" w:eastAsia="宋体" w:cs="Times New Roman"/>
          <w:sz w:val="24"/>
          <w:szCs w:val="24"/>
        </w:rPr>
        <w:t>，对地下水和土壤不会造成</w:t>
      </w:r>
      <w:r>
        <w:rPr>
          <w:rFonts w:hint="eastAsia" w:ascii="Times New Roman" w:hAnsi="Times New Roman" w:eastAsia="宋体" w:cs="Times New Roman"/>
          <w:sz w:val="24"/>
          <w:szCs w:val="24"/>
          <w:lang w:eastAsia="zh-CN"/>
        </w:rPr>
        <w:t>显著</w:t>
      </w:r>
      <w:r>
        <w:rPr>
          <w:rFonts w:hint="default" w:ascii="Times New Roman" w:hAnsi="Times New Roman" w:eastAsia="宋体" w:cs="Times New Roman"/>
          <w:sz w:val="24"/>
          <w:szCs w:val="24"/>
        </w:rPr>
        <w:t>影响。</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3、对地表水环境的影响</w:t>
      </w:r>
    </w:p>
    <w:p>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本项目硝酸、氢氟酸、稀硫酸均使用桶装，储存在</w:t>
      </w:r>
      <w:r>
        <w:rPr>
          <w:rFonts w:hint="eastAsia" w:cs="Times New Roman"/>
          <w:sz w:val="24"/>
          <w:szCs w:val="24"/>
          <w:lang w:val="en-US" w:eastAsia="zh-CN"/>
        </w:rPr>
        <w:t>危废库化学品区，每种化学品单独存放，用实体墙隔开且有独立的大门；</w:t>
      </w:r>
      <w:r>
        <w:rPr>
          <w:rFonts w:hint="default" w:ascii="Times New Roman" w:hAnsi="Times New Roman" w:eastAsia="宋体" w:cs="Times New Roman"/>
          <w:sz w:val="24"/>
          <w:szCs w:val="24"/>
          <w:lang w:val="en-US" w:eastAsia="zh-CN"/>
        </w:rPr>
        <w:t>环评要求在化学品</w:t>
      </w:r>
      <w:r>
        <w:rPr>
          <w:rFonts w:hint="eastAsia" w:cs="Times New Roman"/>
          <w:sz w:val="24"/>
          <w:szCs w:val="24"/>
          <w:lang w:val="en-US" w:eastAsia="zh-CN"/>
        </w:rPr>
        <w:t>储存库</w:t>
      </w:r>
      <w:r>
        <w:rPr>
          <w:rFonts w:hint="default" w:ascii="Times New Roman" w:hAnsi="Times New Roman" w:eastAsia="宋体" w:cs="Times New Roman"/>
          <w:sz w:val="24"/>
          <w:szCs w:val="24"/>
          <w:lang w:val="en-US" w:eastAsia="zh-CN"/>
        </w:rPr>
        <w:t>设置三级防控系统。首先硝酸、氢氟酸</w:t>
      </w:r>
      <w:r>
        <w:rPr>
          <w:rFonts w:hint="eastAsia" w:cs="Times New Roman"/>
          <w:sz w:val="24"/>
          <w:szCs w:val="24"/>
          <w:lang w:val="en-US" w:eastAsia="zh-CN"/>
        </w:rPr>
        <w:t>库房</w:t>
      </w:r>
      <w:r>
        <w:rPr>
          <w:rFonts w:hint="default" w:ascii="Times New Roman" w:hAnsi="Times New Roman" w:eastAsia="宋体" w:cs="Times New Roman"/>
          <w:sz w:val="24"/>
          <w:szCs w:val="24"/>
          <w:lang w:val="en-US" w:eastAsia="zh-CN"/>
        </w:rPr>
        <w:t>设置有长宽高分别为10×5×1m的围堰，出入口处设置0.1m高的门槛，泄漏物料不会溢流出化学品库；其次，</w:t>
      </w:r>
      <w:r>
        <w:rPr>
          <w:rFonts w:hint="eastAsia" w:cs="Times New Roman"/>
          <w:sz w:val="24"/>
          <w:szCs w:val="24"/>
          <w:lang w:val="en-US" w:eastAsia="zh-CN"/>
        </w:rPr>
        <w:t>各</w:t>
      </w:r>
      <w:r>
        <w:rPr>
          <w:rFonts w:hint="default" w:ascii="Times New Roman" w:hAnsi="Times New Roman" w:eastAsia="宋体" w:cs="Times New Roman"/>
          <w:sz w:val="24"/>
          <w:szCs w:val="24"/>
          <w:lang w:val="en-US" w:eastAsia="zh-CN"/>
        </w:rPr>
        <w:t>化学品库</w:t>
      </w:r>
      <w:r>
        <w:rPr>
          <w:rFonts w:hint="eastAsia" w:cs="Times New Roman"/>
          <w:sz w:val="24"/>
          <w:szCs w:val="24"/>
          <w:lang w:val="en-US" w:eastAsia="zh-CN"/>
        </w:rPr>
        <w:t>房</w:t>
      </w:r>
      <w:r>
        <w:rPr>
          <w:rFonts w:hint="default" w:ascii="Times New Roman" w:hAnsi="Times New Roman" w:eastAsia="宋体" w:cs="Times New Roman"/>
          <w:sz w:val="24"/>
          <w:szCs w:val="24"/>
          <w:lang w:val="en-US" w:eastAsia="zh-CN"/>
        </w:rPr>
        <w:t>内设置地沟，地沟接入</w:t>
      </w:r>
      <w:r>
        <w:rPr>
          <w:rFonts w:hint="eastAsia" w:cs="Times New Roman"/>
          <w:sz w:val="24"/>
          <w:szCs w:val="24"/>
          <w:lang w:val="en-US" w:eastAsia="zh-CN"/>
        </w:rPr>
        <w:t>事故应急水池，之后流入</w:t>
      </w:r>
      <w:r>
        <w:rPr>
          <w:rFonts w:hint="default" w:ascii="Times New Roman" w:hAnsi="Times New Roman" w:eastAsia="宋体" w:cs="Times New Roman"/>
          <w:sz w:val="24"/>
          <w:szCs w:val="24"/>
          <w:lang w:val="en-US" w:eastAsia="zh-CN"/>
        </w:rPr>
        <w:t>废水站</w:t>
      </w:r>
      <w:r>
        <w:rPr>
          <w:rFonts w:hint="eastAsia" w:cs="Times New Roman"/>
          <w:sz w:val="24"/>
          <w:szCs w:val="24"/>
          <w:lang w:val="en-US" w:eastAsia="zh-CN"/>
        </w:rPr>
        <w:t>进行处理</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以保证</w:t>
      </w:r>
      <w:r>
        <w:rPr>
          <w:rFonts w:hint="default" w:ascii="Times New Roman" w:hAnsi="Times New Roman" w:eastAsia="宋体" w:cs="Times New Roman"/>
          <w:sz w:val="24"/>
          <w:szCs w:val="24"/>
          <w:lang w:val="en-US" w:eastAsia="zh-CN"/>
        </w:rPr>
        <w:t>泄漏物料不会排入雨水沟内；最后若前两道防控措施均未奏效，物料泄漏到</w:t>
      </w:r>
      <w:r>
        <w:rPr>
          <w:rFonts w:hint="eastAsia" w:cs="Times New Roman"/>
          <w:sz w:val="24"/>
          <w:szCs w:val="24"/>
          <w:lang w:val="en-US" w:eastAsia="zh-CN"/>
        </w:rPr>
        <w:t>库房</w:t>
      </w:r>
      <w:r>
        <w:rPr>
          <w:rFonts w:hint="default" w:ascii="Times New Roman" w:hAnsi="Times New Roman" w:eastAsia="宋体" w:cs="Times New Roman"/>
          <w:sz w:val="24"/>
          <w:szCs w:val="24"/>
          <w:lang w:val="en-US" w:eastAsia="zh-CN"/>
        </w:rPr>
        <w:t>外，</w:t>
      </w:r>
      <w:r>
        <w:rPr>
          <w:rFonts w:hint="eastAsia" w:cs="Times New Roman"/>
          <w:sz w:val="24"/>
          <w:szCs w:val="24"/>
          <w:lang w:val="en-US" w:eastAsia="zh-CN"/>
        </w:rPr>
        <w:t>库房</w:t>
      </w:r>
      <w:r>
        <w:rPr>
          <w:rFonts w:hint="default" w:ascii="Times New Roman" w:hAnsi="Times New Roman" w:eastAsia="宋体" w:cs="Times New Roman"/>
          <w:sz w:val="24"/>
          <w:szCs w:val="24"/>
          <w:lang w:val="en-US" w:eastAsia="zh-CN"/>
        </w:rPr>
        <w:t>四周</w:t>
      </w:r>
      <w:r>
        <w:rPr>
          <w:rFonts w:hint="eastAsia" w:cs="Times New Roman"/>
          <w:sz w:val="24"/>
          <w:szCs w:val="24"/>
          <w:lang w:val="en-US" w:eastAsia="zh-CN"/>
        </w:rPr>
        <w:t>须</w:t>
      </w:r>
      <w:r>
        <w:rPr>
          <w:rFonts w:hint="default" w:ascii="Times New Roman" w:hAnsi="Times New Roman" w:eastAsia="宋体" w:cs="Times New Roman"/>
          <w:sz w:val="24"/>
          <w:szCs w:val="24"/>
          <w:lang w:val="en-US" w:eastAsia="zh-CN"/>
        </w:rPr>
        <w:t>设置排水沟连接初期雨水收集池。</w:t>
      </w:r>
    </w:p>
    <w:p>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因此，三道防控措施可确保即使发生泄漏，风险物质也难以通过厂区雨水管网进入市政雨水管网，对</w:t>
      </w:r>
      <w:r>
        <w:rPr>
          <w:rFonts w:hint="eastAsia" w:cs="Times New Roman"/>
          <w:sz w:val="24"/>
          <w:szCs w:val="24"/>
          <w:lang w:val="en-US" w:eastAsia="zh-CN"/>
        </w:rPr>
        <w:t>大白</w:t>
      </w:r>
      <w:r>
        <w:rPr>
          <w:rFonts w:hint="default" w:ascii="Times New Roman" w:hAnsi="Times New Roman" w:eastAsia="宋体" w:cs="Times New Roman"/>
          <w:sz w:val="24"/>
          <w:szCs w:val="24"/>
          <w:lang w:val="en-US" w:eastAsia="zh-CN"/>
        </w:rPr>
        <w:t>河造成影响。</w:t>
      </w:r>
    </w:p>
    <w:p>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项目通过建立三级防控体系，从源头上切断风险物质泄漏进入外部地表水体的途径。因此，本项目地表水风险事故影响很小。</w:t>
      </w:r>
    </w:p>
    <w:p>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2）本项目车间周围均布设了雨水沟，可以保证下雨时可及时将雨水排出，避免雨水进入车间内冲刷地面，且机加工机械布置在远离车间大门的位置；另外，危废库周边也设置了导流系统和裙角，保证能防止25年一遇的暴雨不会进入危废暂存间内。车间内设置了</w:t>
      </w:r>
      <w:r>
        <w:rPr>
          <w:rFonts w:hint="default" w:ascii="Times New Roman" w:hAnsi="Times New Roman" w:eastAsia="宋体" w:cs="Times New Roman"/>
          <w:sz w:val="24"/>
          <w:szCs w:val="24"/>
          <w:lang w:val="en-US" w:eastAsia="zh-CN"/>
        </w:rPr>
        <w:t>消防沙袋进行围堵，</w:t>
      </w:r>
      <w:r>
        <w:rPr>
          <w:rFonts w:hint="eastAsia" w:cs="Times New Roman"/>
          <w:sz w:val="24"/>
          <w:szCs w:val="24"/>
          <w:lang w:val="en-US" w:eastAsia="zh-CN"/>
        </w:rPr>
        <w:t>危废库内配备了收集装置。因此，润滑油桶泄漏后</w:t>
      </w:r>
      <w:r>
        <w:rPr>
          <w:rFonts w:hint="default" w:ascii="Times New Roman" w:hAnsi="Times New Roman" w:eastAsia="宋体" w:cs="Times New Roman"/>
          <w:sz w:val="24"/>
          <w:szCs w:val="24"/>
          <w:lang w:val="en-US" w:eastAsia="zh-CN"/>
        </w:rPr>
        <w:t>可有效防止成品油进入外环境。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七、环境风险管理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1、环境风险管理目标</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环境风险管理目标是采用最低合理可行原则管控环境风险。采取的环境风险防范措施应与社会经济技术发展水平相适应，运用科学的技术手段和管理方法，对环境风险进行有效的预防、监控、响应。</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2、风险管理措施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（1）建设单位应制定详细的安全管理制度及有效的安全管理组织，确保各种有关的安全管理规定能在各个环节上得到充分落实，并能有所改进和提高。</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（2）项目投产前，应制定出正常、异常或紧急状态下的操作手册和维修手册，并对操作、维修人员进行培训，持证上岗，避免因严重操作失误而造成的的事故。</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（3）加强对工作人员安全素质方面的教育及训练，包括安全知识、安全技术、安全心理、职业卫生及排险与消防活动等，建设单位要定期组织演练与考核。</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（4）制定应急操作规程，在规程中应说明发生事故时采取的操作步骤，规定抢修进度，限制事故的影响。</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（5）对重要的仪器设备有完善的检查项目、维护方法，按计划进行定期维护，建立专门的档案制度。</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（6）危险源处应设置醒目的安全标识及安全制度细则。</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八、环境风险防范措施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本项目原辅料涉及有毒有害物质，在发生泄漏时极易对环境造成严重影响。本评价根据项目的特点，提出切实有效的风险防范措施，降低风险事故发生频率，减缓建设项目潜在风险的影响。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1、生产及贮存风险防范措施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（1）化学品库应远离火种、热源。库温不宜超过30℃，相对湿度不超过85%。</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（2）储区应备有泄漏应急处理装置。</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（3）各类化学品严禁混装混放，应单独分区堆放。</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（4）夏季应早晚运输，防止日光暴晒。</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（5）搬运时要轻轻装卸，防止包装及容器损坏。</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（6）贮运及管理过程要进行严格管理，所用储存及输运设备要符合要求，并设有安全保护、防爆防腐等措施。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（7）严格按照规划设计布置物料储存区，防火间距的设置以及消防器材的配备必须通过消防部门审查。</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（8）贮存危险化学品的仓库管理人员以及罐区操作员，必须经过专业知识培训，熟悉贮存物品的特性、事故处理办法和防护知识，持证上岗，并配备有关的个人防护用品。</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（9）在两厂区</w:t>
      </w:r>
      <w:r>
        <w:rPr>
          <w:rFonts w:hint="eastAsia" w:cs="Times New Roman"/>
          <w:sz w:val="24"/>
          <w:szCs w:val="24"/>
          <w:lang w:val="en-US" w:eastAsia="zh-CN"/>
        </w:rPr>
        <w:t>危废库化学品区</w:t>
      </w:r>
      <w:r>
        <w:rPr>
          <w:rFonts w:hint="eastAsia"/>
          <w:color w:val="auto"/>
          <w:lang w:val="en-US" w:eastAsia="zh-CN"/>
        </w:rPr>
        <w:t>和清洗车间各设置1台氟化氢气体自动报警装置。</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（10）要严格遵守有关贮存的安全规定，具体包括《仓库防火安全管理规则》、《建筑设计防火规范》、《易燃易爆化学物品消防安全监督管理办法》等。</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11）清洗车间和化学品储存库房内部设置导流槽，一旦发生氢氟酸、硝酸物料泄漏时导流槽能够及时收集引至事故应急水池，导流槽内的残留物用水冲洗后一并引至事故应急水池，阶段性的将事故应急池内废水送至厂内废水站处理达标后排放。</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12）操作人员均应经过专业培训和严格训练并取得合格证后方可上岗操作，要严格执行安全操作规程，操作人员不仅应熟悉掌握正常生产状况下本岗位和相关岗位的操作程序和要求，而且应熟练掌握非正常生产状况下的操作程序和要求。</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13）本项目不涉及危险化学品的运输，危险化学品的运输具有有资质的单位进行运输，但危险品在厂内运输途中，建设单位应予以严密监控，以便发生情况能及时采取措施。一旦发生危险品运输泄漏事故，由当事人或目击者通过应急电话，立即通知应急指挥部，由其依据应急预案联络当地环保部门、公安部门、消防部门及其它有应急事故处理能力的当地部门，及时采取应急行动，确保在最短的时间将事故控制。</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14）加强火源管理，禁止明火，生产中需要用火要严格执行有关安全管理制度，提前办理用火手续；腐蚀工段和储存区设置干砂池和足够数量的手提式、推车式干粉灭火器，配备足够数量的正压式呼吸器、防毒服等防护用具。</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2、废气事故风险防范措施</w:t>
      </w:r>
    </w:p>
    <w:p>
      <w:pPr>
        <w:spacing w:line="360" w:lineRule="auto"/>
        <w:ind w:firstLine="480" w:firstLineChars="200"/>
        <w:jc w:val="left"/>
        <w:rPr>
          <w:rFonts w:hint="default"/>
          <w:sz w:val="24"/>
          <w:szCs w:val="24"/>
          <w:lang w:val="en-US" w:eastAsia="zh-CN"/>
        </w:rPr>
      </w:pPr>
      <w:r>
        <w:rPr>
          <w:rFonts w:hint="eastAsia"/>
          <w:sz w:val="24"/>
          <w:szCs w:val="24"/>
          <w:lang w:val="en-US" w:eastAsia="zh-CN"/>
        </w:rPr>
        <w:t>（1）工作人员日常巡检厂区内各气罐、油罐及化学品储存罐，一旦发现有破损，立即进行进行封堵和清理。</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（2）在两个厂区</w:t>
      </w:r>
      <w:r>
        <w:rPr>
          <w:rFonts w:hint="eastAsia" w:cs="Times New Roman"/>
          <w:sz w:val="24"/>
          <w:szCs w:val="24"/>
          <w:lang w:val="en-US" w:eastAsia="zh-CN"/>
        </w:rPr>
        <w:t>危废库化学品区</w:t>
      </w:r>
      <w:r>
        <w:rPr>
          <w:rFonts w:hint="eastAsia"/>
          <w:sz w:val="24"/>
          <w:szCs w:val="24"/>
          <w:lang w:val="en-US" w:eastAsia="zh-CN"/>
        </w:rPr>
        <w:t>及清洗车间各设置1台氟化氢气体泄漏自动报警装置。</w:t>
      </w:r>
    </w:p>
    <w:p>
      <w:pPr>
        <w:spacing w:line="360" w:lineRule="auto"/>
        <w:ind w:firstLine="480" w:firstLineChars="200"/>
        <w:jc w:val="left"/>
        <w:rPr>
          <w:rFonts w:hint="default"/>
          <w:sz w:val="24"/>
          <w:szCs w:val="24"/>
          <w:lang w:val="en-US" w:eastAsia="zh-CN"/>
        </w:rPr>
      </w:pPr>
      <w:r>
        <w:rPr>
          <w:rFonts w:hint="eastAsia"/>
          <w:sz w:val="24"/>
          <w:szCs w:val="24"/>
          <w:lang w:val="en-US" w:eastAsia="zh-CN"/>
        </w:rPr>
        <w:t>（3）氢气储罐阀门处设置逆流阀，防止燃烧的气体回吸造成储罐的爆炸。</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（4）氩气回收站与周围各建筑物保持足够的防火距离。</w:t>
      </w:r>
    </w:p>
    <w:p>
      <w:pPr>
        <w:spacing w:line="360" w:lineRule="auto"/>
        <w:ind w:firstLine="480" w:firstLineChars="200"/>
        <w:jc w:val="left"/>
        <w:rPr>
          <w:rFonts w:hint="eastAsia"/>
          <w:sz w:val="24"/>
          <w:szCs w:val="24"/>
          <w:lang w:val="en-US" w:eastAsia="zh-CN"/>
        </w:rPr>
      </w:pPr>
      <w:r>
        <w:rPr>
          <w:rFonts w:hint="eastAsia"/>
          <w:sz w:val="24"/>
          <w:lang w:eastAsia="zh-CN"/>
        </w:rPr>
        <w:t>（</w:t>
      </w:r>
      <w:r>
        <w:rPr>
          <w:rFonts w:hint="eastAsia"/>
          <w:sz w:val="24"/>
          <w:lang w:val="en-US" w:eastAsia="zh-CN"/>
        </w:rPr>
        <w:t>5</w:t>
      </w:r>
      <w:r>
        <w:rPr>
          <w:rFonts w:hint="eastAsia"/>
          <w:sz w:val="24"/>
          <w:lang w:eastAsia="zh-CN"/>
        </w:rPr>
        <w:t>）</w:t>
      </w:r>
      <w:r>
        <w:rPr>
          <w:sz w:val="24"/>
        </w:rPr>
        <w:t>发现</w:t>
      </w:r>
      <w:r>
        <w:rPr>
          <w:rFonts w:hint="eastAsia"/>
          <w:sz w:val="24"/>
          <w:lang w:val="en-US" w:eastAsia="zh-CN"/>
        </w:rPr>
        <w:t>气体</w:t>
      </w:r>
      <w:r>
        <w:rPr>
          <w:sz w:val="24"/>
        </w:rPr>
        <w:t>泄漏后应立即切断气源，控制泄漏。如不能有效控制堵住泄漏，可允许泄漏气体稳定燃烧，防止大量气体扩散造成二次危害。</w:t>
      </w:r>
    </w:p>
    <w:p>
      <w:pPr>
        <w:spacing w:line="360" w:lineRule="auto"/>
        <w:ind w:firstLine="480" w:firstLineChars="200"/>
        <w:jc w:val="left"/>
        <w:rPr>
          <w:sz w:val="24"/>
        </w:rPr>
      </w:pPr>
      <w:r>
        <w:rPr>
          <w:rFonts w:hint="eastAsia"/>
          <w:sz w:val="24"/>
          <w:lang w:eastAsia="zh-CN"/>
        </w:rPr>
        <w:t>（</w:t>
      </w:r>
      <w:r>
        <w:rPr>
          <w:rFonts w:hint="eastAsia"/>
          <w:sz w:val="24"/>
          <w:lang w:val="en-US" w:eastAsia="zh-CN"/>
        </w:rPr>
        <w:t>6</w:t>
      </w:r>
      <w:r>
        <w:rPr>
          <w:rFonts w:hint="eastAsia"/>
          <w:sz w:val="24"/>
          <w:lang w:eastAsia="zh-CN"/>
        </w:rPr>
        <w:t>）</w:t>
      </w:r>
      <w:r>
        <w:rPr>
          <w:sz w:val="24"/>
        </w:rPr>
        <w:t>在</w:t>
      </w:r>
      <w:r>
        <w:rPr>
          <w:rFonts w:hint="eastAsia"/>
          <w:sz w:val="24"/>
          <w:lang w:val="en-US" w:eastAsia="zh-CN"/>
        </w:rPr>
        <w:t>氢气罐泄漏</w:t>
      </w:r>
      <w:r>
        <w:rPr>
          <w:sz w:val="24"/>
        </w:rPr>
        <w:t>高危区域任何火焰，高温热点以及可能产生火花的设备都应该禁止。</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3、废水事故风险防范措施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（1）消防废水事故防范</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本项目生产过程中发生火灾或爆炸，考虑发生火灾的情况下，项目消防水按40L/s、持续3小时考虑，消防废水量（按用水量80%计）为346m</w:t>
      </w:r>
      <w:r>
        <w:rPr>
          <w:rFonts w:hint="eastAsia"/>
          <w:color w:val="auto"/>
          <w:vertAlign w:val="superscript"/>
          <w:lang w:val="en-US" w:eastAsia="zh-CN"/>
        </w:rPr>
        <w:t>3</w:t>
      </w:r>
      <w:r>
        <w:rPr>
          <w:rFonts w:hint="eastAsia"/>
          <w:color w:val="auto"/>
          <w:lang w:val="en-US" w:eastAsia="zh-CN"/>
        </w:rPr>
        <w:t>。本项目产生的消防废水排入地下消防水池（南厂区796.8m</w:t>
      </w:r>
      <w:r>
        <w:rPr>
          <w:rFonts w:hint="eastAsia"/>
          <w:color w:val="auto"/>
          <w:vertAlign w:val="superscript"/>
          <w:lang w:val="en-US" w:eastAsia="zh-CN"/>
        </w:rPr>
        <w:t>3</w:t>
      </w:r>
      <w:r>
        <w:rPr>
          <w:rFonts w:hint="eastAsia"/>
          <w:color w:val="auto"/>
          <w:lang w:val="en-US" w:eastAsia="zh-CN"/>
        </w:rPr>
        <w:t>+北厂区3180m</w:t>
      </w:r>
      <w:r>
        <w:rPr>
          <w:rFonts w:hint="eastAsia"/>
          <w:color w:val="auto"/>
          <w:vertAlign w:val="superscript"/>
          <w:lang w:val="en-US" w:eastAsia="zh-CN"/>
        </w:rPr>
        <w:t>3</w:t>
      </w:r>
      <w:r>
        <w:rPr>
          <w:rFonts w:hint="eastAsia"/>
          <w:color w:val="auto"/>
          <w:lang w:val="en-US" w:eastAsia="zh-CN"/>
        </w:rPr>
        <w:t>），能满足储存要求。</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（2）废水处理站事故防范</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本项目正常运行期间，生产废水经厂内污水处理设施处理达标后，排入污水处理厂处理，正常排放情况下不会对当地地表水环境造成较大影响，但当废水处理站出现运行故障时，将无法对生产废水进行有效治理，此时生产废水排放，势必会对污水处理厂的运行造成不利影响。因此，评价建议的防范措施主要包括以下几个方面：</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①</w:t>
      </w:r>
      <w:r>
        <w:rPr>
          <w:rFonts w:hint="eastAsia"/>
          <w:color w:val="auto"/>
          <w:lang w:val="en-US" w:eastAsia="zh-CN"/>
        </w:rPr>
        <w:t>一旦废水处理站无法正常运行时，要求全厂立即停止生产，并将废水暂存在事故应急水池中，待检修完毕后，废水进入废水处理站处理达标后排放。</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加强管理，精心操作，严格按操作规程进行，定期对设备进行维护、检修，在生产装置全厂检修期间，废水处理站也要全面检修；同时废水处理站检修时，全厂生产装置也应停止运行，以尽可能排除一切隐患，降低事故风险。</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③</w:t>
      </w:r>
      <w:r>
        <w:rPr>
          <w:rFonts w:hint="eastAsia"/>
          <w:color w:val="auto"/>
          <w:lang w:val="en-US" w:eastAsia="zh-CN"/>
        </w:rPr>
        <w:t>制定严格的操作规程，对废水处理站人员进行上岗前培训、严禁违规操作。</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（3）化学品泄漏事故防范</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①</w:t>
      </w:r>
      <w:r>
        <w:rPr>
          <w:rFonts w:hint="eastAsia"/>
          <w:color w:val="auto"/>
          <w:lang w:val="en-US" w:eastAsia="zh-CN"/>
        </w:rPr>
        <w:t>在</w:t>
      </w:r>
      <w:r>
        <w:rPr>
          <w:rFonts w:hint="eastAsia" w:cs="Times New Roman"/>
          <w:sz w:val="24"/>
          <w:szCs w:val="24"/>
          <w:lang w:val="en-US" w:eastAsia="zh-CN"/>
        </w:rPr>
        <w:t>危废库化学品区</w:t>
      </w:r>
      <w:r>
        <w:rPr>
          <w:rFonts w:hint="eastAsia"/>
          <w:color w:val="auto"/>
          <w:lang w:val="en-US" w:eastAsia="zh-CN"/>
        </w:rPr>
        <w:t>内储存的危险化学品（氢氟酸、硝酸、稀硫酸）下方设置托盘，可有效收集泄漏液体。</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②</w:t>
      </w:r>
      <w:r>
        <w:rPr>
          <w:rFonts w:hint="default"/>
          <w:color w:val="auto"/>
          <w:lang w:val="en-US" w:eastAsia="zh-CN"/>
        </w:rPr>
        <w:t>硝酸、氢氟酸区域设置有长宽高分别为10×5×1m的围堰，出入口处设置0.1m高的门槛，</w:t>
      </w:r>
      <w:r>
        <w:rPr>
          <w:rFonts w:hint="eastAsia"/>
          <w:color w:val="auto"/>
          <w:lang w:val="en-US" w:eastAsia="zh-CN"/>
        </w:rPr>
        <w:t>确保</w:t>
      </w:r>
      <w:r>
        <w:rPr>
          <w:rFonts w:hint="default"/>
          <w:color w:val="auto"/>
          <w:lang w:val="en-US" w:eastAsia="zh-CN"/>
        </w:rPr>
        <w:t>泄漏物料不会溢流出化学品库</w:t>
      </w:r>
      <w:r>
        <w:rPr>
          <w:rFonts w:hint="eastAsia"/>
          <w:color w:val="auto"/>
          <w:lang w:val="en-US" w:eastAsia="zh-CN"/>
        </w:rPr>
        <w:t>。</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③</w:t>
      </w:r>
      <w:r>
        <w:rPr>
          <w:rFonts w:hint="default"/>
          <w:color w:val="auto"/>
          <w:lang w:val="en-US" w:eastAsia="zh-CN"/>
        </w:rPr>
        <w:t>清洗车间</w:t>
      </w:r>
      <w:r>
        <w:rPr>
          <w:rFonts w:hint="eastAsia"/>
          <w:color w:val="auto"/>
          <w:lang w:val="en-US" w:eastAsia="zh-CN"/>
        </w:rPr>
        <w:t>、化学品库和</w:t>
      </w:r>
      <w:r>
        <w:rPr>
          <w:rFonts w:hint="eastAsia" w:cs="Times New Roman"/>
          <w:sz w:val="24"/>
          <w:szCs w:val="24"/>
          <w:lang w:val="en-US" w:eastAsia="zh-CN"/>
        </w:rPr>
        <w:t>危废库</w:t>
      </w:r>
      <w:r>
        <w:rPr>
          <w:rFonts w:hint="default"/>
          <w:color w:val="auto"/>
          <w:lang w:val="en-US" w:eastAsia="zh-CN"/>
        </w:rPr>
        <w:t>内部设置导流槽，一旦发生氢氟酸、硝酸物料泄漏时导流槽能够及时收集引至事故</w:t>
      </w:r>
      <w:r>
        <w:rPr>
          <w:rFonts w:hint="eastAsia"/>
          <w:color w:val="auto"/>
          <w:lang w:val="en-US" w:eastAsia="zh-CN"/>
        </w:rPr>
        <w:t>应急水池。</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ascii="宋体" w:hAnsi="宋体" w:eastAsia="宋体" w:cs="宋体"/>
          <w:color w:val="auto"/>
          <w:lang w:val="en-US" w:eastAsia="zh-CN"/>
        </w:rPr>
        <w:t>④</w:t>
      </w:r>
      <w:r>
        <w:rPr>
          <w:rFonts w:hint="eastAsia"/>
          <w:color w:val="auto"/>
          <w:lang w:val="en-US" w:eastAsia="zh-CN"/>
        </w:rPr>
        <w:t>事故废水</w:t>
      </w:r>
      <w:r>
        <w:rPr>
          <w:rFonts w:hint="default"/>
          <w:color w:val="auto"/>
          <w:lang w:val="en-US" w:eastAsia="zh-CN"/>
        </w:rPr>
        <w:t>进入事故应急水池暂存，事故废水收集后进入</w:t>
      </w:r>
      <w:r>
        <w:rPr>
          <w:rFonts w:hint="eastAsia"/>
          <w:color w:val="auto"/>
          <w:lang w:val="en-US" w:eastAsia="zh-CN"/>
        </w:rPr>
        <w:t>单晶废水站</w:t>
      </w:r>
      <w:r>
        <w:rPr>
          <w:rFonts w:hint="default"/>
          <w:color w:val="auto"/>
          <w:lang w:val="en-US" w:eastAsia="zh-CN"/>
        </w:rPr>
        <w:t>处理</w:t>
      </w:r>
      <w:r>
        <w:rPr>
          <w:rFonts w:hint="eastAsia"/>
          <w:color w:val="auto"/>
          <w:lang w:val="en-US" w:eastAsia="zh-CN"/>
        </w:rPr>
        <w:t>。</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3、地下水风险防范措施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（1）源头控制措施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项目应严格执行雨污分流及清污分流，建成三大排水系统，即生产废水、生活污水、雨水要有组织地分别排入对应的系统管网和处理系统处理。</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（2）分区防控措施</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对厂区进行分区防渗</w:t>
      </w:r>
      <w:r>
        <w:rPr>
          <w:rFonts w:hint="default" w:ascii="Times New Roman" w:hAnsi="Times New Roman" w:eastAsia="宋体" w:cs="Times New Roman"/>
          <w:sz w:val="24"/>
          <w:szCs w:val="24"/>
        </w:rPr>
        <w:t>。化学品库、</w:t>
      </w:r>
      <w:r>
        <w:rPr>
          <w:rFonts w:hint="eastAsia" w:cs="Times New Roman"/>
          <w:sz w:val="24"/>
          <w:szCs w:val="24"/>
          <w:lang w:val="en-US" w:eastAsia="zh-CN"/>
        </w:rPr>
        <w:t>危废库、</w:t>
      </w:r>
      <w:r>
        <w:rPr>
          <w:rFonts w:hint="eastAsia" w:ascii="Times New Roman" w:hAnsi="Times New Roman" w:eastAsia="宋体" w:cs="Times New Roman"/>
          <w:sz w:val="24"/>
          <w:szCs w:val="24"/>
          <w:lang w:eastAsia="zh-CN"/>
        </w:rPr>
        <w:t>单晶废水站</w:t>
      </w:r>
      <w:r>
        <w:rPr>
          <w:rFonts w:hint="default" w:ascii="Times New Roman" w:hAnsi="Times New Roman" w:eastAsia="宋体" w:cs="Times New Roman"/>
          <w:sz w:val="24"/>
          <w:szCs w:val="24"/>
        </w:rPr>
        <w:t>、清洗车间、</w:t>
      </w:r>
      <w:r>
        <w:rPr>
          <w:rFonts w:hint="default" w:ascii="Times New Roman" w:hAnsi="Times New Roman" w:eastAsia="宋体" w:cs="Times New Roman"/>
          <w:sz w:val="24"/>
          <w:szCs w:val="24"/>
          <w:lang w:eastAsia="zh-CN"/>
        </w:rPr>
        <w:t>事故应急</w:t>
      </w:r>
      <w:r>
        <w:rPr>
          <w:rFonts w:hint="default" w:ascii="Times New Roman" w:hAnsi="Times New Roman" w:eastAsia="宋体" w:cs="Times New Roman"/>
          <w:sz w:val="24"/>
          <w:szCs w:val="24"/>
        </w:rPr>
        <w:t>水池、初期雨水池等区域为重点防渗区；单晶车间、</w:t>
      </w:r>
      <w:r>
        <w:rPr>
          <w:rFonts w:hint="default" w:ascii="Times New Roman" w:hAnsi="Times New Roman" w:eastAsia="宋体" w:cs="Times New Roman"/>
          <w:sz w:val="24"/>
          <w:szCs w:val="24"/>
          <w:lang w:eastAsia="zh-CN"/>
        </w:rPr>
        <w:t>机加车间</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固废库</w:t>
      </w:r>
      <w:r>
        <w:rPr>
          <w:rFonts w:hint="default" w:ascii="Times New Roman" w:hAnsi="Times New Roman" w:eastAsia="宋体" w:cs="Times New Roman"/>
          <w:sz w:val="24"/>
          <w:szCs w:val="24"/>
        </w:rPr>
        <w:t>等区域为一般防渗区；上述区域之外的区域为简单防渗区。</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重点防渗区：</w:t>
      </w:r>
      <w:r>
        <w:rPr>
          <w:rFonts w:hint="default" w:ascii="Times New Roman" w:hAnsi="Times New Roman" w:eastAsia="宋体" w:cs="Times New Roman"/>
          <w:sz w:val="24"/>
          <w:szCs w:val="24"/>
          <w:lang w:eastAsia="zh-CN"/>
        </w:rPr>
        <w:t>防渗层防渗要求为等效厚度≥6m，渗透系数≤1.0×10</w:t>
      </w:r>
      <w:r>
        <w:rPr>
          <w:rFonts w:hint="default" w:ascii="Times New Roman" w:hAnsi="Times New Roman" w:eastAsia="宋体" w:cs="Times New Roman"/>
          <w:sz w:val="24"/>
          <w:szCs w:val="24"/>
          <w:vertAlign w:val="superscript"/>
          <w:lang w:eastAsia="zh-CN"/>
        </w:rPr>
        <w:t>-7</w:t>
      </w:r>
      <w:r>
        <w:rPr>
          <w:rFonts w:hint="default" w:ascii="Times New Roman" w:hAnsi="Times New Roman" w:eastAsia="宋体" w:cs="Times New Roman"/>
          <w:sz w:val="24"/>
          <w:szCs w:val="24"/>
          <w:lang w:eastAsia="zh-CN"/>
        </w:rPr>
        <w:t>cm/s的黏土层的防渗性能力，</w:t>
      </w:r>
      <w:r>
        <w:rPr>
          <w:rFonts w:hint="default" w:ascii="Times New Roman" w:hAnsi="Times New Roman" w:eastAsia="宋体" w:cs="Times New Roman"/>
          <w:sz w:val="24"/>
          <w:szCs w:val="24"/>
          <w:lang w:val="en-US" w:eastAsia="zh-CN"/>
        </w:rPr>
        <w:t>危废</w:t>
      </w:r>
      <w:r>
        <w:rPr>
          <w:rFonts w:hint="eastAsia" w:cs="Times New Roman"/>
          <w:sz w:val="24"/>
          <w:szCs w:val="24"/>
          <w:lang w:val="en-US" w:eastAsia="zh-CN"/>
        </w:rPr>
        <w:t>库</w:t>
      </w:r>
      <w:r>
        <w:rPr>
          <w:rFonts w:hint="default" w:ascii="Times New Roman" w:hAnsi="Times New Roman" w:eastAsia="宋体" w:cs="Times New Roman"/>
          <w:sz w:val="24"/>
          <w:szCs w:val="24"/>
          <w:lang w:val="en-US" w:eastAsia="zh-CN"/>
        </w:rPr>
        <w:t>应</w:t>
      </w:r>
      <w:r>
        <w:rPr>
          <w:rFonts w:hint="default" w:ascii="Times New Roman" w:hAnsi="Times New Roman" w:eastAsia="宋体" w:cs="Times New Roman"/>
          <w:sz w:val="24"/>
          <w:szCs w:val="24"/>
        </w:rPr>
        <w:t>按《危险废物贮存污染控制标准》的要求进行建设，防渗层的防渗性能应等效于厚度Mb≥6m，渗透系数≤1.0×10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一般防渗区：防渗层防渗效果须等效于等效黏土防渗层Mb≥1.5m，渗透系数≤1×10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cm/s，或参考GB</w:t>
      </w:r>
      <w:r>
        <w:rPr>
          <w:rFonts w:hint="eastAsia" w:cs="Times New Roman"/>
          <w:sz w:val="24"/>
          <w:szCs w:val="24"/>
          <w:lang w:eastAsia="zh-CN"/>
        </w:rPr>
        <w:t>*****</w:t>
      </w:r>
      <w:r>
        <w:rPr>
          <w:rFonts w:hint="default" w:ascii="Times New Roman" w:hAnsi="Times New Roman" w:eastAsia="宋体" w:cs="Times New Roman"/>
          <w:sz w:val="24"/>
          <w:szCs w:val="24"/>
        </w:rPr>
        <w:t>执行。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简单防渗区：不采取专门针对地下水污染的防治措施，地基处理分层压实系数94%，地面进行硬化措施，符合抗水验收要求。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九、应急预案</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应急预案是在贯彻预防为主的前提下，为及时控制危害源，抢救受害人员，指导居民防护和组织撤离，消除危害后果而组织的救援活动的预想方案。应急预案按各级进行制定。发生风险事故时，根据风险事故级别从低到高按照属地管理、分级响应的原则按工业园区、市级、省级等启动相应级别的应急预案进行处置。上级预案的启动在下级预案先行启动响应的基础上进行。</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企业应按照《企业事业单位突发环境事件应急预案备案管理办法（试行）》环发[2015]4号文中的要求，编制突发环境事件应急预案并在当地环保部门备案。</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环境应急预案应体现自救互救、信息报告和先期处置特点，侧重明确现场组织指挥机制、应急队伍分工、信息报告、监测预警、不同情景下的应对流程和措施、应急资源保障等内容。</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1、应急预案总述</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为有效防范环境事件特别是重、特大环境事件的发生，及时合理处置可能发生的各类突发环境事件，有效控制和消除污染，维护辖区环境安全，保护辖区群众正常生活、生产活动的进行，促进社会全面、协调和可持续发展。</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一个完整的应急预案应由两部分组成：现场应急计划和厂外应急计划。现场和厂外应急计划应分开，但彼此应协调一致，现场应急计划由企业负责，而厂外应急计划由地方政府负责。</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2、适用范围</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本预案适用于公司内发生的突发环境事件的控制和处置。具体内容包括：</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（1）危险化学品及其它有毒有害物品在经营、贮存、运输、使用和处置过程中发生的爆炸、燃烧、大面积泄漏等事故、事件。</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（2）工厂在生产、经营过程中因生产装置、污染防治设施、设备等因素发生意外事故造成的突发环境事件。</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（3）因遭受自然灾害而造成的可能危及人体健康的环境事件。</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（4）其它突发性的环境事件。</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3、建立化学事故救援应急预案</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（1）应急计划区</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拟建项目的危险目标主要为生产车间、化学品库、危废库。</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（2）应急机构</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机构组成：企业成立环境风险事故应急救援“指挥领导小组”，由厂长、分管副厂长及生产、安全、环保、保卫等部门领导组成，下设应急救援办公室，日常工作由安全和环保部门兼管。发生重大事故时，以指挥领导小组为基础，立即成立风险事故应急救援指挥部，厂长任总指挥，分管副厂长任副总指挥，负责全厂应急救援工作的组织和指挥，指挥部可设在生产调度室。如若厂长和分管副厂长不在企业时，由安全、环保部门负责人为临时总指挥，全权负责应急救援工作。</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机构职责：指挥领导小组：负责单位“预案”的制定、修订；组建应急救援专业队伍，组织实施和演练；检查督促做好重大事故的预防措施和应急救援的各项准备工作。</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指挥部：发生重大事故时，由指挥部发布和解除应急救援命令、信号；组织指挥救援队伍实施救援行动；向上级汇报和向友邻单位通报事故情况，必要时向有关单位发出救援请求；组织事故调查，总结应急救援经验教训。</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人员分工：总指挥组织指挥全厂的应急救援；副总指挥协助总指挥负责应急救援的具体指挥工作。安全科长协助总指挥做好事故报警、情况通报及事故处置工作；环保科长负责事故现场及有害物质扩散区域内的洗消、监测工作，必要时代表指挥部对外发布有关信息；保卫科长负责灭火、警戒、治安保卫、疏散、道路管制工作；生产科长负责事故处置时生产系统、开停车调度工作；事故现场通讯联络和对外联系。</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专业救援队伍：企业内设不脱产的专业救援队伍，由各部门职工经培训后组成，分为抢险抢修队、医疗救护队、义务消防队、通讯保障队、环境监测队，负责事故控制、救援和善后处理工作。各救援专业队必须按各自的职责，根据化学事故应急救援统筹图开展工作。</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（3）应急程序</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当企业发生环境事故或紧急情况后，事故的当事人或发现人采取应急措施防止事故扩大并立即向指挥领导小组报告。指挥领导小组指挥专业救援队伍对环境事故或紧急情况按本单位应急措施进行处理。</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在事故现场的救援中，由现场指挥部集中统一指挥，灾情和救援活动情况由指挥部各向指挥领导小组报告。如事故影响较大，本单位抢险抢救力量不足或有可能危及社会安全时，则由指挥领导小组向安监局和环保局报警，接到报警后，按规定启动应急预案。</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企业所使用的化学品等在运输过程中发生灾害事故时，应按就近救援的原则，先由运输人员自救，同时请示事故所在地的社会救援部门组织救援，并同时向单位报告，由企业应急组织进一步协调处理。</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（4）应急设施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生产装置和仓库区：防火灾、爆炸事故的应急设施、设备与材料，主要为消防器材、消防服等；防有毒有害物质外溢、扩散，主要是水幕或低压蒸汽幕、喷淋设备、防毒服和一些土工作业工具；烧伤、中毒人员急救所用药品，器材。</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临界地区：烧伤、中毒人员急救所用的一些药品、器材。</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此外，还应配备事故应急水池、应急通信系统、应急电源、照明。事故应急水池的池体及下面的土壤要求做好防渗处理，防渗系数≤1.0×10</w:t>
      </w:r>
      <w:r>
        <w:rPr>
          <w:rFonts w:hint="eastAsia"/>
          <w:color w:val="auto"/>
          <w:vertAlign w:val="superscript"/>
          <w:lang w:val="en-US" w:eastAsia="zh-CN"/>
        </w:rPr>
        <w:t>-7</w:t>
      </w:r>
      <w:r>
        <w:rPr>
          <w:rFonts w:hint="eastAsia"/>
          <w:color w:val="auto"/>
          <w:lang w:val="en-US" w:eastAsia="zh-CN"/>
        </w:rPr>
        <w:t>。当发生化学品泄漏事故时，泄漏初期立即组织人员封堵，若大量漏液又一时难以堵截，则利用便携式输送泵抽走残液，降低损失。对消防废水及泄漏的物料等进行拦截，经围堰或地沟收集至消防事故应急水池，交由有危废处置资质的单位进行处理。事故应急水池容积要能保证平时危险品泄漏和火灾发生时、设备出现故障或废水处理后未达标的情况下废水的存储，确保废水不会直接外排至外环境。</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所有应急设施平时要专人维护、保管、检验，确保器材始终处于完好状态，保证能有效使用。</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对各种通讯工具、警报及事故信号，平时必须做出明确规定；报警方法、联络号码和信号使用规定要置于明显位置，使每一位值班人员熟练掌握。</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（5）应急环境监测</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建设项目必须编制项目的应急监测方案，监测方案中须包括监测布点和采样、监测频次与跟踪监测、监测项目与分析方法等等，并且报环保监测部门备案。因此，为了规范应急监测工作，为各级政府和环保行政主管部门提供快速、及时、准确的技术支持，确定污染程度和采取应急处置措施，就现场应急监测方案制定过程中应考虑的最普遍的方面。</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（6）清除泄漏措施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环境事故或紧急情况得到控制后，应立即清除环境污染。对于能收集的固体和液体污染物，收集在桶内或塑料袋内。收集不起来的，用水冲进污水管道内，排入事故水池内暂存，并制定相应处置方案。</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（7）安全防护</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应急人员的安全防护：现场处置人员应根据不同类型环境事件的特点，配备相应的专业防护装备，采取安全防护措施，严格执行应急人员出入事发现场程序。</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受灾群众的安全防护：现场应急救援指挥部负责组织群众的安全防护工作，根据突发环境事件的性质、特点，告知群众应采取的安全防护措施；根据事发时当地的气象、地理环境、人员密集度等，确定群众疏散的方式。</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（8）应急终止</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应急终止的条件：事件现场得到控制，事件条件已经消除；污染源的泄漏或释放已降至规定限值以内；事件所造成的危害已经被彻底消除，无继发可能；事件现场的各种专业应急处置行动已无继续的必要；采取了必要的防护措施以保护公众免受再次危害，并使事件可能引起的中长期影响趋于合理且尽量低的水平。</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应急终止的程序：现场救援指挥部确认终止时机，或事件责任单位提出，经现场救援指挥部批准；现场救援指挥部向所属各专业应急救援队伍下达应急终止命令。</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应急终止后的行动：有关部门及突发环境事件单位查找事件原因，防止类似问题的重复出现。对应急事故进行记录、建立档案。并根据实践经验，一级应急机构组织有关类别环境事件专业部门对应急预案进行评估，并及时修订环境应急预案。参加应急行动的部门负责组织、指导环境应急队伍维护、保养应急仪器设备，使之始终保持良好的技术状态。</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（9）应急演习和应急技术培训</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对于环保管理人员和有关操作人员应建立“先培训、后上岗”、“定期培训安全和环保法规、知识以及突发性事故应急处理技术”的制度。应急机构应定期对机构内成员单位的有关人员进行应急技术培训和考核，并每年进行一次模拟演习，以提高应急队伍的实战能力，并积累经验。</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每一次演练后，企业应核对事故应急处理预案规定的内容是否都被检查，并找出不足和缺点。检查主要包括下列内容：</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事故期间通讯系统是否能运作；人员是否能安全撤离；应急服务机构能否及时参与事故抢救；能否有效控制事故进一步扩大；企业应把在演习中发现的问题及时提出解决方案，对事故应急预案进行修订完善；企业应在现场危险设施和危险源发生变化时及时修改事故应急处理预案；应把对事故应急处理预案的修改情况及时通知所有与事故应急处理预案有关的人员。</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4、建立“三级”防控体系</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一级防控体系必须建设生产厂房区围堰、防火堤及其配套设施（如导流设施、清污水切换设施等），防止污染雨水和轻微事故泄漏造成的环境污染；生产厂房事故废水、废液的收集系统。本项目每个生产车间及仓库墙脚设排水沟，发生事故时确保生产车间废水能引入事故水池，不影响其它生产车间。</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二级防控体系必须建设事故水池及其配套设施（如事故导排系统），防止单套生产装置较大事故泄漏物料和消防废水造成的环境污染；全厂事故水池收集系统。确保事故情况下危险物质不污染水体，可满足一次性事故废水量。全厂总排污口及雨水排污口处设置应急阀门，一旦发生事故，紧急关闭，避免全厂事故废水外排，污染环境。</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（3）三级防控体系必须建设末端事故缓冲设施及其配套设施，防控两套及以上生产装置重大事故泄漏物料和消防废水造成的环境污染。项目废水处理站设有收集系统。</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b/>
          <w:bCs/>
          <w:color w:val="auto"/>
          <w:lang w:val="en-US" w:eastAsia="zh-CN"/>
        </w:rPr>
      </w:pPr>
      <w:r>
        <w:rPr>
          <w:rFonts w:hint="eastAsia"/>
          <w:b/>
          <w:bCs/>
          <w:color w:val="auto"/>
          <w:lang w:val="en-US" w:eastAsia="zh-CN"/>
        </w:rPr>
        <w:t>5、与当地政府部门风险应急系统联动协调防范措施</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（1）事故现场人员的撤离</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人员自行撤离到上风口处，当班班长应组织本班人员有秩序地疏散，疏散顺序从最危险地段人员先开始，相互兼顾照应，并根据风向指明集合地点。人员在安全地点集合后，由当班班组长负责清点本班人数，班长清点人数后，向厂长或者值班长报告人员情况。发现缺员，应报告所缺员工的姓名和事故前所处位置等。</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（2）非事故现场人员紧急疏散</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由事故单位负责报警，发出撤离命令，接命令后，当班负责人组织疏散，人员接通知后，自行撤离到上风口处。疏散顺序从最危险地段人员先开始，相互兼顾照应，并根据风向指明集合地点。人员在安全地点集合后，负责人清点人数后，向部门负责人或者值班长报告人员情况。发现缺员，应报告所缺人员的姓名和事故前所处位置等。</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（3）抢救人员在撤离前、撤离后的报告</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负责抢险和救护的人员在接指挥部通知后，立即带上救护和防护装备赶扑现场，等候调令，听从指挥。由队长分工，分批进入事发点进行抢险或救护。进入事故点前，队长必须向指挥部报告每批参加抢修和救护人员数量和名单并登记。</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抢修和救护队完成任务后，队长向指挥部报告任务执行情况以及抢修和救护人员安全状况，申请下达撤离命令，指挥部根据事故控制情况，必须做出撤离或继续抢修和救护的决定，向抢险抢修和救护队下达命令。队长若接撤离命令后，带领抢修和救护人员撤离事故点至安全地带，清点人员，向指挥部报告。</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（4）周边区域的单位、社区人员疏散的方式、方法</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当事故危及周边单位、村庄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和方式。撤离方式有步行和车辆运输两种。撤离方法中应明确应采取的预防措施、注意事项、撤离方向和撤离距离。撤离必须是有组织性的。</w:t>
      </w:r>
    </w:p>
    <w:p>
      <w:pPr>
        <w:pStyle w:val="48"/>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5）本项目突发环境事件发生后，应在政府统一领导下，启动环境应急预案，做好应急响应工作。当地地方人民政府应根据政府应急预案的有关要求，成立环境应急指挥机构，统筹部署和协调应对工作。环境应急指挥机构应组织有关专家对突发环境事件信息进行分析、评估，并根据事件发展情况，作出科学预测，提出相应的对策和建议供指挥部决策时参考。</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七、评价</w:t>
      </w:r>
      <w:r>
        <w:rPr>
          <w:rFonts w:hint="eastAsia" w:ascii="Times New Roman" w:hAnsi="Times New Roman" w:eastAsia="宋体" w:cs="Times New Roman"/>
          <w:b/>
          <w:bCs/>
          <w:color w:val="auto"/>
          <w:sz w:val="24"/>
          <w:szCs w:val="24"/>
        </w:rPr>
        <w:t>结论</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本项目采取了先进的工艺技术，按照有关安全理念进行工程设计，本评价中提出了相应的风险防范措施，对化学品库、清洗车间</w:t>
      </w:r>
      <w:r>
        <w:rPr>
          <w:rFonts w:hint="eastAsia" w:cs="Times New Roman"/>
          <w:color w:val="auto"/>
          <w:sz w:val="24"/>
          <w:szCs w:val="24"/>
          <w:lang w:eastAsia="zh-CN"/>
        </w:rPr>
        <w:t>、</w:t>
      </w:r>
      <w:r>
        <w:rPr>
          <w:rFonts w:hint="eastAsia" w:cs="Times New Roman"/>
          <w:color w:val="auto"/>
          <w:sz w:val="24"/>
          <w:szCs w:val="24"/>
          <w:lang w:val="en-US" w:eastAsia="zh-CN"/>
        </w:rPr>
        <w:t>机加车间、氩气回收站、危废库</w:t>
      </w:r>
      <w:r>
        <w:rPr>
          <w:rFonts w:hint="eastAsia" w:ascii="Times New Roman" w:hAnsi="Times New Roman" w:eastAsia="宋体" w:cs="Times New Roman"/>
          <w:color w:val="auto"/>
          <w:sz w:val="24"/>
          <w:szCs w:val="24"/>
        </w:rPr>
        <w:t>进行监控和管理。建设单位必须高度重视环境安全管理，做到风险防范警钟常鸣、常抓不懈，严格落实各项风险防范措施，不断完善风险管理体系。只有这样才能有效降低风险事故发生概率、杜绝特大事故的发生隐患。项目的建设不可避免会存在一定的环境风险，在严格落实环评提出的环境风险防范措施后，项目的环境风险处于环境可接受的水平。</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建议建设单位建立区域应急联动机制，充分利用工业园区的应急资源，与园区应急报警电话联网，保证信息传输的畅通。发生重特大突发环境事件时，应在园区应急指挥中心的统一领导下开展应急处置。</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综上所述，只要严格遵守各项安全操作规程和制度，加强安全管理，本项目建成运行后，正常生产情况下其环境风险程度属于可接受水平。</w:t>
      </w:r>
    </w:p>
    <w:p>
      <w:pPr>
        <w:pStyle w:val="14"/>
        <w:keepNext w:val="0"/>
        <w:keepLines w:val="0"/>
        <w:pageBreakBefore w:val="0"/>
        <w:widowControl w:val="0"/>
        <w:kinsoku/>
        <w:wordWrap/>
        <w:overflowPunct/>
        <w:topLinePunct w:val="0"/>
        <w:autoSpaceDE/>
        <w:autoSpaceDN/>
        <w:bidi w:val="0"/>
        <w:spacing w:line="480" w:lineRule="exact"/>
        <w:textAlignment w:val="auto"/>
        <w:rPr>
          <w:color w:val="0000FF"/>
          <w:sz w:val="24"/>
          <w:szCs w:val="24"/>
        </w:rPr>
      </w:pP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00" w:usb3="00000000" w:csb0="00040000" w:csb1="00000000"/>
  </w:font>
  <w:font w:name="TimesNewRomanPS-BoldMT">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D651B4"/>
    <w:multiLevelType w:val="singleLevel"/>
    <w:tmpl w:val="57D651B4"/>
    <w:lvl w:ilvl="0" w:tentative="0">
      <w:start w:val="1"/>
      <w:numFmt w:val="decimal"/>
      <w:pStyle w:val="43"/>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1" w:cryptProviderType="rsaFull" w:cryptAlgorithmClass="hash" w:cryptAlgorithmType="typeAny" w:cryptAlgorithmSid="4" w:cryptSpinCount="0" w:hash="IETz76M2w7m8ZU68dzGHaa48tGc=" w:salt="IE2/uwAlM4+PMtD/4+hpa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M2VhNWI3Y2NlNTRmOTViMzQ3N2IwZDJiZGVlNWMifQ=="/>
  </w:docVars>
  <w:rsids>
    <w:rsidRoot w:val="00172A27"/>
    <w:rsid w:val="000227F5"/>
    <w:rsid w:val="0011693F"/>
    <w:rsid w:val="00156EE8"/>
    <w:rsid w:val="002430C9"/>
    <w:rsid w:val="002D1681"/>
    <w:rsid w:val="00397C2D"/>
    <w:rsid w:val="00577EEA"/>
    <w:rsid w:val="0058774F"/>
    <w:rsid w:val="008A421E"/>
    <w:rsid w:val="0091507E"/>
    <w:rsid w:val="00917CEB"/>
    <w:rsid w:val="00980D2A"/>
    <w:rsid w:val="009D23C2"/>
    <w:rsid w:val="00AB6764"/>
    <w:rsid w:val="00BC5ABC"/>
    <w:rsid w:val="00D56C3F"/>
    <w:rsid w:val="00F82B4B"/>
    <w:rsid w:val="012D42A9"/>
    <w:rsid w:val="10A24331"/>
    <w:rsid w:val="10E657BF"/>
    <w:rsid w:val="12701271"/>
    <w:rsid w:val="13742671"/>
    <w:rsid w:val="13C821CB"/>
    <w:rsid w:val="13D20896"/>
    <w:rsid w:val="18890F75"/>
    <w:rsid w:val="1B651D93"/>
    <w:rsid w:val="1D5D4ACE"/>
    <w:rsid w:val="20D161D4"/>
    <w:rsid w:val="2439146B"/>
    <w:rsid w:val="24D35D37"/>
    <w:rsid w:val="2615053F"/>
    <w:rsid w:val="2802395B"/>
    <w:rsid w:val="2EF13888"/>
    <w:rsid w:val="30814341"/>
    <w:rsid w:val="33817407"/>
    <w:rsid w:val="33F91C77"/>
    <w:rsid w:val="37F41E61"/>
    <w:rsid w:val="38DB30A5"/>
    <w:rsid w:val="3D2607CD"/>
    <w:rsid w:val="42976FDE"/>
    <w:rsid w:val="43BE7252"/>
    <w:rsid w:val="45CD79A6"/>
    <w:rsid w:val="47AB3A2D"/>
    <w:rsid w:val="48DC783E"/>
    <w:rsid w:val="49AE24CC"/>
    <w:rsid w:val="4EB42C0C"/>
    <w:rsid w:val="4EE256D9"/>
    <w:rsid w:val="51AE213C"/>
    <w:rsid w:val="52E84106"/>
    <w:rsid w:val="571E28AA"/>
    <w:rsid w:val="5AFA79D3"/>
    <w:rsid w:val="5F506C8C"/>
    <w:rsid w:val="600360F6"/>
    <w:rsid w:val="605E653B"/>
    <w:rsid w:val="65150A9D"/>
    <w:rsid w:val="67EE100B"/>
    <w:rsid w:val="685226DA"/>
    <w:rsid w:val="69F22EAD"/>
    <w:rsid w:val="6BE648F5"/>
    <w:rsid w:val="70BF60CD"/>
    <w:rsid w:val="745538F6"/>
    <w:rsid w:val="79E224F2"/>
    <w:rsid w:val="7DB90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jc w:val="center"/>
      <w:outlineLvl w:val="3"/>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te Heading"/>
    <w:basedOn w:val="1"/>
    <w:next w:val="1"/>
    <w:link w:val="38"/>
    <w:qFormat/>
    <w:uiPriority w:val="0"/>
    <w:pPr>
      <w:jc w:val="center"/>
    </w:pPr>
    <w:rPr>
      <w:rFonts w:asciiTheme="minorHAnsi" w:hAnsiTheme="minorHAnsi" w:eastAsiaTheme="minorEastAsia" w:cstheme="minorBidi"/>
    </w:rPr>
  </w:style>
  <w:style w:type="paragraph" w:styleId="4">
    <w:name w:val="Normal Indent"/>
    <w:basedOn w:val="1"/>
    <w:next w:val="5"/>
    <w:link w:val="28"/>
    <w:qFormat/>
    <w:uiPriority w:val="0"/>
    <w:pPr>
      <w:adjustRightInd w:val="0"/>
      <w:snapToGrid w:val="0"/>
      <w:spacing w:line="360" w:lineRule="auto"/>
    </w:pPr>
    <w:rPr>
      <w:rFonts w:asciiTheme="minorHAnsi" w:hAnsiTheme="minorHAnsi" w:eastAsiaTheme="minorEastAsia" w:cstheme="minorBidi"/>
      <w:sz w:val="24"/>
    </w:rPr>
  </w:style>
  <w:style w:type="paragraph" w:customStyle="1" w:styleId="5">
    <w:name w:val="样式 正文文本 + 首行缩进:  2 字符"/>
    <w:basedOn w:val="6"/>
    <w:qFormat/>
    <w:uiPriority w:val="99"/>
    <w:pPr>
      <w:spacing w:after="200" w:line="480" w:lineRule="exact"/>
      <w:ind w:firstLine="480" w:firstLineChars="200"/>
    </w:pPr>
    <w:rPr>
      <w:rFonts w:ascii="宋体" w:hAnsi="宋体"/>
      <w:sz w:val="24"/>
    </w:rPr>
  </w:style>
  <w:style w:type="paragraph" w:styleId="6">
    <w:name w:val="Body Text"/>
    <w:basedOn w:val="1"/>
    <w:next w:val="1"/>
    <w:qFormat/>
    <w:uiPriority w:val="0"/>
    <w:rPr>
      <w:rFonts w:hint="eastAsia" w:ascii="宋体" w:hAnsi="宋体"/>
      <w:sz w:val="28"/>
    </w:rPr>
  </w:style>
  <w:style w:type="paragraph" w:styleId="7">
    <w:name w:val="caption"/>
    <w:basedOn w:val="1"/>
    <w:next w:val="1"/>
    <w:qFormat/>
    <w:uiPriority w:val="0"/>
    <w:pPr>
      <w:ind w:firstLine="504" w:firstLineChars="200"/>
      <w:jc w:val="center"/>
    </w:pPr>
    <w:rPr>
      <w:rFonts w:ascii="宋体" w:hAnsi="宋体" w:cs="Arial"/>
      <w:snapToGrid w:val="0"/>
    </w:rPr>
  </w:style>
  <w:style w:type="paragraph" w:styleId="8">
    <w:name w:val="Body Text Indent"/>
    <w:basedOn w:val="1"/>
    <w:next w:val="9"/>
    <w:link w:val="35"/>
    <w:semiHidden/>
    <w:unhideWhenUsed/>
    <w:qFormat/>
    <w:uiPriority w:val="99"/>
    <w:pPr>
      <w:spacing w:after="120"/>
      <w:ind w:left="420" w:leftChars="200"/>
    </w:pPr>
  </w:style>
  <w:style w:type="paragraph" w:customStyle="1" w:styleId="9">
    <w:name w:val="样式 正文文本缩进 + 行距: 1.5 倍行距"/>
    <w:basedOn w:val="1"/>
    <w:qFormat/>
    <w:uiPriority w:val="0"/>
    <w:pPr>
      <w:spacing w:after="120" w:line="360" w:lineRule="auto"/>
      <w:ind w:left="90" w:leftChars="32" w:firstLine="560" w:firstLineChars="200"/>
    </w:pPr>
    <w:rPr>
      <w:rFonts w:cs="宋体"/>
    </w:rPr>
  </w:style>
  <w:style w:type="paragraph" w:styleId="10">
    <w:name w:val="Block Text"/>
    <w:basedOn w:val="1"/>
    <w:qFormat/>
    <w:uiPriority w:val="0"/>
    <w:pPr>
      <w:adjustRightInd w:val="0"/>
      <w:snapToGrid w:val="0"/>
      <w:spacing w:line="288" w:lineRule="auto"/>
      <w:ind w:left="100" w:right="198" w:firstLine="400"/>
    </w:pPr>
    <w:rPr>
      <w:rFonts w:ascii="??_GB2312" w:eastAsia="Times New Roman"/>
      <w:sz w:val="24"/>
    </w:rPr>
  </w:style>
  <w:style w:type="paragraph" w:styleId="11">
    <w:name w:val="Plain Text"/>
    <w:basedOn w:val="1"/>
    <w:link w:val="30"/>
    <w:qFormat/>
    <w:uiPriority w:val="0"/>
    <w:rPr>
      <w:rFonts w:ascii="宋体" w:hAnsi="Courier New" w:cs="Courier New" w:eastAsiaTheme="minorEastAsia"/>
      <w:szCs w:val="21"/>
    </w:rPr>
  </w:style>
  <w:style w:type="paragraph" w:styleId="12">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toc 2"/>
    <w:basedOn w:val="1"/>
    <w:next w:val="1"/>
    <w:qFormat/>
    <w:uiPriority w:val="39"/>
    <w:pPr>
      <w:ind w:left="420" w:leftChars="200"/>
    </w:pPr>
  </w:style>
  <w:style w:type="paragraph" w:styleId="16">
    <w:name w:val="Normal (Web)"/>
    <w:basedOn w:val="1"/>
    <w:qFormat/>
    <w:uiPriority w:val="0"/>
    <w:pPr>
      <w:spacing w:before="100" w:beforeAutospacing="1" w:after="100" w:afterAutospacing="1"/>
      <w:jc w:val="left"/>
    </w:pPr>
    <w:rPr>
      <w:kern w:val="0"/>
      <w:sz w:val="24"/>
      <w:szCs w:val="20"/>
    </w:rPr>
  </w:style>
  <w:style w:type="paragraph" w:styleId="17">
    <w:name w:val="index 1"/>
    <w:basedOn w:val="1"/>
    <w:next w:val="1"/>
    <w:qFormat/>
    <w:uiPriority w:val="0"/>
    <w:pPr>
      <w:spacing w:line="192" w:lineRule="auto"/>
      <w:jc w:val="center"/>
    </w:pPr>
    <w:rPr>
      <w:rFonts w:ascii="宋体" w:hAnsi="宋体"/>
      <w:szCs w:val="20"/>
    </w:rPr>
  </w:style>
  <w:style w:type="paragraph" w:styleId="18">
    <w:name w:val="Body Text First Indent 2"/>
    <w:basedOn w:val="8"/>
    <w:next w:val="1"/>
    <w:link w:val="29"/>
    <w:unhideWhenUsed/>
    <w:qFormat/>
    <w:uiPriority w:val="0"/>
    <w:pPr>
      <w:ind w:firstLine="420" w:firstLineChars="200"/>
    </w:pPr>
    <w:rPr>
      <w:rFonts w:eastAsiaTheme="minorEastAsia"/>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23">
    <w:name w:val="样式 样式 样式 四号 左侧:  1.53 厘米 + 首行缩进:  2 字符 + 居中 左侧:  2 字符 首行缩进:  2..."/>
    <w:basedOn w:val="24"/>
    <w:unhideWhenUsed/>
    <w:qFormat/>
    <w:uiPriority w:val="0"/>
    <w:pPr>
      <w:spacing w:line="360" w:lineRule="auto"/>
      <w:jc w:val="center"/>
    </w:pPr>
  </w:style>
  <w:style w:type="paragraph" w:customStyle="1" w:styleId="24">
    <w:name w:val="样式 样式 四号 左侧:  1.53 厘米 + 首行缩进:  2 字符"/>
    <w:basedOn w:val="25"/>
    <w:unhideWhenUsed/>
    <w:qFormat/>
    <w:uiPriority w:val="99"/>
    <w:pPr>
      <w:ind w:left="200" w:leftChars="200"/>
    </w:pPr>
  </w:style>
  <w:style w:type="paragraph" w:customStyle="1" w:styleId="25">
    <w:name w:val="样式 四号 左侧:  1.53 厘米"/>
    <w:basedOn w:val="1"/>
    <w:unhideWhenUsed/>
    <w:qFormat/>
    <w:uiPriority w:val="99"/>
    <w:rPr>
      <w:rFonts w:hint="eastAsia"/>
      <w:w w:val="90"/>
      <w:sz w:val="2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character" w:customStyle="1" w:styleId="28">
    <w:name w:val="正文缩进 Char"/>
    <w:link w:val="4"/>
    <w:qFormat/>
    <w:uiPriority w:val="0"/>
    <w:rPr>
      <w:sz w:val="24"/>
      <w:szCs w:val="24"/>
    </w:rPr>
  </w:style>
  <w:style w:type="character" w:customStyle="1" w:styleId="29">
    <w:name w:val="正文首行缩进 2 Char"/>
    <w:link w:val="18"/>
    <w:qFormat/>
    <w:uiPriority w:val="0"/>
    <w:rPr>
      <w:rFonts w:ascii="Times New Roman" w:hAnsi="Times New Roman" w:cs="Times New Roman"/>
      <w:szCs w:val="24"/>
    </w:rPr>
  </w:style>
  <w:style w:type="character" w:customStyle="1" w:styleId="30">
    <w:name w:val="纯文本 Char"/>
    <w:link w:val="11"/>
    <w:qFormat/>
    <w:uiPriority w:val="0"/>
    <w:rPr>
      <w:rFonts w:ascii="宋体" w:hAnsi="Courier New" w:cs="Courier New"/>
      <w:szCs w:val="21"/>
    </w:rPr>
  </w:style>
  <w:style w:type="paragraph" w:customStyle="1" w:styleId="31">
    <w:name w:val="p0"/>
    <w:basedOn w:val="1"/>
    <w:qFormat/>
    <w:uiPriority w:val="0"/>
    <w:pPr>
      <w:widowControl/>
      <w:spacing w:line="365" w:lineRule="atLeast"/>
      <w:ind w:left="1"/>
      <w:textAlignment w:val="bottom"/>
    </w:pPr>
    <w:rPr>
      <w:kern w:val="0"/>
      <w:sz w:val="20"/>
      <w:szCs w:val="20"/>
    </w:rPr>
  </w:style>
  <w:style w:type="character" w:customStyle="1" w:styleId="32">
    <w:name w:val="纯文本 Char1"/>
    <w:basedOn w:val="21"/>
    <w:semiHidden/>
    <w:qFormat/>
    <w:uiPriority w:val="99"/>
    <w:rPr>
      <w:rFonts w:ascii="宋体" w:hAnsi="Courier New" w:eastAsia="宋体" w:cs="Courier New"/>
      <w:szCs w:val="21"/>
    </w:rPr>
  </w:style>
  <w:style w:type="paragraph" w:customStyle="1" w:styleId="33">
    <w:name w:val="正文1"/>
    <w:basedOn w:val="1"/>
    <w:next w:val="1"/>
    <w:qFormat/>
    <w:uiPriority w:val="0"/>
    <w:pPr>
      <w:adjustRightInd w:val="0"/>
      <w:snapToGrid w:val="0"/>
      <w:spacing w:line="440" w:lineRule="exact"/>
      <w:ind w:firstLine="200" w:firstLineChars="200"/>
    </w:pPr>
    <w:rPr>
      <w:sz w:val="24"/>
    </w:rPr>
  </w:style>
  <w:style w:type="paragraph" w:customStyle="1" w:styleId="34">
    <w:name w:val="表"/>
    <w:qFormat/>
    <w:uiPriority w:val="99"/>
    <w:pPr>
      <w:spacing w:line="440" w:lineRule="exact"/>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35">
    <w:name w:val="正文文本缩进 Char"/>
    <w:basedOn w:val="21"/>
    <w:link w:val="8"/>
    <w:semiHidden/>
    <w:qFormat/>
    <w:uiPriority w:val="99"/>
    <w:rPr>
      <w:rFonts w:ascii="Times New Roman" w:hAnsi="Times New Roman" w:eastAsia="宋体" w:cs="Times New Roman"/>
      <w:szCs w:val="24"/>
    </w:rPr>
  </w:style>
  <w:style w:type="character" w:customStyle="1" w:styleId="36">
    <w:name w:val="正文首行缩进 2 Char1"/>
    <w:basedOn w:val="35"/>
    <w:semiHidden/>
    <w:qFormat/>
    <w:uiPriority w:val="99"/>
    <w:rPr>
      <w:rFonts w:ascii="Times New Roman" w:hAnsi="Times New Roman" w:eastAsia="宋体" w:cs="Times New Roman"/>
      <w:szCs w:val="24"/>
    </w:rPr>
  </w:style>
  <w:style w:type="paragraph" w:customStyle="1" w:styleId="37">
    <w:name w:val="Normal_28"/>
    <w:qFormat/>
    <w:uiPriority w:val="0"/>
    <w:pPr>
      <w:spacing w:before="120" w:after="240"/>
      <w:jc w:val="both"/>
    </w:pPr>
    <w:rPr>
      <w:rFonts w:ascii="Calibri" w:hAnsi="Calibri" w:eastAsia="Calibri" w:cs="Times New Roman"/>
      <w:kern w:val="0"/>
      <w:sz w:val="22"/>
      <w:szCs w:val="22"/>
      <w:lang w:val="ru-RU" w:eastAsia="en-US" w:bidi="ar-SA"/>
    </w:rPr>
  </w:style>
  <w:style w:type="character" w:customStyle="1" w:styleId="38">
    <w:name w:val="注释标题 Char"/>
    <w:link w:val="3"/>
    <w:qFormat/>
    <w:uiPriority w:val="0"/>
    <w:rPr>
      <w:szCs w:val="24"/>
    </w:rPr>
  </w:style>
  <w:style w:type="character" w:customStyle="1" w:styleId="39">
    <w:name w:val="注释标题 Char1"/>
    <w:basedOn w:val="21"/>
    <w:semiHidden/>
    <w:qFormat/>
    <w:uiPriority w:val="99"/>
    <w:rPr>
      <w:rFonts w:ascii="Times New Roman" w:hAnsi="Times New Roman" w:eastAsia="宋体" w:cs="Times New Roman"/>
      <w:szCs w:val="24"/>
    </w:rPr>
  </w:style>
  <w:style w:type="paragraph" w:customStyle="1" w:styleId="40">
    <w:name w:val="三级标题"/>
    <w:basedOn w:val="1"/>
    <w:qFormat/>
    <w:uiPriority w:val="0"/>
    <w:pPr>
      <w:spacing w:line="360" w:lineRule="auto"/>
    </w:pPr>
    <w:rPr>
      <w:rFonts w:ascii="宋体" w:hAnsi="宋体"/>
      <w:bCs/>
      <w:sz w:val="24"/>
    </w:rPr>
  </w:style>
  <w:style w:type="paragraph" w:customStyle="1" w:styleId="4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2">
    <w:name w:val="正文 首行缩进:  2 字符"/>
    <w:basedOn w:val="1"/>
    <w:semiHidden/>
    <w:qFormat/>
    <w:uiPriority w:val="0"/>
    <w:pPr>
      <w:spacing w:line="520" w:lineRule="exact"/>
      <w:ind w:firstLine="480" w:firstLineChars="200"/>
    </w:pPr>
    <w:rPr>
      <w:kern w:val="44"/>
      <w:sz w:val="24"/>
    </w:rPr>
  </w:style>
  <w:style w:type="paragraph" w:customStyle="1" w:styleId="43">
    <w:name w:val="表头"/>
    <w:basedOn w:val="33"/>
    <w:next w:val="1"/>
    <w:qFormat/>
    <w:uiPriority w:val="0"/>
    <w:pPr>
      <w:numPr>
        <w:ilvl w:val="0"/>
        <w:numId w:val="1"/>
      </w:numPr>
      <w:spacing w:line="360" w:lineRule="exact"/>
    </w:pPr>
    <w:rPr>
      <w:b/>
      <w:color w:val="000000"/>
      <w:kern w:val="0"/>
      <w:szCs w:val="24"/>
    </w:rPr>
  </w:style>
  <w:style w:type="paragraph" w:customStyle="1" w:styleId="44">
    <w:name w:val="表格内容"/>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45">
    <w:name w:val="表格标题"/>
    <w:next w:val="46"/>
    <w:qFormat/>
    <w:uiPriority w:val="0"/>
    <w:pPr>
      <w:spacing w:beforeLines="50"/>
      <w:jc w:val="center"/>
    </w:pPr>
    <w:rPr>
      <w:rFonts w:ascii="Calibri" w:hAnsi="Calibri" w:eastAsia="宋体" w:cs="Times New Roman"/>
      <w:b/>
      <w:kern w:val="2"/>
      <w:sz w:val="24"/>
      <w:szCs w:val="24"/>
      <w:lang w:val="en-US" w:eastAsia="zh-CN" w:bidi="ar-SA"/>
    </w:rPr>
  </w:style>
  <w:style w:type="paragraph" w:customStyle="1" w:styleId="46">
    <w:name w:val="表格"/>
    <w:basedOn w:val="1"/>
    <w:next w:val="1"/>
    <w:qFormat/>
    <w:uiPriority w:val="0"/>
    <w:pPr>
      <w:spacing w:line="360" w:lineRule="exact"/>
      <w:jc w:val="center"/>
    </w:pPr>
    <w:rPr>
      <w:rFonts w:ascii="宋体" w:hAnsi="宋体"/>
      <w:szCs w:val="20"/>
    </w:rPr>
  </w:style>
  <w:style w:type="paragraph" w:customStyle="1" w:styleId="47">
    <w:name w:val="环评正文"/>
    <w:basedOn w:val="1"/>
    <w:qFormat/>
    <w:uiPriority w:val="0"/>
    <w:pPr>
      <w:spacing w:line="360" w:lineRule="auto"/>
      <w:ind w:firstLine="200" w:firstLineChars="200"/>
    </w:pPr>
    <w:rPr>
      <w:sz w:val="24"/>
    </w:rPr>
  </w:style>
  <w:style w:type="paragraph" w:customStyle="1" w:styleId="48">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49">
    <w:name w:val="环评报告正文"/>
    <w:basedOn w:val="1"/>
    <w:next w:val="1"/>
    <w:qFormat/>
    <w:uiPriority w:val="0"/>
    <w:pPr>
      <w:spacing w:line="360" w:lineRule="auto"/>
      <w:ind w:firstLine="1406" w:firstLineChars="200"/>
    </w:pPr>
    <w:rPr>
      <w:sz w:val="24"/>
      <w:szCs w:val="22"/>
    </w:rPr>
  </w:style>
  <w:style w:type="character" w:customStyle="1" w:styleId="50">
    <w:name w:val="font21"/>
    <w:basedOn w:val="21"/>
    <w:qFormat/>
    <w:uiPriority w:val="0"/>
    <w:rPr>
      <w:rFonts w:hint="default" w:ascii="Times New Roman" w:hAnsi="Times New Roman" w:cs="Times New Roman"/>
      <w:color w:val="000000"/>
      <w:sz w:val="21"/>
      <w:szCs w:val="21"/>
      <w:u w:val="none"/>
    </w:rPr>
  </w:style>
  <w:style w:type="character" w:customStyle="1" w:styleId="51">
    <w:name w:val="font11"/>
    <w:basedOn w:val="21"/>
    <w:qFormat/>
    <w:uiPriority w:val="0"/>
    <w:rPr>
      <w:rFonts w:hint="eastAsia" w:ascii="宋体" w:hAnsi="宋体" w:eastAsia="宋体" w:cs="宋体"/>
      <w:color w:val="000000"/>
      <w:sz w:val="21"/>
      <w:szCs w:val="21"/>
      <w:u w:val="none"/>
    </w:rPr>
  </w:style>
  <w:style w:type="paragraph" w:customStyle="1" w:styleId="52">
    <w:name w:val="正文-G Char Char"/>
    <w:basedOn w:val="1"/>
    <w:qFormat/>
    <w:uiPriority w:val="0"/>
    <w:pPr>
      <w:spacing w:line="400" w:lineRule="exact"/>
      <w:ind w:firstLine="480" w:firstLineChars="200"/>
    </w:pPr>
    <w:rPr>
      <w:rFonts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AAE72D-53FB-4856-84AC-8D27EDE16A1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26566</Words>
  <Characters>28651</Characters>
  <Lines>46</Lines>
  <Paragraphs>13</Paragraphs>
  <TotalTime>24</TotalTime>
  <ScaleCrop>false</ScaleCrop>
  <LinksUpToDate>false</LinksUpToDate>
  <CharactersWithSpaces>28726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2021-04-13T03:49:00Z</dcterms:created>
  <dc:creator>ZQC</dc:creator>
  <cp:lastModifiedBy>Administrator</cp:lastModifiedBy>
  <dcterms:modified xsi:type="dcterms:W3CDTF">2023-06-08T08:43:06Z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1BDD8262C73B4EFA9B69BDBAFFA1881B_13</vt:lpwstr>
  </property>
</Properties>
</file>