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5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030"/>
        <w:gridCol w:w="125"/>
        <w:gridCol w:w="4176"/>
        <w:gridCol w:w="70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营业执照（登记证）规范使用情况的检查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现场检查、网络检查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《公司登记管理条例》第七十一条、第七十二条；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《合伙企业登记管理办法》第四十三条、第四十四条；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《外商投资合伙企业登记管理规定》第五十七条、第五十八条；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《个人独资企业法》第三十五条；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《个人独资企业登记管理办法》第四十条、第四十一条、第四十二条、第四十三条；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《个体工商户条例》第二十二条；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《农民专业合作社登记管理条例》第二十七条；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《电子商务法》第十五条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名称规范使用情况的检查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现场检查、网络检查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《企业名称登记管理规定》第二十六条、二十七条；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《个体工商户条例》第二十三条第一款；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《农民专业合作社登记管理条例》第二十七条；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《个人独资企业法》第三十四条；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《合伙企业法》第九十四条；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《合伙企业登记管理办法》第四十条；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经营（驻在）期限的检查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《公司法》第二百一十一条第二款；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《公司登记管理条例》第六十八条；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《合伙企业法》第九十五条第二款；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《合伙企业登记管理办法》第三十九条；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《外商投资合伙企业登记管理规定》第五十三条；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经营（业务）范围中无需审批的经营（业务）项目的检查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《公司法》第二百一十一条第二款；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《公司登记管理条例》第六十八条；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《合伙企业法》第九十五条第二款；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《个人独资企业法》第三十七条第二款；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《合伙企业登记管理办法》第三十九条；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《外商投资合伙企业登记管理规定》第五十三条；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《个人独资企业登记管理办法》第三十八条；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《个体工商户条例》第二十三条第一款；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《农民专业合作社登记管理条例》第二十七条、第二十八条；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住所（经营场所）或驻在场所的检查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注册资本实缴情况的检查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《公司法》第一百九十八条至第二百条、第二百一十一条第二款；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《公司登记管理条例》第六十三条、第六十五条、第六十六条、第六十八条；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《合伙企业法》第九十五条第二款；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《个人独资企业法》第三十七条第二款；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《合伙企业登记管理办法》第三十九条；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《个人独资企业登记管理办法》第三十八条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法定代表人（负责人）任职情况的检查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《企业法人登记管理条例》第二十九条第一款；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《企业法人法定代表人登记管理规定》第十二条；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《公司法》第二百一十一条第二款；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《公司登记管理条例》第六十八条；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《合伙企业法》第九十五条第二款；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《合伙企业登记管理办法》第三十九条；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《外商投资合伙企业登记管理规定》第五十三条；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《个人独资企业法》第三十七条第二款；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《个人独资企业登记管理办法》第三十八条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法定代表人、自然人股东身份真实性的检查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《公司法》第一百九十八条；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《合伙企业法》第九十三条；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《个人独资企业法》第三十三条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年度报告公示信息的检查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现场检查、书面检查、网络检查、专业机构核查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《企业信息公示暂行条例》第三条、第八条、第九条、第十一条、第十二条、第十五条、第十七条；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《企业公示信息抽查暂行办法》第十条、第十二条；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《企业经营异常名录管理暂行办法》第四条、第六条、第八条、第九条；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《个体工商户年度报告暂行办法》第六条、第十一条；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《农民专业合作社年度报告公示暂行办法》第五条、第八条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即时公示信息的检查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现场检查、书面检查、网络检查、专业机构核查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《企业信息公示暂行条例》第三条、第十条、第十一条、第十二条、第十五条、第十七条；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《企业公示信息抽查暂行办法》第十条、第十二条；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《企业经营异常名录管理暂行办法》第四条、第七条、第八条、第九条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价格行为检查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执行政府定价、政府指导价情况，明码标价情况及其他价格行为的检查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《价格法》规定的经营者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《价格法》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直销行为检查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重大变更、直销员报酬支付、信息报备和披露的情况的检查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直销企业总公司及分公司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现场检查、书面检查、网络检查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《直销管理条例》；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《直销企业信息报备、披露管理办法》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电子商务经营行为监督检查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电子商务平台经营者履行主体责任的检查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电子商务平台经营者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书面检查、网络检查、专业机构核查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拍卖等重要领域区场规范管理检查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拍卖活动经营资格的检查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《拍卖法》第十一条、第六十条；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《拍卖监督管理办法》第四条、第十一条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文物经营活动经营资格的检查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《文物保护法》第五十三条、第五十四条、第七十二条以及第七十三条第一项、第二项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监督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管理局（24类68项）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拍卖等重要领域区场规范管理检查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为非法交易野生动物等违法行为提供交易服务的检查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《野生动物保护法》第三十二条、第五十一条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广告行为检查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广告发布登记情况的检查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《广告法》第六条、第二十九条、第六十条；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《广告发布登记管理规定》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《广告法》第四十六条；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《食品安全法》第七十九条；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《药品管理法》第五十九条；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《医疗器械监督管理条例》第四十五条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广告经营者、广告发布者建立、健全广告业务的承接登记、审核、档案管理制度情况的检查；是否开展广告经营活动；统计广告经营额、广告纳税额、广告从业人数；是否配备广告审查员；广告审查员是否具有相应资质的情况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《广告法》第三十四条、第六十一条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产品质量监督抽查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生产、流通领域产品质量监督抽查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区场上或企业成品仓库内的待销产品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《产品质量法》第十五条；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《产品质量监督抽查管理暂行办法》第二条、第四条、第六条、第十一条、第十二条、第十五条；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食品相关产品（直接接触食品的材料等相关产品）质量安全监督检查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食品相关产品获证企业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《产品质量法》第十五条；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《工业产品生产许可证管理条例》第三十六条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工业产品生产许可证产品生产企业检查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工业产品生产许可资格检查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《工业产品生产许可证管理条例》第三十六条、三十八条、三十九条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工业产品生产许可证获证企业条件检查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《工业产品生产许可证管理条例》第三十六条、三十八条、三十九条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食品生产监督检查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食品生产监督检查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获证食品生产企业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食品销售监督检查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校园食品销售监督检查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校园及校园周边食品销售者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高风险食品销售监督检查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风险等级为B、C、D级的食品销售者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一般风险食品销售监督检查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风险等级为A级的食品销售者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网络食品销售监督检查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网络食品交易第三方平台、入网食品销售者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餐饮服务监督检查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食品经营许可情况的检查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原料控制（含食品添加剂）情况的检查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加工制作过程的检查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供餐、用餐与配送情况的检查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餐饮具清洗消毒清毒情况的检查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场所和设施清洁维护情况的检查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食品安全管理情况的检查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人员管理情况检查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网络餐饮服务情况的检查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入网餐饮服务提供者、网络餐饮服务第三方平台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网络检查、现场检查、书面检查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食用农产品区场销售质量安全检查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食用农产品集中交易区场监督检查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食用农产品集中交易区场（含批发区场和农贸区场）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《食用农产品区场销售质量安全监督管理办法》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食用农产品区场销售质量安全检查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食用农产品销售企业（者）监督检查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食用农产品销售企业（含批发企业和零售企业）、其他销售者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《食品安全法》第一百一十条；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《食用农产品区场销售质量安全监督管理办法》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特殊食品销售监督检查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婴幼儿配方食品销售监督检查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婴幼儿配方食品销售者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《食品安全法》第一百零九条、第一百一十条、第一百一十三条、第一百一十四条；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《乳品质量安全监督管理条例》第四十六条、第四十八条、第五十条等；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《食品生产经营日常监督检查管理办法》第九条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特殊医学用途配方食品销售监督检查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特殊医学用途配方食品销售者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《食品安全法》第一百零九条、第一百一十条、第一百一十三条、第一百一十四条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《食品生产经营日常监督检查管理办法》第九条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保健食品销售监督检查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保健食品销售者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《食品安全法》第一百零九条、第一百一十条、第一百一十三条、第一百一十四条；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《食品生产经营日常监督检查管理办法》第九条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区场在售食品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抽样检验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《食品安全法》第八十七条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《食品安全抽样检验管理办法》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特种设备生产、使用单位监督检查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对特种设备生产单位的监督检查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特种设备生产单位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《中华人民共和国特种设备安全法》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第五十七条；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《特种设备安全监察条例》第五十条；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《特种设备现场安全监督检查规则》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对特种设备使用单位的监督检查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特种设备使用单位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eastAsia="zh-CN"/>
              </w:rPr>
              <w:t>《中华人民共和国特种设备安全法》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第五十七条；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《特种设备安全监察条例》第五十条；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《特种设备现场安全监督检查规则》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制造、修理、销售（包括进口）计量器具监督检查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企业、事业单位、个体工商户及其他经营者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《计量法》第十五条、第十六条；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《计量法实施细则》第二十一条、第四十八条、第四十九条、第五十条；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《中华人民共和国进口计量器具监督管理办法》第十九条、第二十条；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《制造、修理计量器具许可监督管理办法》第五条、第二十七条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在用强检计量器具监督检查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企业、事业单位、个体工商户及其他经营者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《计量法》第九条；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《中华人民共和国强制检定的工作计量器具检定管理办法》第五条；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《集贸区场计量监督管理办法》第八条；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《加油站计量监督管理办法》第六条；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《眼镜制配计量监督管理办法》第七条；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《零售商品称重计量监督管理办法》第九条、第十条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社会公用计量标准、计量检定机构监督检查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法定、授权计量技术机构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现场检查、量值比对、盲样检测、测量过程控制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《计量法》第六条、第七条、第二十条；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《计量法实施细则》第八条、第九条、第三十条；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《法定计量检定机构监督管理办法》第十五条、第十六条；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《专业计量站管理办法》第十四条、第十八条；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《计量授权管理办法》第十五条、第二十条；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《计量标准考核办法》第十八条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法定计量单位使用情况专项监督检查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宣传出版、文化教育、区场交易等领域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《计量法》第三条、第四条；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《计量法实施细则》第四十三条；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《全面推行我国法定计量单位的意见》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生产、销售定量包装商品净含量、“C标志”使用生产企业计量监督专项抽查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企业、个体工商户及其他经营者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《计量法》第四条；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《定量包装商品计量监督管理办法》第十二条、第十三条、第十五条、第十六条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型式批准监督检查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 、事 业单位、个体工商户及其他经营者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《计量法》第十三条；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《计量法实施细则》第十八条、第二十一条、第二十二条；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《计量器具新产品管理办法》第十八条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能源计量监督检查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 、事 业单位、个体工商户及其他经营者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《节约能源法》第七十四条；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《能源计量监督管理办法》第十六条、第十七条、第十九条；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《云南省用能和排污计量监督管理办法》第十七条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能效标识计量专项监督检查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企业、个体工商户及其他经营者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《节约能源法》第十七条、第十八条、第七十三条；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《能源计量监督管理办法》第十六条；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《能源效率标识管理办法》第十八条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水效标识计量专项监督检查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企业、个体工商户及其他经营者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《水效标识管理办法》第十七条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检验检测机构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《计量法》第二十二条；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《产品质量法》第十九条、第五十七条；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《认证认可条例》第十六条、第三十三条；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《检验检测机构资质认定管理办法》第三十四条至第三十七条；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《检验检测机构监督管理办法》第四条、第十七条、第二十五、第二十六条：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《食品检验机构资质认定管理办法》第三十二条至第四十条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区场类标准监督检查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企业标准自我声明监督检查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书面检查、网络检查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《标准化法》第二十七条、第三十八条、第三十九条、第四十二条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团体标准自我声明监督检查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书面检查、网络检查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《标准化法》第二十七条、第三十九条、第四十二条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专利真实性监督检查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专利证书、专利文件或专利申请文件真实性的检查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各类区场主体、产品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《专利法》第六十三条；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《专利法实施细则》第八十四条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产品专利宣传真实性的检查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各类区场主体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《商标法》第六条、第十条、第十四条第五款、第四十三条第二款、第四十九条第一款、第五十一条、第五十二条、第五十三条；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《商标法实施条例》第七十一条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集体商标、证明商标（含地理标志）使用行为的检查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《商标法》第十六条；</w:t>
            </w:r>
          </w:p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《商标法实施条例》第四条；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商标印制行为的检查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《商标印制管理办法》第三条、第四条、第五条、第六条、第七条、第八条、第九条、第十条、第十一条、第十二条、第十三条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商标代理行为的检查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商标代理行为的检查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经区场监管部门登记从事商标代理业务的服务机构（所）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《商标法》第六十八条；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《商标法实施条例》第八十八条、第八十九条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区市场监督管理局（24类68项）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认证活动和认证结果检查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自愿性认证活动及结果合规性、有效性的检查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自愿性认证机构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《认证机构管理办法》（原质检总局193号令）第二十七条、第三十条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强制性产品认证、检验检测活动及结果的合规性、有效性的检查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强制性产品认证指定认证机构、指定实验室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《强制性产品认证管理规定》第三十七条、第三十八条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获证产品有效性抽查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CCC认证产品认证有效性抽查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CCC认证目录内的获证产品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《强制性产品认证管理规定》第三十七条、第三十八条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有机认证产品认证有效性抽查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有机认证目录内的获证产品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《有机产品认证管理办法》第三十八条、第三十九条、第五十五条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其他认证项目的认证有效性抽查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其他认证项目的获证产品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区市场监管部门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《认证认可条例》第五十五条；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全区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区级监管</w:t>
            </w:r>
          </w:p>
        </w:tc>
      </w:tr>
    </w:tbl>
    <w:p/>
    <w:sectPr>
      <w:headerReference r:id="rId3" w:type="default"/>
      <w:pgSz w:w="16838" w:h="11906" w:orient="landscape"/>
      <w:pgMar w:top="0" w:right="1440" w:bottom="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2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5358" w:type="dxa"/>
      <w:tblInd w:w="-459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67"/>
      <w:gridCol w:w="777"/>
      <w:gridCol w:w="1450"/>
      <w:gridCol w:w="1884"/>
      <w:gridCol w:w="756"/>
      <w:gridCol w:w="1155"/>
      <w:gridCol w:w="1170"/>
      <w:gridCol w:w="1155"/>
      <w:gridCol w:w="4176"/>
      <w:gridCol w:w="708"/>
      <w:gridCol w:w="156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0" w:hRule="atLeast"/>
        <w:tblHeader/>
      </w:trPr>
      <w:tc>
        <w:tcPr>
          <w:tcW w:w="15358" w:type="dxa"/>
          <w:gridSpan w:val="11"/>
          <w:tcBorders>
            <w:bottom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4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小标宋_GBK" w:hAnsi="宋体" w:eastAsia="方正小标宋_GBK" w:cs="宋体"/>
              <w:b/>
              <w:bCs/>
              <w:color w:val="auto"/>
              <w:kern w:val="0"/>
              <w:sz w:val="40"/>
              <w:szCs w:val="40"/>
            </w:rPr>
            <w:t>东川区市场</w:t>
          </w:r>
          <w:r>
            <w:rPr>
              <w:rFonts w:hint="eastAsia" w:ascii="方正小标宋_GBK" w:hAnsi="宋体" w:eastAsia="方正小标宋_GBK" w:cs="宋体"/>
              <w:b/>
              <w:bCs/>
              <w:color w:val="auto"/>
              <w:kern w:val="0"/>
              <w:sz w:val="40"/>
              <w:szCs w:val="40"/>
              <w:lang w:eastAsia="zh-CN"/>
            </w:rPr>
            <w:t>监督管理局市场</w:t>
          </w:r>
          <w:r>
            <w:rPr>
              <w:rFonts w:hint="eastAsia" w:ascii="方正小标宋_GBK" w:hAnsi="宋体" w:eastAsia="方正小标宋_GBK" w:cs="宋体"/>
              <w:b/>
              <w:bCs/>
              <w:color w:val="auto"/>
              <w:kern w:val="0"/>
              <w:sz w:val="40"/>
              <w:szCs w:val="40"/>
            </w:rPr>
            <w:t>监管领域随机抽查事项清单（第二版）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5" w:hRule="atLeast"/>
        <w:tblHeader/>
      </w:trPr>
      <w:tc>
        <w:tcPr>
          <w:tcW w:w="567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序号</w:t>
          </w:r>
        </w:p>
      </w:tc>
      <w:tc>
        <w:tcPr>
          <w:tcW w:w="777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部门</w:t>
          </w:r>
        </w:p>
      </w:tc>
      <w:tc>
        <w:tcPr>
          <w:tcW w:w="3334" w:type="dxa"/>
          <w:gridSpan w:val="2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 xml:space="preserve">抽查项目 </w:t>
          </w:r>
        </w:p>
      </w:tc>
      <w:tc>
        <w:tcPr>
          <w:tcW w:w="756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事项类别</w:t>
          </w:r>
        </w:p>
      </w:tc>
      <w:tc>
        <w:tcPr>
          <w:tcW w:w="1155" w:type="dxa"/>
          <w:vMerge w:val="restart"/>
          <w:tc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检查对象</w:t>
          </w:r>
        </w:p>
      </w:tc>
      <w:tc>
        <w:tcPr>
          <w:tcW w:w="1170" w:type="dxa"/>
          <w:vMerge w:val="restart"/>
          <w:tc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检查方式</w:t>
          </w:r>
        </w:p>
      </w:tc>
      <w:tc>
        <w:tcPr>
          <w:tcW w:w="1155" w:type="dxa"/>
          <w:vMerge w:val="restart"/>
          <w:tc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检查主体</w:t>
          </w:r>
        </w:p>
      </w:tc>
      <w:tc>
        <w:tcPr>
          <w:tcW w:w="4176" w:type="dxa"/>
          <w:vMerge w:val="restart"/>
          <w:tc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检查依据</w:t>
          </w:r>
        </w:p>
      </w:tc>
      <w:tc>
        <w:tcPr>
          <w:tcW w:w="708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适用区域</w:t>
          </w:r>
        </w:p>
      </w:tc>
      <w:tc>
        <w:tcPr>
          <w:tcW w:w="1560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26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备注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29" w:hRule="atLeast"/>
        <w:tblHeader/>
      </w:trPr>
      <w:tc>
        <w:tcPr>
          <w:tcW w:w="567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left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</w:p>
      </w:tc>
      <w:tc>
        <w:tcPr>
          <w:tcW w:w="777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left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</w:p>
      </w:tc>
      <w:tc>
        <w:tcPr>
          <w:tcW w:w="1450" w:type="dxa"/>
          <w:tcBorders>
            <w:top w:val="nil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spacing w:line="300" w:lineRule="exact"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抽查类别</w:t>
          </w:r>
        </w:p>
      </w:tc>
      <w:tc>
        <w:tcPr>
          <w:tcW w:w="1884" w:type="dxa"/>
          <w:tcBorders>
            <w:top w:val="nil"/>
            <w:left w:val="nil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center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  <w:r>
            <w:rPr>
              <w:rFonts w:hint="eastAsia" w:ascii="方正黑体_GBK" w:hAnsi="宋体" w:eastAsia="方正黑体_GBK" w:cs="宋体"/>
              <w:b/>
              <w:bCs/>
              <w:color w:val="auto"/>
              <w:kern w:val="0"/>
              <w:sz w:val="22"/>
            </w:rPr>
            <w:t>抽查事项</w:t>
          </w:r>
        </w:p>
      </w:tc>
      <w:tc>
        <w:tcPr>
          <w:tcW w:w="756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left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</w:p>
      </w:tc>
      <w:tc>
        <w:tcPr>
          <w:tcW w:w="1155" w:type="dxa"/>
          <w:vMerge w:val="continue"/>
          <w:tc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left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</w:p>
      </w:tc>
      <w:tc>
        <w:tcPr>
          <w:tcW w:w="1170" w:type="dxa"/>
          <w:vMerge w:val="continue"/>
          <w:tc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left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</w:p>
      </w:tc>
      <w:tc>
        <w:tcPr>
          <w:tcW w:w="1155" w:type="dxa"/>
          <w:vMerge w:val="continue"/>
          <w:tc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left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</w:p>
      </w:tc>
      <w:tc>
        <w:tcPr>
          <w:tcW w:w="4176" w:type="dxa"/>
          <w:vMerge w:val="continue"/>
          <w:tc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left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</w:p>
      </w:tc>
      <w:tc>
        <w:tcPr>
          <w:tcW w:w="708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left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</w:p>
      </w:tc>
      <w:tc>
        <w:tcPr>
          <w:tcW w:w="1560" w:type="dxa"/>
          <w:vMerge w:val="continue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>
          <w:pPr>
            <w:widowControl/>
            <w:jc w:val="left"/>
            <w:rPr>
              <w:rFonts w:ascii="方正黑体_GBK" w:hAnsi="宋体" w:eastAsia="方正黑体_GBK" w:cs="宋体"/>
              <w:b/>
              <w:bCs/>
              <w:color w:val="auto"/>
              <w:kern w:val="0"/>
              <w:sz w:val="22"/>
            </w:rPr>
          </w:pPr>
        </w:p>
      </w:tc>
    </w:tr>
  </w:tbl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U3YWRkZmU5OTJhNGQyMDFmYzgxYmU0MjIxODYxNTUifQ=="/>
  </w:docVars>
  <w:rsids>
    <w:rsidRoot w:val="7DC74E1D"/>
    <w:rsid w:val="000A7378"/>
    <w:rsid w:val="00130239"/>
    <w:rsid w:val="003716AF"/>
    <w:rsid w:val="003806D1"/>
    <w:rsid w:val="003F133D"/>
    <w:rsid w:val="0087317B"/>
    <w:rsid w:val="009C16BD"/>
    <w:rsid w:val="00A610DF"/>
    <w:rsid w:val="00AD655C"/>
    <w:rsid w:val="00D7645B"/>
    <w:rsid w:val="00DF73A1"/>
    <w:rsid w:val="01CD0BFB"/>
    <w:rsid w:val="04330497"/>
    <w:rsid w:val="06F72626"/>
    <w:rsid w:val="072A5185"/>
    <w:rsid w:val="087C359F"/>
    <w:rsid w:val="08CF4D2C"/>
    <w:rsid w:val="091E7FE8"/>
    <w:rsid w:val="097E282F"/>
    <w:rsid w:val="0CE57CAE"/>
    <w:rsid w:val="0D1F7B15"/>
    <w:rsid w:val="0DAC3EBF"/>
    <w:rsid w:val="10B553BA"/>
    <w:rsid w:val="12512503"/>
    <w:rsid w:val="13A22B01"/>
    <w:rsid w:val="15072958"/>
    <w:rsid w:val="16DD706E"/>
    <w:rsid w:val="1C726B5E"/>
    <w:rsid w:val="1CA14D57"/>
    <w:rsid w:val="1EE27BB0"/>
    <w:rsid w:val="1F4404D1"/>
    <w:rsid w:val="1FE5662E"/>
    <w:rsid w:val="204A438F"/>
    <w:rsid w:val="20514806"/>
    <w:rsid w:val="27143721"/>
    <w:rsid w:val="27B57677"/>
    <w:rsid w:val="27BA094D"/>
    <w:rsid w:val="2A1735F2"/>
    <w:rsid w:val="30B11659"/>
    <w:rsid w:val="32C7424B"/>
    <w:rsid w:val="342220D9"/>
    <w:rsid w:val="350A68EF"/>
    <w:rsid w:val="367A550F"/>
    <w:rsid w:val="36BB3F3F"/>
    <w:rsid w:val="376E4AE4"/>
    <w:rsid w:val="38B706F6"/>
    <w:rsid w:val="39A17860"/>
    <w:rsid w:val="3A0B26A0"/>
    <w:rsid w:val="3A6F49C1"/>
    <w:rsid w:val="3B7128E6"/>
    <w:rsid w:val="40CC5087"/>
    <w:rsid w:val="465D1987"/>
    <w:rsid w:val="49A921CC"/>
    <w:rsid w:val="49C97CA8"/>
    <w:rsid w:val="4C232830"/>
    <w:rsid w:val="4FDE4211"/>
    <w:rsid w:val="503373B0"/>
    <w:rsid w:val="51BD4229"/>
    <w:rsid w:val="53EA24C8"/>
    <w:rsid w:val="54E14EA8"/>
    <w:rsid w:val="596C243F"/>
    <w:rsid w:val="5BBF7814"/>
    <w:rsid w:val="5C111F3E"/>
    <w:rsid w:val="5C3939BA"/>
    <w:rsid w:val="60560BE9"/>
    <w:rsid w:val="60C57968"/>
    <w:rsid w:val="63065889"/>
    <w:rsid w:val="632B3D56"/>
    <w:rsid w:val="667C32DD"/>
    <w:rsid w:val="6A374F7E"/>
    <w:rsid w:val="6C9B4444"/>
    <w:rsid w:val="6E4F04BB"/>
    <w:rsid w:val="712311CE"/>
    <w:rsid w:val="72F25DB3"/>
    <w:rsid w:val="745A72EC"/>
    <w:rsid w:val="74753989"/>
    <w:rsid w:val="7515721C"/>
    <w:rsid w:val="75FC7ED6"/>
    <w:rsid w:val="7A503585"/>
    <w:rsid w:val="7B131AD0"/>
    <w:rsid w:val="7CC30261"/>
    <w:rsid w:val="7DC74E1D"/>
    <w:rsid w:val="7DF2015A"/>
    <w:rsid w:val="7E7E4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ED5F-0514-4F11-9BBF-344F510DD0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13</Pages>
  <Words>8122</Words>
  <Characters>8164</Characters>
  <Lines>68</Lines>
  <Paragraphs>203</Paragraphs>
  <TotalTime>3</TotalTime>
  <ScaleCrop>false</ScaleCrop>
  <LinksUpToDate>false</LinksUpToDate>
  <CharactersWithSpaces>8168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2021-07-22T03:42:00Z</dcterms:created>
  <dc:creator>NTKO</dc:creator>
  <cp:lastModifiedBy>岂曰无衣</cp:lastModifiedBy>
  <dcterms:modified xsi:type="dcterms:W3CDTF">2023-05-31T07:08:54Z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C4E4B939925646928DFFE2FECDA7C992_12</vt:lpwstr>
  </property>
</Properties>
</file>