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color w:val="000000"/>
          <w:sz w:val="36"/>
          <w:szCs w:val="36"/>
        </w:rPr>
      </w:pPr>
      <w:bookmarkStart w:id="39" w:name="_GoBack"/>
      <w:bookmarkEnd w:id="39"/>
      <w:bookmarkStart w:id="0" w:name="_Hlk116553518"/>
    </w:p>
    <w:p>
      <w:pPr>
        <w:spacing w:line="360" w:lineRule="auto"/>
        <w:jc w:val="center"/>
        <w:rPr>
          <w:color w:val="000000"/>
          <w:sz w:val="36"/>
          <w:szCs w:val="36"/>
        </w:rPr>
      </w:pPr>
    </w:p>
    <w:p>
      <w:pPr>
        <w:spacing w:line="360" w:lineRule="auto"/>
        <w:jc w:val="center"/>
        <w:rPr>
          <w:color w:val="000000"/>
          <w:sz w:val="36"/>
          <w:szCs w:val="36"/>
        </w:rPr>
      </w:pPr>
    </w:p>
    <w:p>
      <w:pPr>
        <w:adjustRightInd w:val="0"/>
        <w:snapToGrid w:val="0"/>
        <w:jc w:val="center"/>
        <w:outlineLvl w:val="0"/>
        <w:rPr>
          <w:bCs/>
          <w:color w:val="000000"/>
          <w:sz w:val="72"/>
          <w:szCs w:val="72"/>
        </w:rPr>
      </w:pPr>
      <w:bookmarkStart w:id="1" w:name="_Toc66862666"/>
      <w:bookmarkStart w:id="2" w:name="_Toc66801944"/>
      <w:bookmarkStart w:id="3" w:name="_Toc66883115"/>
      <w:bookmarkStart w:id="4" w:name="_Toc27685"/>
      <w:bookmarkStart w:id="5" w:name="_Toc112774073"/>
      <w:bookmarkStart w:id="6" w:name="_Toc26826"/>
      <w:r>
        <w:rPr>
          <w:bCs/>
          <w:color w:val="000000"/>
          <w:sz w:val="72"/>
          <w:szCs w:val="72"/>
        </w:rPr>
        <w:t>建设项目环境影响报告表</w:t>
      </w:r>
      <w:bookmarkEnd w:id="1"/>
      <w:bookmarkEnd w:id="2"/>
      <w:bookmarkEnd w:id="3"/>
      <w:bookmarkEnd w:id="4"/>
      <w:bookmarkEnd w:id="5"/>
      <w:bookmarkEnd w:id="6"/>
    </w:p>
    <w:p>
      <w:pPr>
        <w:adjustRightInd w:val="0"/>
        <w:snapToGrid w:val="0"/>
        <w:spacing w:before="192" w:beforeLines="80"/>
        <w:jc w:val="center"/>
        <w:rPr>
          <w:color w:val="000000"/>
          <w:sz w:val="52"/>
          <w:szCs w:val="52"/>
        </w:rPr>
      </w:pPr>
      <w:r>
        <w:rPr>
          <w:bCs/>
          <w:color w:val="000000"/>
          <w:sz w:val="48"/>
          <w:szCs w:val="48"/>
        </w:rPr>
        <w:t>（污染影响类）</w:t>
      </w:r>
    </w:p>
    <w:p>
      <w:pPr>
        <w:adjustRightInd w:val="0"/>
        <w:snapToGrid w:val="0"/>
        <w:spacing w:line="288" w:lineRule="auto"/>
        <w:jc w:val="center"/>
        <w:rPr>
          <w:color w:val="000000"/>
          <w:kern w:val="44"/>
          <w:sz w:val="44"/>
          <w:szCs w:val="44"/>
        </w:rPr>
      </w:pPr>
      <w:r>
        <w:rPr>
          <w:rFonts w:hint="eastAsia"/>
          <w:color w:val="000000"/>
          <w:kern w:val="44"/>
          <w:sz w:val="44"/>
          <w:szCs w:val="44"/>
        </w:rPr>
        <w:t>送审稿</w:t>
      </w:r>
    </w:p>
    <w:p>
      <w:pPr>
        <w:adjustRightInd w:val="0"/>
        <w:snapToGrid w:val="0"/>
        <w:spacing w:line="288" w:lineRule="auto"/>
        <w:jc w:val="center"/>
        <w:rPr>
          <w:color w:val="000000"/>
          <w:kern w:val="44"/>
          <w:sz w:val="44"/>
          <w:szCs w:val="44"/>
        </w:rPr>
      </w:pPr>
    </w:p>
    <w:p>
      <w:pPr>
        <w:adjustRightInd w:val="0"/>
        <w:snapToGrid w:val="0"/>
        <w:spacing w:line="288" w:lineRule="auto"/>
        <w:jc w:val="center"/>
        <w:rPr>
          <w:color w:val="000000"/>
          <w:kern w:val="44"/>
          <w:sz w:val="44"/>
          <w:szCs w:val="44"/>
        </w:rPr>
      </w:pPr>
    </w:p>
    <w:p>
      <w:pPr>
        <w:adjustRightInd w:val="0"/>
        <w:snapToGrid w:val="0"/>
        <w:spacing w:line="288" w:lineRule="auto"/>
        <w:jc w:val="center"/>
        <w:rPr>
          <w:color w:val="000000"/>
          <w:kern w:val="44"/>
          <w:sz w:val="44"/>
          <w:szCs w:val="44"/>
        </w:rPr>
      </w:pPr>
    </w:p>
    <w:p>
      <w:pPr>
        <w:adjustRightInd w:val="0"/>
        <w:snapToGrid w:val="0"/>
        <w:spacing w:line="288" w:lineRule="auto"/>
        <w:jc w:val="center"/>
        <w:rPr>
          <w:color w:val="000000"/>
          <w:kern w:val="44"/>
          <w:sz w:val="44"/>
          <w:szCs w:val="44"/>
        </w:rPr>
      </w:pPr>
    </w:p>
    <w:p>
      <w:pPr>
        <w:adjustRightInd w:val="0"/>
        <w:snapToGrid w:val="0"/>
        <w:spacing w:line="288" w:lineRule="auto"/>
        <w:jc w:val="center"/>
        <w:rPr>
          <w:color w:val="000000"/>
          <w:kern w:val="44"/>
          <w:sz w:val="44"/>
          <w:szCs w:val="44"/>
        </w:rPr>
      </w:pPr>
    </w:p>
    <w:p>
      <w:pPr>
        <w:adjustRightInd w:val="0"/>
        <w:snapToGrid w:val="0"/>
        <w:spacing w:line="288" w:lineRule="auto"/>
        <w:jc w:val="center"/>
        <w:rPr>
          <w:color w:val="000000"/>
          <w:kern w:val="44"/>
          <w:sz w:val="44"/>
          <w:szCs w:val="44"/>
        </w:rPr>
      </w:pPr>
    </w:p>
    <w:p>
      <w:pPr>
        <w:adjustRightInd w:val="0"/>
        <w:snapToGrid w:val="0"/>
        <w:spacing w:line="360" w:lineRule="auto"/>
        <w:ind w:left="2010" w:leftChars="100" w:hanging="1800" w:hangingChars="500"/>
        <w:rPr>
          <w:color w:val="000000"/>
          <w:sz w:val="36"/>
          <w:szCs w:val="36"/>
          <w:u w:val="single"/>
        </w:rPr>
      </w:pPr>
      <w:r>
        <w:rPr>
          <w:color w:val="000000"/>
          <w:sz w:val="36"/>
          <w:szCs w:val="36"/>
        </w:rPr>
        <w:t>项目名称：</w:t>
      </w:r>
      <w:r>
        <w:rPr>
          <w:rFonts w:hint="eastAsia"/>
          <w:color w:val="000000"/>
          <w:sz w:val="36"/>
          <w:szCs w:val="36"/>
          <w:u w:val="single"/>
        </w:rPr>
        <w:t>中铁十八局集团第二工程有限公司云南省</w:t>
      </w:r>
      <w:r>
        <w:rPr>
          <w:color w:val="000000"/>
          <w:sz w:val="36"/>
          <w:szCs w:val="36"/>
          <w:u w:val="single"/>
        </w:rPr>
        <w:t>东川港一期建设</w:t>
      </w:r>
      <w:r>
        <w:rPr>
          <w:rFonts w:hint="eastAsia"/>
          <w:color w:val="000000"/>
          <w:sz w:val="36"/>
          <w:szCs w:val="36"/>
          <w:u w:val="single"/>
        </w:rPr>
        <w:t xml:space="preserve">自用混凝土搅拌站项目 </w:t>
      </w:r>
      <w:r>
        <w:rPr>
          <w:color w:val="000000"/>
          <w:sz w:val="36"/>
          <w:szCs w:val="36"/>
          <w:u w:val="single"/>
        </w:rPr>
        <w:t xml:space="preserve">   </w:t>
      </w:r>
      <w:r>
        <w:rPr>
          <w:rFonts w:hint="eastAsia"/>
          <w:color w:val="000000"/>
          <w:sz w:val="36"/>
          <w:szCs w:val="36"/>
          <w:u w:val="single"/>
        </w:rPr>
        <w:t xml:space="preserve">                </w:t>
      </w:r>
      <w:r>
        <w:rPr>
          <w:color w:val="000000"/>
          <w:sz w:val="36"/>
          <w:szCs w:val="36"/>
          <w:u w:val="single"/>
        </w:rPr>
        <w:t xml:space="preserve">           </w:t>
      </w:r>
      <w:r>
        <w:rPr>
          <w:rFonts w:hint="eastAsia"/>
          <w:color w:val="000000"/>
          <w:sz w:val="36"/>
          <w:szCs w:val="36"/>
          <w:u w:val="single"/>
        </w:rPr>
        <w:t xml:space="preserve"> </w:t>
      </w:r>
    </w:p>
    <w:p>
      <w:pPr>
        <w:adjustRightInd w:val="0"/>
        <w:snapToGrid w:val="0"/>
        <w:spacing w:line="360" w:lineRule="auto"/>
        <w:ind w:left="3090" w:leftChars="100" w:hanging="2880" w:hangingChars="800"/>
        <w:rPr>
          <w:color w:val="000000"/>
          <w:sz w:val="36"/>
          <w:szCs w:val="36"/>
          <w:u w:val="single"/>
        </w:rPr>
      </w:pPr>
      <w:r>
        <w:rPr>
          <w:color w:val="000000"/>
          <w:sz w:val="36"/>
          <w:szCs w:val="36"/>
        </w:rPr>
        <w:t>建设单位（盖章）：</w:t>
      </w:r>
      <w:r>
        <w:rPr>
          <w:rFonts w:hint="eastAsia"/>
          <w:color w:val="000000"/>
          <w:sz w:val="36"/>
          <w:szCs w:val="36"/>
          <w:u w:val="single"/>
        </w:rPr>
        <w:t xml:space="preserve">中铁十八局集团第二工程有限公司 </w:t>
      </w:r>
      <w:r>
        <w:rPr>
          <w:color w:val="000000"/>
          <w:sz w:val="36"/>
          <w:szCs w:val="36"/>
          <w:u w:val="single"/>
        </w:rPr>
        <w:t xml:space="preserve">                         </w:t>
      </w:r>
    </w:p>
    <w:p>
      <w:pPr>
        <w:adjustRightInd w:val="0"/>
        <w:snapToGrid w:val="0"/>
        <w:spacing w:line="360" w:lineRule="auto"/>
        <w:ind w:firstLine="180" w:firstLineChars="50"/>
        <w:rPr>
          <w:color w:val="000000"/>
          <w:sz w:val="36"/>
          <w:szCs w:val="36"/>
          <w:u w:val="single"/>
        </w:rPr>
      </w:pPr>
      <w:r>
        <w:rPr>
          <w:color w:val="000000"/>
          <w:sz w:val="36"/>
          <w:szCs w:val="36"/>
        </w:rPr>
        <w:t>编制日期：</w:t>
      </w:r>
      <w:r>
        <w:rPr>
          <w:color w:val="000000"/>
          <w:sz w:val="36"/>
          <w:szCs w:val="36"/>
          <w:u w:val="single"/>
        </w:rPr>
        <w:t xml:space="preserve"> 2023</w:t>
      </w:r>
      <w:r>
        <w:rPr>
          <w:rFonts w:hint="eastAsia"/>
          <w:color w:val="000000"/>
          <w:sz w:val="36"/>
          <w:szCs w:val="36"/>
          <w:u w:val="single"/>
        </w:rPr>
        <w:t>年</w:t>
      </w:r>
      <w:r>
        <w:rPr>
          <w:color w:val="000000"/>
          <w:sz w:val="36"/>
          <w:szCs w:val="36"/>
          <w:u w:val="single"/>
        </w:rPr>
        <w:t>3</w:t>
      </w:r>
      <w:r>
        <w:rPr>
          <w:rFonts w:hint="eastAsia"/>
          <w:color w:val="000000"/>
          <w:sz w:val="36"/>
          <w:szCs w:val="36"/>
          <w:u w:val="single"/>
        </w:rPr>
        <w:t>月</w:t>
      </w:r>
      <w:r>
        <w:rPr>
          <w:color w:val="000000"/>
          <w:sz w:val="36"/>
          <w:szCs w:val="36"/>
          <w:u w:val="single"/>
        </w:rPr>
        <w:t xml:space="preserve">   </w:t>
      </w:r>
      <w:r>
        <w:rPr>
          <w:rFonts w:hint="eastAsia"/>
          <w:color w:val="000000"/>
          <w:sz w:val="36"/>
          <w:szCs w:val="36"/>
          <w:u w:val="single"/>
        </w:rPr>
        <w:t xml:space="preserve">    </w:t>
      </w:r>
      <w:r>
        <w:rPr>
          <w:color w:val="000000"/>
          <w:sz w:val="36"/>
          <w:szCs w:val="36"/>
          <w:u w:val="single"/>
        </w:rPr>
        <w:t xml:space="preserve"> </w:t>
      </w:r>
      <w:bookmarkStart w:id="7" w:name="_Hlk74754320"/>
      <w:r>
        <w:rPr>
          <w:color w:val="000000"/>
          <w:sz w:val="36"/>
          <w:szCs w:val="36"/>
          <w:u w:val="single"/>
        </w:rPr>
        <w:t xml:space="preserve">             </w:t>
      </w:r>
      <w:bookmarkEnd w:id="7"/>
      <w:r>
        <w:rPr>
          <w:color w:val="000000"/>
          <w:sz w:val="36"/>
          <w:szCs w:val="36"/>
          <w:u w:val="single"/>
        </w:rPr>
        <w:t xml:space="preserve">  </w:t>
      </w:r>
    </w:p>
    <w:p>
      <w:pPr>
        <w:adjustRightInd w:val="0"/>
        <w:snapToGrid w:val="0"/>
        <w:spacing w:line="288" w:lineRule="auto"/>
        <w:jc w:val="center"/>
        <w:rPr>
          <w:color w:val="000000"/>
          <w:kern w:val="44"/>
          <w:sz w:val="44"/>
          <w:szCs w:val="44"/>
        </w:rPr>
      </w:pPr>
      <w:bookmarkStart w:id="8" w:name="_Hlk57884087"/>
    </w:p>
    <w:p>
      <w:pPr>
        <w:adjustRightInd w:val="0"/>
        <w:snapToGrid w:val="0"/>
        <w:spacing w:line="288" w:lineRule="auto"/>
        <w:jc w:val="center"/>
        <w:rPr>
          <w:color w:val="000000"/>
          <w:kern w:val="44"/>
          <w:sz w:val="44"/>
          <w:szCs w:val="44"/>
        </w:rPr>
      </w:pPr>
    </w:p>
    <w:bookmarkEnd w:id="8"/>
    <w:p>
      <w:pPr>
        <w:adjustRightInd w:val="0"/>
        <w:snapToGrid w:val="0"/>
        <w:spacing w:line="288" w:lineRule="auto"/>
        <w:jc w:val="center"/>
        <w:outlineLvl w:val="0"/>
        <w:rPr>
          <w:color w:val="000000"/>
          <w:sz w:val="36"/>
          <w:szCs w:val="36"/>
        </w:rPr>
        <w:sectPr>
          <w:pgSz w:w="11906" w:h="16838"/>
          <w:pgMar w:top="1440" w:right="1800" w:bottom="1440" w:left="1800" w:header="851" w:footer="1077" w:gutter="0"/>
          <w:cols w:space="720" w:num="1"/>
          <w:docGrid w:linePitch="312" w:charSpace="0"/>
        </w:sectPr>
      </w:pPr>
      <w:bookmarkStart w:id="9" w:name="_Toc29984"/>
      <w:bookmarkStart w:id="10" w:name="_Toc112774074"/>
      <w:bookmarkStart w:id="11" w:name="_Toc6529"/>
      <w:r>
        <w:rPr>
          <w:color w:val="000000"/>
          <w:sz w:val="36"/>
          <w:szCs w:val="36"/>
        </w:rPr>
        <w:t>中华人民共和国生态环境部制</w:t>
      </w:r>
      <w:bookmarkEnd w:id="9"/>
      <w:bookmarkEnd w:id="10"/>
      <w:bookmarkEnd w:id="11"/>
    </w:p>
    <w:bookmarkEnd w:id="0"/>
    <w:p>
      <w:pPr>
        <w:adjustRightInd w:val="0"/>
        <w:snapToGrid w:val="0"/>
        <w:spacing w:line="288" w:lineRule="auto"/>
        <w:jc w:val="center"/>
        <w:outlineLvl w:val="0"/>
        <w:rPr>
          <w:b/>
          <w:bCs/>
          <w:color w:val="000000"/>
          <w:sz w:val="28"/>
          <w:szCs w:val="28"/>
        </w:rPr>
      </w:pPr>
      <w:r>
        <w:rPr>
          <w:rFonts w:hint="eastAsia"/>
          <w:b/>
          <w:bCs/>
          <w:color w:val="000000"/>
          <w:sz w:val="28"/>
          <w:szCs w:val="28"/>
        </w:rPr>
        <w:t>现场照片</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6"/>
        <w:gridCol w:w="4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6" w:hRule="atLeast"/>
          <w:jc w:val="center"/>
        </w:trPr>
        <w:tc>
          <w:tcPr>
            <w:tcW w:w="4261" w:type="dxa"/>
            <w:vAlign w:val="center"/>
          </w:tcPr>
          <w:p>
            <w:pPr>
              <w:adjustRightInd w:val="0"/>
              <w:snapToGrid w:val="0"/>
              <w:spacing w:line="288" w:lineRule="auto"/>
              <w:jc w:val="center"/>
              <w:outlineLvl w:val="0"/>
              <w:rPr>
                <w:b/>
                <w:bCs/>
                <w:color w:val="000000"/>
                <w:sz w:val="28"/>
                <w:szCs w:val="28"/>
              </w:rPr>
            </w:pPr>
            <w:r>
              <w:rPr>
                <w:rFonts w:hint="eastAsia"/>
                <w:b/>
                <w:bCs/>
                <w:color w:val="000000"/>
                <w:sz w:val="28"/>
                <w:szCs w:val="28"/>
              </w:rPr>
              <w:drawing>
                <wp:inline distT="0" distB="0" distL="0" distR="0">
                  <wp:extent cx="2590165" cy="2028825"/>
                  <wp:effectExtent l="0" t="0" r="63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91406" cy="2029322"/>
                          </a:xfrm>
                          <a:prstGeom prst="rect">
                            <a:avLst/>
                          </a:prstGeom>
                        </pic:spPr>
                      </pic:pic>
                    </a:graphicData>
                  </a:graphic>
                </wp:inline>
              </w:drawing>
            </w:r>
          </w:p>
        </w:tc>
        <w:tc>
          <w:tcPr>
            <w:tcW w:w="4261" w:type="dxa"/>
            <w:vAlign w:val="center"/>
          </w:tcPr>
          <w:p>
            <w:pPr>
              <w:adjustRightInd w:val="0"/>
              <w:snapToGrid w:val="0"/>
              <w:spacing w:line="288" w:lineRule="auto"/>
              <w:jc w:val="center"/>
              <w:outlineLvl w:val="0"/>
              <w:rPr>
                <w:b/>
                <w:bCs/>
                <w:color w:val="000000"/>
                <w:sz w:val="28"/>
                <w:szCs w:val="28"/>
              </w:rPr>
            </w:pPr>
            <w:r>
              <w:rPr>
                <w:rFonts w:hint="eastAsia"/>
                <w:b/>
                <w:bCs/>
                <w:color w:val="000000"/>
                <w:sz w:val="28"/>
                <w:szCs w:val="28"/>
              </w:rPr>
              <w:drawing>
                <wp:inline distT="0" distB="0" distL="0" distR="0">
                  <wp:extent cx="2517140" cy="19621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33200" cy="197466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t>项目进出口及磅房</w:t>
            </w:r>
          </w:p>
        </w:tc>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t>搅拌楼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6" w:hRule="atLeast"/>
          <w:jc w:val="center"/>
        </w:trPr>
        <w:tc>
          <w:tcPr>
            <w:tcW w:w="4261" w:type="dxa"/>
            <w:vAlign w:val="center"/>
          </w:tcPr>
          <w:p>
            <w:pPr>
              <w:adjustRightInd w:val="0"/>
              <w:snapToGrid w:val="0"/>
              <w:spacing w:line="288" w:lineRule="auto"/>
              <w:jc w:val="center"/>
              <w:outlineLvl w:val="0"/>
              <w:rPr>
                <w:b/>
                <w:bCs/>
                <w:color w:val="000000"/>
                <w:sz w:val="28"/>
                <w:szCs w:val="28"/>
              </w:rPr>
            </w:pPr>
            <w:r>
              <w:rPr>
                <w:rFonts w:hint="eastAsia"/>
                <w:b/>
                <w:bCs/>
                <w:color w:val="000000"/>
                <w:sz w:val="28"/>
                <w:szCs w:val="28"/>
              </w:rPr>
              <w:drawing>
                <wp:inline distT="0" distB="0" distL="0" distR="0">
                  <wp:extent cx="2504440" cy="20478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4737" cy="2056295"/>
                          </a:xfrm>
                          <a:prstGeom prst="rect">
                            <a:avLst/>
                          </a:prstGeom>
                        </pic:spPr>
                      </pic:pic>
                    </a:graphicData>
                  </a:graphic>
                </wp:inline>
              </w:drawing>
            </w:r>
          </w:p>
        </w:tc>
        <w:tc>
          <w:tcPr>
            <w:tcW w:w="4261" w:type="dxa"/>
            <w:vAlign w:val="center"/>
          </w:tcPr>
          <w:p>
            <w:pPr>
              <w:adjustRightInd w:val="0"/>
              <w:snapToGrid w:val="0"/>
              <w:spacing w:line="288" w:lineRule="auto"/>
              <w:jc w:val="center"/>
              <w:outlineLvl w:val="0"/>
              <w:rPr>
                <w:b/>
                <w:bCs/>
                <w:color w:val="000000"/>
                <w:sz w:val="28"/>
                <w:szCs w:val="28"/>
              </w:rPr>
            </w:pPr>
            <w:r>
              <w:rPr>
                <w:rFonts w:hint="eastAsia"/>
                <w:b/>
                <w:bCs/>
                <w:color w:val="000000"/>
                <w:sz w:val="28"/>
                <w:szCs w:val="28"/>
              </w:rPr>
              <w:drawing>
                <wp:inline distT="0" distB="0" distL="0" distR="0">
                  <wp:extent cx="2555240" cy="2000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3977" cy="200708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t>项目住宿及办公区</w:t>
            </w:r>
          </w:p>
        </w:tc>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t>原料仓库及喷淋系统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6" w:hRule="atLeast"/>
          <w:jc w:val="center"/>
        </w:trPr>
        <w:tc>
          <w:tcPr>
            <w:tcW w:w="4261" w:type="dxa"/>
            <w:vAlign w:val="center"/>
          </w:tcPr>
          <w:p>
            <w:pPr>
              <w:adjustRightInd w:val="0"/>
              <w:snapToGrid w:val="0"/>
              <w:spacing w:line="288" w:lineRule="auto"/>
              <w:jc w:val="center"/>
              <w:outlineLvl w:val="0"/>
              <w:rPr>
                <w:b/>
                <w:bCs/>
                <w:color w:val="000000"/>
                <w:sz w:val="28"/>
                <w:szCs w:val="28"/>
              </w:rPr>
            </w:pPr>
            <w:r>
              <w:rPr>
                <w:rFonts w:hint="eastAsia"/>
                <w:b/>
                <w:bCs/>
                <w:color w:val="000000"/>
                <w:sz w:val="28"/>
                <w:szCs w:val="28"/>
              </w:rPr>
              <w:drawing>
                <wp:inline distT="0" distB="0" distL="0" distR="0">
                  <wp:extent cx="2606675" cy="2038350"/>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6551" cy="2045979"/>
                          </a:xfrm>
                          <a:prstGeom prst="rect">
                            <a:avLst/>
                          </a:prstGeom>
                        </pic:spPr>
                      </pic:pic>
                    </a:graphicData>
                  </a:graphic>
                </wp:inline>
              </w:drawing>
            </w:r>
          </w:p>
        </w:tc>
        <w:tc>
          <w:tcPr>
            <w:tcW w:w="4261" w:type="dxa"/>
            <w:vAlign w:val="center"/>
          </w:tcPr>
          <w:p>
            <w:pPr>
              <w:adjustRightInd w:val="0"/>
              <w:snapToGrid w:val="0"/>
              <w:spacing w:line="288" w:lineRule="auto"/>
              <w:jc w:val="center"/>
              <w:outlineLvl w:val="0"/>
              <w:rPr>
                <w:b/>
                <w:bCs/>
                <w:color w:val="000000"/>
                <w:sz w:val="28"/>
                <w:szCs w:val="28"/>
              </w:rPr>
            </w:pPr>
            <w:r>
              <w:rPr>
                <w:rFonts w:hint="eastAsia"/>
                <w:b/>
                <w:bCs/>
                <w:color w:val="000000"/>
                <w:sz w:val="28"/>
                <w:szCs w:val="28"/>
              </w:rPr>
              <w:drawing>
                <wp:inline distT="0" distB="0" distL="0" distR="0">
                  <wp:extent cx="2542540" cy="2038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4133" cy="204764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t>项目三级沉淀</w:t>
            </w:r>
          </w:p>
        </w:tc>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t>项目封闭式垃圾箱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6" w:hRule="atLeast"/>
          <w:jc w:val="center"/>
        </w:trPr>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drawing>
                <wp:inline distT="0" distB="0" distL="0" distR="0">
                  <wp:extent cx="2605405" cy="203835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6208" cy="2046802"/>
                          </a:xfrm>
                          <a:prstGeom prst="rect">
                            <a:avLst/>
                          </a:prstGeom>
                        </pic:spPr>
                      </pic:pic>
                    </a:graphicData>
                  </a:graphic>
                </wp:inline>
              </w:drawing>
            </w:r>
          </w:p>
        </w:tc>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drawing>
                <wp:inline distT="0" distB="0" distL="0" distR="0">
                  <wp:extent cx="2581275" cy="2019935"/>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9842" cy="202663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t>项目炮雾机</w:t>
            </w:r>
          </w:p>
        </w:tc>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t>项目洒水车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6" w:hRule="atLeast"/>
          <w:jc w:val="center"/>
        </w:trPr>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drawing>
                <wp:inline distT="0" distB="0" distL="0" distR="0">
                  <wp:extent cx="2592705" cy="202882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02584" cy="2036555"/>
                          </a:xfrm>
                          <a:prstGeom prst="rect">
                            <a:avLst/>
                          </a:prstGeom>
                        </pic:spPr>
                      </pic:pic>
                    </a:graphicData>
                  </a:graphic>
                </wp:inline>
              </w:drawing>
            </w:r>
          </w:p>
        </w:tc>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drawing>
                <wp:inline distT="0" distB="0" distL="0" distR="0">
                  <wp:extent cx="2587625" cy="2015490"/>
                  <wp:effectExtent l="0" t="0" r="317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0007" cy="2032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t>项目厕所</w:t>
            </w:r>
          </w:p>
        </w:tc>
        <w:tc>
          <w:tcPr>
            <w:tcW w:w="4261" w:type="dxa"/>
            <w:vAlign w:val="center"/>
          </w:tcPr>
          <w:p>
            <w:pPr>
              <w:adjustRightInd w:val="0"/>
              <w:snapToGrid w:val="0"/>
              <w:spacing w:line="288" w:lineRule="auto"/>
              <w:jc w:val="center"/>
              <w:outlineLvl w:val="0"/>
              <w:rPr>
                <w:b/>
                <w:bCs/>
                <w:color w:val="000000"/>
                <w:sz w:val="24"/>
              </w:rPr>
            </w:pPr>
            <w:r>
              <w:rPr>
                <w:rFonts w:hint="eastAsia"/>
                <w:b/>
                <w:bCs/>
                <w:color w:val="000000"/>
                <w:sz w:val="24"/>
              </w:rPr>
              <w:t>项目生活区雨水排水沟</w:t>
            </w:r>
          </w:p>
        </w:tc>
      </w:tr>
    </w:tbl>
    <w:p>
      <w:pPr>
        <w:rPr>
          <w:color w:val="000000"/>
          <w:sz w:val="36"/>
          <w:szCs w:val="36"/>
        </w:rPr>
      </w:pPr>
      <w:r>
        <w:rPr>
          <w:rFonts w:hint="eastAsia"/>
          <w:color w:val="000000"/>
          <w:sz w:val="36"/>
          <w:szCs w:val="36"/>
        </w:rPr>
        <w:br w:type="page"/>
      </w:r>
    </w:p>
    <w:sdt>
      <w:sdtPr>
        <w:rPr>
          <w:rFonts w:ascii="宋体" w:hAnsi="宋体"/>
        </w:rPr>
        <w:id w:val="147469698"/>
        <w15:color w:val="DBDBDB"/>
        <w:docPartObj>
          <w:docPartGallery w:val="Table of Contents"/>
          <w:docPartUnique/>
        </w:docPartObj>
      </w:sdtPr>
      <w:sdtEndPr>
        <w:rPr>
          <w:rFonts w:ascii="Times New Roman" w:hAnsi="Times New Roman"/>
        </w:rPr>
      </w:sdtEndPr>
      <w:sdtContent>
        <w:p>
          <w:pPr>
            <w:jc w:val="center"/>
          </w:pPr>
          <w:r>
            <w:rPr>
              <w:sz w:val="32"/>
              <w:szCs w:val="32"/>
            </w:rPr>
            <w:t>目录</w:t>
          </w:r>
        </w:p>
        <w:p>
          <w:pPr>
            <w:pStyle w:val="113"/>
            <w:tabs>
              <w:tab w:val="right" w:leader="dot" w:pos="8306"/>
            </w:tabs>
            <w:spacing w:line="360" w:lineRule="auto"/>
            <w:rPr>
              <w:rFonts w:ascii="Times New Roman" w:hAnsi="Times New Roman" w:cs="Times New Roman"/>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TOC \o "1-1" \h \u </w:instrText>
          </w:r>
          <w:r>
            <w:rPr>
              <w:rFonts w:ascii="Times New Roman" w:hAnsi="Times New Roman" w:cs="Times New Roman"/>
              <w:b/>
              <w:sz w:val="24"/>
              <w:szCs w:val="24"/>
            </w:rPr>
            <w:fldChar w:fldCharType="separate"/>
          </w:r>
          <w:r>
            <w:fldChar w:fldCharType="begin"/>
          </w:r>
          <w:r>
            <w:instrText xml:space="preserve"> HYPERLINK \l "_Toc2459" </w:instrText>
          </w:r>
          <w:r>
            <w:fldChar w:fldCharType="separate"/>
          </w:r>
          <w:r>
            <w:rPr>
              <w:rFonts w:ascii="Times New Roman" w:hAnsi="Times New Roman" w:cs="Times New Roman"/>
              <w:bCs/>
              <w:sz w:val="24"/>
              <w:szCs w:val="24"/>
            </w:rPr>
            <w:t>一、建设项目基本情况</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_Toc2459 \h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13"/>
            <w:tabs>
              <w:tab w:val="right" w:leader="dot" w:pos="8306"/>
            </w:tabs>
            <w:spacing w:line="360" w:lineRule="auto"/>
            <w:rPr>
              <w:rFonts w:ascii="Times New Roman" w:hAnsi="Times New Roman" w:cs="Times New Roman"/>
              <w:sz w:val="24"/>
              <w:szCs w:val="24"/>
            </w:rPr>
          </w:pPr>
          <w:r>
            <w:fldChar w:fldCharType="begin"/>
          </w:r>
          <w:r>
            <w:instrText xml:space="preserve"> HYPERLINK \l "_Toc31856" </w:instrText>
          </w:r>
          <w:r>
            <w:fldChar w:fldCharType="separate"/>
          </w:r>
          <w:r>
            <w:rPr>
              <w:rFonts w:ascii="Times New Roman" w:hAnsi="Times New Roman" w:cs="Times New Roman"/>
              <w:bCs/>
              <w:sz w:val="24"/>
              <w:szCs w:val="24"/>
            </w:rPr>
            <w:t>二、建设项目工程分析</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_Toc31856 \h </w:instrText>
          </w:r>
          <w:r>
            <w:rPr>
              <w:rFonts w:ascii="Times New Roman" w:hAnsi="Times New Roman" w:cs="Times New Roman"/>
              <w:sz w:val="24"/>
              <w:szCs w:val="24"/>
            </w:rPr>
            <w:fldChar w:fldCharType="separate"/>
          </w:r>
          <w:r>
            <w:rPr>
              <w:rFonts w:ascii="Times New Roman" w:hAnsi="Times New Roman" w:cs="Times New Roman"/>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13"/>
            <w:tabs>
              <w:tab w:val="right" w:leader="dot" w:pos="8306"/>
            </w:tabs>
            <w:spacing w:line="360" w:lineRule="auto"/>
            <w:rPr>
              <w:rFonts w:ascii="Times New Roman" w:hAnsi="Times New Roman" w:cs="Times New Roman"/>
              <w:sz w:val="24"/>
              <w:szCs w:val="24"/>
            </w:rPr>
          </w:pPr>
          <w:r>
            <w:fldChar w:fldCharType="begin"/>
          </w:r>
          <w:r>
            <w:instrText xml:space="preserve"> HYPERLINK \l "_Toc11914" </w:instrText>
          </w:r>
          <w:r>
            <w:fldChar w:fldCharType="separate"/>
          </w:r>
          <w:r>
            <w:rPr>
              <w:rFonts w:ascii="Times New Roman" w:hAnsi="Times New Roman" w:cs="Times New Roman"/>
              <w:bCs/>
              <w:sz w:val="24"/>
              <w:szCs w:val="24"/>
            </w:rPr>
            <w:t>三、区域环境质量现状、环境保护目标及评价标准</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_Toc11914 \h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13"/>
            <w:tabs>
              <w:tab w:val="right" w:leader="dot" w:pos="8306"/>
            </w:tabs>
            <w:spacing w:line="360" w:lineRule="auto"/>
            <w:rPr>
              <w:rFonts w:ascii="Times New Roman" w:hAnsi="Times New Roman" w:cs="Times New Roman"/>
              <w:sz w:val="24"/>
              <w:szCs w:val="24"/>
            </w:rPr>
          </w:pPr>
          <w:r>
            <w:fldChar w:fldCharType="begin"/>
          </w:r>
          <w:r>
            <w:instrText xml:space="preserve"> HYPERLINK \l "_Toc24671" </w:instrText>
          </w:r>
          <w:r>
            <w:fldChar w:fldCharType="separate"/>
          </w:r>
          <w:r>
            <w:rPr>
              <w:rFonts w:ascii="Times New Roman" w:hAnsi="Times New Roman" w:cs="Times New Roman"/>
              <w:bCs/>
              <w:sz w:val="24"/>
              <w:szCs w:val="24"/>
            </w:rPr>
            <w:t>四、主要环境影响和保护措施</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_Toc24671 \h </w:instrText>
          </w:r>
          <w:r>
            <w:rPr>
              <w:rFonts w:ascii="Times New Roman" w:hAnsi="Times New Roman" w:cs="Times New Roman"/>
              <w:sz w:val="24"/>
              <w:szCs w:val="24"/>
            </w:rPr>
            <w:fldChar w:fldCharType="separate"/>
          </w:r>
          <w:r>
            <w:rPr>
              <w:rFonts w:ascii="Times New Roman" w:hAnsi="Times New Roman" w:cs="Times New Roman"/>
              <w:sz w:val="24"/>
              <w:szCs w:val="24"/>
            </w:rPr>
            <w:t>26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13"/>
            <w:tabs>
              <w:tab w:val="right" w:leader="dot" w:pos="8306"/>
            </w:tabs>
            <w:spacing w:line="360" w:lineRule="auto"/>
            <w:rPr>
              <w:rFonts w:ascii="Times New Roman" w:hAnsi="Times New Roman" w:cs="Times New Roman"/>
              <w:sz w:val="24"/>
              <w:szCs w:val="24"/>
            </w:rPr>
          </w:pPr>
          <w:r>
            <w:fldChar w:fldCharType="begin"/>
          </w:r>
          <w:r>
            <w:instrText xml:space="preserve"> HYPERLINK \l "_Toc31394" </w:instrText>
          </w:r>
          <w:r>
            <w:fldChar w:fldCharType="separate"/>
          </w:r>
          <w:r>
            <w:rPr>
              <w:rFonts w:ascii="Times New Roman" w:hAnsi="Times New Roman" w:cs="Times New Roman"/>
              <w:bCs/>
              <w:sz w:val="24"/>
              <w:szCs w:val="24"/>
            </w:rPr>
            <w:t>五、环境保护措施监督检查清单</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_Toc31394 \h </w:instrText>
          </w:r>
          <w:r>
            <w:rPr>
              <w:rFonts w:ascii="Times New Roman" w:hAnsi="Times New Roman" w:cs="Times New Roman"/>
              <w:sz w:val="24"/>
              <w:szCs w:val="24"/>
            </w:rPr>
            <w:fldChar w:fldCharType="separate"/>
          </w:r>
          <w:r>
            <w:rPr>
              <w:rFonts w:ascii="Times New Roman" w:hAnsi="Times New Roman" w:cs="Times New Roman"/>
              <w:sz w:val="24"/>
              <w:szCs w:val="24"/>
            </w:rPr>
            <w:t>54</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pStyle w:val="113"/>
            <w:tabs>
              <w:tab w:val="right" w:leader="dot" w:pos="8306"/>
            </w:tabs>
            <w:spacing w:line="360" w:lineRule="auto"/>
            <w:rPr>
              <w:rFonts w:ascii="Times New Roman" w:hAnsi="Times New Roman" w:cs="Times New Roman"/>
              <w:sz w:val="24"/>
              <w:szCs w:val="24"/>
            </w:rPr>
          </w:pPr>
          <w:r>
            <w:fldChar w:fldCharType="begin"/>
          </w:r>
          <w:r>
            <w:instrText xml:space="preserve"> HYPERLINK \l "_Toc17409" </w:instrText>
          </w:r>
          <w:r>
            <w:fldChar w:fldCharType="separate"/>
          </w:r>
          <w:r>
            <w:rPr>
              <w:rFonts w:ascii="Times New Roman" w:hAnsi="Times New Roman" w:cs="Times New Roman"/>
              <w:bCs/>
              <w:sz w:val="24"/>
              <w:szCs w:val="24"/>
            </w:rPr>
            <w:t>六、结论</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_Toc17409 \h </w:instrText>
          </w:r>
          <w:r>
            <w:rPr>
              <w:rFonts w:ascii="Times New Roman" w:hAnsi="Times New Roman" w:cs="Times New Roman"/>
              <w:sz w:val="24"/>
              <w:szCs w:val="24"/>
            </w:rPr>
            <w:fldChar w:fldCharType="separate"/>
          </w:r>
          <w:r>
            <w:rPr>
              <w:rFonts w:ascii="Times New Roman" w:hAnsi="Times New Roman" w:cs="Times New Roman"/>
              <w:sz w:val="24"/>
              <w:szCs w:val="24"/>
            </w:rPr>
            <w:t>56</w:t>
          </w:r>
          <w:r>
            <w:rPr>
              <w:rFonts w:ascii="Times New Roman" w:hAnsi="Times New Roman" w:cs="Times New Roman"/>
              <w:sz w:val="24"/>
              <w:szCs w:val="24"/>
            </w:rPr>
            <w:fldChar w:fldCharType="end"/>
          </w:r>
          <w:r>
            <w:rPr>
              <w:rFonts w:ascii="Times New Roman" w:hAnsi="Times New Roman" w:cs="Times New Roman"/>
              <w:sz w:val="24"/>
              <w:szCs w:val="24"/>
            </w:rPr>
            <w:fldChar w:fldCharType="end"/>
          </w:r>
        </w:p>
        <w:p>
          <w:pPr>
            <w:spacing w:line="360" w:lineRule="auto"/>
            <w:jc w:val="center"/>
            <w:rPr>
              <w:b/>
              <w:sz w:val="24"/>
            </w:rPr>
          </w:pPr>
          <w:r>
            <w:rPr>
              <w:rFonts w:eastAsiaTheme="minorEastAsia"/>
              <w:sz w:val="24"/>
            </w:rPr>
            <w:fldChar w:fldCharType="end"/>
          </w:r>
        </w:p>
      </w:sdtContent>
    </w:sdt>
    <w:p>
      <w:pPr>
        <w:spacing w:line="500" w:lineRule="exact"/>
        <w:jc w:val="left"/>
        <w:outlineLvl w:val="0"/>
        <w:rPr>
          <w:b/>
          <w:sz w:val="24"/>
        </w:rPr>
      </w:pPr>
      <w:bookmarkStart w:id="12" w:name="_Toc23477"/>
      <w:r>
        <w:rPr>
          <w:b/>
          <w:sz w:val="24"/>
        </w:rPr>
        <w:t>附件</w:t>
      </w:r>
      <w:bookmarkEnd w:id="12"/>
    </w:p>
    <w:p>
      <w:pPr>
        <w:jc w:val="left"/>
        <w:outlineLvl w:val="0"/>
        <w:rPr>
          <w:sz w:val="24"/>
        </w:rPr>
      </w:pPr>
      <w:bookmarkStart w:id="13" w:name="_Toc12030"/>
      <w:r>
        <w:rPr>
          <w:sz w:val="24"/>
        </w:rPr>
        <w:t>附件1  委托书</w:t>
      </w:r>
      <w:bookmarkEnd w:id="13"/>
    </w:p>
    <w:p>
      <w:pPr>
        <w:jc w:val="left"/>
        <w:outlineLvl w:val="0"/>
        <w:rPr>
          <w:sz w:val="24"/>
        </w:rPr>
      </w:pPr>
      <w:bookmarkStart w:id="14" w:name="_Toc25254"/>
      <w:r>
        <w:rPr>
          <w:sz w:val="24"/>
        </w:rPr>
        <w:t>附件2  营业执照</w:t>
      </w:r>
      <w:bookmarkEnd w:id="14"/>
    </w:p>
    <w:p>
      <w:pPr>
        <w:jc w:val="left"/>
        <w:outlineLvl w:val="0"/>
        <w:rPr>
          <w:sz w:val="24"/>
        </w:rPr>
      </w:pPr>
      <w:bookmarkStart w:id="15" w:name="_Toc3483"/>
      <w:r>
        <w:rPr>
          <w:sz w:val="24"/>
        </w:rPr>
        <w:t xml:space="preserve">附件3  </w:t>
      </w:r>
      <w:bookmarkEnd w:id="15"/>
      <w:r>
        <w:rPr>
          <w:rFonts w:hint="eastAsia"/>
          <w:sz w:val="24"/>
        </w:rPr>
        <w:t>投资备案证</w:t>
      </w:r>
    </w:p>
    <w:p>
      <w:pPr>
        <w:jc w:val="left"/>
        <w:outlineLvl w:val="0"/>
        <w:rPr>
          <w:sz w:val="24"/>
        </w:rPr>
      </w:pPr>
      <w:bookmarkStart w:id="16" w:name="_Toc4002"/>
      <w:r>
        <w:rPr>
          <w:sz w:val="24"/>
        </w:rPr>
        <w:t xml:space="preserve">附件4  </w:t>
      </w:r>
      <w:r>
        <w:rPr>
          <w:rFonts w:hint="eastAsia"/>
          <w:sz w:val="24"/>
        </w:rPr>
        <w:t>声环境质量现状</w:t>
      </w:r>
      <w:r>
        <w:rPr>
          <w:sz w:val="24"/>
        </w:rPr>
        <w:t>监测报告</w:t>
      </w:r>
      <w:bookmarkEnd w:id="16"/>
    </w:p>
    <w:p>
      <w:pPr>
        <w:jc w:val="left"/>
        <w:outlineLvl w:val="0"/>
        <w:rPr>
          <w:sz w:val="24"/>
        </w:rPr>
      </w:pPr>
      <w:r>
        <w:rPr>
          <w:rFonts w:hint="eastAsia"/>
          <w:sz w:val="24"/>
        </w:rPr>
        <w:t>附件5  项目临时用地合同</w:t>
      </w:r>
    </w:p>
    <w:p>
      <w:pPr>
        <w:jc w:val="left"/>
        <w:rPr>
          <w:sz w:val="24"/>
        </w:rPr>
      </w:pPr>
      <w:r>
        <w:rPr>
          <w:rFonts w:hint="eastAsia"/>
          <w:sz w:val="24"/>
        </w:rPr>
        <w:t>附件6  生活污水接纳协议</w:t>
      </w:r>
    </w:p>
    <w:p>
      <w:pPr>
        <w:jc w:val="left"/>
        <w:rPr>
          <w:sz w:val="24"/>
        </w:rPr>
      </w:pPr>
      <w:r>
        <w:rPr>
          <w:rFonts w:hint="eastAsia"/>
          <w:sz w:val="24"/>
        </w:rPr>
        <w:t>附件7</w:t>
      </w:r>
      <w:r>
        <w:rPr>
          <w:sz w:val="24"/>
        </w:rPr>
        <w:t xml:space="preserve">  </w:t>
      </w:r>
      <w:r>
        <w:rPr>
          <w:rFonts w:hint="eastAsia"/>
          <w:sz w:val="24"/>
        </w:rPr>
        <w:t>委托编制合同</w:t>
      </w:r>
    </w:p>
    <w:p>
      <w:pPr>
        <w:jc w:val="left"/>
        <w:rPr>
          <w:sz w:val="24"/>
        </w:rPr>
      </w:pPr>
      <w:r>
        <w:rPr>
          <w:rFonts w:hint="eastAsia"/>
          <w:sz w:val="24"/>
        </w:rPr>
        <w:t>附件8</w:t>
      </w:r>
      <w:r>
        <w:rPr>
          <w:sz w:val="24"/>
        </w:rPr>
        <w:t xml:space="preserve">  </w:t>
      </w:r>
      <w:r>
        <w:rPr>
          <w:rFonts w:hint="eastAsia"/>
          <w:sz w:val="24"/>
        </w:rPr>
        <w:t>昆明市生态环境局责令改正违法行为决定书</w:t>
      </w:r>
    </w:p>
    <w:p>
      <w:pPr>
        <w:spacing w:line="500" w:lineRule="exact"/>
        <w:jc w:val="left"/>
        <w:rPr>
          <w:b/>
          <w:sz w:val="24"/>
        </w:rPr>
      </w:pPr>
      <w:r>
        <w:rPr>
          <w:b/>
          <w:sz w:val="24"/>
        </w:rPr>
        <w:t>附图</w:t>
      </w:r>
    </w:p>
    <w:p>
      <w:pPr>
        <w:jc w:val="left"/>
        <w:outlineLvl w:val="0"/>
        <w:rPr>
          <w:color w:val="000000" w:themeColor="text1"/>
          <w:sz w:val="24"/>
          <w14:textFill>
            <w14:solidFill>
              <w14:schemeClr w14:val="tx1"/>
            </w14:solidFill>
          </w14:textFill>
        </w:rPr>
      </w:pPr>
      <w:bookmarkStart w:id="17" w:name="_Toc17095"/>
      <w:r>
        <w:rPr>
          <w:color w:val="000000" w:themeColor="text1"/>
          <w:sz w:val="24"/>
          <w14:textFill>
            <w14:solidFill>
              <w14:schemeClr w14:val="tx1"/>
            </w14:solidFill>
          </w14:textFill>
        </w:rPr>
        <w:t>附图1  项目地理位置图</w:t>
      </w:r>
      <w:bookmarkEnd w:id="17"/>
    </w:p>
    <w:p>
      <w:pPr>
        <w:jc w:val="left"/>
        <w:outlineLvl w:val="0"/>
        <w:rPr>
          <w:color w:val="000000" w:themeColor="text1"/>
          <w:sz w:val="24"/>
          <w14:textFill>
            <w14:solidFill>
              <w14:schemeClr w14:val="tx1"/>
            </w14:solidFill>
          </w14:textFill>
        </w:rPr>
      </w:pPr>
      <w:bookmarkStart w:id="18" w:name="_Toc30685"/>
      <w:r>
        <w:rPr>
          <w:color w:val="000000" w:themeColor="text1"/>
          <w:sz w:val="24"/>
          <w14:textFill>
            <w14:solidFill>
              <w14:schemeClr w14:val="tx1"/>
            </w14:solidFill>
          </w14:textFill>
        </w:rPr>
        <w:t>附图2  项目区水系图</w:t>
      </w:r>
      <w:bookmarkEnd w:id="18"/>
    </w:p>
    <w:p>
      <w:pPr>
        <w:jc w:val="left"/>
        <w:outlineLvl w:val="0"/>
        <w:rPr>
          <w:color w:val="000000" w:themeColor="text1"/>
          <w:sz w:val="24"/>
          <w14:textFill>
            <w14:solidFill>
              <w14:schemeClr w14:val="tx1"/>
            </w14:solidFill>
          </w14:textFill>
        </w:rPr>
      </w:pPr>
      <w:bookmarkStart w:id="19" w:name="_Toc15995"/>
      <w:r>
        <w:rPr>
          <w:color w:val="000000" w:themeColor="text1"/>
          <w:sz w:val="24"/>
          <w14:textFill>
            <w14:solidFill>
              <w14:schemeClr w14:val="tx1"/>
            </w14:solidFill>
          </w14:textFill>
        </w:rPr>
        <w:t>附图3  项目总平面布置图</w:t>
      </w:r>
      <w:bookmarkEnd w:id="19"/>
    </w:p>
    <w:p>
      <w:pPr>
        <w:jc w:val="left"/>
        <w:outlineLvl w:val="0"/>
        <w:rPr>
          <w:color w:val="000000" w:themeColor="text1"/>
          <w:sz w:val="24"/>
          <w14:textFill>
            <w14:solidFill>
              <w14:schemeClr w14:val="tx1"/>
            </w14:solidFill>
          </w14:textFill>
        </w:rPr>
      </w:pPr>
      <w:bookmarkStart w:id="20" w:name="_Toc1203"/>
      <w:r>
        <w:rPr>
          <w:color w:val="000000" w:themeColor="text1"/>
          <w:sz w:val="24"/>
          <w14:textFill>
            <w14:solidFill>
              <w14:schemeClr w14:val="tx1"/>
            </w14:solidFill>
          </w14:textFill>
        </w:rPr>
        <w:t xml:space="preserve">附图4  </w:t>
      </w:r>
      <w:r>
        <w:rPr>
          <w:rFonts w:hint="eastAsia"/>
          <w:color w:val="000000" w:themeColor="text1"/>
          <w:sz w:val="24"/>
          <w14:textFill>
            <w14:solidFill>
              <w14:schemeClr w14:val="tx1"/>
            </w14:solidFill>
          </w14:textFill>
        </w:rPr>
        <w:t>项目</w:t>
      </w:r>
      <w:r>
        <w:rPr>
          <w:color w:val="000000" w:themeColor="text1"/>
          <w:sz w:val="24"/>
          <w14:textFill>
            <w14:solidFill>
              <w14:schemeClr w14:val="tx1"/>
            </w14:solidFill>
          </w14:textFill>
        </w:rPr>
        <w:t>周边关系图</w:t>
      </w:r>
      <w:bookmarkEnd w:id="20"/>
    </w:p>
    <w:p>
      <w:pPr>
        <w:jc w:val="left"/>
        <w:outlineLvl w:val="0"/>
        <w:rPr>
          <w:color w:val="000000" w:themeColor="text1"/>
          <w:sz w:val="24"/>
          <w14:textFill>
            <w14:solidFill>
              <w14:schemeClr w14:val="tx1"/>
            </w14:solidFill>
          </w14:textFill>
        </w:rPr>
      </w:pPr>
      <w:bookmarkStart w:id="21" w:name="_Toc16579"/>
      <w:r>
        <w:rPr>
          <w:color w:val="000000" w:themeColor="text1"/>
          <w:sz w:val="24"/>
          <w14:textFill>
            <w14:solidFill>
              <w14:schemeClr w14:val="tx1"/>
            </w14:solidFill>
          </w14:textFill>
        </w:rPr>
        <w:t>附图5  监测点位示意图</w:t>
      </w:r>
      <w:bookmarkEnd w:id="21"/>
    </w:p>
    <w:p>
      <w:pPr>
        <w:jc w:val="left"/>
        <w:outlineLvl w:val="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附图6</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网上公示截图</w:t>
      </w:r>
    </w:p>
    <w:p/>
    <w:p>
      <w:pPr>
        <w:sectPr>
          <w:footerReference r:id="rId3" w:type="default"/>
          <w:pgSz w:w="11906" w:h="16838"/>
          <w:pgMar w:top="1440" w:right="1800" w:bottom="1440" w:left="1800" w:header="851" w:footer="992" w:gutter="0"/>
          <w:pgNumType w:start="1"/>
          <w:cols w:space="425" w:num="1"/>
          <w:docGrid w:type="lines" w:linePitch="312" w:charSpace="0"/>
        </w:sectPr>
      </w:pPr>
    </w:p>
    <w:p>
      <w:pPr>
        <w:numPr>
          <w:ilvl w:val="0"/>
          <w:numId w:val="16"/>
        </w:numPr>
        <w:jc w:val="center"/>
        <w:outlineLvl w:val="0"/>
        <w:rPr>
          <w:b/>
          <w:bCs/>
          <w:sz w:val="30"/>
          <w:szCs w:val="30"/>
        </w:rPr>
      </w:pPr>
      <w:bookmarkStart w:id="22" w:name="_Toc2459"/>
      <w:bookmarkStart w:id="23" w:name="_Toc112774075"/>
      <w:r>
        <w:rPr>
          <w:rFonts w:hint="eastAsia"/>
          <w:b/>
          <w:bCs/>
          <w:sz w:val="30"/>
          <w:szCs w:val="30"/>
        </w:rPr>
        <w:t>建设项目基本情况</w:t>
      </w:r>
      <w:bookmarkEnd w:id="22"/>
      <w:bookmarkEnd w:id="23"/>
    </w:p>
    <w:tbl>
      <w:tblPr>
        <w:tblStyle w:val="8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25"/>
        <w:gridCol w:w="979"/>
        <w:gridCol w:w="2754"/>
        <w:gridCol w:w="984"/>
        <w:gridCol w:w="27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4" w:type="dxa"/>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建设项目名称</w:t>
            </w:r>
          </w:p>
        </w:tc>
        <w:tc>
          <w:tcPr>
            <w:tcW w:w="6528" w:type="dxa"/>
            <w:gridSpan w:val="3"/>
            <w:vAlign w:val="center"/>
          </w:tcPr>
          <w:p>
            <w:pPr>
              <w:adjustRightInd w:val="0"/>
              <w:snapToGrid w:val="0"/>
              <w:jc w:val="center"/>
              <w:rPr>
                <w:color w:val="000000"/>
                <w:sz w:val="24"/>
                <w:szCs w:val="21"/>
              </w:rPr>
            </w:pPr>
            <w:r>
              <w:rPr>
                <w:rFonts w:hint="eastAsia"/>
                <w:color w:val="000000"/>
                <w:sz w:val="24"/>
                <w:szCs w:val="21"/>
              </w:rPr>
              <w:t>中铁十八局集团第二工程有限公司云南省东川港一期建设自用混凝土搅拌站项目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4" w:type="dxa"/>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项目代码</w:t>
            </w:r>
          </w:p>
        </w:tc>
        <w:tc>
          <w:tcPr>
            <w:tcW w:w="6528" w:type="dxa"/>
            <w:gridSpan w:val="3"/>
            <w:vAlign w:val="center"/>
          </w:tcPr>
          <w:p>
            <w:pPr>
              <w:adjustRightInd w:val="0"/>
              <w:snapToGrid w:val="0"/>
              <w:jc w:val="center"/>
              <w:rPr>
                <w:color w:val="000000"/>
                <w:sz w:val="24"/>
                <w:szCs w:val="21"/>
              </w:rPr>
            </w:pPr>
            <w:r>
              <w:rPr>
                <w:color w:val="000000"/>
                <w:sz w:val="24"/>
                <w:szCs w:val="21"/>
              </w:rPr>
              <w:t>2303</w:t>
            </w:r>
            <w:r>
              <w:rPr>
                <w:rFonts w:hint="eastAsia"/>
                <w:color w:val="000000"/>
                <w:sz w:val="24"/>
                <w:szCs w:val="21"/>
              </w:rPr>
              <w:t>-</w:t>
            </w:r>
            <w:r>
              <w:rPr>
                <w:color w:val="000000"/>
                <w:sz w:val="24"/>
                <w:szCs w:val="21"/>
              </w:rPr>
              <w:t>530113</w:t>
            </w:r>
            <w:r>
              <w:rPr>
                <w:rFonts w:hint="eastAsia"/>
                <w:color w:val="000000"/>
                <w:sz w:val="24"/>
                <w:szCs w:val="21"/>
              </w:rPr>
              <w:t>-</w:t>
            </w:r>
            <w:r>
              <w:rPr>
                <w:color w:val="000000"/>
                <w:sz w:val="24"/>
                <w:szCs w:val="21"/>
              </w:rPr>
              <w:t>04</w:t>
            </w:r>
            <w:r>
              <w:rPr>
                <w:rFonts w:hint="eastAsia"/>
                <w:color w:val="000000"/>
                <w:sz w:val="24"/>
                <w:szCs w:val="21"/>
              </w:rPr>
              <w:t>-</w:t>
            </w:r>
            <w:r>
              <w:rPr>
                <w:color w:val="000000"/>
                <w:sz w:val="24"/>
                <w:szCs w:val="21"/>
              </w:rPr>
              <w:t>01</w:t>
            </w:r>
            <w:r>
              <w:rPr>
                <w:rFonts w:hint="eastAsia"/>
                <w:color w:val="000000"/>
                <w:sz w:val="24"/>
                <w:szCs w:val="21"/>
              </w:rPr>
              <w:t>-</w:t>
            </w:r>
            <w:r>
              <w:rPr>
                <w:color w:val="000000"/>
                <w:sz w:val="24"/>
                <w:szCs w:val="21"/>
              </w:rPr>
              <w:t>186001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4" w:type="dxa"/>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建设单位联系人</w:t>
            </w:r>
          </w:p>
        </w:tc>
        <w:tc>
          <w:tcPr>
            <w:tcW w:w="2754" w:type="dxa"/>
            <w:vAlign w:val="center"/>
          </w:tcPr>
          <w:p>
            <w:pPr>
              <w:adjustRightInd w:val="0"/>
              <w:snapToGrid w:val="0"/>
              <w:jc w:val="center"/>
              <w:rPr>
                <w:rFonts w:hint="eastAsia" w:eastAsia="宋体"/>
                <w:color w:val="000000"/>
                <w:sz w:val="24"/>
                <w:szCs w:val="21"/>
                <w:lang w:val="en-US" w:eastAsia="zh-CN"/>
              </w:rPr>
            </w:pPr>
            <w:r>
              <w:rPr>
                <w:rFonts w:hint="eastAsia"/>
                <w:color w:val="000000"/>
                <w:sz w:val="24"/>
                <w:szCs w:val="21"/>
              </w:rPr>
              <w:t>杨</w:t>
            </w:r>
            <w:r>
              <w:rPr>
                <w:rFonts w:hint="eastAsia"/>
                <w:color w:val="000000"/>
                <w:sz w:val="24"/>
                <w:szCs w:val="21"/>
                <w:lang w:val="en-US" w:eastAsia="zh-CN"/>
              </w:rPr>
              <w:t>*</w:t>
            </w:r>
          </w:p>
        </w:tc>
        <w:tc>
          <w:tcPr>
            <w:tcW w:w="984" w:type="dxa"/>
            <w:vAlign w:val="center"/>
          </w:tcPr>
          <w:p>
            <w:pPr>
              <w:adjustRightInd w:val="0"/>
              <w:snapToGrid w:val="0"/>
              <w:jc w:val="center"/>
              <w:rPr>
                <w:color w:val="000000"/>
                <w:sz w:val="24"/>
                <w:szCs w:val="21"/>
              </w:rPr>
            </w:pPr>
            <w:r>
              <w:rPr>
                <w:color w:val="000000"/>
                <w:sz w:val="24"/>
                <w:szCs w:val="21"/>
              </w:rPr>
              <w:t>联系方式</w:t>
            </w:r>
          </w:p>
        </w:tc>
        <w:tc>
          <w:tcPr>
            <w:tcW w:w="2790" w:type="dxa"/>
            <w:vAlign w:val="center"/>
          </w:tcPr>
          <w:p>
            <w:pPr>
              <w:adjustRightInd w:val="0"/>
              <w:snapToGrid w:val="0"/>
              <w:jc w:val="center"/>
              <w:rPr>
                <w:rFonts w:hint="default" w:eastAsia="宋体"/>
                <w:color w:val="000000"/>
                <w:sz w:val="24"/>
                <w:szCs w:val="21"/>
                <w:lang w:val="en-US" w:eastAsia="zh-CN"/>
              </w:rPr>
            </w:pPr>
            <w:r>
              <w:rPr>
                <w:color w:val="000000"/>
                <w:sz w:val="24"/>
                <w:szCs w:val="21"/>
              </w:rPr>
              <w:t>151</w:t>
            </w:r>
            <w:r>
              <w:rPr>
                <w:rFonts w:hint="eastAsia"/>
                <w:color w:val="000000"/>
                <w:sz w:val="24"/>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4" w:type="dxa"/>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建设地点</w:t>
            </w:r>
          </w:p>
        </w:tc>
        <w:tc>
          <w:tcPr>
            <w:tcW w:w="6528" w:type="dxa"/>
            <w:gridSpan w:val="3"/>
            <w:vAlign w:val="center"/>
          </w:tcPr>
          <w:p>
            <w:pPr>
              <w:adjustRightInd w:val="0"/>
              <w:snapToGrid w:val="0"/>
              <w:jc w:val="center"/>
              <w:rPr>
                <w:color w:val="000000"/>
                <w:sz w:val="24"/>
                <w:szCs w:val="21"/>
              </w:rPr>
            </w:pPr>
            <w:bookmarkStart w:id="24" w:name="OLE_LINK1"/>
            <w:bookmarkStart w:id="25" w:name="OLE_LINK2"/>
            <w:r>
              <w:rPr>
                <w:rFonts w:hint="eastAsia"/>
                <w:color w:val="000000"/>
                <w:sz w:val="24"/>
                <w:szCs w:val="21"/>
              </w:rPr>
              <w:t>云南</w:t>
            </w:r>
            <w:r>
              <w:rPr>
                <w:color w:val="000000"/>
                <w:sz w:val="24"/>
                <w:szCs w:val="21"/>
              </w:rPr>
              <w:t>省</w:t>
            </w:r>
            <w:r>
              <w:rPr>
                <w:rFonts w:hint="eastAsia"/>
                <w:color w:val="000000"/>
                <w:sz w:val="24"/>
                <w:szCs w:val="21"/>
              </w:rPr>
              <w:t>昆明市东川区拖布卡镇格勒村</w:t>
            </w:r>
            <w:bookmarkEnd w:id="24"/>
            <w:bookmarkEnd w:id="25"/>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4" w:type="dxa"/>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地理坐标</w:t>
            </w:r>
          </w:p>
        </w:tc>
        <w:tc>
          <w:tcPr>
            <w:tcW w:w="6528" w:type="dxa"/>
            <w:gridSpan w:val="3"/>
            <w:vAlign w:val="center"/>
          </w:tcPr>
          <w:p>
            <w:pPr>
              <w:jc w:val="center"/>
              <w:rPr>
                <w:color w:val="000000"/>
                <w:sz w:val="24"/>
                <w:szCs w:val="21"/>
              </w:rPr>
            </w:pPr>
            <w:r>
              <w:rPr>
                <w:color w:val="000000"/>
                <w:sz w:val="24"/>
                <w:szCs w:val="21"/>
              </w:rPr>
              <w:t>（</w:t>
            </w:r>
            <w:r>
              <w:rPr>
                <w:rFonts w:hint="eastAsia"/>
                <w:color w:val="000000"/>
                <w:sz w:val="24"/>
                <w:szCs w:val="21"/>
              </w:rPr>
              <w:t>1</w:t>
            </w:r>
            <w:r>
              <w:rPr>
                <w:color w:val="000000"/>
                <w:sz w:val="24"/>
                <w:szCs w:val="21"/>
              </w:rPr>
              <w:t>03度3分54.53640秒，26度28分17.11920秒）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4" w:type="dxa"/>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国民经济行业类别</w:t>
            </w:r>
          </w:p>
        </w:tc>
        <w:tc>
          <w:tcPr>
            <w:tcW w:w="2754" w:type="dxa"/>
            <w:vAlign w:val="center"/>
          </w:tcPr>
          <w:p>
            <w:pPr>
              <w:adjustRightInd w:val="0"/>
              <w:snapToGrid w:val="0"/>
              <w:jc w:val="center"/>
              <w:rPr>
                <w:color w:val="000000"/>
                <w:sz w:val="24"/>
                <w:szCs w:val="21"/>
              </w:rPr>
            </w:pPr>
            <w:r>
              <w:rPr>
                <w:rFonts w:hint="eastAsia"/>
                <w:color w:val="000000"/>
                <w:sz w:val="24"/>
                <w:szCs w:val="21"/>
              </w:rPr>
              <w:t>其他水泥类似制品制造（C3029）</w:t>
            </w:r>
          </w:p>
        </w:tc>
        <w:tc>
          <w:tcPr>
            <w:tcW w:w="984" w:type="dxa"/>
            <w:vAlign w:val="center"/>
          </w:tcPr>
          <w:p>
            <w:pPr>
              <w:adjustRightInd w:val="0"/>
              <w:snapToGrid w:val="0"/>
              <w:jc w:val="center"/>
              <w:rPr>
                <w:color w:val="000000"/>
                <w:sz w:val="24"/>
                <w:szCs w:val="21"/>
              </w:rPr>
            </w:pPr>
            <w:bookmarkStart w:id="26" w:name="_Hlk49843745"/>
            <w:r>
              <w:rPr>
                <w:color w:val="000000"/>
                <w:sz w:val="24"/>
                <w:szCs w:val="21"/>
              </w:rPr>
              <w:t>建设项目行业类别</w:t>
            </w:r>
            <w:bookmarkEnd w:id="26"/>
          </w:p>
        </w:tc>
        <w:tc>
          <w:tcPr>
            <w:tcW w:w="2790" w:type="dxa"/>
            <w:vAlign w:val="center"/>
          </w:tcPr>
          <w:p>
            <w:pPr>
              <w:adjustRightInd w:val="0"/>
              <w:snapToGrid w:val="0"/>
              <w:rPr>
                <w:color w:val="000000"/>
                <w:sz w:val="24"/>
                <w:szCs w:val="21"/>
              </w:rPr>
            </w:pPr>
            <w:r>
              <w:rPr>
                <w:rFonts w:hint="eastAsia"/>
                <w:color w:val="000000"/>
                <w:sz w:val="24"/>
                <w:szCs w:val="21"/>
              </w:rPr>
              <w:t>二十七、“非金属矿物制品业”中55“石膏、水泥制品及类似制品制造”中“水泥制品制造”。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4" w:type="dxa"/>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建设性质</w:t>
            </w:r>
          </w:p>
        </w:tc>
        <w:tc>
          <w:tcPr>
            <w:tcW w:w="2754" w:type="dxa"/>
            <w:vAlign w:val="center"/>
          </w:tcPr>
          <w:p>
            <w:pPr>
              <w:snapToGrid w:val="0"/>
              <w:jc w:val="left"/>
              <w:rPr>
                <w:color w:val="000000"/>
                <w:sz w:val="24"/>
                <w:szCs w:val="21"/>
              </w:rPr>
            </w:pPr>
            <w:r>
              <w:rPr>
                <w:rFonts w:hint="eastAsia"/>
                <w:color w:val="000000"/>
                <w:sz w:val="24"/>
                <w:szCs w:val="21"/>
              </w:rPr>
              <w:sym w:font="Wingdings 2" w:char="0052"/>
            </w:r>
            <w:r>
              <w:rPr>
                <w:color w:val="000000"/>
                <w:sz w:val="24"/>
                <w:szCs w:val="21"/>
              </w:rPr>
              <w:t>新建（迁建）</w:t>
            </w:r>
          </w:p>
          <w:p>
            <w:pPr>
              <w:snapToGrid w:val="0"/>
              <w:jc w:val="left"/>
              <w:rPr>
                <w:color w:val="000000"/>
                <w:sz w:val="24"/>
                <w:szCs w:val="21"/>
              </w:rPr>
            </w:pPr>
            <w:r>
              <w:rPr>
                <w:color w:val="000000"/>
                <w:sz w:val="24"/>
                <w:szCs w:val="21"/>
              </w:rPr>
              <w:sym w:font="Wingdings 2" w:char="00A3"/>
            </w:r>
            <w:r>
              <w:rPr>
                <w:color w:val="000000"/>
                <w:sz w:val="24"/>
                <w:szCs w:val="21"/>
              </w:rPr>
              <w:t>改建</w:t>
            </w:r>
          </w:p>
          <w:p>
            <w:pPr>
              <w:snapToGrid w:val="0"/>
              <w:jc w:val="left"/>
              <w:rPr>
                <w:color w:val="000000"/>
                <w:sz w:val="24"/>
                <w:szCs w:val="21"/>
              </w:rPr>
            </w:pPr>
            <w:r>
              <w:rPr>
                <w:color w:val="000000"/>
                <w:sz w:val="24"/>
                <w:szCs w:val="21"/>
              </w:rPr>
              <w:sym w:font="Wingdings 2" w:char="00A3"/>
            </w:r>
            <w:r>
              <w:rPr>
                <w:color w:val="000000"/>
                <w:sz w:val="24"/>
                <w:szCs w:val="21"/>
              </w:rPr>
              <w:t>扩建</w:t>
            </w:r>
          </w:p>
          <w:p>
            <w:pPr>
              <w:snapToGrid w:val="0"/>
              <w:jc w:val="left"/>
              <w:rPr>
                <w:color w:val="000000"/>
                <w:sz w:val="24"/>
                <w:szCs w:val="21"/>
              </w:rPr>
            </w:pPr>
            <w:r>
              <w:rPr>
                <w:color w:val="000000"/>
                <w:sz w:val="24"/>
                <w:szCs w:val="21"/>
              </w:rPr>
              <w:sym w:font="Wingdings 2" w:char="00A3"/>
            </w:r>
            <w:r>
              <w:rPr>
                <w:color w:val="000000"/>
                <w:sz w:val="24"/>
                <w:szCs w:val="21"/>
              </w:rPr>
              <w:t>技术改造</w:t>
            </w:r>
          </w:p>
        </w:tc>
        <w:tc>
          <w:tcPr>
            <w:tcW w:w="984" w:type="dxa"/>
            <w:vAlign w:val="center"/>
          </w:tcPr>
          <w:p>
            <w:pPr>
              <w:adjustRightInd w:val="0"/>
              <w:snapToGrid w:val="0"/>
              <w:jc w:val="center"/>
              <w:rPr>
                <w:color w:val="000000"/>
                <w:sz w:val="24"/>
                <w:szCs w:val="21"/>
              </w:rPr>
            </w:pPr>
            <w:r>
              <w:rPr>
                <w:color w:val="000000"/>
                <w:sz w:val="24"/>
                <w:szCs w:val="21"/>
              </w:rPr>
              <w:t>建设项目</w:t>
            </w:r>
          </w:p>
          <w:p>
            <w:pPr>
              <w:adjustRightInd w:val="0"/>
              <w:snapToGrid w:val="0"/>
              <w:jc w:val="center"/>
              <w:rPr>
                <w:color w:val="000000"/>
                <w:sz w:val="24"/>
                <w:szCs w:val="21"/>
              </w:rPr>
            </w:pPr>
            <w:r>
              <w:rPr>
                <w:color w:val="000000"/>
                <w:sz w:val="24"/>
                <w:szCs w:val="21"/>
              </w:rPr>
              <w:t>申报情形</w:t>
            </w:r>
          </w:p>
        </w:tc>
        <w:tc>
          <w:tcPr>
            <w:tcW w:w="2790" w:type="dxa"/>
            <w:vAlign w:val="center"/>
          </w:tcPr>
          <w:p>
            <w:pPr>
              <w:snapToGrid w:val="0"/>
              <w:jc w:val="left"/>
              <w:rPr>
                <w:color w:val="000000"/>
                <w:sz w:val="24"/>
                <w:szCs w:val="21"/>
              </w:rPr>
            </w:pPr>
            <w:r>
              <w:rPr>
                <w:rFonts w:hint="eastAsia"/>
                <w:color w:val="000000"/>
                <w:sz w:val="24"/>
                <w:szCs w:val="21"/>
              </w:rPr>
              <w:sym w:font="Wingdings 2" w:char="0052"/>
            </w:r>
            <w:r>
              <w:rPr>
                <w:color w:val="000000"/>
                <w:sz w:val="24"/>
                <w:szCs w:val="21"/>
              </w:rPr>
              <w:t>首次申报项目</w:t>
            </w:r>
          </w:p>
          <w:p>
            <w:pPr>
              <w:snapToGrid w:val="0"/>
              <w:jc w:val="left"/>
              <w:rPr>
                <w:color w:val="000000"/>
                <w:sz w:val="24"/>
                <w:szCs w:val="21"/>
              </w:rPr>
            </w:pPr>
            <w:r>
              <w:rPr>
                <w:color w:val="000000"/>
                <w:sz w:val="24"/>
                <w:szCs w:val="21"/>
              </w:rPr>
              <w:sym w:font="Wingdings 2" w:char="00A3"/>
            </w:r>
            <w:r>
              <w:rPr>
                <w:color w:val="000000"/>
                <w:sz w:val="24"/>
                <w:szCs w:val="21"/>
              </w:rPr>
              <w:t>不予批准后再次申报项目</w:t>
            </w:r>
          </w:p>
          <w:p>
            <w:pPr>
              <w:snapToGrid w:val="0"/>
              <w:jc w:val="left"/>
              <w:rPr>
                <w:color w:val="000000"/>
                <w:sz w:val="24"/>
                <w:szCs w:val="21"/>
              </w:rPr>
            </w:pPr>
            <w:r>
              <w:rPr>
                <w:color w:val="000000"/>
                <w:sz w:val="24"/>
                <w:szCs w:val="21"/>
              </w:rPr>
              <w:sym w:font="Wingdings 2" w:char="00A3"/>
            </w:r>
            <w:r>
              <w:rPr>
                <w:color w:val="000000"/>
                <w:sz w:val="24"/>
                <w:szCs w:val="21"/>
              </w:rPr>
              <w:t>超五年重新审核项目</w:t>
            </w:r>
          </w:p>
          <w:p>
            <w:pPr>
              <w:snapToGrid w:val="0"/>
              <w:jc w:val="left"/>
              <w:rPr>
                <w:color w:val="000000"/>
                <w:sz w:val="24"/>
                <w:szCs w:val="21"/>
              </w:rPr>
            </w:pPr>
            <w:r>
              <w:rPr>
                <w:color w:val="000000"/>
                <w:sz w:val="24"/>
                <w:szCs w:val="21"/>
              </w:rPr>
              <w:sym w:font="Wingdings 2" w:char="00A3"/>
            </w:r>
            <w:r>
              <w:rPr>
                <w:color w:val="000000"/>
                <w:sz w:val="24"/>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4" w:type="dxa"/>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项目审批（核准/备案）部门（选填）</w:t>
            </w:r>
          </w:p>
        </w:tc>
        <w:tc>
          <w:tcPr>
            <w:tcW w:w="2754" w:type="dxa"/>
            <w:vAlign w:val="center"/>
          </w:tcPr>
          <w:p>
            <w:pPr>
              <w:adjustRightInd w:val="0"/>
              <w:snapToGrid w:val="0"/>
              <w:jc w:val="center"/>
              <w:rPr>
                <w:color w:val="000000"/>
                <w:sz w:val="24"/>
                <w:szCs w:val="21"/>
              </w:rPr>
            </w:pPr>
            <w:r>
              <w:rPr>
                <w:rFonts w:hint="eastAsia"/>
                <w:color w:val="000000"/>
                <w:sz w:val="24"/>
                <w:szCs w:val="21"/>
              </w:rPr>
              <w:t>东川区发展和改革局</w:t>
            </w:r>
          </w:p>
        </w:tc>
        <w:tc>
          <w:tcPr>
            <w:tcW w:w="984" w:type="dxa"/>
            <w:vAlign w:val="center"/>
          </w:tcPr>
          <w:p>
            <w:pPr>
              <w:adjustRightInd w:val="0"/>
              <w:snapToGrid w:val="0"/>
              <w:jc w:val="center"/>
              <w:rPr>
                <w:color w:val="000000"/>
                <w:sz w:val="24"/>
                <w:szCs w:val="21"/>
              </w:rPr>
            </w:pPr>
            <w:r>
              <w:rPr>
                <w:color w:val="000000"/>
                <w:sz w:val="24"/>
                <w:szCs w:val="21"/>
              </w:rPr>
              <w:t>项目审批（核准/备案）文号（选填）</w:t>
            </w:r>
          </w:p>
        </w:tc>
        <w:tc>
          <w:tcPr>
            <w:tcW w:w="2790" w:type="dxa"/>
            <w:vAlign w:val="center"/>
          </w:tcPr>
          <w:p>
            <w:pPr>
              <w:adjustRightInd w:val="0"/>
              <w:snapToGrid w:val="0"/>
              <w:jc w:val="center"/>
              <w:rPr>
                <w:color w:val="000000"/>
                <w:sz w:val="24"/>
                <w:szCs w:val="21"/>
              </w:rPr>
            </w:pPr>
            <w:r>
              <w:rPr>
                <w:color w:val="000000"/>
                <w:sz w:val="24"/>
                <w:szCs w:val="21"/>
              </w:rPr>
              <w:t>2303-530113-04-01-186001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4" w:type="dxa"/>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总投资（万元）</w:t>
            </w:r>
          </w:p>
        </w:tc>
        <w:tc>
          <w:tcPr>
            <w:tcW w:w="2754" w:type="dxa"/>
            <w:vAlign w:val="center"/>
          </w:tcPr>
          <w:p>
            <w:pPr>
              <w:adjustRightInd w:val="0"/>
              <w:snapToGrid w:val="0"/>
              <w:jc w:val="center"/>
              <w:rPr>
                <w:color w:val="000000"/>
                <w:sz w:val="24"/>
                <w:szCs w:val="21"/>
              </w:rPr>
            </w:pPr>
            <w:r>
              <w:rPr>
                <w:rFonts w:hint="eastAsia"/>
                <w:color w:val="000000"/>
                <w:sz w:val="24"/>
                <w:szCs w:val="21"/>
              </w:rPr>
              <w:t>1</w:t>
            </w:r>
            <w:r>
              <w:rPr>
                <w:color w:val="000000"/>
                <w:sz w:val="24"/>
                <w:szCs w:val="21"/>
              </w:rPr>
              <w:t>89.55</w:t>
            </w:r>
          </w:p>
        </w:tc>
        <w:tc>
          <w:tcPr>
            <w:tcW w:w="984" w:type="dxa"/>
            <w:tcMar>
              <w:top w:w="16" w:type="dxa"/>
              <w:left w:w="16" w:type="dxa"/>
              <w:right w:w="16" w:type="dxa"/>
            </w:tcMar>
            <w:vAlign w:val="center"/>
          </w:tcPr>
          <w:p>
            <w:pPr>
              <w:adjustRightInd w:val="0"/>
              <w:snapToGrid w:val="0"/>
              <w:jc w:val="center"/>
              <w:rPr>
                <w:color w:val="000000"/>
                <w:sz w:val="24"/>
                <w:szCs w:val="21"/>
              </w:rPr>
            </w:pPr>
            <w:r>
              <w:rPr>
                <w:color w:val="000000"/>
                <w:sz w:val="24"/>
                <w:szCs w:val="21"/>
              </w:rPr>
              <w:t>环保投资（万元）</w:t>
            </w:r>
          </w:p>
        </w:tc>
        <w:tc>
          <w:tcPr>
            <w:tcW w:w="2790" w:type="dxa"/>
            <w:vAlign w:val="center"/>
          </w:tcPr>
          <w:p>
            <w:pPr>
              <w:adjustRightInd w:val="0"/>
              <w:snapToGrid w:val="0"/>
              <w:jc w:val="center"/>
              <w:rPr>
                <w:color w:val="000000"/>
                <w:sz w:val="24"/>
                <w:szCs w:val="21"/>
              </w:rPr>
            </w:pPr>
            <w:r>
              <w:rPr>
                <w:color w:val="000000"/>
                <w:sz w:val="24"/>
                <w:szCs w:val="21"/>
              </w:rPr>
              <w:t>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4" w:type="dxa"/>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环保投资占比（%）</w:t>
            </w:r>
          </w:p>
        </w:tc>
        <w:tc>
          <w:tcPr>
            <w:tcW w:w="2754" w:type="dxa"/>
            <w:vAlign w:val="center"/>
          </w:tcPr>
          <w:p>
            <w:pPr>
              <w:adjustRightInd w:val="0"/>
              <w:snapToGrid w:val="0"/>
              <w:jc w:val="center"/>
              <w:rPr>
                <w:color w:val="000000"/>
                <w:sz w:val="24"/>
                <w:szCs w:val="21"/>
              </w:rPr>
            </w:pPr>
            <w:r>
              <w:rPr>
                <w:rFonts w:hint="eastAsia"/>
                <w:color w:val="000000"/>
                <w:sz w:val="24"/>
                <w:szCs w:val="21"/>
              </w:rPr>
              <w:t>1</w:t>
            </w:r>
            <w:r>
              <w:rPr>
                <w:color w:val="000000"/>
                <w:sz w:val="24"/>
                <w:szCs w:val="21"/>
              </w:rPr>
              <w:t>1.08</w:t>
            </w:r>
          </w:p>
        </w:tc>
        <w:tc>
          <w:tcPr>
            <w:tcW w:w="984" w:type="dxa"/>
            <w:tcMar>
              <w:top w:w="16" w:type="dxa"/>
              <w:left w:w="16" w:type="dxa"/>
              <w:right w:w="16" w:type="dxa"/>
            </w:tcMar>
            <w:vAlign w:val="center"/>
          </w:tcPr>
          <w:p>
            <w:pPr>
              <w:adjustRightInd w:val="0"/>
              <w:snapToGrid w:val="0"/>
              <w:jc w:val="center"/>
              <w:rPr>
                <w:color w:val="000000"/>
                <w:sz w:val="24"/>
                <w:szCs w:val="21"/>
              </w:rPr>
            </w:pPr>
            <w:r>
              <w:rPr>
                <w:color w:val="000000"/>
                <w:sz w:val="24"/>
                <w:szCs w:val="21"/>
              </w:rPr>
              <w:t>施工工期</w:t>
            </w:r>
          </w:p>
        </w:tc>
        <w:tc>
          <w:tcPr>
            <w:tcW w:w="2790" w:type="dxa"/>
            <w:vAlign w:val="center"/>
          </w:tcPr>
          <w:p>
            <w:pPr>
              <w:adjustRightInd w:val="0"/>
              <w:snapToGrid w:val="0"/>
              <w:jc w:val="center"/>
              <w:rPr>
                <w:color w:val="000000"/>
                <w:sz w:val="24"/>
                <w:szCs w:val="21"/>
              </w:rPr>
            </w:pPr>
            <w:r>
              <w:rPr>
                <w:rFonts w:hint="eastAsia"/>
                <w:color w:val="000000"/>
                <w:sz w:val="24"/>
                <w:szCs w:val="21"/>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804" w:type="dxa"/>
            <w:gridSpan w:val="2"/>
            <w:tcMar>
              <w:top w:w="16" w:type="dxa"/>
              <w:left w:w="16" w:type="dxa"/>
              <w:right w:w="16" w:type="dxa"/>
            </w:tcMar>
            <w:vAlign w:val="center"/>
          </w:tcPr>
          <w:p>
            <w:pPr>
              <w:adjustRightInd w:val="0"/>
              <w:snapToGrid w:val="0"/>
              <w:jc w:val="center"/>
              <w:rPr>
                <w:color w:val="000000"/>
                <w:sz w:val="24"/>
                <w:szCs w:val="21"/>
              </w:rPr>
            </w:pPr>
            <w:r>
              <w:rPr>
                <w:color w:val="000000"/>
                <w:sz w:val="24"/>
                <w:szCs w:val="21"/>
              </w:rPr>
              <w:t>是否开工建设</w:t>
            </w:r>
          </w:p>
        </w:tc>
        <w:tc>
          <w:tcPr>
            <w:tcW w:w="2754" w:type="dxa"/>
            <w:vAlign w:val="center"/>
          </w:tcPr>
          <w:p>
            <w:pPr>
              <w:adjustRightInd w:val="0"/>
              <w:snapToGrid w:val="0"/>
              <w:rPr>
                <w:color w:val="000000"/>
                <w:sz w:val="24"/>
                <w:szCs w:val="21"/>
              </w:rPr>
            </w:pPr>
            <w:r>
              <w:rPr>
                <w:color w:val="000000"/>
                <w:sz w:val="24"/>
                <w:szCs w:val="21"/>
              </w:rPr>
              <w:sym w:font="Wingdings 2" w:char="00A3"/>
            </w:r>
            <w:r>
              <w:rPr>
                <w:color w:val="000000"/>
                <w:sz w:val="24"/>
                <w:szCs w:val="21"/>
              </w:rPr>
              <w:t xml:space="preserve">  否</w:t>
            </w:r>
          </w:p>
          <w:p>
            <w:pPr>
              <w:adjustRightInd w:val="0"/>
              <w:snapToGrid w:val="0"/>
              <w:rPr>
                <w:color w:val="000000"/>
                <w:sz w:val="24"/>
                <w:szCs w:val="21"/>
              </w:rPr>
            </w:pPr>
            <w:r>
              <w:rPr>
                <w:rFonts w:hint="eastAsia"/>
                <w:color w:val="000000"/>
                <w:sz w:val="24"/>
                <w:szCs w:val="21"/>
              </w:rPr>
              <w:sym w:font="Wingdings 2" w:char="0052"/>
            </w:r>
            <w:r>
              <w:rPr>
                <w:color w:val="000000"/>
                <w:sz w:val="24"/>
                <w:szCs w:val="21"/>
              </w:rPr>
              <w:t>是：</w:t>
            </w:r>
            <w:r>
              <w:rPr>
                <w:rFonts w:hint="eastAsia"/>
                <w:color w:val="000000"/>
                <w:sz w:val="24"/>
                <w:szCs w:val="21"/>
              </w:rPr>
              <w:t>项目搅拌站于</w:t>
            </w:r>
            <w:r>
              <w:rPr>
                <w:color w:val="000000"/>
                <w:sz w:val="24"/>
                <w:szCs w:val="21"/>
              </w:rPr>
              <w:t>2021</w:t>
            </w:r>
            <w:r>
              <w:rPr>
                <w:rFonts w:hint="eastAsia"/>
                <w:color w:val="000000"/>
                <w:sz w:val="24"/>
                <w:szCs w:val="21"/>
              </w:rPr>
              <w:t>年4月建成并投产，已受到昆明市生态环境局责令改正，详见附件8。</w:t>
            </w:r>
          </w:p>
        </w:tc>
        <w:tc>
          <w:tcPr>
            <w:tcW w:w="984" w:type="dxa"/>
            <w:tcMar>
              <w:top w:w="16" w:type="dxa"/>
              <w:left w:w="16" w:type="dxa"/>
              <w:right w:w="16" w:type="dxa"/>
            </w:tcMar>
            <w:vAlign w:val="center"/>
          </w:tcPr>
          <w:p>
            <w:pPr>
              <w:adjustRightInd w:val="0"/>
              <w:snapToGrid w:val="0"/>
              <w:jc w:val="center"/>
              <w:rPr>
                <w:color w:val="000000"/>
                <w:sz w:val="24"/>
                <w:szCs w:val="21"/>
              </w:rPr>
            </w:pPr>
            <w:r>
              <w:rPr>
                <w:color w:val="000000"/>
                <w:sz w:val="24"/>
                <w:szCs w:val="21"/>
              </w:rPr>
              <w:t>用地（用海）面积（m</w:t>
            </w:r>
            <w:r>
              <w:rPr>
                <w:color w:val="000000"/>
                <w:sz w:val="24"/>
                <w:szCs w:val="21"/>
                <w:vertAlign w:val="superscript"/>
              </w:rPr>
              <w:t>2</w:t>
            </w:r>
            <w:r>
              <w:rPr>
                <w:color w:val="000000"/>
                <w:sz w:val="24"/>
                <w:szCs w:val="21"/>
              </w:rPr>
              <w:t>）</w:t>
            </w:r>
          </w:p>
        </w:tc>
        <w:tc>
          <w:tcPr>
            <w:tcW w:w="2790" w:type="dxa"/>
            <w:vAlign w:val="center"/>
          </w:tcPr>
          <w:p>
            <w:pPr>
              <w:adjustRightInd w:val="0"/>
              <w:snapToGrid w:val="0"/>
              <w:jc w:val="center"/>
              <w:rPr>
                <w:color w:val="000000"/>
                <w:sz w:val="24"/>
                <w:szCs w:val="21"/>
              </w:rPr>
            </w:pPr>
            <w:r>
              <w:rPr>
                <w:rFonts w:hint="eastAsia"/>
                <w:color w:val="000000"/>
                <w:sz w:val="24"/>
                <w:szCs w:val="21"/>
              </w:rPr>
              <w:t>2</w:t>
            </w:r>
            <w:r>
              <w:rPr>
                <w:color w:val="000000"/>
                <w:sz w:val="24"/>
                <w:szCs w:val="21"/>
              </w:rPr>
              <w:t>8200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4" w:type="dxa"/>
            <w:gridSpan w:val="2"/>
            <w:vAlign w:val="center"/>
          </w:tcPr>
          <w:p>
            <w:pPr>
              <w:adjustRightInd w:val="0"/>
              <w:snapToGrid w:val="0"/>
              <w:jc w:val="center"/>
              <w:rPr>
                <w:color w:val="000000"/>
                <w:sz w:val="24"/>
                <w:szCs w:val="21"/>
              </w:rPr>
            </w:pPr>
            <w:r>
              <w:rPr>
                <w:color w:val="000000"/>
                <w:sz w:val="24"/>
                <w:szCs w:val="21"/>
              </w:rPr>
              <w:t>专项评价设置情况</w:t>
            </w:r>
          </w:p>
        </w:tc>
        <w:tc>
          <w:tcPr>
            <w:tcW w:w="6528" w:type="dxa"/>
            <w:gridSpan w:val="3"/>
            <w:vAlign w:val="center"/>
          </w:tcPr>
          <w:p>
            <w:pPr>
              <w:adjustRightInd w:val="0"/>
              <w:snapToGrid w:val="0"/>
              <w:spacing w:line="360" w:lineRule="auto"/>
              <w:ind w:firstLine="480" w:firstLineChars="200"/>
              <w:rPr>
                <w:color w:val="000000"/>
                <w:sz w:val="24"/>
                <w:szCs w:val="21"/>
              </w:rPr>
            </w:pPr>
            <w:r>
              <w:rPr>
                <w:rFonts w:hint="eastAsia"/>
                <w:color w:val="000000"/>
                <w:sz w:val="24"/>
                <w:szCs w:val="21"/>
              </w:rPr>
              <w:t>项目与专项环评设置原则对照情况见下表。</w:t>
            </w:r>
          </w:p>
          <w:p>
            <w:pPr>
              <w:adjustRightInd w:val="0"/>
              <w:snapToGrid w:val="0"/>
              <w:spacing w:line="360" w:lineRule="auto"/>
              <w:jc w:val="center"/>
              <w:rPr>
                <w:b/>
                <w:bCs/>
                <w:color w:val="000000"/>
                <w:szCs w:val="21"/>
              </w:rPr>
            </w:pPr>
            <w:r>
              <w:rPr>
                <w:rFonts w:hint="eastAsia"/>
                <w:b/>
                <w:bCs/>
                <w:color w:val="000000"/>
                <w:szCs w:val="21"/>
              </w:rPr>
              <w:t>表1-</w:t>
            </w:r>
            <w:r>
              <w:rPr>
                <w:b/>
                <w:bCs/>
                <w:color w:val="000000"/>
                <w:szCs w:val="21"/>
              </w:rPr>
              <w:t xml:space="preserve">1  </w:t>
            </w:r>
            <w:r>
              <w:rPr>
                <w:rFonts w:hint="eastAsia"/>
                <w:b/>
                <w:bCs/>
                <w:color w:val="000000"/>
                <w:szCs w:val="21"/>
              </w:rPr>
              <w:t>项目专项环评判定一览表</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2535"/>
              <w:gridCol w:w="2314"/>
              <w:gridCol w:w="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Align w:val="center"/>
                </w:tcPr>
                <w:p>
                  <w:pPr>
                    <w:jc w:val="center"/>
                    <w:rPr>
                      <w:rFonts w:eastAsiaTheme="minorEastAsia"/>
                      <w:b/>
                      <w:szCs w:val="21"/>
                    </w:rPr>
                  </w:pPr>
                  <w:r>
                    <w:rPr>
                      <w:rFonts w:eastAsiaTheme="minorEastAsia"/>
                      <w:b/>
                      <w:szCs w:val="21"/>
                    </w:rPr>
                    <w:t>类别</w:t>
                  </w:r>
                </w:p>
              </w:tc>
              <w:tc>
                <w:tcPr>
                  <w:tcW w:w="3543" w:type="dxa"/>
                  <w:vAlign w:val="center"/>
                </w:tcPr>
                <w:p>
                  <w:pPr>
                    <w:jc w:val="center"/>
                    <w:rPr>
                      <w:rFonts w:eastAsiaTheme="minorEastAsia"/>
                      <w:b/>
                      <w:szCs w:val="21"/>
                    </w:rPr>
                  </w:pPr>
                  <w:r>
                    <w:rPr>
                      <w:rFonts w:eastAsiaTheme="minorEastAsia"/>
                      <w:b/>
                      <w:szCs w:val="21"/>
                    </w:rPr>
                    <w:t>设置情况</w:t>
                  </w:r>
                </w:p>
              </w:tc>
              <w:tc>
                <w:tcPr>
                  <w:tcW w:w="3190" w:type="dxa"/>
                  <w:vAlign w:val="center"/>
                </w:tcPr>
                <w:p>
                  <w:pPr>
                    <w:jc w:val="center"/>
                    <w:rPr>
                      <w:rFonts w:eastAsiaTheme="minorEastAsia"/>
                      <w:b/>
                      <w:szCs w:val="21"/>
                    </w:rPr>
                  </w:pPr>
                  <w:r>
                    <w:rPr>
                      <w:rFonts w:eastAsiaTheme="minorEastAsia"/>
                      <w:b/>
                      <w:szCs w:val="21"/>
                    </w:rPr>
                    <w:t>本项目情况</w:t>
                  </w:r>
                </w:p>
              </w:tc>
              <w:tc>
                <w:tcPr>
                  <w:tcW w:w="816" w:type="dxa"/>
                  <w:vAlign w:val="center"/>
                </w:tcPr>
                <w:p>
                  <w:pPr>
                    <w:jc w:val="center"/>
                    <w:rPr>
                      <w:rFonts w:eastAsiaTheme="minorEastAsia"/>
                      <w:b/>
                      <w:szCs w:val="21"/>
                    </w:rPr>
                  </w:pPr>
                  <w:r>
                    <w:rPr>
                      <w:rFonts w:eastAsiaTheme="minorEastAsia"/>
                      <w:b/>
                      <w:szCs w:val="21"/>
                    </w:rPr>
                    <w:t>设置与否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Align w:val="center"/>
                </w:tcPr>
                <w:p>
                  <w:pPr>
                    <w:jc w:val="center"/>
                    <w:rPr>
                      <w:rFonts w:eastAsiaTheme="minorEastAsia"/>
                      <w:szCs w:val="21"/>
                    </w:rPr>
                  </w:pPr>
                  <w:r>
                    <w:rPr>
                      <w:rFonts w:eastAsiaTheme="minorEastAsia"/>
                      <w:szCs w:val="21"/>
                    </w:rPr>
                    <w:t>大气</w:t>
                  </w:r>
                </w:p>
              </w:tc>
              <w:tc>
                <w:tcPr>
                  <w:tcW w:w="3543" w:type="dxa"/>
                  <w:vAlign w:val="center"/>
                </w:tcPr>
                <w:p>
                  <w:pPr>
                    <w:ind w:firstLine="420" w:firstLineChars="200"/>
                    <w:rPr>
                      <w:rFonts w:eastAsiaTheme="minorEastAsia"/>
                      <w:szCs w:val="21"/>
                    </w:rPr>
                  </w:pPr>
                  <w:r>
                    <w:rPr>
                      <w:rFonts w:eastAsiaTheme="minorEastAsia"/>
                      <w:szCs w:val="21"/>
                    </w:rPr>
                    <w:t>排放废气含有毒有害污染物、二噁英、苯并[a]芘、氰化物、氯气且厂界500m范围内有环境空气保护目标的建设项目。</w:t>
                  </w:r>
                </w:p>
              </w:tc>
              <w:tc>
                <w:tcPr>
                  <w:tcW w:w="3190" w:type="dxa"/>
                  <w:vAlign w:val="center"/>
                </w:tcPr>
                <w:p>
                  <w:pPr>
                    <w:ind w:firstLine="420" w:firstLineChars="200"/>
                    <w:rPr>
                      <w:rFonts w:eastAsiaTheme="minorEastAsia"/>
                      <w:szCs w:val="21"/>
                    </w:rPr>
                  </w:pPr>
                  <w:r>
                    <w:rPr>
                      <w:rFonts w:eastAsiaTheme="minorEastAsia"/>
                      <w:szCs w:val="21"/>
                    </w:rPr>
                    <w:t>项目排放的大气污染物为颗粒物，不涉及《有毒有害大气污染物名录》中规定的污染物。</w:t>
                  </w:r>
                </w:p>
              </w:tc>
              <w:tc>
                <w:tcPr>
                  <w:tcW w:w="816" w:type="dxa"/>
                  <w:vAlign w:val="center"/>
                </w:tcPr>
                <w:p>
                  <w:pPr>
                    <w:jc w:val="center"/>
                    <w:rPr>
                      <w:rFonts w:eastAsiaTheme="minorEastAsia"/>
                      <w:szCs w:val="21"/>
                    </w:rPr>
                  </w:pPr>
                  <w:r>
                    <w:rPr>
                      <w:rFonts w:eastAsiaTheme="minor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Align w:val="center"/>
                </w:tcPr>
                <w:p>
                  <w:pPr>
                    <w:jc w:val="center"/>
                    <w:rPr>
                      <w:rFonts w:eastAsiaTheme="minorEastAsia"/>
                      <w:szCs w:val="21"/>
                    </w:rPr>
                  </w:pPr>
                  <w:r>
                    <w:rPr>
                      <w:rFonts w:eastAsiaTheme="minorEastAsia"/>
                      <w:szCs w:val="21"/>
                    </w:rPr>
                    <w:t>地表水</w:t>
                  </w:r>
                </w:p>
              </w:tc>
              <w:tc>
                <w:tcPr>
                  <w:tcW w:w="3543" w:type="dxa"/>
                  <w:vAlign w:val="center"/>
                </w:tcPr>
                <w:p>
                  <w:pPr>
                    <w:ind w:firstLine="420" w:firstLineChars="200"/>
                    <w:rPr>
                      <w:rFonts w:eastAsiaTheme="minorEastAsia"/>
                      <w:szCs w:val="21"/>
                    </w:rPr>
                  </w:pPr>
                  <w:r>
                    <w:rPr>
                      <w:rFonts w:eastAsiaTheme="minorEastAsia"/>
                      <w:szCs w:val="21"/>
                    </w:rPr>
                    <w:t>新增工业废水直排建设项目（槽罐车外送污水处理厂的除外）。</w:t>
                  </w:r>
                  <w:r>
                    <w:rPr>
                      <w:rFonts w:hint="eastAsia" w:eastAsiaTheme="minorEastAsia"/>
                      <w:szCs w:val="21"/>
                    </w:rPr>
                    <w:t>新增废水直排的污水集中处理厂。</w:t>
                  </w:r>
                </w:p>
              </w:tc>
              <w:tc>
                <w:tcPr>
                  <w:tcW w:w="3190" w:type="dxa"/>
                  <w:vAlign w:val="center"/>
                </w:tcPr>
                <w:p>
                  <w:pPr>
                    <w:ind w:firstLine="420" w:firstLineChars="200"/>
                    <w:rPr>
                      <w:rFonts w:eastAsiaTheme="minorEastAsia"/>
                      <w:szCs w:val="21"/>
                    </w:rPr>
                  </w:pPr>
                  <w:r>
                    <w:rPr>
                      <w:rFonts w:eastAsiaTheme="minorEastAsia"/>
                      <w:szCs w:val="21"/>
                    </w:rPr>
                    <w:t>本项目</w:t>
                  </w:r>
                  <w:r>
                    <w:rPr>
                      <w:rFonts w:hint="eastAsia" w:eastAsiaTheme="minorEastAsia"/>
                      <w:szCs w:val="21"/>
                    </w:rPr>
                    <w:t>生产废水</w:t>
                  </w:r>
                  <w:r>
                    <w:rPr>
                      <w:rFonts w:eastAsiaTheme="minorEastAsia"/>
                      <w:szCs w:val="21"/>
                    </w:rPr>
                    <w:t>综合利用不外排</w:t>
                  </w:r>
                  <w:r>
                    <w:rPr>
                      <w:rFonts w:hint="eastAsia" w:eastAsiaTheme="minorEastAsia"/>
                      <w:szCs w:val="21"/>
                    </w:rPr>
                    <w:t>；生活污水经化粪池处理后定期用槽罐车外送污水处理厂处理</w:t>
                  </w:r>
                  <w:r>
                    <w:rPr>
                      <w:rFonts w:eastAsiaTheme="minorEastAsia"/>
                      <w:szCs w:val="21"/>
                    </w:rPr>
                    <w:t>。</w:t>
                  </w:r>
                </w:p>
              </w:tc>
              <w:tc>
                <w:tcPr>
                  <w:tcW w:w="816" w:type="dxa"/>
                  <w:vAlign w:val="center"/>
                </w:tcPr>
                <w:p>
                  <w:pPr>
                    <w:jc w:val="center"/>
                    <w:rPr>
                      <w:rFonts w:eastAsiaTheme="minorEastAsia"/>
                      <w:szCs w:val="21"/>
                    </w:rPr>
                  </w:pPr>
                  <w:r>
                    <w:rPr>
                      <w:rFonts w:eastAsiaTheme="minor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Align w:val="center"/>
                </w:tcPr>
                <w:p>
                  <w:pPr>
                    <w:jc w:val="center"/>
                    <w:rPr>
                      <w:rFonts w:eastAsiaTheme="minorEastAsia"/>
                      <w:szCs w:val="21"/>
                    </w:rPr>
                  </w:pPr>
                  <w:r>
                    <w:rPr>
                      <w:rFonts w:eastAsiaTheme="minorEastAsia"/>
                      <w:szCs w:val="21"/>
                    </w:rPr>
                    <w:t>环境</w:t>
                  </w:r>
                </w:p>
                <w:p>
                  <w:pPr>
                    <w:jc w:val="center"/>
                    <w:rPr>
                      <w:rFonts w:eastAsiaTheme="minorEastAsia"/>
                      <w:szCs w:val="21"/>
                    </w:rPr>
                  </w:pPr>
                  <w:r>
                    <w:rPr>
                      <w:rFonts w:eastAsiaTheme="minorEastAsia"/>
                      <w:szCs w:val="21"/>
                    </w:rPr>
                    <w:t>风险</w:t>
                  </w:r>
                </w:p>
              </w:tc>
              <w:tc>
                <w:tcPr>
                  <w:tcW w:w="3543" w:type="dxa"/>
                  <w:vAlign w:val="center"/>
                </w:tcPr>
                <w:p>
                  <w:pPr>
                    <w:ind w:firstLine="420" w:firstLineChars="200"/>
                    <w:rPr>
                      <w:rFonts w:eastAsiaTheme="minorEastAsia"/>
                      <w:szCs w:val="21"/>
                    </w:rPr>
                  </w:pPr>
                  <w:r>
                    <w:rPr>
                      <w:rFonts w:eastAsiaTheme="minorEastAsia"/>
                      <w:szCs w:val="21"/>
                    </w:rPr>
                    <w:t>有毒有害和易燃易爆危险物质存储量超过临界量的建设项目。</w:t>
                  </w:r>
                </w:p>
              </w:tc>
              <w:tc>
                <w:tcPr>
                  <w:tcW w:w="3190" w:type="dxa"/>
                  <w:vAlign w:val="center"/>
                </w:tcPr>
                <w:p>
                  <w:pPr>
                    <w:ind w:firstLine="420" w:firstLineChars="200"/>
                    <w:rPr>
                      <w:rFonts w:eastAsiaTheme="minorEastAsia"/>
                      <w:szCs w:val="21"/>
                    </w:rPr>
                  </w:pPr>
                  <w:r>
                    <w:rPr>
                      <w:rFonts w:eastAsiaTheme="minorEastAsia"/>
                      <w:szCs w:val="21"/>
                    </w:rPr>
                    <w:t>项目不涉及有毒有害物质，环境风险物质最大存储量未超过其临界量。</w:t>
                  </w:r>
                </w:p>
              </w:tc>
              <w:tc>
                <w:tcPr>
                  <w:tcW w:w="816" w:type="dxa"/>
                  <w:vAlign w:val="center"/>
                </w:tcPr>
                <w:p>
                  <w:pPr>
                    <w:jc w:val="center"/>
                    <w:rPr>
                      <w:rFonts w:eastAsiaTheme="minorEastAsia"/>
                      <w:szCs w:val="21"/>
                    </w:rPr>
                  </w:pPr>
                  <w:r>
                    <w:rPr>
                      <w:rFonts w:eastAsiaTheme="minor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Align w:val="center"/>
                </w:tcPr>
                <w:p>
                  <w:pPr>
                    <w:jc w:val="center"/>
                    <w:rPr>
                      <w:rFonts w:eastAsiaTheme="minorEastAsia"/>
                      <w:szCs w:val="21"/>
                    </w:rPr>
                  </w:pPr>
                  <w:r>
                    <w:rPr>
                      <w:rFonts w:eastAsiaTheme="minorEastAsia"/>
                      <w:szCs w:val="21"/>
                    </w:rPr>
                    <w:t>生态</w:t>
                  </w:r>
                </w:p>
              </w:tc>
              <w:tc>
                <w:tcPr>
                  <w:tcW w:w="3543" w:type="dxa"/>
                  <w:vAlign w:val="center"/>
                </w:tcPr>
                <w:p>
                  <w:pPr>
                    <w:ind w:firstLine="420" w:firstLineChars="200"/>
                    <w:rPr>
                      <w:rFonts w:eastAsiaTheme="minorEastAsia"/>
                      <w:szCs w:val="21"/>
                    </w:rPr>
                  </w:pPr>
                  <w:r>
                    <w:rPr>
                      <w:rFonts w:eastAsiaTheme="minorEastAsia"/>
                      <w:szCs w:val="21"/>
                    </w:rPr>
                    <w:t>取水口下游500米范围内有重要水生生物的自然产卵场、索饵场、越冬场和洄游通道的新增河道取水的污染类建设项目。</w:t>
                  </w:r>
                </w:p>
              </w:tc>
              <w:tc>
                <w:tcPr>
                  <w:tcW w:w="3190" w:type="dxa"/>
                  <w:vAlign w:val="center"/>
                </w:tcPr>
                <w:p>
                  <w:pPr>
                    <w:ind w:firstLine="420" w:firstLineChars="200"/>
                    <w:rPr>
                      <w:rFonts w:eastAsiaTheme="minorEastAsia"/>
                      <w:szCs w:val="21"/>
                    </w:rPr>
                  </w:pPr>
                  <w:r>
                    <w:rPr>
                      <w:rFonts w:hint="eastAsia" w:eastAsiaTheme="minorEastAsia"/>
                      <w:szCs w:val="21"/>
                    </w:rPr>
                    <w:t>本</w:t>
                  </w:r>
                  <w:r>
                    <w:rPr>
                      <w:rFonts w:eastAsiaTheme="minorEastAsia"/>
                      <w:szCs w:val="21"/>
                    </w:rPr>
                    <w:t>项目</w:t>
                  </w:r>
                  <w:r>
                    <w:rPr>
                      <w:rFonts w:hint="eastAsia" w:eastAsiaTheme="minorEastAsia"/>
                      <w:szCs w:val="21"/>
                    </w:rPr>
                    <w:t>取水不涉及重要的水生生物的自然产卵场、索饵场、越冬场和洄游通道</w:t>
                  </w:r>
                  <w:r>
                    <w:rPr>
                      <w:rFonts w:eastAsiaTheme="minorEastAsia"/>
                      <w:szCs w:val="21"/>
                    </w:rPr>
                    <w:t>。</w:t>
                  </w:r>
                </w:p>
              </w:tc>
              <w:tc>
                <w:tcPr>
                  <w:tcW w:w="816" w:type="dxa"/>
                  <w:vAlign w:val="center"/>
                </w:tcPr>
                <w:p>
                  <w:pPr>
                    <w:jc w:val="center"/>
                    <w:rPr>
                      <w:rFonts w:eastAsiaTheme="minorEastAsia"/>
                      <w:szCs w:val="21"/>
                    </w:rPr>
                  </w:pPr>
                  <w:r>
                    <w:rPr>
                      <w:rFonts w:eastAsiaTheme="minor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3" w:type="dxa"/>
                  <w:vAlign w:val="center"/>
                </w:tcPr>
                <w:p>
                  <w:pPr>
                    <w:jc w:val="center"/>
                    <w:rPr>
                      <w:rFonts w:eastAsiaTheme="minorEastAsia"/>
                      <w:szCs w:val="21"/>
                    </w:rPr>
                  </w:pPr>
                  <w:r>
                    <w:rPr>
                      <w:rFonts w:eastAsiaTheme="minorEastAsia"/>
                      <w:szCs w:val="21"/>
                    </w:rPr>
                    <w:t>地下水</w:t>
                  </w:r>
                </w:p>
              </w:tc>
              <w:tc>
                <w:tcPr>
                  <w:tcW w:w="3543" w:type="dxa"/>
                  <w:vAlign w:val="center"/>
                </w:tcPr>
                <w:p>
                  <w:pPr>
                    <w:ind w:firstLine="420" w:firstLineChars="200"/>
                    <w:rPr>
                      <w:rFonts w:eastAsiaTheme="minorEastAsia"/>
                      <w:szCs w:val="21"/>
                    </w:rPr>
                  </w:pPr>
                  <w:r>
                    <w:rPr>
                      <w:rFonts w:eastAsiaTheme="minorEastAsia"/>
                      <w:szCs w:val="21"/>
                    </w:rPr>
                    <w:t>涉及集中式饮用水水源和热水、矿泉水、温泉等特殊地下水资源保护区。</w:t>
                  </w:r>
                </w:p>
              </w:tc>
              <w:tc>
                <w:tcPr>
                  <w:tcW w:w="3190" w:type="dxa"/>
                  <w:vAlign w:val="center"/>
                </w:tcPr>
                <w:p>
                  <w:pPr>
                    <w:ind w:firstLine="420" w:firstLineChars="200"/>
                    <w:rPr>
                      <w:rFonts w:eastAsiaTheme="minorEastAsia"/>
                      <w:szCs w:val="21"/>
                    </w:rPr>
                  </w:pPr>
                  <w:r>
                    <w:rPr>
                      <w:rFonts w:eastAsiaTheme="minorEastAsia"/>
                      <w:szCs w:val="21"/>
                    </w:rPr>
                    <w:t>本项目不涉及集中式饮用水水源和热水、矿泉水、温泉等特殊地下水资源保护区。</w:t>
                  </w:r>
                </w:p>
              </w:tc>
              <w:tc>
                <w:tcPr>
                  <w:tcW w:w="816" w:type="dxa"/>
                  <w:vAlign w:val="center"/>
                </w:tcPr>
                <w:p>
                  <w:pPr>
                    <w:jc w:val="center"/>
                    <w:rPr>
                      <w:rFonts w:eastAsiaTheme="minorEastAsia"/>
                      <w:szCs w:val="21"/>
                    </w:rPr>
                  </w:pPr>
                  <w:r>
                    <w:rPr>
                      <w:rFonts w:eastAsiaTheme="minorEastAsia"/>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2" w:type="dxa"/>
                  <w:gridSpan w:val="4"/>
                  <w:vAlign w:val="center"/>
                </w:tcPr>
                <w:p>
                  <w:pPr>
                    <w:rPr>
                      <w:rFonts w:eastAsiaTheme="minorEastAsia"/>
                      <w:b/>
                      <w:szCs w:val="21"/>
                    </w:rPr>
                  </w:pPr>
                  <w:r>
                    <w:rPr>
                      <w:rFonts w:eastAsiaTheme="minorEastAsia"/>
                      <w:b/>
                      <w:szCs w:val="21"/>
                    </w:rPr>
                    <w:t>注：</w:t>
                  </w:r>
                </w:p>
                <w:p>
                  <w:pPr>
                    <w:ind w:firstLine="420" w:firstLineChars="200"/>
                    <w:rPr>
                      <w:rFonts w:eastAsiaTheme="minorEastAsia"/>
                      <w:szCs w:val="21"/>
                    </w:rPr>
                  </w:pPr>
                  <w:r>
                    <w:rPr>
                      <w:rFonts w:eastAsiaTheme="minorEastAsia"/>
                      <w:szCs w:val="21"/>
                    </w:rPr>
                    <w:t>1.废气中有毒有害污染物指纳入《有毒有害大气污染物名录》的污染物（不包括无排放标准的污染物）。</w:t>
                  </w:r>
                </w:p>
                <w:p>
                  <w:pPr>
                    <w:ind w:firstLine="420" w:firstLineChars="200"/>
                    <w:rPr>
                      <w:rFonts w:eastAsiaTheme="minorEastAsia"/>
                      <w:szCs w:val="21"/>
                    </w:rPr>
                  </w:pPr>
                  <w:r>
                    <w:rPr>
                      <w:rFonts w:eastAsiaTheme="minorEastAsia"/>
                      <w:szCs w:val="21"/>
                    </w:rPr>
                    <w:t>2.环境空气保护目标指自然保护区、风景名胜区、居住区、文化区和农村地区中人群较集中的区域。</w:t>
                  </w:r>
                </w:p>
                <w:p>
                  <w:pPr>
                    <w:ind w:firstLine="420" w:firstLineChars="200"/>
                    <w:rPr>
                      <w:rFonts w:eastAsiaTheme="minorEastAsia"/>
                      <w:szCs w:val="21"/>
                    </w:rPr>
                  </w:pPr>
                  <w:r>
                    <w:rPr>
                      <w:rFonts w:eastAsiaTheme="minorEastAsia"/>
                      <w:szCs w:val="21"/>
                    </w:rPr>
                    <w:t>3.临界量及其计算方法可参考《建设项目环境风险评价技术导则》（HJ169）附录B、附录C。</w:t>
                  </w:r>
                </w:p>
              </w:tc>
            </w:tr>
          </w:tbl>
          <w:p>
            <w:pPr>
              <w:adjustRightInd w:val="0"/>
              <w:snapToGrid w:val="0"/>
              <w:jc w:val="center"/>
              <w:rPr>
                <w:color w:val="000000"/>
                <w:sz w:val="24"/>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4" w:type="dxa"/>
            <w:gridSpan w:val="2"/>
            <w:vAlign w:val="center"/>
          </w:tcPr>
          <w:p>
            <w:pPr>
              <w:adjustRightInd w:val="0"/>
              <w:snapToGrid w:val="0"/>
              <w:jc w:val="center"/>
              <w:rPr>
                <w:color w:val="000000"/>
                <w:sz w:val="24"/>
                <w:szCs w:val="21"/>
              </w:rPr>
            </w:pPr>
            <w:r>
              <w:rPr>
                <w:color w:val="000000"/>
                <w:sz w:val="24"/>
                <w:szCs w:val="21"/>
              </w:rPr>
              <w:t>规划情况</w:t>
            </w:r>
          </w:p>
        </w:tc>
        <w:tc>
          <w:tcPr>
            <w:tcW w:w="6528" w:type="dxa"/>
            <w:gridSpan w:val="3"/>
            <w:vAlign w:val="center"/>
          </w:tcPr>
          <w:p>
            <w:pPr>
              <w:snapToGrid w:val="0"/>
              <w:jc w:val="center"/>
              <w:rPr>
                <w:color w:val="000000"/>
                <w:sz w:val="24"/>
                <w:szCs w:val="21"/>
              </w:rPr>
            </w:pPr>
            <w:r>
              <w:rPr>
                <w:rFonts w:hint="eastAsia"/>
                <w:color w:val="000000"/>
                <w:sz w:val="24"/>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4" w:type="dxa"/>
            <w:gridSpan w:val="2"/>
            <w:vAlign w:val="center"/>
          </w:tcPr>
          <w:p>
            <w:pPr>
              <w:adjustRightInd w:val="0"/>
              <w:snapToGrid w:val="0"/>
              <w:jc w:val="center"/>
              <w:rPr>
                <w:color w:val="000000"/>
                <w:sz w:val="24"/>
                <w:szCs w:val="21"/>
              </w:rPr>
            </w:pPr>
            <w:r>
              <w:rPr>
                <w:color w:val="000000"/>
                <w:sz w:val="24"/>
                <w:szCs w:val="21"/>
              </w:rPr>
              <w:t>规划环境影响评价情况</w:t>
            </w:r>
          </w:p>
        </w:tc>
        <w:tc>
          <w:tcPr>
            <w:tcW w:w="6528" w:type="dxa"/>
            <w:gridSpan w:val="3"/>
            <w:vAlign w:val="center"/>
          </w:tcPr>
          <w:p>
            <w:pPr>
              <w:adjustRightInd w:val="0"/>
              <w:snapToGrid w:val="0"/>
              <w:spacing w:line="360" w:lineRule="auto"/>
              <w:jc w:val="center"/>
              <w:rPr>
                <w:color w:val="000000"/>
                <w:sz w:val="24"/>
                <w:szCs w:val="21"/>
              </w:rPr>
            </w:pPr>
            <w:r>
              <w:rPr>
                <w:rFonts w:hint="eastAsia"/>
                <w:color w:val="000000"/>
                <w:sz w:val="24"/>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04" w:type="dxa"/>
            <w:gridSpan w:val="2"/>
            <w:vAlign w:val="center"/>
          </w:tcPr>
          <w:p>
            <w:pPr>
              <w:adjustRightInd w:val="0"/>
              <w:snapToGrid w:val="0"/>
              <w:jc w:val="center"/>
              <w:rPr>
                <w:color w:val="000000"/>
                <w:sz w:val="24"/>
                <w:szCs w:val="21"/>
              </w:rPr>
            </w:pPr>
            <w:r>
              <w:rPr>
                <w:color w:val="000000"/>
                <w:sz w:val="24"/>
                <w:szCs w:val="21"/>
              </w:rPr>
              <w:t>规划及规划环境影响评价符合性分析</w:t>
            </w:r>
          </w:p>
        </w:tc>
        <w:tc>
          <w:tcPr>
            <w:tcW w:w="6528" w:type="dxa"/>
            <w:gridSpan w:val="3"/>
            <w:vAlign w:val="center"/>
          </w:tcPr>
          <w:p>
            <w:pPr>
              <w:adjustRightInd w:val="0"/>
              <w:snapToGrid w:val="0"/>
              <w:spacing w:line="360" w:lineRule="auto"/>
              <w:ind w:firstLine="480" w:firstLineChars="200"/>
              <w:rPr>
                <w:color w:val="000000"/>
                <w:sz w:val="24"/>
                <w:szCs w:val="21"/>
              </w:rPr>
            </w:pPr>
            <w:r>
              <w:rPr>
                <w:rFonts w:hint="eastAsia"/>
                <w:color w:val="000000"/>
                <w:sz w:val="24"/>
                <w:szCs w:val="21"/>
              </w:rPr>
              <w:t>项目为临时拌合站，为东川港格勒旅游客运中心施工生产提供混凝土，项目并未进行规划环境影响评价，不进行相关的符合性分析。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5" w:type="dxa"/>
            <w:vAlign w:val="center"/>
          </w:tcPr>
          <w:p>
            <w:pPr>
              <w:adjustRightInd w:val="0"/>
              <w:snapToGrid w:val="0"/>
              <w:jc w:val="center"/>
              <w:rPr>
                <w:color w:val="000000"/>
                <w:sz w:val="24"/>
                <w:szCs w:val="21"/>
              </w:rPr>
            </w:pPr>
            <w:r>
              <w:rPr>
                <w:color w:val="000000"/>
                <w:sz w:val="24"/>
                <w:szCs w:val="21"/>
              </w:rPr>
              <w:t>其他符合性分析</w:t>
            </w:r>
          </w:p>
        </w:tc>
        <w:tc>
          <w:tcPr>
            <w:tcW w:w="7507" w:type="dxa"/>
            <w:gridSpan w:val="4"/>
            <w:vAlign w:val="center"/>
          </w:tcPr>
          <w:p>
            <w:pPr>
              <w:pStyle w:val="170"/>
              <w:rPr>
                <w:rFonts w:ascii="Times New Roman" w:hAnsi="Times New Roman" w:cs="Times New Roman"/>
                <w:color w:val="000000"/>
                <w:sz w:val="24"/>
                <w:szCs w:val="21"/>
              </w:rPr>
            </w:pPr>
            <w:bookmarkStart w:id="27" w:name="_Toc112774076"/>
            <w:r>
              <w:rPr>
                <w:rFonts w:ascii="Times New Roman" w:hAnsi="Times New Roman" w:eastAsia="宋体" w:cs="Times New Roman"/>
                <w:b w:val="0"/>
                <w:color w:val="000000"/>
                <w:sz w:val="24"/>
                <w:szCs w:val="21"/>
              </w:rPr>
              <w:t>1、</w:t>
            </w:r>
            <w:r>
              <w:rPr>
                <w:rFonts w:ascii="Times New Roman" w:hAnsi="Times New Roman" w:eastAsia="宋体" w:cs="Times New Roman"/>
                <w:color w:val="000000"/>
                <w:sz w:val="24"/>
                <w:szCs w:val="21"/>
              </w:rPr>
              <w:t>产业政策符合性分析</w:t>
            </w:r>
            <w:bookmarkEnd w:id="27"/>
          </w:p>
          <w:p>
            <w:pPr>
              <w:snapToGrid w:val="0"/>
              <w:spacing w:line="360" w:lineRule="auto"/>
              <w:ind w:firstLine="480" w:firstLineChars="200"/>
              <w:jc w:val="left"/>
              <w:rPr>
                <w:color w:val="000000"/>
                <w:sz w:val="24"/>
                <w:szCs w:val="21"/>
              </w:rPr>
            </w:pPr>
            <w:r>
              <w:rPr>
                <w:color w:val="000000"/>
                <w:sz w:val="24"/>
                <w:szCs w:val="21"/>
              </w:rPr>
              <w:t>本项目属于混凝土制造项目，根据《产业结构调整指导目录（2019年本）》项目不属于限制类和淘汰类项目，属于允许类项目。</w:t>
            </w:r>
          </w:p>
          <w:p>
            <w:pPr>
              <w:snapToGrid w:val="0"/>
              <w:spacing w:line="360" w:lineRule="auto"/>
              <w:ind w:firstLine="480" w:firstLineChars="200"/>
              <w:jc w:val="left"/>
              <w:rPr>
                <w:color w:val="000000"/>
                <w:sz w:val="24"/>
                <w:szCs w:val="21"/>
              </w:rPr>
            </w:pPr>
            <w:r>
              <w:rPr>
                <w:color w:val="000000"/>
                <w:sz w:val="24"/>
                <w:szCs w:val="21"/>
              </w:rPr>
              <w:t>经核查国家发展改革委、商务部印发《市场准入负面清单（2020年版）》（发改体改〔2020〕1880号），本项目也不在其列，项目所采用的工艺设备也不属于《产业结构调整指导目录（2019年本）》和工信部发布第一、二、三批《高耗能落后机电设备</w:t>
            </w:r>
            <w:r>
              <w:rPr>
                <w:rFonts w:hint="eastAsia"/>
                <w:color w:val="000000"/>
                <w:sz w:val="24"/>
                <w:szCs w:val="21"/>
              </w:rPr>
              <w:t>（</w:t>
            </w:r>
            <w:r>
              <w:rPr>
                <w:color w:val="000000"/>
                <w:sz w:val="24"/>
                <w:szCs w:val="21"/>
              </w:rPr>
              <w:t>产品</w:t>
            </w:r>
            <w:r>
              <w:rPr>
                <w:rFonts w:hint="eastAsia"/>
                <w:color w:val="000000"/>
                <w:sz w:val="24"/>
                <w:szCs w:val="21"/>
              </w:rPr>
              <w:t>）</w:t>
            </w:r>
            <w:r>
              <w:rPr>
                <w:color w:val="000000"/>
                <w:sz w:val="24"/>
                <w:szCs w:val="21"/>
              </w:rPr>
              <w:t>淘汰目录》中明示的淘汰、落后机电设备。</w:t>
            </w:r>
          </w:p>
          <w:p>
            <w:pPr>
              <w:snapToGrid w:val="0"/>
              <w:spacing w:line="360" w:lineRule="auto"/>
              <w:ind w:firstLine="480" w:firstLineChars="200"/>
              <w:jc w:val="left"/>
              <w:rPr>
                <w:color w:val="000000"/>
                <w:sz w:val="24"/>
                <w:szCs w:val="21"/>
              </w:rPr>
            </w:pPr>
            <w:r>
              <w:rPr>
                <w:rFonts w:hint="eastAsia"/>
                <w:color w:val="000000"/>
                <w:sz w:val="24"/>
                <w:szCs w:val="21"/>
              </w:rPr>
              <w:t>综上，本项目符合国家和地方相关产业政策。建设单位已取得东川区发展和改革局下发的项目代码。</w:t>
            </w:r>
          </w:p>
          <w:p>
            <w:pPr>
              <w:pStyle w:val="170"/>
              <w:rPr>
                <w:rFonts w:ascii="Times New Roman" w:hAnsi="Times New Roman" w:eastAsia="宋体" w:cs="Times New Roman"/>
                <w:color w:val="000000"/>
                <w:sz w:val="24"/>
                <w:szCs w:val="21"/>
              </w:rPr>
            </w:pPr>
            <w:bookmarkStart w:id="28" w:name="_Toc112774077"/>
            <w:r>
              <w:rPr>
                <w:rFonts w:hint="eastAsia" w:ascii="Times New Roman" w:hAnsi="Times New Roman" w:eastAsia="宋体" w:cs="Times New Roman"/>
                <w:color w:val="000000"/>
                <w:sz w:val="24"/>
                <w:szCs w:val="21"/>
              </w:rPr>
              <w:t>2、项目与《昆明市人民政府关于昆明市“三线一单”生态环境分区管控的实施意见》（昆政发〔2021〕21号）符合性分析</w:t>
            </w:r>
            <w:bookmarkEnd w:id="28"/>
          </w:p>
          <w:p>
            <w:pPr>
              <w:snapToGrid w:val="0"/>
              <w:spacing w:line="360" w:lineRule="auto"/>
              <w:ind w:firstLine="480" w:firstLineChars="200"/>
              <w:rPr>
                <w:color w:val="000000"/>
                <w:sz w:val="24"/>
                <w:szCs w:val="21"/>
              </w:rPr>
            </w:pPr>
            <w:r>
              <w:rPr>
                <w:rFonts w:hint="eastAsia"/>
                <w:color w:val="000000"/>
                <w:sz w:val="24"/>
                <w:szCs w:val="21"/>
              </w:rPr>
              <w:t>项目位于昆明市东川区拖布卡镇格勒村小坡组龙东格公路86公里处，根据《昆明市人民政府关于昆明市“三线一单”生态环境分区管控的实施意见》（昆政发〔2021〕21号），查阅“昆明市环境管控单元分类图”，项目位于昆明市环境重点管控单元，本项目符合性分析详见下表。</w:t>
            </w:r>
          </w:p>
          <w:p>
            <w:pPr>
              <w:snapToGrid w:val="0"/>
              <w:spacing w:line="360" w:lineRule="auto"/>
              <w:ind w:firstLine="422" w:firstLineChars="200"/>
              <w:jc w:val="center"/>
              <w:rPr>
                <w:b/>
                <w:bCs/>
                <w:color w:val="000000"/>
                <w:szCs w:val="21"/>
              </w:rPr>
            </w:pPr>
            <w:r>
              <w:rPr>
                <w:rFonts w:hint="eastAsia"/>
                <w:b/>
                <w:bCs/>
                <w:color w:val="000000"/>
                <w:szCs w:val="21"/>
              </w:rPr>
              <w:t>表1-</w:t>
            </w:r>
            <w:r>
              <w:rPr>
                <w:b/>
                <w:bCs/>
                <w:color w:val="000000"/>
                <w:szCs w:val="21"/>
              </w:rPr>
              <w:t xml:space="preserve">2  </w:t>
            </w:r>
            <w:r>
              <w:rPr>
                <w:rFonts w:hint="eastAsia"/>
                <w:b/>
                <w:bCs/>
                <w:color w:val="000000"/>
                <w:szCs w:val="21"/>
              </w:rPr>
              <w:t>项目与“三线一单”符合性</w:t>
            </w:r>
          </w:p>
          <w:tbl>
            <w:tblPr>
              <w:tblStyle w:val="8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426"/>
              <w:gridCol w:w="426"/>
              <w:gridCol w:w="3135"/>
              <w:gridCol w:w="2373"/>
              <w:gridCol w:w="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34" w:type="dxa"/>
                  <w:gridSpan w:val="4"/>
                  <w:shd w:val="clear" w:color="auto" w:fill="auto"/>
                  <w:vAlign w:val="center"/>
                </w:tcPr>
                <w:p>
                  <w:pPr>
                    <w:snapToGrid w:val="0"/>
                    <w:jc w:val="center"/>
                    <w:rPr>
                      <w:color w:val="000000"/>
                      <w:szCs w:val="21"/>
                    </w:rPr>
                  </w:pPr>
                  <w:r>
                    <w:rPr>
                      <w:color w:val="000000"/>
                      <w:szCs w:val="21"/>
                    </w:rPr>
                    <w:t>内容</w:t>
                  </w:r>
                </w:p>
              </w:tc>
              <w:tc>
                <w:tcPr>
                  <w:tcW w:w="2373" w:type="dxa"/>
                  <w:shd w:val="clear" w:color="auto" w:fill="auto"/>
                  <w:vAlign w:val="center"/>
                </w:tcPr>
                <w:p>
                  <w:pPr>
                    <w:snapToGrid w:val="0"/>
                    <w:jc w:val="center"/>
                    <w:rPr>
                      <w:color w:val="000000"/>
                      <w:szCs w:val="21"/>
                    </w:rPr>
                  </w:pPr>
                  <w:r>
                    <w:rPr>
                      <w:color w:val="000000"/>
                      <w:szCs w:val="21"/>
                    </w:rPr>
                    <w:t>项目情况</w:t>
                  </w:r>
                </w:p>
              </w:tc>
              <w:tc>
                <w:tcPr>
                  <w:tcW w:w="0" w:type="auto"/>
                  <w:shd w:val="clear" w:color="auto" w:fill="auto"/>
                  <w:vAlign w:val="center"/>
                </w:tcPr>
                <w:p>
                  <w:pPr>
                    <w:snapToGrid w:val="0"/>
                    <w:jc w:val="center"/>
                    <w:rPr>
                      <w:color w:val="000000"/>
                      <w:szCs w:val="21"/>
                    </w:rPr>
                  </w:pPr>
                  <w:r>
                    <w:rPr>
                      <w:color w:val="00000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snapToGrid w:val="0"/>
                    <w:jc w:val="center"/>
                    <w:rPr>
                      <w:color w:val="000000"/>
                      <w:szCs w:val="21"/>
                    </w:rPr>
                  </w:pPr>
                  <w:r>
                    <w:rPr>
                      <w:color w:val="000000"/>
                      <w:szCs w:val="21"/>
                    </w:rPr>
                    <w:t>生态保护红线</w:t>
                  </w:r>
                </w:p>
              </w:tc>
              <w:tc>
                <w:tcPr>
                  <w:tcW w:w="3971" w:type="dxa"/>
                  <w:gridSpan w:val="3"/>
                  <w:shd w:val="clear" w:color="auto" w:fill="auto"/>
                  <w:vAlign w:val="center"/>
                </w:tcPr>
                <w:p>
                  <w:pPr>
                    <w:snapToGrid w:val="0"/>
                    <w:ind w:firstLine="420" w:firstLineChars="200"/>
                    <w:rPr>
                      <w:color w:val="000000"/>
                      <w:szCs w:val="21"/>
                    </w:rPr>
                  </w:pPr>
                  <w:r>
                    <w:rPr>
                      <w:rFonts w:hint="eastAsia"/>
                      <w:color w:val="000000"/>
                      <w:szCs w:val="21"/>
                    </w:rPr>
                    <w:t>生态保护红线区严格执行《云南省人民政府关于发布云南省生态保护红线的通知》（云政发〔2018〕32号）。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p>
                  <w:pPr>
                    <w:snapToGrid w:val="0"/>
                    <w:ind w:firstLine="420" w:firstLineChars="200"/>
                    <w:rPr>
                      <w:color w:val="000000"/>
                      <w:szCs w:val="21"/>
                    </w:rPr>
                  </w:pPr>
                  <w:r>
                    <w:rPr>
                      <w:rFonts w:hint="eastAsia"/>
                      <w:color w:val="000000"/>
                      <w:szCs w:val="21"/>
                    </w:rPr>
                    <w:t>立足已形成的生态保护红线划定工作成果，遵循生态优先原则，将未划入生态保护红线的自然保护地、饮用水水源保护区、重要湿地、基本草原、生态公益林、天然林等生态功能重要、生态环境敏感区域划为一般生态空间。</w:t>
                  </w:r>
                </w:p>
              </w:tc>
              <w:tc>
                <w:tcPr>
                  <w:tcW w:w="2373" w:type="dxa"/>
                  <w:shd w:val="clear" w:color="auto" w:fill="auto"/>
                  <w:vAlign w:val="center"/>
                </w:tcPr>
                <w:p>
                  <w:pPr>
                    <w:snapToGrid w:val="0"/>
                    <w:ind w:firstLine="420" w:firstLineChars="200"/>
                    <w:rPr>
                      <w:color w:val="000000"/>
                      <w:szCs w:val="21"/>
                    </w:rPr>
                  </w:pPr>
                  <w:r>
                    <w:rPr>
                      <w:color w:val="000000"/>
                      <w:szCs w:val="21"/>
                    </w:rPr>
                    <w:t>项目位于昆明市东川区拖布卡镇格勒村，用地范围土地性质均为</w:t>
                  </w:r>
                  <w:r>
                    <w:rPr>
                      <w:rFonts w:hint="eastAsia"/>
                      <w:color w:val="000000"/>
                      <w:szCs w:val="21"/>
                    </w:rPr>
                    <w:t>临时性用地</w:t>
                  </w:r>
                  <w:r>
                    <w:rPr>
                      <w:color w:val="000000"/>
                      <w:szCs w:val="21"/>
                    </w:rPr>
                    <w:t>，不在生态红线范围内，项目符合生态保护红线的相关要求。</w:t>
                  </w:r>
                </w:p>
              </w:tc>
              <w:tc>
                <w:tcPr>
                  <w:tcW w:w="0" w:type="auto"/>
                  <w:shd w:val="clear" w:color="auto" w:fill="auto"/>
                  <w:vAlign w:val="center"/>
                </w:tcPr>
                <w:p>
                  <w:pPr>
                    <w:snapToGrid w:val="0"/>
                    <w:jc w:val="center"/>
                    <w:rPr>
                      <w:color w:val="000000"/>
                      <w:szCs w:val="21"/>
                    </w:rPr>
                  </w:pPr>
                  <w:r>
                    <w:rPr>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snapToGrid w:val="0"/>
                    <w:jc w:val="center"/>
                    <w:rPr>
                      <w:color w:val="000000"/>
                      <w:szCs w:val="21"/>
                    </w:rPr>
                  </w:pPr>
                  <w:r>
                    <w:rPr>
                      <w:color w:val="000000"/>
                      <w:szCs w:val="21"/>
                    </w:rPr>
                    <w:t>环境质量底线</w:t>
                  </w:r>
                </w:p>
              </w:tc>
              <w:tc>
                <w:tcPr>
                  <w:tcW w:w="3971" w:type="dxa"/>
                  <w:gridSpan w:val="3"/>
                  <w:shd w:val="clear" w:color="auto" w:fill="auto"/>
                  <w:vAlign w:val="center"/>
                </w:tcPr>
                <w:p>
                  <w:pPr>
                    <w:snapToGrid w:val="0"/>
                    <w:ind w:firstLine="420" w:firstLineChars="200"/>
                    <w:jc w:val="left"/>
                    <w:rPr>
                      <w:color w:val="000000"/>
                      <w:szCs w:val="21"/>
                    </w:rPr>
                  </w:pPr>
                  <w:r>
                    <w:rPr>
                      <w:rFonts w:hint="eastAsia"/>
                      <w:color w:val="000000"/>
                      <w:szCs w:val="21"/>
                    </w:rPr>
                    <w:t>到2025年，全市生态环境质量持续改善，生态空间得到优化和有效保护，区域生态安全屏障更加牢固。全市环境空气质量总体保持优良，主城建成区空气质量优良天数占比达99%以上，二氧化硫（SO</w:t>
                  </w:r>
                  <w:r>
                    <w:rPr>
                      <w:rFonts w:hint="eastAsia"/>
                      <w:color w:val="000000"/>
                      <w:szCs w:val="21"/>
                      <w:vertAlign w:val="subscript"/>
                    </w:rPr>
                    <w:t>2</w:t>
                  </w:r>
                  <w:r>
                    <w:rPr>
                      <w:rFonts w:hint="eastAsia"/>
                      <w:color w:val="000000"/>
                      <w:szCs w:val="21"/>
                    </w:rPr>
                    <w:t>）和氮氧化物（NO</w:t>
                  </w:r>
                  <w:r>
                    <w:rPr>
                      <w:rFonts w:hint="eastAsia"/>
                      <w:color w:val="000000"/>
                      <w:szCs w:val="21"/>
                      <w:vertAlign w:val="subscript"/>
                    </w:rPr>
                    <w:t>x</w:t>
                  </w:r>
                  <w:r>
                    <w:rPr>
                      <w:rFonts w:hint="eastAsia"/>
                      <w:color w:val="000000"/>
                      <w:szCs w:val="21"/>
                    </w:rPr>
                    <w:t>）排放总量控制在省下达的目标以内，主城区空气中颗粒物（PM10、PM2.5）稳定达《环境空气质量标准》二级标准以上。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土壤环境风险防范体系进一步完善，受污染耕地安全利用率和污染地块安全利用率进一步提高，逐步改善全 市土壤环境质量，遏制土壤污染恶化趋势，土壤环境风险得到基本管控。污染地块安全利用率、耕地土壤环境质量达到国家和云南省考核要求。</w:t>
                  </w:r>
                </w:p>
                <w:p>
                  <w:pPr>
                    <w:snapToGrid w:val="0"/>
                    <w:ind w:firstLine="420" w:firstLineChars="200"/>
                    <w:jc w:val="left"/>
                    <w:rPr>
                      <w:color w:val="000000"/>
                      <w:szCs w:val="21"/>
                    </w:rPr>
                  </w:pPr>
                  <w:r>
                    <w:rPr>
                      <w:rFonts w:hint="eastAsia"/>
                      <w:color w:val="000000"/>
                      <w:szCs w:val="21"/>
                    </w:rPr>
                    <w:t>到2035年，全市生态环境质量实现根本好转，生态功能显著提升，区域生态安全得到全面保障。全市环境空气质量全面改善，各县（市）区、开发（度假）区环境空气质量稳定达到国家二级标准。地表水体水质优良率全面提升，各监测断面水质达到水环境功能要求，消除劣Ⅴ类水体，集中式饮用水水源水质稳定达 标。土壤环境质量稳中向好，农用地和建设用地土壤环境安全得到有效保障，土壤环境风险得到全面管控。</w:t>
                  </w:r>
                </w:p>
              </w:tc>
              <w:tc>
                <w:tcPr>
                  <w:tcW w:w="2373" w:type="dxa"/>
                  <w:shd w:val="clear" w:color="auto" w:fill="auto"/>
                  <w:vAlign w:val="center"/>
                </w:tcPr>
                <w:p>
                  <w:pPr>
                    <w:snapToGrid w:val="0"/>
                    <w:ind w:firstLine="420" w:firstLineChars="200"/>
                    <w:rPr>
                      <w:color w:val="000000"/>
                      <w:szCs w:val="21"/>
                    </w:rPr>
                  </w:pPr>
                  <w:r>
                    <w:rPr>
                      <w:rFonts w:hint="eastAsia"/>
                      <w:color w:val="000000"/>
                      <w:szCs w:val="21"/>
                    </w:rPr>
                    <w:t>项目无工艺废水产生，产生的清洗废水有搅拌楼清洗废水和混凝土罐车清洗废水排入沉淀池沉淀后回用，食堂设置油水分离池经油水分离后同其他生活废水一起排入化粪池，所有生活污水经化粪池处理后用槽罐车外送污水处理厂</w:t>
                  </w:r>
                  <w:r>
                    <w:rPr>
                      <w:rFonts w:hint="eastAsia"/>
                      <w:color w:val="000000" w:themeColor="text1"/>
                      <w:szCs w:val="21"/>
                      <w14:textFill>
                        <w14:solidFill>
                          <w14:schemeClr w14:val="tx1"/>
                        </w14:solidFill>
                      </w14:textFill>
                    </w:rPr>
                    <w:t>处理，详情见附件6。</w:t>
                  </w:r>
                  <w:r>
                    <w:rPr>
                      <w:rFonts w:hint="eastAsia"/>
                      <w:color w:val="000000"/>
                      <w:szCs w:val="21"/>
                    </w:rPr>
                    <w:t>项目废水不外排，对周围环境影响较小。</w:t>
                  </w:r>
                </w:p>
                <w:p>
                  <w:pPr>
                    <w:snapToGrid w:val="0"/>
                    <w:ind w:firstLine="420" w:firstLineChars="200"/>
                    <w:rPr>
                      <w:color w:val="000000"/>
                      <w:szCs w:val="21"/>
                    </w:rPr>
                  </w:pPr>
                  <w:r>
                    <w:rPr>
                      <w:rFonts w:hint="eastAsia"/>
                      <w:color w:val="000000"/>
                      <w:szCs w:val="21"/>
                    </w:rPr>
                    <w:t>本项目区域所在地大气环境能够满足《环境空气项标准》（GB3095-2012）二级标准要求，本项目大气污染物颗粒物（TSP），经有效处理，能达标排放。</w:t>
                  </w:r>
                </w:p>
                <w:p>
                  <w:pPr>
                    <w:snapToGrid w:val="0"/>
                    <w:ind w:firstLine="420" w:firstLineChars="200"/>
                    <w:rPr>
                      <w:color w:val="000000"/>
                      <w:szCs w:val="21"/>
                    </w:rPr>
                  </w:pPr>
                  <w:r>
                    <w:rPr>
                      <w:rFonts w:hint="eastAsia"/>
                      <w:color w:val="000000"/>
                      <w:szCs w:val="21"/>
                    </w:rPr>
                    <w:t>本项目危险废物为生产设备维修过程产生的废机油，设危废暂存间，做好防渗措施。项目沉淀池底为混凝土结构，化粪池设置防渗措施，不会对土壤环境质量造成影响。</w:t>
                  </w:r>
                </w:p>
              </w:tc>
              <w:tc>
                <w:tcPr>
                  <w:tcW w:w="0" w:type="auto"/>
                  <w:shd w:val="clear" w:color="auto" w:fill="auto"/>
                  <w:vAlign w:val="center"/>
                </w:tcPr>
                <w:p>
                  <w:pPr>
                    <w:snapToGrid w:val="0"/>
                    <w:jc w:val="center"/>
                    <w:rPr>
                      <w:color w:val="000000"/>
                      <w:szCs w:val="21"/>
                    </w:rPr>
                  </w:pPr>
                  <w:r>
                    <w:rPr>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auto"/>
                  <w:vAlign w:val="center"/>
                </w:tcPr>
                <w:p>
                  <w:pPr>
                    <w:snapToGrid w:val="0"/>
                    <w:jc w:val="center"/>
                    <w:rPr>
                      <w:color w:val="000000"/>
                      <w:szCs w:val="21"/>
                    </w:rPr>
                  </w:pPr>
                  <w:r>
                    <w:rPr>
                      <w:color w:val="000000"/>
                      <w:szCs w:val="21"/>
                    </w:rPr>
                    <w:t>资源利用上线</w:t>
                  </w:r>
                </w:p>
              </w:tc>
              <w:tc>
                <w:tcPr>
                  <w:tcW w:w="3971" w:type="dxa"/>
                  <w:gridSpan w:val="3"/>
                  <w:shd w:val="clear" w:color="auto" w:fill="auto"/>
                  <w:vAlign w:val="center"/>
                </w:tcPr>
                <w:p>
                  <w:pPr>
                    <w:snapToGrid w:val="0"/>
                    <w:ind w:firstLine="420" w:firstLineChars="200"/>
                    <w:jc w:val="left"/>
                    <w:rPr>
                      <w:color w:val="000000"/>
                      <w:szCs w:val="21"/>
                    </w:rPr>
                  </w:pPr>
                  <w:r>
                    <w:rPr>
                      <w:rFonts w:hint="eastAsia"/>
                      <w:color w:val="000000"/>
                      <w:szCs w:val="21"/>
                    </w:rPr>
                    <w:t>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tc>
              <w:tc>
                <w:tcPr>
                  <w:tcW w:w="2373" w:type="dxa"/>
                  <w:shd w:val="clear" w:color="auto" w:fill="auto"/>
                  <w:vAlign w:val="center"/>
                </w:tcPr>
                <w:p>
                  <w:pPr>
                    <w:snapToGrid w:val="0"/>
                    <w:ind w:firstLine="420" w:firstLineChars="200"/>
                    <w:rPr>
                      <w:color w:val="000000"/>
                      <w:szCs w:val="21"/>
                    </w:rPr>
                  </w:pPr>
                  <w:r>
                    <w:rPr>
                      <w:rFonts w:hint="eastAsia"/>
                      <w:color w:val="000000"/>
                      <w:szCs w:val="21"/>
                    </w:rPr>
                    <w:t>项目用生产用水全部进入生产产品，其他生产废水经过处理后回用，并不造成水资源浪费，且总体用水量不大。</w:t>
                  </w:r>
                </w:p>
                <w:p>
                  <w:pPr>
                    <w:snapToGrid w:val="0"/>
                    <w:ind w:firstLine="420" w:firstLineChars="200"/>
                    <w:rPr>
                      <w:color w:val="000000"/>
                      <w:szCs w:val="21"/>
                    </w:rPr>
                  </w:pPr>
                  <w:r>
                    <w:rPr>
                      <w:rFonts w:hint="eastAsia"/>
                      <w:color w:val="000000"/>
                      <w:szCs w:val="21"/>
                    </w:rPr>
                    <w:t>项目生产过程主要使用电能，不属于高耗能项目。</w:t>
                  </w:r>
                </w:p>
                <w:p>
                  <w:pPr>
                    <w:snapToGrid w:val="0"/>
                    <w:ind w:firstLine="420" w:firstLineChars="200"/>
                    <w:rPr>
                      <w:color w:val="000000"/>
                      <w:szCs w:val="21"/>
                    </w:rPr>
                  </w:pPr>
                  <w:r>
                    <w:rPr>
                      <w:rFonts w:hint="eastAsia"/>
                      <w:color w:val="000000"/>
                      <w:szCs w:val="21"/>
                    </w:rPr>
                    <w:t>项目不占用耕地及基本农田，且项目为临时用地，不会突破当地土地资源利用上线。</w:t>
                  </w:r>
                </w:p>
              </w:tc>
              <w:tc>
                <w:tcPr>
                  <w:tcW w:w="0" w:type="auto"/>
                  <w:shd w:val="clear" w:color="auto" w:fill="auto"/>
                  <w:vAlign w:val="center"/>
                </w:tcPr>
                <w:p>
                  <w:pPr>
                    <w:snapToGrid w:val="0"/>
                    <w:jc w:val="center"/>
                    <w:rPr>
                      <w:color w:val="000000"/>
                      <w:szCs w:val="21"/>
                    </w:rPr>
                  </w:pPr>
                  <w:r>
                    <w:rPr>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0" w:type="auto"/>
                  <w:vMerge w:val="restart"/>
                  <w:shd w:val="clear" w:color="auto" w:fill="auto"/>
                  <w:vAlign w:val="center"/>
                </w:tcPr>
                <w:p>
                  <w:pPr>
                    <w:snapToGrid w:val="0"/>
                    <w:jc w:val="center"/>
                    <w:rPr>
                      <w:color w:val="000000"/>
                      <w:szCs w:val="21"/>
                    </w:rPr>
                  </w:pPr>
                  <w:r>
                    <w:rPr>
                      <w:color w:val="000000"/>
                      <w:szCs w:val="21"/>
                    </w:rPr>
                    <w:t>生态环境准入清单</w:t>
                  </w:r>
                </w:p>
              </w:tc>
              <w:tc>
                <w:tcPr>
                  <w:tcW w:w="426" w:type="dxa"/>
                  <w:vMerge w:val="restart"/>
                  <w:shd w:val="clear" w:color="auto" w:fill="auto"/>
                  <w:vAlign w:val="center"/>
                </w:tcPr>
                <w:p>
                  <w:pPr>
                    <w:snapToGrid w:val="0"/>
                    <w:rPr>
                      <w:color w:val="000000"/>
                      <w:szCs w:val="21"/>
                    </w:rPr>
                  </w:pPr>
                  <w:r>
                    <w:rPr>
                      <w:rFonts w:hint="eastAsia"/>
                      <w:color w:val="000000"/>
                      <w:szCs w:val="21"/>
                    </w:rPr>
                    <w:t>东川区土壤污染重点管控单元</w:t>
                  </w:r>
                </w:p>
              </w:tc>
              <w:tc>
                <w:tcPr>
                  <w:tcW w:w="410" w:type="dxa"/>
                  <w:shd w:val="clear" w:color="auto" w:fill="auto"/>
                  <w:vAlign w:val="center"/>
                </w:tcPr>
                <w:p>
                  <w:pPr>
                    <w:snapToGrid w:val="0"/>
                    <w:rPr>
                      <w:color w:val="000000"/>
                      <w:szCs w:val="21"/>
                    </w:rPr>
                  </w:pPr>
                  <w:r>
                    <w:rPr>
                      <w:rFonts w:hint="eastAsia"/>
                      <w:color w:val="000000"/>
                      <w:szCs w:val="21"/>
                    </w:rPr>
                    <w:t>空间布局约束</w:t>
                  </w:r>
                </w:p>
              </w:tc>
              <w:tc>
                <w:tcPr>
                  <w:tcW w:w="3135" w:type="dxa"/>
                  <w:shd w:val="clear" w:color="auto" w:fill="auto"/>
                  <w:vAlign w:val="center"/>
                </w:tcPr>
                <w:p>
                  <w:pPr>
                    <w:snapToGrid w:val="0"/>
                    <w:ind w:firstLine="420" w:firstLineChars="200"/>
                    <w:rPr>
                      <w:color w:val="000000"/>
                      <w:szCs w:val="21"/>
                    </w:rPr>
                  </w:pPr>
                  <w:r>
                    <w:rPr>
                      <w:rFonts w:hint="eastAsia"/>
                      <w:color w:val="000000"/>
                      <w:szCs w:val="21"/>
                    </w:rPr>
                    <w:t>1.禁止在崩塌、滑坡危险区和泥石流易发区从事取土、挖砂、采石等可能造成水土流失的活动。</w:t>
                  </w:r>
                </w:p>
                <w:p>
                  <w:pPr>
                    <w:snapToGrid w:val="0"/>
                    <w:ind w:firstLine="420" w:firstLineChars="200"/>
                    <w:rPr>
                      <w:color w:val="000000"/>
                      <w:szCs w:val="21"/>
                    </w:rPr>
                  </w:pPr>
                  <w:r>
                    <w:rPr>
                      <w:rFonts w:hint="eastAsia"/>
                      <w:color w:val="000000"/>
                      <w:szCs w:val="21"/>
                    </w:rPr>
                    <w:t>2.限制新建、改扩建各类畜禽养殖场，已建的应配套建设粪便污水贮存、处理、利用设施实现粪污综合利用。</w:t>
                  </w:r>
                </w:p>
                <w:p>
                  <w:pPr>
                    <w:snapToGrid w:val="0"/>
                    <w:ind w:firstLine="420" w:firstLineChars="200"/>
                    <w:rPr>
                      <w:color w:val="000000"/>
                      <w:szCs w:val="21"/>
                    </w:rPr>
                  </w:pPr>
                  <w:r>
                    <w:rPr>
                      <w:rFonts w:hint="eastAsia"/>
                      <w:color w:val="000000"/>
                      <w:szCs w:val="21"/>
                    </w:rPr>
                    <w:t>3.现有散、小规模养殖场（户）应限期实现退养或标准化改造。</w:t>
                  </w:r>
                </w:p>
                <w:p>
                  <w:pPr>
                    <w:snapToGrid w:val="0"/>
                    <w:ind w:firstLine="420" w:firstLineChars="200"/>
                    <w:rPr>
                      <w:color w:val="000000"/>
                      <w:szCs w:val="21"/>
                    </w:rPr>
                  </w:pPr>
                  <w:r>
                    <w:rPr>
                      <w:rFonts w:hint="eastAsia"/>
                      <w:color w:val="000000"/>
                      <w:szCs w:val="21"/>
                    </w:rPr>
                    <w:t>4.禁止超标排放，污水收集管网范围内除相关法律法规和标准规定必须设置排污口的情况外，应全部纳入污水管网集中处理，现有的入河排污口应限期纳入污水管网。</w:t>
                  </w:r>
                </w:p>
              </w:tc>
              <w:tc>
                <w:tcPr>
                  <w:tcW w:w="2373" w:type="dxa"/>
                  <w:shd w:val="clear" w:color="auto" w:fill="auto"/>
                  <w:vAlign w:val="center"/>
                </w:tcPr>
                <w:p>
                  <w:pPr>
                    <w:snapToGrid w:val="0"/>
                    <w:ind w:firstLine="420" w:firstLineChars="200"/>
                    <w:rPr>
                      <w:color w:val="000000"/>
                      <w:szCs w:val="21"/>
                    </w:rPr>
                  </w:pPr>
                  <w:r>
                    <w:rPr>
                      <w:rFonts w:hint="eastAsia"/>
                      <w:color w:val="000000"/>
                      <w:szCs w:val="21"/>
                    </w:rPr>
                    <w:t>项目属于水泥制品制造，并没有开展可能造成水土流失的活动；产生的项目废水不外排，生活污水用槽罐车外送污水处理厂处理。</w:t>
                  </w:r>
                </w:p>
              </w:tc>
              <w:tc>
                <w:tcPr>
                  <w:tcW w:w="0" w:type="auto"/>
                  <w:vMerge w:val="restart"/>
                  <w:shd w:val="clear" w:color="auto" w:fill="auto"/>
                  <w:vAlign w:val="center"/>
                </w:tcPr>
                <w:p>
                  <w:pPr>
                    <w:snapToGrid w:val="0"/>
                    <w:jc w:val="center"/>
                    <w:rPr>
                      <w:color w:val="000000"/>
                      <w:szCs w:val="21"/>
                    </w:rPr>
                  </w:pPr>
                  <w:r>
                    <w:rPr>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0" w:type="auto"/>
                  <w:vMerge w:val="continue"/>
                  <w:shd w:val="clear" w:color="auto" w:fill="auto"/>
                  <w:vAlign w:val="center"/>
                </w:tcPr>
                <w:p>
                  <w:pPr>
                    <w:snapToGrid w:val="0"/>
                    <w:jc w:val="center"/>
                    <w:rPr>
                      <w:color w:val="000000"/>
                      <w:szCs w:val="21"/>
                    </w:rPr>
                  </w:pPr>
                </w:p>
              </w:tc>
              <w:tc>
                <w:tcPr>
                  <w:tcW w:w="426" w:type="dxa"/>
                  <w:vMerge w:val="continue"/>
                  <w:shd w:val="clear" w:color="auto" w:fill="auto"/>
                  <w:vAlign w:val="center"/>
                </w:tcPr>
                <w:p>
                  <w:pPr>
                    <w:snapToGrid w:val="0"/>
                    <w:rPr>
                      <w:color w:val="000000"/>
                      <w:szCs w:val="21"/>
                    </w:rPr>
                  </w:pPr>
                </w:p>
              </w:tc>
              <w:tc>
                <w:tcPr>
                  <w:tcW w:w="410" w:type="dxa"/>
                  <w:shd w:val="clear" w:color="auto" w:fill="auto"/>
                  <w:vAlign w:val="center"/>
                </w:tcPr>
                <w:p>
                  <w:pPr>
                    <w:snapToGrid w:val="0"/>
                    <w:rPr>
                      <w:color w:val="000000"/>
                      <w:szCs w:val="21"/>
                    </w:rPr>
                  </w:pPr>
                  <w:r>
                    <w:rPr>
                      <w:rFonts w:hint="eastAsia"/>
                      <w:color w:val="000000"/>
                      <w:szCs w:val="21"/>
                    </w:rPr>
                    <w:t>污染物排放管控</w:t>
                  </w:r>
                </w:p>
              </w:tc>
              <w:tc>
                <w:tcPr>
                  <w:tcW w:w="3135" w:type="dxa"/>
                  <w:shd w:val="clear" w:color="auto" w:fill="auto"/>
                  <w:vAlign w:val="center"/>
                </w:tcPr>
                <w:p>
                  <w:pPr>
                    <w:snapToGrid w:val="0"/>
                    <w:ind w:firstLine="420" w:firstLineChars="200"/>
                    <w:rPr>
                      <w:color w:val="000000"/>
                      <w:szCs w:val="21"/>
                    </w:rPr>
                  </w:pPr>
                  <w:r>
                    <w:rPr>
                      <w:rFonts w:hint="eastAsia"/>
                      <w:color w:val="000000"/>
                      <w:szCs w:val="21"/>
                    </w:rPr>
                    <w:t>1.按《云南省地表水水环境功能区划（2010~2020年）》要求，保持水质类别为饮用水一级A，水质Ⅲ类及以上。该区域属于大气气体敏感区，现有排放大气污染物的工业企业持续开展节能减排，大气污染严重的工业企业应责令关停或逐步迁出。</w:t>
                  </w:r>
                </w:p>
                <w:p>
                  <w:pPr>
                    <w:snapToGrid w:val="0"/>
                    <w:ind w:firstLine="420" w:firstLineChars="200"/>
                    <w:rPr>
                      <w:color w:val="000000"/>
                      <w:szCs w:val="21"/>
                    </w:rPr>
                  </w:pPr>
                  <w:r>
                    <w:rPr>
                      <w:rFonts w:hint="eastAsia"/>
                      <w:color w:val="000000"/>
                      <w:szCs w:val="21"/>
                    </w:rPr>
                    <w:t>2.禁止焚烧生活垃圾、建筑垃圾等废弃物。禁止使用国务院环境保护行政主管部门规定的高污染燃料，加强餐饮业燃料烟气及餐饮油烟防治，鼓励餐饮业及居民生活能源使用清洁能源。</w:t>
                  </w:r>
                </w:p>
                <w:p>
                  <w:pPr>
                    <w:snapToGrid w:val="0"/>
                    <w:ind w:firstLine="420" w:firstLineChars="200"/>
                    <w:rPr>
                      <w:color w:val="000000"/>
                      <w:szCs w:val="21"/>
                    </w:rPr>
                  </w:pPr>
                  <w:r>
                    <w:rPr>
                      <w:rFonts w:hint="eastAsia"/>
                      <w:color w:val="000000"/>
                      <w:szCs w:val="21"/>
                    </w:rPr>
                    <w:t>3</w:t>
                  </w:r>
                  <w:r>
                    <w:rPr>
                      <w:color w:val="000000"/>
                      <w:szCs w:val="21"/>
                    </w:rPr>
                    <w:t>.</w:t>
                  </w:r>
                  <w:r>
                    <w:rPr>
                      <w:rFonts w:hint="eastAsia"/>
                      <w:color w:val="000000"/>
                      <w:szCs w:val="21"/>
                    </w:rPr>
                    <w:t>加强农业面源污染治理。控制城镇扩张速度，节约用水，减少污水产生。</w:t>
                  </w:r>
                </w:p>
              </w:tc>
              <w:tc>
                <w:tcPr>
                  <w:tcW w:w="2373" w:type="dxa"/>
                  <w:shd w:val="clear" w:color="auto" w:fill="auto"/>
                  <w:vAlign w:val="center"/>
                </w:tcPr>
                <w:p>
                  <w:pPr>
                    <w:snapToGrid w:val="0"/>
                    <w:ind w:firstLine="420" w:firstLineChars="200"/>
                    <w:rPr>
                      <w:color w:val="000000"/>
                      <w:szCs w:val="21"/>
                    </w:rPr>
                  </w:pPr>
                  <w:r>
                    <w:rPr>
                      <w:rFonts w:hint="eastAsia"/>
                      <w:color w:val="000000"/>
                      <w:szCs w:val="21"/>
                    </w:rPr>
                    <w:t>1</w:t>
                  </w:r>
                  <w:r>
                    <w:rPr>
                      <w:color w:val="000000"/>
                      <w:szCs w:val="21"/>
                    </w:rPr>
                    <w:t>.</w:t>
                  </w:r>
                  <w:r>
                    <w:rPr>
                      <w:rFonts w:hint="eastAsia"/>
                      <w:color w:val="000000"/>
                      <w:szCs w:val="21"/>
                    </w:rPr>
                    <w:t>项目无废水外排，对附近地表水环境无影响；产生的粉尘污染经有效措施处理后能达标排放，对大气环境影响较小。</w:t>
                  </w:r>
                </w:p>
                <w:p>
                  <w:pPr>
                    <w:snapToGrid w:val="0"/>
                    <w:ind w:firstLine="420" w:firstLineChars="200"/>
                    <w:rPr>
                      <w:color w:val="000000"/>
                      <w:szCs w:val="21"/>
                    </w:rPr>
                  </w:pPr>
                  <w:r>
                    <w:rPr>
                      <w:rFonts w:hint="eastAsia"/>
                      <w:color w:val="000000"/>
                      <w:szCs w:val="21"/>
                    </w:rPr>
                    <w:t>2</w:t>
                  </w:r>
                  <w:r>
                    <w:rPr>
                      <w:color w:val="000000"/>
                      <w:szCs w:val="21"/>
                    </w:rPr>
                    <w:t>.</w:t>
                  </w:r>
                  <w:r>
                    <w:rPr>
                      <w:rFonts w:hint="eastAsia"/>
                      <w:color w:val="000000"/>
                    </w:rPr>
                    <w:t>项目未</w:t>
                  </w:r>
                  <w:r>
                    <w:rPr>
                      <w:rFonts w:hint="eastAsia"/>
                      <w:color w:val="000000"/>
                      <w:szCs w:val="21"/>
                    </w:rPr>
                    <w:t>焚烧生活垃圾、建筑垃圾等废弃物。未使用国务院环境保护行政主管部门规定的高污染燃料。</w:t>
                  </w:r>
                </w:p>
                <w:p>
                  <w:pPr>
                    <w:snapToGrid w:val="0"/>
                    <w:ind w:firstLine="420" w:firstLineChars="200"/>
                    <w:rPr>
                      <w:color w:val="000000"/>
                      <w:szCs w:val="21"/>
                    </w:rPr>
                  </w:pPr>
                  <w:r>
                    <w:rPr>
                      <w:rFonts w:hint="eastAsia"/>
                      <w:color w:val="000000"/>
                      <w:szCs w:val="21"/>
                    </w:rPr>
                    <w:t>3</w:t>
                  </w:r>
                  <w:r>
                    <w:rPr>
                      <w:color w:val="000000"/>
                      <w:szCs w:val="21"/>
                    </w:rPr>
                    <w:t>.</w:t>
                  </w:r>
                  <w:r>
                    <w:rPr>
                      <w:rFonts w:hint="eastAsia"/>
                      <w:color w:val="000000"/>
                      <w:szCs w:val="21"/>
                    </w:rPr>
                    <w:t>项目不存在农业面源污染；项目污水产生量不大。</w:t>
                  </w:r>
                </w:p>
              </w:tc>
              <w:tc>
                <w:tcPr>
                  <w:tcW w:w="0" w:type="auto"/>
                  <w:vMerge w:val="continue"/>
                  <w:shd w:val="clear" w:color="auto" w:fill="auto"/>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0" w:type="auto"/>
                  <w:vMerge w:val="continue"/>
                  <w:shd w:val="clear" w:color="auto" w:fill="auto"/>
                  <w:vAlign w:val="center"/>
                </w:tcPr>
                <w:p>
                  <w:pPr>
                    <w:snapToGrid w:val="0"/>
                    <w:jc w:val="center"/>
                    <w:rPr>
                      <w:color w:val="000000"/>
                      <w:szCs w:val="21"/>
                    </w:rPr>
                  </w:pPr>
                </w:p>
              </w:tc>
              <w:tc>
                <w:tcPr>
                  <w:tcW w:w="426" w:type="dxa"/>
                  <w:vMerge w:val="continue"/>
                  <w:shd w:val="clear" w:color="auto" w:fill="auto"/>
                  <w:vAlign w:val="center"/>
                </w:tcPr>
                <w:p>
                  <w:pPr>
                    <w:snapToGrid w:val="0"/>
                    <w:rPr>
                      <w:color w:val="000000"/>
                      <w:szCs w:val="21"/>
                    </w:rPr>
                  </w:pPr>
                </w:p>
              </w:tc>
              <w:tc>
                <w:tcPr>
                  <w:tcW w:w="410" w:type="dxa"/>
                  <w:shd w:val="clear" w:color="auto" w:fill="auto"/>
                  <w:vAlign w:val="center"/>
                </w:tcPr>
                <w:p>
                  <w:pPr>
                    <w:snapToGrid w:val="0"/>
                    <w:rPr>
                      <w:color w:val="000000"/>
                      <w:szCs w:val="21"/>
                    </w:rPr>
                  </w:pPr>
                  <w:r>
                    <w:rPr>
                      <w:rFonts w:hint="eastAsia"/>
                      <w:color w:val="000000"/>
                      <w:szCs w:val="21"/>
                    </w:rPr>
                    <w:t>环境风险防控</w:t>
                  </w:r>
                </w:p>
              </w:tc>
              <w:tc>
                <w:tcPr>
                  <w:tcW w:w="3135" w:type="dxa"/>
                  <w:shd w:val="clear" w:color="auto" w:fill="auto"/>
                  <w:vAlign w:val="center"/>
                </w:tcPr>
                <w:p>
                  <w:pPr>
                    <w:snapToGrid w:val="0"/>
                    <w:ind w:firstLine="420" w:firstLineChars="200"/>
                    <w:rPr>
                      <w:color w:val="000000"/>
                      <w:szCs w:val="21"/>
                    </w:rPr>
                  </w:pPr>
                  <w:r>
                    <w:rPr>
                      <w:rFonts w:hint="eastAsia"/>
                      <w:color w:val="000000"/>
                      <w:szCs w:val="21"/>
                    </w:rPr>
                    <w:t>1.禁止生活污水未经处理排放。严禁在水库岸线建设餐饮、娱乐、酒店等旅游设施。</w:t>
                  </w:r>
                </w:p>
                <w:p>
                  <w:pPr>
                    <w:snapToGrid w:val="0"/>
                    <w:ind w:firstLine="420" w:firstLineChars="200"/>
                    <w:rPr>
                      <w:color w:val="000000"/>
                      <w:szCs w:val="21"/>
                    </w:rPr>
                  </w:pPr>
                  <w:r>
                    <w:rPr>
                      <w:rFonts w:hint="eastAsia"/>
                      <w:color w:val="000000"/>
                      <w:szCs w:val="21"/>
                    </w:rPr>
                    <w:t>2.禁止在河流附近修建餐饮等娱乐设施。建立环境风险预测预警体系，完善突发环境事件应急预案，提高预警能力。</w:t>
                  </w:r>
                </w:p>
              </w:tc>
              <w:tc>
                <w:tcPr>
                  <w:tcW w:w="2373" w:type="dxa"/>
                  <w:shd w:val="clear" w:color="auto" w:fill="auto"/>
                  <w:vAlign w:val="center"/>
                </w:tcPr>
                <w:p>
                  <w:pPr>
                    <w:snapToGrid w:val="0"/>
                    <w:ind w:firstLine="420" w:firstLineChars="200"/>
                    <w:rPr>
                      <w:color w:val="000000"/>
                      <w:szCs w:val="21"/>
                    </w:rPr>
                  </w:pPr>
                  <w:r>
                    <w:rPr>
                      <w:rFonts w:hint="eastAsia"/>
                      <w:color w:val="000000"/>
                      <w:szCs w:val="21"/>
                    </w:rPr>
                    <w:t>项目生活污水用槽罐车外送污水处理厂处理，对附近河流我影响。</w:t>
                  </w:r>
                </w:p>
              </w:tc>
              <w:tc>
                <w:tcPr>
                  <w:tcW w:w="0" w:type="auto"/>
                  <w:vMerge w:val="continue"/>
                  <w:shd w:val="clear" w:color="auto" w:fill="auto"/>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0" w:type="auto"/>
                  <w:vMerge w:val="continue"/>
                  <w:shd w:val="clear" w:color="auto" w:fill="auto"/>
                  <w:vAlign w:val="center"/>
                </w:tcPr>
                <w:p>
                  <w:pPr>
                    <w:snapToGrid w:val="0"/>
                    <w:jc w:val="center"/>
                    <w:rPr>
                      <w:color w:val="000000"/>
                      <w:szCs w:val="21"/>
                    </w:rPr>
                  </w:pPr>
                </w:p>
              </w:tc>
              <w:tc>
                <w:tcPr>
                  <w:tcW w:w="426" w:type="dxa"/>
                  <w:vMerge w:val="continue"/>
                  <w:shd w:val="clear" w:color="auto" w:fill="auto"/>
                  <w:vAlign w:val="center"/>
                </w:tcPr>
                <w:p>
                  <w:pPr>
                    <w:snapToGrid w:val="0"/>
                    <w:rPr>
                      <w:color w:val="000000"/>
                      <w:szCs w:val="21"/>
                    </w:rPr>
                  </w:pPr>
                </w:p>
              </w:tc>
              <w:tc>
                <w:tcPr>
                  <w:tcW w:w="410" w:type="dxa"/>
                  <w:shd w:val="clear" w:color="auto" w:fill="auto"/>
                  <w:vAlign w:val="center"/>
                </w:tcPr>
                <w:p>
                  <w:pPr>
                    <w:snapToGrid w:val="0"/>
                    <w:rPr>
                      <w:color w:val="000000"/>
                      <w:szCs w:val="21"/>
                    </w:rPr>
                  </w:pPr>
                  <w:r>
                    <w:rPr>
                      <w:rFonts w:hint="eastAsia"/>
                      <w:color w:val="000000"/>
                      <w:szCs w:val="21"/>
                    </w:rPr>
                    <w:t>资源开发效率要求</w:t>
                  </w:r>
                </w:p>
              </w:tc>
              <w:tc>
                <w:tcPr>
                  <w:tcW w:w="3135" w:type="dxa"/>
                  <w:shd w:val="clear" w:color="auto" w:fill="auto"/>
                  <w:vAlign w:val="center"/>
                </w:tcPr>
                <w:p>
                  <w:pPr>
                    <w:snapToGrid w:val="0"/>
                    <w:ind w:firstLine="420" w:firstLineChars="200"/>
                    <w:rPr>
                      <w:color w:val="000000"/>
                      <w:szCs w:val="21"/>
                    </w:rPr>
                  </w:pPr>
                  <w:r>
                    <w:rPr>
                      <w:rFonts w:hint="eastAsia"/>
                      <w:color w:val="000000"/>
                      <w:szCs w:val="21"/>
                    </w:rPr>
                    <w:t>工业污水处理达标率达到100%。</w:t>
                  </w:r>
                </w:p>
              </w:tc>
              <w:tc>
                <w:tcPr>
                  <w:tcW w:w="2373" w:type="dxa"/>
                  <w:shd w:val="clear" w:color="auto" w:fill="auto"/>
                  <w:vAlign w:val="center"/>
                </w:tcPr>
                <w:p>
                  <w:pPr>
                    <w:snapToGrid w:val="0"/>
                    <w:ind w:firstLine="420" w:firstLineChars="200"/>
                    <w:rPr>
                      <w:color w:val="000000"/>
                      <w:szCs w:val="21"/>
                    </w:rPr>
                  </w:pPr>
                  <w:r>
                    <w:rPr>
                      <w:rFonts w:hint="eastAsia"/>
                      <w:color w:val="000000"/>
                      <w:szCs w:val="21"/>
                    </w:rPr>
                    <w:t>项目生产过程中产生的废水，经沉淀池沉淀后回用于生产，处理率达到1</w:t>
                  </w:r>
                  <w:r>
                    <w:rPr>
                      <w:color w:val="000000"/>
                      <w:szCs w:val="21"/>
                    </w:rPr>
                    <w:t>00</w:t>
                  </w:r>
                  <w:r>
                    <w:rPr>
                      <w:rFonts w:hint="eastAsia"/>
                      <w:color w:val="000000"/>
                      <w:szCs w:val="21"/>
                    </w:rPr>
                    <w:t>%。</w:t>
                  </w:r>
                </w:p>
              </w:tc>
              <w:tc>
                <w:tcPr>
                  <w:tcW w:w="0" w:type="auto"/>
                  <w:vMerge w:val="continue"/>
                  <w:shd w:val="clear" w:color="auto" w:fill="auto"/>
                  <w:vAlign w:val="center"/>
                </w:tcPr>
                <w:p>
                  <w:pPr>
                    <w:snapToGrid w:val="0"/>
                    <w:jc w:val="center"/>
                    <w:rPr>
                      <w:color w:val="000000"/>
                      <w:szCs w:val="21"/>
                    </w:rPr>
                  </w:pPr>
                </w:p>
              </w:tc>
            </w:tr>
          </w:tbl>
          <w:p>
            <w:pPr>
              <w:snapToGrid w:val="0"/>
              <w:spacing w:line="360" w:lineRule="auto"/>
              <w:ind w:firstLine="480" w:firstLineChars="200"/>
              <w:rPr>
                <w:color w:val="000000"/>
                <w:sz w:val="24"/>
                <w:szCs w:val="21"/>
              </w:rPr>
            </w:pPr>
            <w:r>
              <w:rPr>
                <w:rFonts w:hint="eastAsia"/>
                <w:color w:val="000000"/>
                <w:sz w:val="24"/>
                <w:szCs w:val="21"/>
              </w:rPr>
              <w:t>综上所述，项目不涉及生态保护红线，项目不会突破环境质量底线，符合资源利用上线，本项目与“三线一单”基本相符。</w:t>
            </w:r>
          </w:p>
          <w:p>
            <w:pPr>
              <w:snapToGrid w:val="0"/>
              <w:spacing w:line="360" w:lineRule="auto"/>
              <w:rPr>
                <w:b/>
                <w:bCs/>
                <w:color w:val="000000"/>
                <w:sz w:val="24"/>
                <w:szCs w:val="21"/>
              </w:rPr>
            </w:pPr>
            <w:r>
              <w:rPr>
                <w:rFonts w:hint="eastAsia"/>
                <w:b/>
                <w:bCs/>
                <w:color w:val="000000"/>
                <w:sz w:val="24"/>
                <w:szCs w:val="21"/>
              </w:rPr>
              <w:t>3、项目与《昆明市预拌混凝土管理办法》符合性分析</w:t>
            </w:r>
          </w:p>
          <w:p>
            <w:pPr>
              <w:adjustRightInd w:val="0"/>
              <w:snapToGrid w:val="0"/>
              <w:spacing w:line="360" w:lineRule="auto"/>
              <w:ind w:firstLine="480" w:firstLineChars="200"/>
              <w:jc w:val="left"/>
              <w:rPr>
                <w:color w:val="000000"/>
                <w:sz w:val="24"/>
                <w:szCs w:val="21"/>
              </w:rPr>
            </w:pPr>
            <w:r>
              <w:rPr>
                <w:rFonts w:hint="eastAsia"/>
                <w:color w:val="000000"/>
                <w:sz w:val="24"/>
                <w:szCs w:val="21"/>
              </w:rPr>
              <w:t>根据《昆明市预拌混凝土管理办法》（</w:t>
            </w:r>
            <w:r>
              <w:rPr>
                <w:color w:val="000000"/>
                <w:sz w:val="24"/>
                <w:szCs w:val="21"/>
              </w:rPr>
              <w:t>2010</w:t>
            </w:r>
            <w:r>
              <w:rPr>
                <w:rFonts w:hint="eastAsia"/>
                <w:color w:val="000000"/>
                <w:sz w:val="24"/>
                <w:szCs w:val="21"/>
              </w:rPr>
              <w:t>年</w:t>
            </w:r>
            <w:r>
              <w:rPr>
                <w:color w:val="000000"/>
                <w:sz w:val="24"/>
                <w:szCs w:val="21"/>
              </w:rPr>
              <w:t>3</w:t>
            </w:r>
            <w:r>
              <w:rPr>
                <w:rFonts w:hint="eastAsia"/>
                <w:color w:val="000000"/>
                <w:sz w:val="24"/>
                <w:szCs w:val="21"/>
              </w:rPr>
              <w:t>月</w:t>
            </w:r>
            <w:r>
              <w:rPr>
                <w:color w:val="000000"/>
                <w:sz w:val="24"/>
                <w:szCs w:val="21"/>
              </w:rPr>
              <w:t>1</w:t>
            </w:r>
            <w:r>
              <w:rPr>
                <w:rFonts w:hint="eastAsia"/>
                <w:color w:val="000000"/>
                <w:sz w:val="24"/>
                <w:szCs w:val="21"/>
              </w:rPr>
              <w:t>日起施行），本项目与《昆明市预拌混凝土管理办法》相符性分析见表</w:t>
            </w:r>
            <w:r>
              <w:rPr>
                <w:color w:val="000000"/>
                <w:sz w:val="24"/>
                <w:szCs w:val="21"/>
              </w:rPr>
              <w:t>1-3</w:t>
            </w:r>
            <w:r>
              <w:rPr>
                <w:rFonts w:hint="eastAsia"/>
                <w:color w:val="000000"/>
                <w:sz w:val="24"/>
                <w:szCs w:val="21"/>
              </w:rPr>
              <w:t>。</w:t>
            </w:r>
          </w:p>
          <w:p>
            <w:pPr>
              <w:adjustRightInd w:val="0"/>
              <w:snapToGrid w:val="0"/>
              <w:spacing w:line="360" w:lineRule="auto"/>
              <w:jc w:val="center"/>
              <w:rPr>
                <w:color w:val="000000"/>
                <w:sz w:val="24"/>
                <w:szCs w:val="21"/>
              </w:rPr>
            </w:pPr>
            <w:r>
              <w:rPr>
                <w:rFonts w:hint="eastAsia"/>
                <w:b/>
                <w:bCs/>
                <w:color w:val="000000"/>
                <w:szCs w:val="21"/>
              </w:rPr>
              <w:t>表</w:t>
            </w:r>
            <w:r>
              <w:rPr>
                <w:b/>
                <w:bCs/>
                <w:color w:val="000000"/>
                <w:szCs w:val="21"/>
              </w:rPr>
              <w:t xml:space="preserve">1-3  </w:t>
            </w:r>
            <w:r>
              <w:rPr>
                <w:rFonts w:hint="eastAsia"/>
                <w:b/>
                <w:bCs/>
                <w:color w:val="000000"/>
                <w:szCs w:val="21"/>
              </w:rPr>
              <w:t>项目与《昆明市预拌混凝土管理办法》相符性分</w:t>
            </w:r>
            <w:r>
              <w:rPr>
                <w:rFonts w:hint="eastAsia"/>
                <w:color w:val="000000"/>
                <w:sz w:val="24"/>
                <w:szCs w:val="21"/>
              </w:rPr>
              <w:t>析</w:t>
            </w:r>
          </w:p>
          <w:tbl>
            <w:tblPr>
              <w:tblStyle w:val="88"/>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8"/>
              <w:gridCol w:w="2401"/>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9" w:hRule="atLeast"/>
                <w:tblHeader/>
                <w:jc w:val="right"/>
              </w:trPr>
              <w:tc>
                <w:tcPr>
                  <w:tcW w:w="0" w:type="auto"/>
                  <w:vAlign w:val="center"/>
                </w:tcPr>
                <w:p>
                  <w:pPr>
                    <w:adjustRightInd w:val="0"/>
                    <w:jc w:val="center"/>
                    <w:rPr>
                      <w:color w:val="000000"/>
                      <w:szCs w:val="21"/>
                    </w:rPr>
                  </w:pPr>
                  <w:r>
                    <w:rPr>
                      <w:color w:val="000000"/>
                      <w:szCs w:val="21"/>
                    </w:rPr>
                    <w:t>《昆明市预拌混凝土管理办法》要求</w:t>
                  </w:r>
                </w:p>
              </w:tc>
              <w:tc>
                <w:tcPr>
                  <w:tcW w:w="2401" w:type="dxa"/>
                  <w:vAlign w:val="center"/>
                </w:tcPr>
                <w:p>
                  <w:pPr>
                    <w:adjustRightInd w:val="0"/>
                    <w:snapToGrid w:val="0"/>
                    <w:jc w:val="center"/>
                    <w:rPr>
                      <w:color w:val="000000"/>
                      <w:szCs w:val="21"/>
                    </w:rPr>
                  </w:pPr>
                  <w:r>
                    <w:rPr>
                      <w:color w:val="000000"/>
                      <w:szCs w:val="21"/>
                    </w:rPr>
                    <w:t>本项目情况</w:t>
                  </w:r>
                </w:p>
              </w:tc>
              <w:tc>
                <w:tcPr>
                  <w:tcW w:w="722" w:type="dxa"/>
                  <w:vAlign w:val="center"/>
                </w:tcPr>
                <w:p>
                  <w:pPr>
                    <w:adjustRightInd w:val="0"/>
                    <w:snapToGrid w:val="0"/>
                    <w:jc w:val="center"/>
                    <w:rPr>
                      <w:color w:val="000000"/>
                      <w:szCs w:val="21"/>
                    </w:rPr>
                  </w:pPr>
                  <w:r>
                    <w:rPr>
                      <w:color w:val="000000"/>
                      <w:szCs w:val="21"/>
                    </w:rPr>
                    <w:t>是否</w:t>
                  </w:r>
                </w:p>
                <w:p>
                  <w:pPr>
                    <w:adjustRightInd w:val="0"/>
                    <w:snapToGrid w:val="0"/>
                    <w:jc w:val="center"/>
                    <w:rPr>
                      <w:color w:val="000000"/>
                      <w:szCs w:val="21"/>
                    </w:rPr>
                  </w:pPr>
                  <w:r>
                    <w:rPr>
                      <w:color w:val="000000"/>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blHeader/>
                <w:jc w:val="right"/>
              </w:trPr>
              <w:tc>
                <w:tcPr>
                  <w:tcW w:w="0" w:type="auto"/>
                  <w:vAlign w:val="center"/>
                </w:tcPr>
                <w:p>
                  <w:pPr>
                    <w:adjustRightInd w:val="0"/>
                    <w:ind w:firstLine="420" w:firstLineChars="200"/>
                    <w:rPr>
                      <w:color w:val="000000"/>
                      <w:szCs w:val="21"/>
                    </w:rPr>
                  </w:pPr>
                  <w:r>
                    <w:rPr>
                      <w:rFonts w:hint="eastAsia"/>
                      <w:color w:val="000000"/>
                      <w:szCs w:val="21"/>
                    </w:rPr>
                    <w:t>第九条预拌混凝土生产企业应当按照有关规定取得建设行政主管部门颁发的资质证书，并在资质范围内组织生产和销售预拌混凝土。未取得资质证书的预拌混凝土生产企业不得生产和销售预拌混凝土。</w:t>
                  </w:r>
                </w:p>
              </w:tc>
              <w:tc>
                <w:tcPr>
                  <w:tcW w:w="2401" w:type="dxa"/>
                  <w:vAlign w:val="center"/>
                </w:tcPr>
                <w:p>
                  <w:pPr>
                    <w:adjustRightInd w:val="0"/>
                    <w:snapToGrid w:val="0"/>
                    <w:ind w:firstLine="420" w:firstLineChars="200"/>
                    <w:rPr>
                      <w:color w:val="000000"/>
                      <w:szCs w:val="21"/>
                    </w:rPr>
                  </w:pPr>
                  <w:r>
                    <w:rPr>
                      <w:rFonts w:hint="eastAsia"/>
                      <w:color w:val="000000"/>
                      <w:szCs w:val="21"/>
                    </w:rPr>
                    <w:t>本项目建设单位已取得营业执照，营业执照中预拌混凝土属于项目的经营范围，详见附件2。</w:t>
                  </w:r>
                </w:p>
              </w:tc>
              <w:tc>
                <w:tcPr>
                  <w:tcW w:w="722" w:type="dxa"/>
                  <w:vAlign w:val="center"/>
                </w:tcPr>
                <w:p>
                  <w:pPr>
                    <w:adjustRightInd w:val="0"/>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0" w:type="auto"/>
                </w:tcPr>
                <w:p>
                  <w:pPr>
                    <w:adjustRightInd w:val="0"/>
                    <w:snapToGrid w:val="0"/>
                    <w:ind w:firstLine="420" w:firstLineChars="200"/>
                    <w:jc w:val="left"/>
                    <w:rPr>
                      <w:color w:val="000000"/>
                      <w:szCs w:val="21"/>
                    </w:rPr>
                  </w:pPr>
                  <w:r>
                    <w:rPr>
                      <w:color w:val="000000"/>
                      <w:szCs w:val="21"/>
                    </w:rPr>
                    <w:t>第十条预拌混凝土生产企业设立搅拌站，应当符合国家和省、市有关资源节约、清洁生产、安全文明生产的规定，做到搅拌站场地全硬化，绿化达标，配置相应的污水处理、除尘、降噪、砂石料分离等设施，并报市建设行政主管部门备案。</w:t>
                  </w:r>
                </w:p>
              </w:tc>
              <w:tc>
                <w:tcPr>
                  <w:tcW w:w="2401" w:type="dxa"/>
                  <w:vAlign w:val="center"/>
                </w:tcPr>
                <w:p>
                  <w:pPr>
                    <w:adjustRightInd w:val="0"/>
                    <w:snapToGrid w:val="0"/>
                    <w:ind w:firstLine="420" w:firstLineChars="200"/>
                    <w:rPr>
                      <w:color w:val="000000"/>
                      <w:szCs w:val="21"/>
                    </w:rPr>
                  </w:pPr>
                  <w:r>
                    <w:rPr>
                      <w:color w:val="000000"/>
                      <w:szCs w:val="21"/>
                    </w:rPr>
                    <w:t>本项目符合</w:t>
                  </w:r>
                  <w:r>
                    <w:rPr>
                      <w:rFonts w:hint="eastAsia"/>
                      <w:color w:val="000000"/>
                      <w:szCs w:val="21"/>
                    </w:rPr>
                    <w:t>国家和省、市有关资源节约、清洁生产、安全文明生产的规定，搅拌站场地已全部硬化，设有三级沉淀池处理生产废水、设置化粪池等，设置有效的除尘设施，</w:t>
                  </w:r>
                  <w:r>
                    <w:rPr>
                      <w:color w:val="000000"/>
                      <w:szCs w:val="21"/>
                    </w:rPr>
                    <w:t>项目符合</w:t>
                  </w:r>
                  <w:r>
                    <w:rPr>
                      <w:rFonts w:hint="eastAsia"/>
                      <w:color w:val="000000"/>
                      <w:szCs w:val="21"/>
                    </w:rPr>
                    <w:t>第十条相关规定。</w:t>
                  </w:r>
                </w:p>
              </w:tc>
              <w:tc>
                <w:tcPr>
                  <w:tcW w:w="722" w:type="dxa"/>
                  <w:vAlign w:val="center"/>
                </w:tcPr>
                <w:p>
                  <w:pPr>
                    <w:adjustRightInd w:val="0"/>
                    <w:snapToGrid w:val="0"/>
                    <w:jc w:val="center"/>
                    <w:rPr>
                      <w:color w:val="000000"/>
                      <w:szCs w:val="21"/>
                    </w:rPr>
                  </w:pPr>
                  <w:r>
                    <w:rPr>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0" w:type="auto"/>
                </w:tcPr>
                <w:p>
                  <w:pPr>
                    <w:adjustRightInd w:val="0"/>
                    <w:snapToGrid w:val="0"/>
                    <w:ind w:firstLine="420" w:firstLineChars="200"/>
                    <w:rPr>
                      <w:color w:val="000000"/>
                      <w:szCs w:val="21"/>
                    </w:rPr>
                  </w:pPr>
                  <w:r>
                    <w:rPr>
                      <w:color w:val="000000"/>
                      <w:szCs w:val="21"/>
                    </w:rPr>
                    <w:t>第十一条预拌混凝土生产企业在生产过程中应当遵守下列规定：</w:t>
                  </w:r>
                </w:p>
                <w:p>
                  <w:pPr>
                    <w:adjustRightInd w:val="0"/>
                    <w:snapToGrid w:val="0"/>
                    <w:ind w:firstLine="420" w:firstLineChars="200"/>
                    <w:rPr>
                      <w:color w:val="000000"/>
                      <w:szCs w:val="21"/>
                    </w:rPr>
                  </w:pPr>
                  <w:r>
                    <w:rPr>
                      <w:color w:val="000000"/>
                      <w:szCs w:val="21"/>
                    </w:rPr>
                    <w:t>（一）严格执行国家、省有关标准、规范和规程，建立完善的质量安全保证体系和运行机制；</w:t>
                  </w:r>
                </w:p>
                <w:p>
                  <w:pPr>
                    <w:adjustRightInd w:val="0"/>
                    <w:snapToGrid w:val="0"/>
                    <w:ind w:firstLine="420" w:firstLineChars="200"/>
                    <w:rPr>
                      <w:color w:val="000000"/>
                      <w:szCs w:val="21"/>
                    </w:rPr>
                  </w:pPr>
                  <w:r>
                    <w:rPr>
                      <w:color w:val="000000"/>
                      <w:szCs w:val="21"/>
                    </w:rPr>
                    <w:t>（二）使用合格的建筑材料，按照有关技术标准的要求对进厂原材料进行取样、存样、检验和验收，并对检验和验收资料存档备查；</w:t>
                  </w:r>
                </w:p>
                <w:p>
                  <w:pPr>
                    <w:adjustRightInd w:val="0"/>
                    <w:snapToGrid w:val="0"/>
                    <w:ind w:firstLine="420" w:firstLineChars="200"/>
                    <w:rPr>
                      <w:color w:val="000000"/>
                      <w:szCs w:val="21"/>
                    </w:rPr>
                  </w:pPr>
                  <w:r>
                    <w:rPr>
                      <w:color w:val="000000"/>
                      <w:szCs w:val="21"/>
                    </w:rPr>
                    <w:t>（三）禁止使用在滇池流域和其他重点区域采挖的砂石料；</w:t>
                  </w:r>
                </w:p>
                <w:p>
                  <w:pPr>
                    <w:adjustRightInd w:val="0"/>
                    <w:snapToGrid w:val="0"/>
                    <w:ind w:firstLine="420" w:firstLineChars="200"/>
                    <w:rPr>
                      <w:color w:val="000000"/>
                      <w:szCs w:val="21"/>
                    </w:rPr>
                  </w:pPr>
                  <w:r>
                    <w:rPr>
                      <w:color w:val="000000"/>
                      <w:szCs w:val="21"/>
                    </w:rPr>
                    <w:t>（四）法律、法规、规章及相关技术标准的其他规定。</w:t>
                  </w:r>
                </w:p>
              </w:tc>
              <w:tc>
                <w:tcPr>
                  <w:tcW w:w="2401" w:type="dxa"/>
                  <w:vAlign w:val="center"/>
                </w:tcPr>
                <w:p>
                  <w:pPr>
                    <w:adjustRightInd w:val="0"/>
                    <w:snapToGrid w:val="0"/>
                    <w:ind w:firstLine="420" w:firstLineChars="200"/>
                    <w:rPr>
                      <w:color w:val="000000"/>
                      <w:szCs w:val="21"/>
                    </w:rPr>
                  </w:pPr>
                  <w:r>
                    <w:rPr>
                      <w:color w:val="000000"/>
                      <w:szCs w:val="21"/>
                    </w:rPr>
                    <w:t>本项目所使用原材料均从合法厂家购买，为厂家检验合格的产品</w:t>
                  </w:r>
                  <w:r>
                    <w:rPr>
                      <w:rFonts w:hint="eastAsia"/>
                      <w:color w:val="000000"/>
                      <w:szCs w:val="21"/>
                    </w:rPr>
                    <w:t>，</w:t>
                  </w:r>
                  <w:r>
                    <w:rPr>
                      <w:color w:val="000000"/>
                      <w:szCs w:val="21"/>
                    </w:rPr>
                    <w:t>按照有关技术标准的要求对进厂原材料进行取样、存样、检验和验收，并对检验和验收资料存档备查。</w:t>
                  </w:r>
                  <w:r>
                    <w:rPr>
                      <w:rFonts w:hint="eastAsia"/>
                      <w:color w:val="000000"/>
                      <w:szCs w:val="21"/>
                    </w:rPr>
                    <w:t>本项目未使用在滇池流域和其他重点区域采挖的砂石料。</w:t>
                  </w:r>
                  <w:r>
                    <w:rPr>
                      <w:color w:val="000000"/>
                      <w:szCs w:val="21"/>
                    </w:rPr>
                    <w:t>本项目符合管理办法中的第十一条所列规定。</w:t>
                  </w:r>
                </w:p>
              </w:tc>
              <w:tc>
                <w:tcPr>
                  <w:tcW w:w="722" w:type="dxa"/>
                  <w:vAlign w:val="center"/>
                </w:tcPr>
                <w:p>
                  <w:pPr>
                    <w:adjustRightInd w:val="0"/>
                    <w:snapToGrid w:val="0"/>
                    <w:jc w:val="center"/>
                    <w:rPr>
                      <w:color w:val="000000"/>
                      <w:szCs w:val="21"/>
                    </w:rPr>
                  </w:pPr>
                  <w:r>
                    <w:rPr>
                      <w:color w:val="00000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0" w:type="auto"/>
                </w:tcPr>
                <w:p>
                  <w:pPr>
                    <w:adjustRightInd w:val="0"/>
                    <w:snapToGrid w:val="0"/>
                    <w:ind w:firstLine="420" w:firstLineChars="200"/>
                    <w:jc w:val="left"/>
                    <w:rPr>
                      <w:color w:val="000000"/>
                      <w:szCs w:val="21"/>
                    </w:rPr>
                  </w:pPr>
                  <w:r>
                    <w:rPr>
                      <w:color w:val="000000"/>
                      <w:szCs w:val="21"/>
                    </w:rPr>
                    <w:t>第十三条预拌混凝土生产企业应当保证运输车辆车况良好、安全运输和车容整洁，并在运输过程中采取相应的防漏措施。预拌混凝土专用车辆应当在集中搅拌站、施工场地内冲洗，不得将冲洗的污水直接排入城市排水管网和河道内。本项目保证运输车辆车况良好、安全运输和车容整洁，并在运输过程中采取相应的防漏措施。</w:t>
                  </w:r>
                </w:p>
              </w:tc>
              <w:tc>
                <w:tcPr>
                  <w:tcW w:w="2401" w:type="dxa"/>
                  <w:vAlign w:val="center"/>
                </w:tcPr>
                <w:p>
                  <w:pPr>
                    <w:adjustRightInd w:val="0"/>
                    <w:snapToGrid w:val="0"/>
                    <w:ind w:firstLine="420" w:firstLineChars="200"/>
                    <w:jc w:val="left"/>
                    <w:rPr>
                      <w:color w:val="000000"/>
                      <w:szCs w:val="21"/>
                    </w:rPr>
                  </w:pPr>
                  <w:r>
                    <w:rPr>
                      <w:color w:val="000000"/>
                      <w:szCs w:val="21"/>
                    </w:rPr>
                    <w:t>项目</w:t>
                  </w:r>
                  <w:r>
                    <w:rPr>
                      <w:rFonts w:hint="eastAsia"/>
                      <w:color w:val="000000"/>
                      <w:szCs w:val="21"/>
                    </w:rPr>
                    <w:t>运输车辆车况良好、安全运输和车容整洁，项目使用混凝土专用的运输车，且在搅拌站内设有洗车区域，清洗</w:t>
                  </w:r>
                  <w:r>
                    <w:rPr>
                      <w:color w:val="000000"/>
                      <w:szCs w:val="21"/>
                    </w:rPr>
                    <w:t>废水通过沉淀池处理后回用于生产</w:t>
                  </w:r>
                  <w:r>
                    <w:rPr>
                      <w:rFonts w:hint="eastAsia"/>
                      <w:color w:val="000000"/>
                      <w:szCs w:val="21"/>
                    </w:rPr>
                    <w:t>，不外排</w:t>
                  </w:r>
                  <w:r>
                    <w:rPr>
                      <w:color w:val="000000"/>
                      <w:szCs w:val="21"/>
                    </w:rPr>
                    <w:t>。</w:t>
                  </w:r>
                </w:p>
              </w:tc>
              <w:tc>
                <w:tcPr>
                  <w:tcW w:w="722" w:type="dxa"/>
                  <w:vAlign w:val="center"/>
                </w:tcPr>
                <w:p>
                  <w:pPr>
                    <w:adjustRightInd w:val="0"/>
                    <w:jc w:val="center"/>
                    <w:rPr>
                      <w:color w:val="000000"/>
                      <w:szCs w:val="21"/>
                    </w:rPr>
                  </w:pPr>
                  <w:r>
                    <w:rPr>
                      <w:color w:val="000000"/>
                      <w:szCs w:val="21"/>
                    </w:rPr>
                    <w:t>符合</w:t>
                  </w:r>
                </w:p>
              </w:tc>
            </w:tr>
          </w:tbl>
          <w:p>
            <w:pPr>
              <w:adjustRightInd w:val="0"/>
              <w:snapToGrid w:val="0"/>
              <w:spacing w:line="360" w:lineRule="auto"/>
              <w:ind w:firstLine="480" w:firstLineChars="200"/>
              <w:jc w:val="left"/>
              <w:rPr>
                <w:color w:val="000000"/>
                <w:sz w:val="24"/>
                <w:szCs w:val="21"/>
              </w:rPr>
            </w:pPr>
            <w:r>
              <w:rPr>
                <w:rFonts w:hint="eastAsia"/>
                <w:color w:val="000000"/>
                <w:sz w:val="24"/>
                <w:szCs w:val="21"/>
              </w:rPr>
              <w:t>在严格执行上述规定及要求的情况下，本项目的建设符合《昆明市预拌混凝土管理办法》（昆明市人民政府令第</w:t>
            </w:r>
            <w:r>
              <w:rPr>
                <w:color w:val="000000"/>
                <w:sz w:val="24"/>
                <w:szCs w:val="21"/>
              </w:rPr>
              <w:t>94</w:t>
            </w:r>
            <w:r>
              <w:rPr>
                <w:rFonts w:hint="eastAsia"/>
                <w:color w:val="000000"/>
                <w:sz w:val="24"/>
                <w:szCs w:val="21"/>
              </w:rPr>
              <w:t>号）的规定。</w:t>
            </w:r>
          </w:p>
          <w:p>
            <w:pPr>
              <w:adjustRightInd w:val="0"/>
              <w:snapToGrid w:val="0"/>
              <w:spacing w:line="360" w:lineRule="auto"/>
              <w:jc w:val="left"/>
              <w:rPr>
                <w:b/>
                <w:bCs/>
                <w:color w:val="000000"/>
                <w:sz w:val="24"/>
                <w:szCs w:val="21"/>
              </w:rPr>
            </w:pPr>
            <w:r>
              <w:rPr>
                <w:b/>
                <w:bCs/>
                <w:color w:val="000000"/>
                <w:sz w:val="24"/>
                <w:szCs w:val="21"/>
              </w:rPr>
              <w:t>4、选址合理性分析</w:t>
            </w:r>
          </w:p>
          <w:p>
            <w:pPr>
              <w:adjustRightInd w:val="0"/>
              <w:snapToGrid w:val="0"/>
              <w:spacing w:line="360" w:lineRule="auto"/>
              <w:ind w:firstLine="480" w:firstLineChars="200"/>
              <w:jc w:val="left"/>
              <w:rPr>
                <w:color w:val="000000"/>
                <w:sz w:val="24"/>
                <w:szCs w:val="21"/>
              </w:rPr>
            </w:pPr>
            <w:r>
              <w:rPr>
                <w:rFonts w:hint="eastAsia"/>
                <w:color w:val="000000"/>
                <w:sz w:val="24"/>
                <w:szCs w:val="21"/>
              </w:rPr>
              <w:t>项目位于云南省昆明市东川区拖布卡镇格勒村，地处农村区域，附近只有8户格勒村散户（项目东侧），选址地方均为临时用地，项目临时用地合同见附件5，远离居民聚居区，对当地居民生活无干扰。附近无高压线、炸药库等危险源。项目距离小江较近，设置拌合站蓄水池、沉淀池等措施对水进行过滤，水量充足，可以满足施工用水需求，砂石料拟由合格的石料加工场供应。进料至施工区的道路利用新建便道即可。不受洪水、泥石流和台风威胁，避开塌方、落石、滑坡、危岩等危险地段。避开了取土、弃土场地。不在高危、临边、悬崖、低洼、通道、涵洞等地。项目评价范围内不涉及自然保护区、风景名胜区等需特殊保护的环境敏感区，也不涉及学校、医院、特殊文物保护单位等环境敏感点。</w:t>
            </w:r>
          </w:p>
          <w:p>
            <w:pPr>
              <w:adjustRightInd w:val="0"/>
              <w:snapToGrid w:val="0"/>
              <w:spacing w:line="360" w:lineRule="auto"/>
              <w:ind w:firstLine="480" w:firstLineChars="200"/>
              <w:jc w:val="left"/>
              <w:rPr>
                <w:color w:val="000000"/>
                <w:sz w:val="24"/>
                <w:szCs w:val="21"/>
              </w:rPr>
            </w:pPr>
            <w:r>
              <w:rPr>
                <w:rFonts w:hint="eastAsia"/>
                <w:color w:val="000000"/>
                <w:sz w:val="24"/>
                <w:szCs w:val="21"/>
              </w:rPr>
              <w:t>项目运营期在采取相应环保措施后，产生的大气污染颗粒物可达标排放，对周围环境影响不大；废水可做到不外排，对周围地表水环境影响不大；噪声厂界可达标，不会造成扰民现象；固体废物均能得到合理处置。目前项目周边环境质量良好，外环境较简单，无重大环境制约因素存在。</w:t>
            </w:r>
          </w:p>
          <w:p>
            <w:pPr>
              <w:adjustRightInd w:val="0"/>
              <w:snapToGrid w:val="0"/>
              <w:spacing w:line="360" w:lineRule="auto"/>
              <w:ind w:firstLine="480" w:firstLineChars="200"/>
              <w:jc w:val="left"/>
              <w:rPr>
                <w:color w:val="000000"/>
                <w:sz w:val="24"/>
                <w:szCs w:val="21"/>
              </w:rPr>
            </w:pPr>
            <w:r>
              <w:rPr>
                <w:rFonts w:hint="eastAsia"/>
                <w:color w:val="000000"/>
                <w:sz w:val="24"/>
                <w:szCs w:val="21"/>
              </w:rPr>
              <w:t>综上，项目建设场地条件、交通运输、环境保护和水、电、通信等条件好，无重大的环境制约因素，项目选址合理。</w:t>
            </w:r>
          </w:p>
          <w:p>
            <w:pPr>
              <w:adjustRightInd w:val="0"/>
              <w:snapToGrid w:val="0"/>
              <w:spacing w:line="360" w:lineRule="auto"/>
              <w:jc w:val="left"/>
              <w:rPr>
                <w:b/>
                <w:bCs/>
                <w:color w:val="000000"/>
                <w:sz w:val="24"/>
              </w:rPr>
            </w:pPr>
            <w:r>
              <w:rPr>
                <w:b/>
                <w:bCs/>
                <w:color w:val="000000"/>
                <w:sz w:val="24"/>
              </w:rPr>
              <w:t>5、平面布置合理性分析</w:t>
            </w:r>
          </w:p>
          <w:p>
            <w:pPr>
              <w:adjustRightInd w:val="0"/>
              <w:snapToGrid w:val="0"/>
              <w:spacing w:line="360" w:lineRule="auto"/>
              <w:ind w:firstLine="480" w:firstLineChars="200"/>
              <w:jc w:val="left"/>
              <w:rPr>
                <w:color w:val="000000"/>
                <w:sz w:val="24"/>
                <w:szCs w:val="21"/>
              </w:rPr>
            </w:pPr>
            <w:r>
              <w:rPr>
                <w:rFonts w:hint="eastAsia"/>
                <w:color w:val="000000"/>
                <w:sz w:val="24"/>
                <w:szCs w:val="21"/>
              </w:rPr>
              <w:t>项目厂区呈南北走向，项目南部为储料仓及拌合楼，试验室及生活区位于项目西北部，项目中部区域为停车区及进出运输道路，项目进口道路设置在项目北部，项目进口处设有一间物资仓库，再往里是过磅房。项目建、构筑物的布置紧凑合理，人货流通畅顺捷，减少交叉，可满足生产系统的加工和储、装、运等主要生产环节的要求。总体布置分区明确，布置合理。项目平面布置详见附图3。</w:t>
            </w:r>
          </w:p>
          <w:p>
            <w:pPr>
              <w:adjustRightInd w:val="0"/>
              <w:snapToGrid w:val="0"/>
              <w:spacing w:line="360" w:lineRule="auto"/>
              <w:ind w:firstLine="480" w:firstLineChars="200"/>
              <w:jc w:val="left"/>
              <w:rPr>
                <w:color w:val="000000"/>
                <w:sz w:val="24"/>
                <w:szCs w:val="21"/>
              </w:rPr>
            </w:pPr>
            <w:r>
              <w:rPr>
                <w:rFonts w:hint="eastAsia"/>
                <w:color w:val="000000"/>
                <w:sz w:val="24"/>
                <w:szCs w:val="21"/>
              </w:rPr>
              <w:t>综上所述，项目平面布置合理。</w:t>
            </w:r>
          </w:p>
          <w:p>
            <w:pPr>
              <w:adjustRightInd w:val="0"/>
              <w:snapToGrid w:val="0"/>
              <w:spacing w:line="360" w:lineRule="auto"/>
              <w:jc w:val="left"/>
              <w:rPr>
                <w:b/>
                <w:bCs/>
                <w:color w:val="000000"/>
                <w:sz w:val="24"/>
              </w:rPr>
            </w:pPr>
            <w:r>
              <w:rPr>
                <w:rFonts w:hint="eastAsia"/>
                <w:b/>
                <w:bCs/>
                <w:color w:val="000000"/>
                <w:sz w:val="24"/>
              </w:rPr>
              <w:t>6、环境相容性分析</w:t>
            </w:r>
          </w:p>
          <w:p>
            <w:pPr>
              <w:adjustRightInd w:val="0"/>
              <w:snapToGrid w:val="0"/>
              <w:spacing w:line="360" w:lineRule="auto"/>
              <w:ind w:firstLine="480" w:firstLineChars="200"/>
              <w:jc w:val="left"/>
              <w:rPr>
                <w:color w:val="000000"/>
                <w:sz w:val="24"/>
                <w:szCs w:val="21"/>
              </w:rPr>
            </w:pPr>
            <w:r>
              <w:rPr>
                <w:rFonts w:hint="eastAsia"/>
                <w:color w:val="000000"/>
                <w:sz w:val="24"/>
                <w:szCs w:val="21"/>
              </w:rPr>
              <w:t>项目位于云南省昆明市东川区拖布卡镇格勒村，建设单位临时租用。项目评价范围内无其它企业，于项目不存在制约因素。</w:t>
            </w:r>
          </w:p>
          <w:p>
            <w:pPr>
              <w:adjustRightInd w:val="0"/>
              <w:snapToGrid w:val="0"/>
              <w:spacing w:line="360" w:lineRule="auto"/>
              <w:ind w:firstLine="480" w:firstLineChars="200"/>
              <w:jc w:val="left"/>
              <w:rPr>
                <w:color w:val="000000"/>
                <w:sz w:val="24"/>
                <w:szCs w:val="21"/>
              </w:rPr>
            </w:pPr>
            <w:r>
              <w:rPr>
                <w:rFonts w:hint="eastAsia"/>
                <w:color w:val="000000"/>
                <w:sz w:val="24"/>
                <w:szCs w:val="21"/>
              </w:rPr>
              <w:t>项目无工艺废水产生，产生的清洗废水排入沉淀池沉淀后回用，食堂设置油水分离池，食堂废水经分离后排入化粪池，项目所有生活污水经化粪池处理后用槽罐车外送污水处理厂进行处理。项目废水不外排，对周围环境影响较小。项目大气污染颗粒物经处理后达标排放，噪声厂界能够达标排放，固废处置率为1</w:t>
            </w:r>
            <w:r>
              <w:rPr>
                <w:color w:val="000000"/>
                <w:sz w:val="24"/>
                <w:szCs w:val="21"/>
              </w:rPr>
              <w:t>00</w:t>
            </w:r>
            <w:r>
              <w:rPr>
                <w:rFonts w:hint="eastAsia"/>
                <w:color w:val="000000"/>
                <w:sz w:val="24"/>
                <w:szCs w:val="21"/>
              </w:rPr>
              <w:t>%，项目的建设对周边环境影响小，不会改变区域的大气环境、水环境及声环境质量功能区划。项目与周边环境关系情况详见附图4。</w:t>
            </w:r>
          </w:p>
          <w:p>
            <w:pPr>
              <w:adjustRightInd w:val="0"/>
              <w:snapToGrid w:val="0"/>
              <w:spacing w:line="360" w:lineRule="auto"/>
              <w:ind w:firstLine="480" w:firstLineChars="200"/>
              <w:jc w:val="left"/>
              <w:rPr>
                <w:color w:val="000000"/>
                <w:sz w:val="24"/>
                <w:szCs w:val="21"/>
              </w:rPr>
            </w:pPr>
            <w:r>
              <w:rPr>
                <w:rFonts w:hint="eastAsia"/>
                <w:color w:val="000000"/>
                <w:sz w:val="24"/>
                <w:szCs w:val="21"/>
              </w:rPr>
              <w:t>综上所述，项目的建设与周边环境的相容性较好。</w:t>
            </w:r>
          </w:p>
        </w:tc>
      </w:tr>
    </w:tbl>
    <w:p>
      <w:pPr>
        <w:rPr>
          <w:b/>
          <w:bCs/>
          <w:sz w:val="30"/>
          <w:szCs w:val="30"/>
        </w:rPr>
      </w:pPr>
    </w:p>
    <w:p>
      <w:pPr>
        <w:jc w:val="center"/>
        <w:rPr>
          <w:b/>
          <w:bCs/>
          <w:sz w:val="30"/>
          <w:szCs w:val="30"/>
        </w:rPr>
        <w:sectPr>
          <w:pgSz w:w="11906" w:h="16838"/>
          <w:pgMar w:top="1440" w:right="1800" w:bottom="1440" w:left="1800" w:header="851" w:footer="992" w:gutter="0"/>
          <w:pgNumType w:start="1"/>
          <w:cols w:space="425" w:num="1"/>
          <w:docGrid w:type="lines" w:linePitch="312" w:charSpace="0"/>
        </w:sectPr>
      </w:pPr>
    </w:p>
    <w:p>
      <w:pPr>
        <w:jc w:val="center"/>
        <w:outlineLvl w:val="0"/>
        <w:rPr>
          <w:b/>
          <w:bCs/>
          <w:sz w:val="30"/>
          <w:szCs w:val="30"/>
        </w:rPr>
      </w:pPr>
      <w:bookmarkStart w:id="29" w:name="_Toc31856"/>
      <w:r>
        <w:rPr>
          <w:rFonts w:hint="eastAsia"/>
          <w:b/>
          <w:bCs/>
          <w:sz w:val="30"/>
          <w:szCs w:val="30"/>
        </w:rPr>
        <w:t>二、建设项目工程分析</w:t>
      </w:r>
      <w:bookmarkEnd w:id="29"/>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2"/>
        <w:gridCol w:w="8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vAlign w:val="center"/>
          </w:tcPr>
          <w:p>
            <w:pPr>
              <w:spacing w:line="360" w:lineRule="auto"/>
              <w:jc w:val="center"/>
              <w:rPr>
                <w:sz w:val="24"/>
              </w:rPr>
            </w:pPr>
            <w:r>
              <w:rPr>
                <w:rFonts w:hint="eastAsia"/>
                <w:sz w:val="24"/>
              </w:rPr>
              <w:t>建设内容</w:t>
            </w:r>
          </w:p>
        </w:tc>
        <w:tc>
          <w:tcPr>
            <w:tcW w:w="0" w:type="auto"/>
          </w:tcPr>
          <w:p>
            <w:pPr>
              <w:spacing w:line="360" w:lineRule="auto"/>
              <w:rPr>
                <w:b/>
                <w:bCs/>
                <w:sz w:val="24"/>
              </w:rPr>
            </w:pPr>
            <w:r>
              <w:rPr>
                <w:b/>
                <w:bCs/>
                <w:sz w:val="24"/>
              </w:rPr>
              <w:t>1</w:t>
            </w:r>
            <w:r>
              <w:rPr>
                <w:rFonts w:hint="eastAsia"/>
                <w:b/>
                <w:bCs/>
                <w:sz w:val="24"/>
              </w:rPr>
              <w:t>、项目概况</w:t>
            </w:r>
          </w:p>
          <w:p>
            <w:pPr>
              <w:spacing w:line="360" w:lineRule="auto"/>
              <w:ind w:left="1620" w:leftChars="200" w:hanging="1200" w:hangingChars="500"/>
              <w:rPr>
                <w:sz w:val="24"/>
              </w:rPr>
            </w:pPr>
            <w:r>
              <w:rPr>
                <w:rFonts w:hint="eastAsia"/>
                <w:sz w:val="24"/>
              </w:rPr>
              <w:t>项目名称：中铁十八局集团第二工程有限公司云南省东川港一期建设自用混凝土搅拌站项目</w:t>
            </w:r>
          </w:p>
          <w:p>
            <w:pPr>
              <w:spacing w:line="360" w:lineRule="auto"/>
              <w:ind w:firstLine="480" w:firstLineChars="200"/>
              <w:rPr>
                <w:sz w:val="24"/>
              </w:rPr>
            </w:pPr>
            <w:r>
              <w:rPr>
                <w:rFonts w:hint="eastAsia"/>
                <w:sz w:val="24"/>
              </w:rPr>
              <w:t>建设性质：新建</w:t>
            </w:r>
          </w:p>
          <w:p>
            <w:pPr>
              <w:spacing w:line="360" w:lineRule="auto"/>
              <w:ind w:firstLine="480" w:firstLineChars="200"/>
              <w:rPr>
                <w:sz w:val="24"/>
              </w:rPr>
            </w:pPr>
            <w:r>
              <w:rPr>
                <w:rFonts w:hint="eastAsia"/>
                <w:sz w:val="24"/>
              </w:rPr>
              <w:t>建设地点：云南省昆明市东川区拖布卡镇格勒村</w:t>
            </w:r>
          </w:p>
          <w:p>
            <w:pPr>
              <w:spacing w:line="360" w:lineRule="auto"/>
              <w:ind w:firstLine="480" w:firstLineChars="200"/>
              <w:rPr>
                <w:sz w:val="24"/>
              </w:rPr>
            </w:pPr>
            <w:r>
              <w:rPr>
                <w:rFonts w:hint="eastAsia"/>
                <w:sz w:val="24"/>
              </w:rPr>
              <w:t>建设规模：一条混凝土生产线，设计产能为生产混凝土6万m³/年</w:t>
            </w:r>
          </w:p>
          <w:p>
            <w:pPr>
              <w:spacing w:line="360" w:lineRule="auto"/>
              <w:ind w:firstLine="480" w:firstLineChars="200"/>
              <w:rPr>
                <w:sz w:val="24"/>
              </w:rPr>
            </w:pPr>
            <w:r>
              <w:rPr>
                <w:rFonts w:hint="eastAsia"/>
                <w:sz w:val="24"/>
              </w:rPr>
              <w:t>生产规模：根据东川港项目需求提供混凝土，年产6万m³混凝土</w:t>
            </w:r>
          </w:p>
          <w:p>
            <w:pPr>
              <w:spacing w:line="360" w:lineRule="auto"/>
              <w:ind w:firstLine="480" w:firstLineChars="200"/>
              <w:rPr>
                <w:sz w:val="24"/>
              </w:rPr>
            </w:pPr>
            <w:r>
              <w:rPr>
                <w:rFonts w:hint="eastAsia"/>
                <w:sz w:val="24"/>
              </w:rPr>
              <w:t>项目总投资：1</w:t>
            </w:r>
            <w:r>
              <w:rPr>
                <w:sz w:val="24"/>
              </w:rPr>
              <w:t>89.55</w:t>
            </w:r>
            <w:r>
              <w:rPr>
                <w:rFonts w:hint="eastAsia"/>
                <w:sz w:val="24"/>
              </w:rPr>
              <w:t>万元。</w:t>
            </w:r>
          </w:p>
          <w:p>
            <w:pPr>
              <w:spacing w:line="360" w:lineRule="auto"/>
              <w:rPr>
                <w:b/>
                <w:bCs/>
                <w:sz w:val="24"/>
              </w:rPr>
            </w:pPr>
            <w:r>
              <w:rPr>
                <w:rFonts w:hint="eastAsia"/>
                <w:b/>
                <w:bCs/>
                <w:sz w:val="24"/>
              </w:rPr>
              <w:t>2、项目建设内容</w:t>
            </w:r>
          </w:p>
          <w:p>
            <w:pPr>
              <w:spacing w:line="360" w:lineRule="auto"/>
              <w:ind w:firstLine="480" w:firstLineChars="200"/>
              <w:rPr>
                <w:sz w:val="24"/>
              </w:rPr>
            </w:pPr>
            <w:r>
              <w:rPr>
                <w:rFonts w:hint="eastAsia"/>
                <w:sz w:val="24"/>
              </w:rPr>
              <w:t>项目建设1条生产线及其配套设施，年产混凝土6万m³/a，项目总占地面积4</w:t>
            </w:r>
            <w:r>
              <w:rPr>
                <w:sz w:val="24"/>
              </w:rPr>
              <w:t>2.3</w:t>
            </w:r>
            <w:r>
              <w:rPr>
                <w:rFonts w:hint="eastAsia"/>
                <w:sz w:val="24"/>
              </w:rPr>
              <w:t>亩。</w:t>
            </w:r>
          </w:p>
          <w:p>
            <w:pPr>
              <w:spacing w:line="360" w:lineRule="auto"/>
              <w:ind w:firstLine="480" w:firstLineChars="200"/>
              <w:rPr>
                <w:sz w:val="24"/>
              </w:rPr>
            </w:pPr>
            <w:r>
              <w:rPr>
                <w:rFonts w:hint="eastAsia"/>
                <w:sz w:val="24"/>
              </w:rPr>
              <w:t>主要建设有搅拌楼、配料区、储料库、储罐、办公楼、食堂、宿舍楼、过磅房等设施。项目由主体工程、辅助工程、公用工程和环保工程组成，项目工程组成一览表见表2-1。</w:t>
            </w:r>
          </w:p>
          <w:p>
            <w:pPr>
              <w:spacing w:line="360" w:lineRule="auto"/>
              <w:ind w:firstLine="422" w:firstLineChars="200"/>
              <w:jc w:val="center"/>
              <w:rPr>
                <w:b/>
                <w:bCs/>
                <w:szCs w:val="21"/>
              </w:rPr>
            </w:pPr>
            <w:r>
              <w:rPr>
                <w:rFonts w:hint="eastAsia"/>
                <w:b/>
                <w:bCs/>
                <w:szCs w:val="21"/>
              </w:rPr>
              <w:t>表2-</w:t>
            </w:r>
            <w:r>
              <w:rPr>
                <w:b/>
                <w:bCs/>
                <w:szCs w:val="21"/>
              </w:rPr>
              <w:t xml:space="preserve">1  </w:t>
            </w:r>
            <w:r>
              <w:rPr>
                <w:rFonts w:hint="eastAsia"/>
                <w:b/>
                <w:bCs/>
                <w:szCs w:val="21"/>
              </w:rPr>
              <w:t>项目组成及工程内容一览表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428"/>
              <w:gridCol w:w="881"/>
              <w:gridCol w:w="5304"/>
              <w:gridCol w:w="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638" w:type="pct"/>
                  <w:gridSpan w:val="2"/>
                  <w:vAlign w:val="center"/>
                </w:tcPr>
                <w:p>
                  <w:pPr>
                    <w:spacing w:line="360" w:lineRule="auto"/>
                    <w:jc w:val="center"/>
                    <w:rPr>
                      <w:szCs w:val="21"/>
                    </w:rPr>
                  </w:pPr>
                  <w:r>
                    <w:rPr>
                      <w:szCs w:val="21"/>
                    </w:rPr>
                    <w:t>项目</w:t>
                  </w:r>
                </w:p>
              </w:tc>
              <w:tc>
                <w:tcPr>
                  <w:tcW w:w="564" w:type="pct"/>
                  <w:vAlign w:val="center"/>
                </w:tcPr>
                <w:p>
                  <w:pPr>
                    <w:spacing w:line="360" w:lineRule="auto"/>
                    <w:jc w:val="center"/>
                    <w:rPr>
                      <w:szCs w:val="21"/>
                    </w:rPr>
                  </w:pPr>
                  <w:r>
                    <w:rPr>
                      <w:rFonts w:hint="eastAsia"/>
                      <w:szCs w:val="21"/>
                    </w:rPr>
                    <w:t>建设内容</w:t>
                  </w:r>
                </w:p>
              </w:tc>
              <w:tc>
                <w:tcPr>
                  <w:tcW w:w="3394" w:type="pct"/>
                  <w:vAlign w:val="center"/>
                </w:tcPr>
                <w:p>
                  <w:pPr>
                    <w:spacing w:line="360" w:lineRule="auto"/>
                    <w:jc w:val="center"/>
                    <w:rPr>
                      <w:szCs w:val="21"/>
                    </w:rPr>
                  </w:pPr>
                  <w:r>
                    <w:rPr>
                      <w:rFonts w:hint="eastAsia"/>
                      <w:szCs w:val="21"/>
                    </w:rPr>
                    <w:t>规模</w:t>
                  </w:r>
                </w:p>
              </w:tc>
              <w:tc>
                <w:tcPr>
                  <w:tcW w:w="404" w:type="pct"/>
                  <w:vAlign w:val="center"/>
                </w:tcPr>
                <w:p>
                  <w:pPr>
                    <w:spacing w:line="360" w:lineRule="auto"/>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4" w:type="pct"/>
                  <w:vMerge w:val="restart"/>
                  <w:vAlign w:val="center"/>
                </w:tcPr>
                <w:p>
                  <w:pPr>
                    <w:spacing w:line="360" w:lineRule="auto"/>
                    <w:jc w:val="center"/>
                    <w:rPr>
                      <w:szCs w:val="21"/>
                    </w:rPr>
                  </w:pPr>
                  <w:r>
                    <w:rPr>
                      <w:szCs w:val="21"/>
                    </w:rPr>
                    <w:t>主体工程</w:t>
                  </w:r>
                </w:p>
              </w:tc>
              <w:tc>
                <w:tcPr>
                  <w:tcW w:w="274" w:type="pct"/>
                  <w:vMerge w:val="restart"/>
                  <w:vAlign w:val="center"/>
                </w:tcPr>
                <w:p>
                  <w:pPr>
                    <w:spacing w:line="360" w:lineRule="auto"/>
                    <w:jc w:val="center"/>
                    <w:rPr>
                      <w:szCs w:val="21"/>
                    </w:rPr>
                  </w:pPr>
                  <w:r>
                    <w:rPr>
                      <w:szCs w:val="21"/>
                    </w:rPr>
                    <w:t>混凝土生产线</w:t>
                  </w:r>
                </w:p>
              </w:tc>
              <w:tc>
                <w:tcPr>
                  <w:tcW w:w="564" w:type="pct"/>
                  <w:vAlign w:val="center"/>
                </w:tcPr>
                <w:p>
                  <w:pPr>
                    <w:spacing w:line="360" w:lineRule="auto"/>
                    <w:jc w:val="center"/>
                    <w:rPr>
                      <w:szCs w:val="21"/>
                    </w:rPr>
                  </w:pPr>
                  <w:r>
                    <w:rPr>
                      <w:szCs w:val="21"/>
                    </w:rPr>
                    <w:t>搅拌楼</w:t>
                  </w:r>
                </w:p>
              </w:tc>
              <w:tc>
                <w:tcPr>
                  <w:tcW w:w="3394" w:type="pct"/>
                  <w:vAlign w:val="center"/>
                </w:tcPr>
                <w:p>
                  <w:pPr>
                    <w:spacing w:line="360" w:lineRule="auto"/>
                    <w:jc w:val="center"/>
                    <w:rPr>
                      <w:szCs w:val="21"/>
                    </w:rPr>
                  </w:pPr>
                  <w:r>
                    <w:rPr>
                      <w:szCs w:val="21"/>
                    </w:rPr>
                    <w:t>总占地面积320m</w:t>
                  </w:r>
                  <w:r>
                    <w:rPr>
                      <w:szCs w:val="21"/>
                      <w:vertAlign w:val="superscript"/>
                    </w:rPr>
                    <w:t>2</w:t>
                  </w:r>
                  <w:r>
                    <w:rPr>
                      <w:szCs w:val="21"/>
                    </w:rPr>
                    <w:t>，设置2座拌合楼，为</w:t>
                  </w:r>
                  <w:r>
                    <w:rPr>
                      <w:rFonts w:hint="eastAsia"/>
                      <w:szCs w:val="21"/>
                    </w:rPr>
                    <w:t>钢</w:t>
                  </w:r>
                  <w:r>
                    <w:rPr>
                      <w:szCs w:val="21"/>
                    </w:rPr>
                    <w:t>架结构，主要建设搅拌平台、计量平台、顶房平台三部分，封闭钢架结构，主要进行混凝土计量以及搅拌，</w:t>
                  </w:r>
                  <w:r>
                    <w:rPr>
                      <w:rFonts w:hint="eastAsia"/>
                      <w:szCs w:val="21"/>
                    </w:rPr>
                    <w:t>1</w:t>
                  </w:r>
                  <w:r>
                    <w:rPr>
                      <w:szCs w:val="21"/>
                    </w:rPr>
                    <w:t>座搅拌楼</w:t>
                  </w:r>
                  <w:r>
                    <w:rPr>
                      <w:rFonts w:hint="eastAsia"/>
                      <w:szCs w:val="21"/>
                    </w:rPr>
                    <w:t>型号</w:t>
                  </w:r>
                  <w:r>
                    <w:rPr>
                      <w:szCs w:val="21"/>
                    </w:rPr>
                    <w:t>为HZS180。</w:t>
                  </w:r>
                </w:p>
              </w:tc>
              <w:tc>
                <w:tcPr>
                  <w:tcW w:w="404" w:type="pct"/>
                  <w:vAlign w:val="center"/>
                </w:tcPr>
                <w:p>
                  <w:pPr>
                    <w:spacing w:line="360" w:lineRule="auto"/>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274" w:type="pct"/>
                  <w:vMerge w:val="continue"/>
                  <w:vAlign w:val="center"/>
                </w:tcPr>
                <w:p>
                  <w:pPr>
                    <w:spacing w:line="360" w:lineRule="auto"/>
                    <w:jc w:val="center"/>
                    <w:rPr>
                      <w:szCs w:val="21"/>
                    </w:rPr>
                  </w:pPr>
                </w:p>
              </w:tc>
              <w:tc>
                <w:tcPr>
                  <w:tcW w:w="564" w:type="pct"/>
                  <w:vAlign w:val="center"/>
                </w:tcPr>
                <w:p>
                  <w:pPr>
                    <w:spacing w:line="360" w:lineRule="auto"/>
                    <w:jc w:val="center"/>
                    <w:rPr>
                      <w:szCs w:val="21"/>
                    </w:rPr>
                  </w:pPr>
                  <w:r>
                    <w:rPr>
                      <w:szCs w:val="21"/>
                    </w:rPr>
                    <w:t>储罐</w:t>
                  </w:r>
                </w:p>
              </w:tc>
              <w:tc>
                <w:tcPr>
                  <w:tcW w:w="3394" w:type="pct"/>
                  <w:vAlign w:val="center"/>
                </w:tcPr>
                <w:p>
                  <w:pPr>
                    <w:spacing w:line="360" w:lineRule="auto"/>
                    <w:rPr>
                      <w:szCs w:val="21"/>
                    </w:rPr>
                  </w:pPr>
                  <w:r>
                    <w:rPr>
                      <w:szCs w:val="21"/>
                    </w:rPr>
                    <w:t>设置</w:t>
                  </w:r>
                  <w:r>
                    <w:rPr>
                      <w:rFonts w:hint="eastAsia"/>
                      <w:szCs w:val="21"/>
                    </w:rPr>
                    <w:t>4</w:t>
                  </w:r>
                  <w:r>
                    <w:rPr>
                      <w:szCs w:val="21"/>
                    </w:rPr>
                    <w:t>个容积为150t/个的储罐储存水泥，</w:t>
                  </w:r>
                  <w:r>
                    <w:rPr>
                      <w:rFonts w:hint="eastAsia"/>
                      <w:szCs w:val="21"/>
                    </w:rPr>
                    <w:t>2</w:t>
                  </w:r>
                  <w:r>
                    <w:rPr>
                      <w:szCs w:val="21"/>
                    </w:rPr>
                    <w:t>个容积为150t/个的储罐储存粉煤灰，</w:t>
                  </w:r>
                  <w:r>
                    <w:rPr>
                      <w:rFonts w:hint="eastAsia"/>
                      <w:szCs w:val="21"/>
                    </w:rPr>
                    <w:t>储罐高度为1</w:t>
                  </w:r>
                  <w:r>
                    <w:rPr>
                      <w:szCs w:val="21"/>
                    </w:rPr>
                    <w:t>2m</w:t>
                  </w:r>
                  <w:r>
                    <w:rPr>
                      <w:rFonts w:hint="eastAsia"/>
                      <w:szCs w:val="21"/>
                    </w:rPr>
                    <w:t>，</w:t>
                  </w:r>
                  <w:r>
                    <w:rPr>
                      <w:szCs w:val="21"/>
                    </w:rPr>
                    <w:t>储罐顶部设置脉冲布袋除尘器。</w:t>
                  </w:r>
                </w:p>
              </w:tc>
              <w:tc>
                <w:tcPr>
                  <w:tcW w:w="404" w:type="pct"/>
                  <w:vAlign w:val="center"/>
                </w:tcPr>
                <w:p>
                  <w:pPr>
                    <w:spacing w:line="360" w:lineRule="auto"/>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274" w:type="pct"/>
                  <w:vMerge w:val="continue"/>
                  <w:vAlign w:val="center"/>
                </w:tcPr>
                <w:p>
                  <w:pPr>
                    <w:spacing w:line="360" w:lineRule="auto"/>
                    <w:jc w:val="center"/>
                    <w:rPr>
                      <w:szCs w:val="21"/>
                    </w:rPr>
                  </w:pPr>
                </w:p>
              </w:tc>
              <w:tc>
                <w:tcPr>
                  <w:tcW w:w="564" w:type="pct"/>
                  <w:vAlign w:val="center"/>
                </w:tcPr>
                <w:p>
                  <w:pPr>
                    <w:spacing w:line="360" w:lineRule="auto"/>
                    <w:jc w:val="center"/>
                    <w:rPr>
                      <w:szCs w:val="21"/>
                    </w:rPr>
                  </w:pPr>
                  <w:r>
                    <w:rPr>
                      <w:szCs w:val="21"/>
                    </w:rPr>
                    <w:t>减水剂罐</w:t>
                  </w:r>
                </w:p>
              </w:tc>
              <w:tc>
                <w:tcPr>
                  <w:tcW w:w="3394" w:type="pct"/>
                  <w:vAlign w:val="center"/>
                </w:tcPr>
                <w:p>
                  <w:pPr>
                    <w:spacing w:line="360" w:lineRule="auto"/>
                    <w:jc w:val="center"/>
                    <w:rPr>
                      <w:szCs w:val="21"/>
                    </w:rPr>
                  </w:pPr>
                  <w:r>
                    <w:rPr>
                      <w:szCs w:val="21"/>
                    </w:rPr>
                    <w:t>设置</w:t>
                  </w:r>
                  <w:r>
                    <w:rPr>
                      <w:rFonts w:hint="eastAsia"/>
                      <w:szCs w:val="21"/>
                    </w:rPr>
                    <w:t>1</w:t>
                  </w:r>
                  <w:r>
                    <w:rPr>
                      <w:szCs w:val="21"/>
                    </w:rPr>
                    <w:t>个5t/个的储罐，</w:t>
                  </w:r>
                  <w:r>
                    <w:rPr>
                      <w:rFonts w:hint="eastAsia"/>
                      <w:szCs w:val="21"/>
                    </w:rPr>
                    <w:t>用于储存减水剂</w:t>
                  </w:r>
                  <w:r>
                    <w:rPr>
                      <w:szCs w:val="21"/>
                    </w:rPr>
                    <w:t>。</w:t>
                  </w:r>
                </w:p>
              </w:tc>
              <w:tc>
                <w:tcPr>
                  <w:tcW w:w="404" w:type="pct"/>
                  <w:vAlign w:val="center"/>
                </w:tcPr>
                <w:p>
                  <w:pPr>
                    <w:spacing w:line="360" w:lineRule="auto"/>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274" w:type="pct"/>
                  <w:vMerge w:val="continue"/>
                  <w:vAlign w:val="center"/>
                </w:tcPr>
                <w:p>
                  <w:pPr>
                    <w:spacing w:line="360" w:lineRule="auto"/>
                    <w:jc w:val="center"/>
                    <w:rPr>
                      <w:szCs w:val="21"/>
                    </w:rPr>
                  </w:pPr>
                </w:p>
              </w:tc>
              <w:tc>
                <w:tcPr>
                  <w:tcW w:w="564" w:type="pct"/>
                  <w:vAlign w:val="center"/>
                </w:tcPr>
                <w:p>
                  <w:pPr>
                    <w:spacing w:line="360" w:lineRule="auto"/>
                    <w:jc w:val="center"/>
                    <w:rPr>
                      <w:szCs w:val="21"/>
                    </w:rPr>
                  </w:pPr>
                  <w:r>
                    <w:rPr>
                      <w:szCs w:val="21"/>
                    </w:rPr>
                    <w:t>骨料仓库</w:t>
                  </w:r>
                </w:p>
              </w:tc>
              <w:tc>
                <w:tcPr>
                  <w:tcW w:w="3394" w:type="pct"/>
                  <w:vAlign w:val="center"/>
                </w:tcPr>
                <w:p>
                  <w:pPr>
                    <w:spacing w:line="360" w:lineRule="auto"/>
                    <w:rPr>
                      <w:szCs w:val="21"/>
                    </w:rPr>
                  </w:pPr>
                  <w:r>
                    <w:rPr>
                      <w:szCs w:val="21"/>
                    </w:rPr>
                    <w:t>位于项目区域南部，</w:t>
                  </w:r>
                  <w:r>
                    <w:rPr>
                      <w:rFonts w:hint="eastAsia"/>
                      <w:szCs w:val="21"/>
                    </w:rPr>
                    <w:t>钢结构彩钢棚面积207</w:t>
                  </w:r>
                  <w:r>
                    <w:rPr>
                      <w:szCs w:val="21"/>
                    </w:rPr>
                    <w:t>0</w:t>
                  </w:r>
                  <w:r>
                    <w:rPr>
                      <w:rFonts w:hint="eastAsia"/>
                      <w:szCs w:val="21"/>
                    </w:rPr>
                    <w:t>m</w:t>
                  </w:r>
                  <w:r>
                    <w:rPr>
                      <w:szCs w:val="21"/>
                      <w:vertAlign w:val="superscript"/>
                    </w:rPr>
                    <w:t>2</w:t>
                  </w:r>
                  <w:r>
                    <w:rPr>
                      <w:szCs w:val="21"/>
                    </w:rPr>
                    <w:t>，三面封闭，共7个砂石料仓，单个料仓尺寸为12*20m，顶部采用钢结构彩钢棚，料仓之间用2.5m</w:t>
                  </w:r>
                  <w:r>
                    <w:rPr>
                      <w:rFonts w:hint="eastAsia"/>
                      <w:szCs w:val="21"/>
                    </w:rPr>
                    <w:t>高的</w:t>
                  </w:r>
                  <w:r>
                    <w:rPr>
                      <w:szCs w:val="21"/>
                    </w:rPr>
                    <w:t>砖砌墙隔开。底部、背部及侧面用砼构筑。</w:t>
                  </w:r>
                </w:p>
              </w:tc>
              <w:tc>
                <w:tcPr>
                  <w:tcW w:w="404" w:type="pct"/>
                  <w:vAlign w:val="center"/>
                </w:tcPr>
                <w:p>
                  <w:pPr>
                    <w:spacing w:line="360" w:lineRule="auto"/>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274" w:type="pct"/>
                  <w:vMerge w:val="continue"/>
                  <w:vAlign w:val="center"/>
                </w:tcPr>
                <w:p>
                  <w:pPr>
                    <w:spacing w:line="360" w:lineRule="auto"/>
                    <w:jc w:val="center"/>
                    <w:rPr>
                      <w:szCs w:val="21"/>
                    </w:rPr>
                  </w:pPr>
                </w:p>
              </w:tc>
              <w:tc>
                <w:tcPr>
                  <w:tcW w:w="564" w:type="pct"/>
                  <w:vAlign w:val="center"/>
                </w:tcPr>
                <w:p>
                  <w:pPr>
                    <w:spacing w:line="360" w:lineRule="auto"/>
                    <w:jc w:val="center"/>
                    <w:rPr>
                      <w:szCs w:val="21"/>
                    </w:rPr>
                  </w:pPr>
                  <w:r>
                    <w:rPr>
                      <w:szCs w:val="21"/>
                    </w:rPr>
                    <w:t>配料区</w:t>
                  </w:r>
                </w:p>
              </w:tc>
              <w:tc>
                <w:tcPr>
                  <w:tcW w:w="3394" w:type="pct"/>
                  <w:vAlign w:val="center"/>
                </w:tcPr>
                <w:p>
                  <w:pPr>
                    <w:spacing w:line="360" w:lineRule="auto"/>
                    <w:rPr>
                      <w:szCs w:val="21"/>
                    </w:rPr>
                  </w:pPr>
                  <w:r>
                    <w:rPr>
                      <w:szCs w:val="21"/>
                    </w:rPr>
                    <w:t>总占地面积252m</w:t>
                  </w:r>
                  <w:r>
                    <w:rPr>
                      <w:szCs w:val="21"/>
                      <w:vertAlign w:val="superscript"/>
                    </w:rPr>
                    <w:t>2</w:t>
                  </w:r>
                  <w:r>
                    <w:rPr>
                      <w:szCs w:val="21"/>
                    </w:rPr>
                    <w:t>，位于骨料仓库前，设有</w:t>
                  </w:r>
                  <w:r>
                    <w:rPr>
                      <w:rFonts w:hint="eastAsia"/>
                      <w:szCs w:val="21"/>
                    </w:rPr>
                    <w:t>4</w:t>
                  </w:r>
                  <w:r>
                    <w:rPr>
                      <w:szCs w:val="21"/>
                    </w:rPr>
                    <w:t>个配料斗，便于砂料和公分石进料，每个容积约</w:t>
                  </w:r>
                  <w:r>
                    <w:rPr>
                      <w:rFonts w:hint="eastAsia"/>
                      <w:szCs w:val="21"/>
                    </w:rPr>
                    <w:t>8</w:t>
                  </w:r>
                  <w:r>
                    <w:rPr>
                      <w:szCs w:val="21"/>
                    </w:rPr>
                    <w:t>m</w:t>
                  </w:r>
                  <w:r>
                    <w:rPr>
                      <w:szCs w:val="21"/>
                      <w:vertAlign w:val="superscript"/>
                    </w:rPr>
                    <w:t>3</w:t>
                  </w:r>
                  <w:r>
                    <w:rPr>
                      <w:szCs w:val="21"/>
                    </w:rPr>
                    <w:t>，</w:t>
                  </w:r>
                  <w:r>
                    <w:rPr>
                      <w:rFonts w:hint="eastAsia"/>
                      <w:szCs w:val="21"/>
                    </w:rPr>
                    <w:t>整个配料区采用彩钢棚进行</w:t>
                  </w:r>
                  <w:r>
                    <w:rPr>
                      <w:szCs w:val="21"/>
                    </w:rPr>
                    <w:t>半封闭。</w:t>
                  </w:r>
                </w:p>
              </w:tc>
              <w:tc>
                <w:tcPr>
                  <w:tcW w:w="404" w:type="pct"/>
                  <w:vAlign w:val="center"/>
                </w:tcPr>
                <w:p>
                  <w:pPr>
                    <w:spacing w:line="360" w:lineRule="auto"/>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274" w:type="pct"/>
                  <w:vMerge w:val="continue"/>
                  <w:vAlign w:val="center"/>
                </w:tcPr>
                <w:p>
                  <w:pPr>
                    <w:spacing w:line="360" w:lineRule="auto"/>
                    <w:jc w:val="center"/>
                    <w:rPr>
                      <w:szCs w:val="21"/>
                    </w:rPr>
                  </w:pPr>
                </w:p>
              </w:tc>
              <w:tc>
                <w:tcPr>
                  <w:tcW w:w="564" w:type="pct"/>
                  <w:vAlign w:val="center"/>
                </w:tcPr>
                <w:p>
                  <w:pPr>
                    <w:spacing w:line="360" w:lineRule="auto"/>
                    <w:jc w:val="center"/>
                    <w:rPr>
                      <w:szCs w:val="21"/>
                    </w:rPr>
                  </w:pPr>
                  <w:r>
                    <w:rPr>
                      <w:szCs w:val="21"/>
                    </w:rPr>
                    <w:t>物料输送装置</w:t>
                  </w:r>
                </w:p>
              </w:tc>
              <w:tc>
                <w:tcPr>
                  <w:tcW w:w="3394" w:type="pct"/>
                  <w:vAlign w:val="center"/>
                </w:tcPr>
                <w:p>
                  <w:pPr>
                    <w:spacing w:line="360" w:lineRule="auto"/>
                    <w:jc w:val="center"/>
                    <w:rPr>
                      <w:szCs w:val="21"/>
                    </w:rPr>
                  </w:pPr>
                  <w:r>
                    <w:rPr>
                      <w:rFonts w:hint="eastAsia"/>
                      <w:szCs w:val="21"/>
                    </w:rPr>
                    <w:t>1</w:t>
                  </w:r>
                  <w:r>
                    <w:rPr>
                      <w:szCs w:val="21"/>
                    </w:rPr>
                    <w:t>套，皮带输送机输送骨料至搅拌机，粉料由螺旋输送机输送至搅拌机；水、减水剂由水泵输送至搅拌机。</w:t>
                  </w:r>
                </w:p>
              </w:tc>
              <w:tc>
                <w:tcPr>
                  <w:tcW w:w="404" w:type="pct"/>
                  <w:vAlign w:val="center"/>
                </w:tcPr>
                <w:p>
                  <w:pPr>
                    <w:spacing w:line="360" w:lineRule="auto"/>
                    <w:jc w:val="center"/>
                    <w:rPr>
                      <w:szCs w:val="21"/>
                    </w:rPr>
                  </w:pPr>
                  <w:r>
                    <w:rPr>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274" w:type="pct"/>
                  <w:vMerge w:val="continue"/>
                  <w:vAlign w:val="center"/>
                </w:tcPr>
                <w:p>
                  <w:pPr>
                    <w:spacing w:line="360" w:lineRule="auto"/>
                    <w:jc w:val="center"/>
                    <w:rPr>
                      <w:szCs w:val="21"/>
                    </w:rPr>
                  </w:pPr>
                </w:p>
              </w:tc>
              <w:tc>
                <w:tcPr>
                  <w:tcW w:w="564" w:type="pct"/>
                  <w:vAlign w:val="center"/>
                </w:tcPr>
                <w:p>
                  <w:pPr>
                    <w:spacing w:line="360" w:lineRule="auto"/>
                    <w:jc w:val="center"/>
                    <w:rPr>
                      <w:szCs w:val="21"/>
                    </w:rPr>
                  </w:pPr>
                  <w:r>
                    <w:rPr>
                      <w:szCs w:val="21"/>
                    </w:rPr>
                    <w:t>生产用水蓄水池</w:t>
                  </w:r>
                </w:p>
              </w:tc>
              <w:tc>
                <w:tcPr>
                  <w:tcW w:w="3394" w:type="pct"/>
                  <w:vAlign w:val="center"/>
                </w:tcPr>
                <w:p>
                  <w:pPr>
                    <w:spacing w:line="360" w:lineRule="auto"/>
                    <w:jc w:val="center"/>
                    <w:rPr>
                      <w:szCs w:val="21"/>
                    </w:rPr>
                  </w:pPr>
                  <w:r>
                    <w:rPr>
                      <w:szCs w:val="21"/>
                    </w:rPr>
                    <w:t>共一个，位于配料区前，容积为</w:t>
                  </w:r>
                  <w:r>
                    <w:rPr>
                      <w:color w:val="000000" w:themeColor="text1"/>
                      <w:szCs w:val="21"/>
                      <w14:textFill>
                        <w14:solidFill>
                          <w14:schemeClr w14:val="tx1"/>
                        </w14:solidFill>
                      </w14:textFill>
                    </w:rPr>
                    <w:t>180m³。</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restart"/>
                  <w:vAlign w:val="center"/>
                </w:tcPr>
                <w:p>
                  <w:pPr>
                    <w:spacing w:line="360" w:lineRule="auto"/>
                    <w:jc w:val="center"/>
                    <w:rPr>
                      <w:szCs w:val="21"/>
                    </w:rPr>
                  </w:pPr>
                  <w:r>
                    <w:rPr>
                      <w:szCs w:val="21"/>
                    </w:rPr>
                    <w:t>辅助工程</w:t>
                  </w:r>
                </w:p>
              </w:tc>
              <w:tc>
                <w:tcPr>
                  <w:tcW w:w="838" w:type="pct"/>
                  <w:gridSpan w:val="2"/>
                  <w:vAlign w:val="center"/>
                </w:tcPr>
                <w:p>
                  <w:pPr>
                    <w:spacing w:line="360" w:lineRule="auto"/>
                    <w:jc w:val="center"/>
                    <w:rPr>
                      <w:szCs w:val="21"/>
                    </w:rPr>
                  </w:pPr>
                  <w:r>
                    <w:rPr>
                      <w:szCs w:val="21"/>
                    </w:rPr>
                    <w:t>办公</w:t>
                  </w:r>
                  <w:r>
                    <w:rPr>
                      <w:rFonts w:hint="eastAsia"/>
                      <w:szCs w:val="21"/>
                    </w:rPr>
                    <w:t>区</w:t>
                  </w:r>
                </w:p>
              </w:tc>
              <w:tc>
                <w:tcPr>
                  <w:tcW w:w="3394" w:type="pct"/>
                  <w:vAlign w:val="center"/>
                </w:tcPr>
                <w:p>
                  <w:pPr>
                    <w:spacing w:line="360" w:lineRule="auto"/>
                    <w:jc w:val="center"/>
                    <w:rPr>
                      <w:szCs w:val="21"/>
                    </w:rPr>
                  </w:pPr>
                  <w:r>
                    <w:rPr>
                      <w:rFonts w:hint="eastAsia"/>
                      <w:szCs w:val="21"/>
                    </w:rPr>
                    <w:t>位于项目西北部，占地面积2</w:t>
                  </w:r>
                  <w:r>
                    <w:rPr>
                      <w:szCs w:val="21"/>
                    </w:rPr>
                    <w:t>56</w:t>
                  </w:r>
                  <w:r>
                    <w:rPr>
                      <w:rFonts w:hint="eastAsia"/>
                      <w:szCs w:val="21"/>
                    </w:rPr>
                    <w:t>m</w:t>
                  </w:r>
                  <w:r>
                    <w:rPr>
                      <w:szCs w:val="21"/>
                      <w:vertAlign w:val="superscript"/>
                    </w:rPr>
                    <w:t>2</w:t>
                  </w:r>
                  <w:r>
                    <w:rPr>
                      <w:rFonts w:hint="eastAsia"/>
                      <w:szCs w:val="21"/>
                    </w:rPr>
                    <w:t>，主要有办公室、会议室，为单层坡顶活动板房。</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838" w:type="pct"/>
                  <w:gridSpan w:val="2"/>
                  <w:vAlign w:val="center"/>
                </w:tcPr>
                <w:p>
                  <w:pPr>
                    <w:spacing w:line="360" w:lineRule="auto"/>
                    <w:jc w:val="center"/>
                    <w:rPr>
                      <w:szCs w:val="21"/>
                    </w:rPr>
                  </w:pPr>
                  <w:r>
                    <w:rPr>
                      <w:szCs w:val="21"/>
                    </w:rPr>
                    <w:t>试验室</w:t>
                  </w:r>
                </w:p>
              </w:tc>
              <w:tc>
                <w:tcPr>
                  <w:tcW w:w="3394" w:type="pct"/>
                  <w:vAlign w:val="center"/>
                </w:tcPr>
                <w:p>
                  <w:pPr>
                    <w:spacing w:line="360" w:lineRule="auto"/>
                    <w:jc w:val="center"/>
                    <w:rPr>
                      <w:szCs w:val="21"/>
                    </w:rPr>
                  </w:pPr>
                  <w:r>
                    <w:rPr>
                      <w:szCs w:val="21"/>
                    </w:rPr>
                    <w:t>位于拌合楼左前方，试验室主要包括土工室、标养室、力学室、水泥混凝土室、集料室、样品室、留样室、外检室、储藏室、资料室等，占地面积756m</w:t>
                  </w:r>
                  <w:r>
                    <w:rPr>
                      <w:szCs w:val="21"/>
                      <w:vertAlign w:val="superscript"/>
                    </w:rPr>
                    <w:t>2</w:t>
                  </w:r>
                  <w:r>
                    <w:rPr>
                      <w:rFonts w:hint="eastAsia"/>
                      <w:szCs w:val="21"/>
                    </w:rPr>
                    <w:t>，为单层坡顶活动板房</w:t>
                  </w:r>
                  <w:r>
                    <w:rPr>
                      <w:szCs w:val="21"/>
                    </w:rPr>
                    <w:t>。</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838" w:type="pct"/>
                  <w:gridSpan w:val="2"/>
                  <w:vAlign w:val="center"/>
                </w:tcPr>
                <w:p>
                  <w:pPr>
                    <w:spacing w:line="360" w:lineRule="auto"/>
                    <w:jc w:val="center"/>
                    <w:rPr>
                      <w:szCs w:val="21"/>
                    </w:rPr>
                  </w:pPr>
                  <w:r>
                    <w:rPr>
                      <w:szCs w:val="21"/>
                    </w:rPr>
                    <w:t>食堂</w:t>
                  </w:r>
                </w:p>
              </w:tc>
              <w:tc>
                <w:tcPr>
                  <w:tcW w:w="3394" w:type="pct"/>
                  <w:vAlign w:val="center"/>
                </w:tcPr>
                <w:p>
                  <w:pPr>
                    <w:spacing w:line="360" w:lineRule="auto"/>
                    <w:jc w:val="center"/>
                    <w:rPr>
                      <w:szCs w:val="21"/>
                    </w:rPr>
                  </w:pPr>
                  <w:r>
                    <w:rPr>
                      <w:rFonts w:hint="eastAsia"/>
                      <w:szCs w:val="21"/>
                    </w:rPr>
                    <w:t>设有一个食堂，位于停车区左侧，占地面积6</w:t>
                  </w:r>
                  <w:r>
                    <w:rPr>
                      <w:szCs w:val="21"/>
                    </w:rPr>
                    <w:t>3m</w:t>
                  </w:r>
                  <w:r>
                    <w:rPr>
                      <w:szCs w:val="21"/>
                      <w:vertAlign w:val="superscript"/>
                    </w:rPr>
                    <w:t>2</w:t>
                  </w:r>
                  <w:r>
                    <w:rPr>
                      <w:rFonts w:hint="eastAsia"/>
                      <w:szCs w:val="21"/>
                    </w:rPr>
                    <w:t>设有餐厅及厨房，设一个灶头。</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838" w:type="pct"/>
                  <w:gridSpan w:val="2"/>
                  <w:vAlign w:val="center"/>
                </w:tcPr>
                <w:p>
                  <w:pPr>
                    <w:spacing w:line="360" w:lineRule="auto"/>
                    <w:jc w:val="center"/>
                    <w:rPr>
                      <w:szCs w:val="21"/>
                    </w:rPr>
                  </w:pPr>
                  <w:r>
                    <w:rPr>
                      <w:szCs w:val="21"/>
                    </w:rPr>
                    <w:t>宿舍</w:t>
                  </w:r>
                </w:p>
              </w:tc>
              <w:tc>
                <w:tcPr>
                  <w:tcW w:w="3394" w:type="pct"/>
                  <w:vAlign w:val="center"/>
                </w:tcPr>
                <w:p>
                  <w:pPr>
                    <w:spacing w:line="360" w:lineRule="auto"/>
                    <w:jc w:val="center"/>
                    <w:rPr>
                      <w:szCs w:val="21"/>
                    </w:rPr>
                  </w:pPr>
                  <w:r>
                    <w:rPr>
                      <w:rFonts w:hint="eastAsia"/>
                      <w:szCs w:val="21"/>
                    </w:rPr>
                    <w:t>与办公区在同一位置，设置宿舍3</w:t>
                  </w:r>
                  <w:r>
                    <w:rPr>
                      <w:szCs w:val="21"/>
                    </w:rPr>
                    <w:t>2</w:t>
                  </w:r>
                  <w:r>
                    <w:rPr>
                      <w:rFonts w:hint="eastAsia"/>
                      <w:szCs w:val="21"/>
                    </w:rPr>
                    <w:t>间，占地面积6</w:t>
                  </w:r>
                  <w:r>
                    <w:rPr>
                      <w:szCs w:val="21"/>
                    </w:rPr>
                    <w:t>72m</w:t>
                  </w:r>
                  <w:r>
                    <w:rPr>
                      <w:szCs w:val="21"/>
                      <w:vertAlign w:val="superscript"/>
                    </w:rPr>
                    <w:t>2</w:t>
                  </w:r>
                  <w:r>
                    <w:rPr>
                      <w:rFonts w:hint="eastAsia"/>
                      <w:szCs w:val="21"/>
                    </w:rPr>
                    <w:t>，供员工休息，为单层坡顶活动板房。</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838" w:type="pct"/>
                  <w:gridSpan w:val="2"/>
                  <w:vAlign w:val="center"/>
                </w:tcPr>
                <w:p>
                  <w:pPr>
                    <w:spacing w:line="360" w:lineRule="auto"/>
                    <w:jc w:val="center"/>
                    <w:rPr>
                      <w:szCs w:val="21"/>
                    </w:rPr>
                  </w:pPr>
                  <w:r>
                    <w:rPr>
                      <w:rFonts w:hint="eastAsia"/>
                      <w:szCs w:val="21"/>
                    </w:rPr>
                    <w:t>其他生活区建筑</w:t>
                  </w:r>
                </w:p>
              </w:tc>
              <w:tc>
                <w:tcPr>
                  <w:tcW w:w="3394" w:type="pct"/>
                  <w:vAlign w:val="center"/>
                </w:tcPr>
                <w:p>
                  <w:pPr>
                    <w:spacing w:line="360" w:lineRule="auto"/>
                    <w:jc w:val="center"/>
                    <w:rPr>
                      <w:szCs w:val="21"/>
                    </w:rPr>
                  </w:pPr>
                  <w:r>
                    <w:rPr>
                      <w:rFonts w:hint="eastAsia"/>
                      <w:szCs w:val="21"/>
                    </w:rPr>
                    <w:t>生活区还包括厕所，男女厕各一个，占地5</w:t>
                  </w:r>
                  <w:r>
                    <w:rPr>
                      <w:szCs w:val="21"/>
                    </w:rPr>
                    <w:t>6</w:t>
                  </w:r>
                  <w:r>
                    <w:rPr>
                      <w:rFonts w:hint="eastAsia"/>
                      <w:szCs w:val="21"/>
                    </w:rPr>
                    <w:t>m</w:t>
                  </w:r>
                  <w:r>
                    <w:rPr>
                      <w:szCs w:val="21"/>
                      <w:vertAlign w:val="superscript"/>
                    </w:rPr>
                    <w:t>2</w:t>
                  </w:r>
                  <w:r>
                    <w:rPr>
                      <w:rFonts w:hint="eastAsia"/>
                      <w:szCs w:val="21"/>
                    </w:rPr>
                    <w:t>；晾衣间一间，占地3</w:t>
                  </w:r>
                  <w:r>
                    <w:rPr>
                      <w:szCs w:val="21"/>
                    </w:rPr>
                    <w:t>2</w:t>
                  </w:r>
                  <w:r>
                    <w:rPr>
                      <w:rFonts w:hint="eastAsia"/>
                      <w:szCs w:val="21"/>
                    </w:rPr>
                    <w:t>m</w:t>
                  </w:r>
                  <w:r>
                    <w:rPr>
                      <w:szCs w:val="21"/>
                      <w:vertAlign w:val="superscript"/>
                    </w:rPr>
                    <w:t>2</w:t>
                  </w:r>
                  <w:r>
                    <w:rPr>
                      <w:rFonts w:hint="eastAsia"/>
                      <w:szCs w:val="21"/>
                    </w:rPr>
                    <w:t>；洗漱间男女各一个，占地</w:t>
                  </w:r>
                  <w:r>
                    <w:rPr>
                      <w:szCs w:val="21"/>
                    </w:rPr>
                    <w:t>59.6m</w:t>
                  </w:r>
                  <w:r>
                    <w:rPr>
                      <w:szCs w:val="21"/>
                      <w:vertAlign w:val="superscript"/>
                    </w:rPr>
                    <w:t>2</w:t>
                  </w:r>
                  <w:r>
                    <w:rPr>
                      <w:rFonts w:hint="eastAsia"/>
                      <w:szCs w:val="21"/>
                    </w:rPr>
                    <w:t>，供员工洗漱洗澡。</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838" w:type="pct"/>
                  <w:gridSpan w:val="2"/>
                  <w:vAlign w:val="center"/>
                </w:tcPr>
                <w:p>
                  <w:pPr>
                    <w:spacing w:line="360" w:lineRule="auto"/>
                    <w:jc w:val="center"/>
                    <w:rPr>
                      <w:szCs w:val="21"/>
                    </w:rPr>
                  </w:pPr>
                  <w:r>
                    <w:rPr>
                      <w:szCs w:val="21"/>
                    </w:rPr>
                    <w:t>磅房及</w:t>
                  </w:r>
                  <w:r>
                    <w:rPr>
                      <w:rFonts w:hint="eastAsia"/>
                      <w:szCs w:val="21"/>
                    </w:rPr>
                    <w:t>值班</w:t>
                  </w:r>
                  <w:r>
                    <w:rPr>
                      <w:szCs w:val="21"/>
                    </w:rPr>
                    <w:t>室</w:t>
                  </w:r>
                </w:p>
              </w:tc>
              <w:tc>
                <w:tcPr>
                  <w:tcW w:w="3394" w:type="pct"/>
                  <w:vAlign w:val="center"/>
                </w:tcPr>
                <w:p>
                  <w:pPr>
                    <w:spacing w:line="360" w:lineRule="auto"/>
                    <w:jc w:val="center"/>
                    <w:rPr>
                      <w:szCs w:val="21"/>
                    </w:rPr>
                  </w:pPr>
                  <w:r>
                    <w:rPr>
                      <w:rFonts w:hint="eastAsia"/>
                      <w:szCs w:val="21"/>
                    </w:rPr>
                    <w:t>位于项目进出口处，占地3</w:t>
                  </w:r>
                  <w:r>
                    <w:rPr>
                      <w:szCs w:val="21"/>
                    </w:rPr>
                    <w:t>0m</w:t>
                  </w:r>
                  <w:r>
                    <w:rPr>
                      <w:szCs w:val="21"/>
                      <w:vertAlign w:val="superscript"/>
                    </w:rPr>
                    <w:t>2</w:t>
                  </w:r>
                  <w:r>
                    <w:rPr>
                      <w:rFonts w:hint="eastAsia"/>
                      <w:szCs w:val="21"/>
                    </w:rPr>
                    <w:t>，设一磅房及一值班室，设一1</w:t>
                  </w:r>
                  <w:r>
                    <w:rPr>
                      <w:szCs w:val="21"/>
                    </w:rPr>
                    <w:t>00t</w:t>
                  </w:r>
                  <w:r>
                    <w:rPr>
                      <w:rFonts w:hint="eastAsia"/>
                      <w:szCs w:val="21"/>
                    </w:rPr>
                    <w:t>的地磅一台。</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838" w:type="pct"/>
                  <w:gridSpan w:val="2"/>
                  <w:vAlign w:val="center"/>
                </w:tcPr>
                <w:p>
                  <w:pPr>
                    <w:spacing w:line="360" w:lineRule="auto"/>
                    <w:jc w:val="center"/>
                    <w:rPr>
                      <w:szCs w:val="21"/>
                    </w:rPr>
                  </w:pPr>
                  <w:r>
                    <w:rPr>
                      <w:szCs w:val="21"/>
                    </w:rPr>
                    <w:t>物资仓库</w:t>
                  </w:r>
                </w:p>
              </w:tc>
              <w:tc>
                <w:tcPr>
                  <w:tcW w:w="3394" w:type="pct"/>
                  <w:vAlign w:val="center"/>
                </w:tcPr>
                <w:p>
                  <w:pPr>
                    <w:spacing w:line="360" w:lineRule="auto"/>
                    <w:jc w:val="center"/>
                    <w:rPr>
                      <w:szCs w:val="21"/>
                    </w:rPr>
                  </w:pPr>
                  <w:r>
                    <w:rPr>
                      <w:rFonts w:hint="eastAsia"/>
                      <w:szCs w:val="21"/>
                    </w:rPr>
                    <w:t>位于磅房旁设一个物资仓库，占地1</w:t>
                  </w:r>
                  <w:r>
                    <w:rPr>
                      <w:szCs w:val="21"/>
                    </w:rPr>
                    <w:t>5m</w:t>
                  </w:r>
                  <w:r>
                    <w:rPr>
                      <w:szCs w:val="21"/>
                      <w:vertAlign w:val="superscript"/>
                    </w:rPr>
                    <w:t>2</w:t>
                  </w:r>
                  <w:r>
                    <w:rPr>
                      <w:rFonts w:hint="eastAsia"/>
                      <w:szCs w:val="21"/>
                    </w:rPr>
                    <w:t>，用于储存物资，为单层坡顶活动板房。</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838" w:type="pct"/>
                  <w:gridSpan w:val="2"/>
                  <w:vAlign w:val="center"/>
                </w:tcPr>
                <w:p>
                  <w:pPr>
                    <w:spacing w:line="360" w:lineRule="auto"/>
                    <w:jc w:val="center"/>
                    <w:rPr>
                      <w:szCs w:val="21"/>
                    </w:rPr>
                  </w:pPr>
                  <w:r>
                    <w:rPr>
                      <w:szCs w:val="21"/>
                    </w:rPr>
                    <w:t>停车区</w:t>
                  </w:r>
                </w:p>
              </w:tc>
              <w:tc>
                <w:tcPr>
                  <w:tcW w:w="3394" w:type="pct"/>
                  <w:vAlign w:val="center"/>
                </w:tcPr>
                <w:p>
                  <w:pPr>
                    <w:spacing w:line="360" w:lineRule="auto"/>
                    <w:jc w:val="center"/>
                    <w:rPr>
                      <w:szCs w:val="21"/>
                    </w:rPr>
                  </w:pPr>
                  <w:r>
                    <w:rPr>
                      <w:rFonts w:hint="eastAsia"/>
                      <w:szCs w:val="21"/>
                    </w:rPr>
                    <w:t>位于项目中部，拌合楼前面，占地1</w:t>
                  </w:r>
                  <w:r>
                    <w:rPr>
                      <w:szCs w:val="21"/>
                    </w:rPr>
                    <w:t>00m</w:t>
                  </w:r>
                  <w:r>
                    <w:rPr>
                      <w:szCs w:val="21"/>
                      <w:vertAlign w:val="superscript"/>
                    </w:rPr>
                    <w:t>2</w:t>
                  </w:r>
                  <w:r>
                    <w:rPr>
                      <w:rFonts w:hint="eastAsia"/>
                      <w:szCs w:val="21"/>
                    </w:rPr>
                    <w:t>，用于停放搅拌车辆。</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restart"/>
                  <w:vAlign w:val="center"/>
                </w:tcPr>
                <w:p>
                  <w:pPr>
                    <w:spacing w:line="360" w:lineRule="auto"/>
                    <w:jc w:val="center"/>
                    <w:rPr>
                      <w:szCs w:val="21"/>
                    </w:rPr>
                  </w:pPr>
                  <w:r>
                    <w:rPr>
                      <w:szCs w:val="21"/>
                    </w:rPr>
                    <w:t>公用工程</w:t>
                  </w:r>
                </w:p>
              </w:tc>
              <w:tc>
                <w:tcPr>
                  <w:tcW w:w="838" w:type="pct"/>
                  <w:gridSpan w:val="2"/>
                  <w:vAlign w:val="center"/>
                </w:tcPr>
                <w:p>
                  <w:pPr>
                    <w:spacing w:line="360" w:lineRule="auto"/>
                    <w:jc w:val="center"/>
                    <w:rPr>
                      <w:szCs w:val="21"/>
                    </w:rPr>
                  </w:pPr>
                  <w:r>
                    <w:rPr>
                      <w:rFonts w:hint="eastAsia"/>
                      <w:szCs w:val="21"/>
                    </w:rPr>
                    <w:t>道路交通</w:t>
                  </w:r>
                </w:p>
              </w:tc>
              <w:tc>
                <w:tcPr>
                  <w:tcW w:w="3394" w:type="pct"/>
                  <w:vAlign w:val="center"/>
                </w:tcPr>
                <w:p>
                  <w:pPr>
                    <w:spacing w:line="360" w:lineRule="auto"/>
                    <w:rPr>
                      <w:szCs w:val="21"/>
                    </w:rPr>
                  </w:pPr>
                  <w:r>
                    <w:rPr>
                      <w:rFonts w:hint="eastAsia"/>
                      <w:szCs w:val="21"/>
                    </w:rPr>
                    <w:t>站内场地全部用C</w:t>
                  </w:r>
                  <w:r>
                    <w:rPr>
                      <w:szCs w:val="21"/>
                    </w:rPr>
                    <w:t>20</w:t>
                  </w:r>
                  <w:r>
                    <w:rPr>
                      <w:rFonts w:hint="eastAsia"/>
                      <w:szCs w:val="21"/>
                    </w:rPr>
                    <w:t>砼硬化，项目内部设置环形通道，将原料库、配料仓、生活办公区、搅拌楼进行连接。外部交通，项目出口道路直接与龙东格公路连接。</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jc w:val="center"/>
                    <w:rPr>
                      <w:szCs w:val="21"/>
                    </w:rPr>
                  </w:pPr>
                </w:p>
              </w:tc>
              <w:tc>
                <w:tcPr>
                  <w:tcW w:w="838" w:type="pct"/>
                  <w:gridSpan w:val="2"/>
                  <w:vAlign w:val="center"/>
                </w:tcPr>
                <w:p>
                  <w:pPr>
                    <w:spacing w:line="360" w:lineRule="auto"/>
                    <w:jc w:val="center"/>
                    <w:rPr>
                      <w:szCs w:val="21"/>
                    </w:rPr>
                  </w:pPr>
                  <w:r>
                    <w:rPr>
                      <w:szCs w:val="21"/>
                    </w:rPr>
                    <w:t>供电</w:t>
                  </w:r>
                </w:p>
              </w:tc>
              <w:tc>
                <w:tcPr>
                  <w:tcW w:w="3394" w:type="pct"/>
                  <w:vAlign w:val="center"/>
                </w:tcPr>
                <w:p>
                  <w:pPr>
                    <w:spacing w:line="360" w:lineRule="auto"/>
                    <w:rPr>
                      <w:szCs w:val="21"/>
                    </w:rPr>
                  </w:pPr>
                  <w:r>
                    <w:rPr>
                      <w:rFonts w:hint="eastAsia"/>
                      <w:szCs w:val="21"/>
                    </w:rPr>
                    <w:t>在项目西部，设一台功率为500KVA的变压器，项目用电由当地电网接入，同时备一台柴油发电机，作为临时备用电源。</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rPr>
                      <w:szCs w:val="21"/>
                    </w:rPr>
                  </w:pPr>
                </w:p>
              </w:tc>
              <w:tc>
                <w:tcPr>
                  <w:tcW w:w="838" w:type="pct"/>
                  <w:gridSpan w:val="2"/>
                  <w:vAlign w:val="center"/>
                </w:tcPr>
                <w:p>
                  <w:pPr>
                    <w:spacing w:line="360" w:lineRule="auto"/>
                    <w:jc w:val="center"/>
                    <w:rPr>
                      <w:szCs w:val="21"/>
                    </w:rPr>
                  </w:pPr>
                  <w:r>
                    <w:rPr>
                      <w:szCs w:val="21"/>
                    </w:rPr>
                    <w:t>供水</w:t>
                  </w:r>
                </w:p>
              </w:tc>
              <w:tc>
                <w:tcPr>
                  <w:tcW w:w="3394" w:type="pct"/>
                  <w:vAlign w:val="center"/>
                </w:tcPr>
                <w:p>
                  <w:pPr>
                    <w:spacing w:line="360" w:lineRule="auto"/>
                    <w:rPr>
                      <w:szCs w:val="21"/>
                    </w:rPr>
                  </w:pPr>
                  <w:r>
                    <w:rPr>
                      <w:rFonts w:hint="eastAsia"/>
                      <w:szCs w:val="21"/>
                    </w:rPr>
                    <w:t>生产用水直接采用附近小江江水供应，用潜水泵直接抽取至项目储料仓后高位水池（容积5</w:t>
                  </w:r>
                  <w:r>
                    <w:rPr>
                      <w:szCs w:val="21"/>
                    </w:rPr>
                    <w:t>0</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m</w:t>
                  </w:r>
                  <w:r>
                    <w:rPr>
                      <w:rFonts w:hint="eastAsia"/>
                      <w:color w:val="000000" w:themeColor="text1"/>
                      <w:szCs w:val="21"/>
                      <w:vertAlign w:val="superscript"/>
                      <w14:textFill>
                        <w14:solidFill>
                          <w14:schemeClr w14:val="tx1"/>
                        </w14:solidFill>
                      </w14:textFill>
                    </w:rPr>
                    <w:t>3</w:t>
                  </w:r>
                  <w:r>
                    <w:rPr>
                      <w:rFonts w:hint="eastAsia"/>
                      <w:szCs w:val="21"/>
                    </w:rPr>
                    <w:t>），然后在将水引入传送带下方的蓄水池，蓄水池直接供水至设备。生活用水接入当地村民自来水管网。</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6" w:hRule="atLeast"/>
                <w:jc w:val="center"/>
              </w:trPr>
              <w:tc>
                <w:tcPr>
                  <w:tcW w:w="364" w:type="pct"/>
                  <w:vMerge w:val="continue"/>
                  <w:vAlign w:val="center"/>
                </w:tcPr>
                <w:p>
                  <w:pPr>
                    <w:spacing w:line="360" w:lineRule="auto"/>
                    <w:rPr>
                      <w:szCs w:val="21"/>
                    </w:rPr>
                  </w:pPr>
                </w:p>
              </w:tc>
              <w:tc>
                <w:tcPr>
                  <w:tcW w:w="838" w:type="pct"/>
                  <w:gridSpan w:val="2"/>
                  <w:vAlign w:val="center"/>
                </w:tcPr>
                <w:p>
                  <w:pPr>
                    <w:spacing w:line="360" w:lineRule="auto"/>
                    <w:jc w:val="center"/>
                    <w:rPr>
                      <w:szCs w:val="21"/>
                    </w:rPr>
                  </w:pPr>
                  <w:r>
                    <w:rPr>
                      <w:rFonts w:hint="eastAsia"/>
                      <w:szCs w:val="21"/>
                    </w:rPr>
                    <w:t>排水</w:t>
                  </w:r>
                </w:p>
              </w:tc>
              <w:tc>
                <w:tcPr>
                  <w:tcW w:w="3394" w:type="pct"/>
                  <w:vAlign w:val="center"/>
                </w:tcPr>
                <w:p>
                  <w:pPr>
                    <w:spacing w:line="360" w:lineRule="auto"/>
                    <w:rPr>
                      <w:szCs w:val="21"/>
                    </w:rPr>
                  </w:pPr>
                  <w:r>
                    <w:rPr>
                      <w:rFonts w:hint="eastAsia"/>
                      <w:szCs w:val="21"/>
                    </w:rPr>
                    <w:t>生产区域场平砼面放坡排水，该区域内共设置横向3道、竖向2道排水水沟，水沟净截面30cm*30cm；在水沟会集处设置一处三级沉淀池，生产区域废水及初期雨水分级沉淀后回用于生产及洒水降尘。</w:t>
                  </w:r>
                </w:p>
                <w:p>
                  <w:pPr>
                    <w:spacing w:line="360" w:lineRule="auto"/>
                    <w:rPr>
                      <w:szCs w:val="21"/>
                    </w:rPr>
                  </w:pPr>
                  <w:r>
                    <w:rPr>
                      <w:rFonts w:hint="eastAsia"/>
                      <w:szCs w:val="21"/>
                    </w:rPr>
                    <w:t>生活区雨水采用屋檐下排水沟直接排水；生活污水采用暗埋波纹管，排至化粪池进行预处理后用槽罐车外送污水处理厂处理。</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6" w:hRule="atLeast"/>
                <w:jc w:val="center"/>
              </w:trPr>
              <w:tc>
                <w:tcPr>
                  <w:tcW w:w="364" w:type="pct"/>
                  <w:vMerge w:val="continue"/>
                  <w:vAlign w:val="center"/>
                </w:tcPr>
                <w:p>
                  <w:pPr>
                    <w:spacing w:line="360" w:lineRule="auto"/>
                    <w:rPr>
                      <w:szCs w:val="21"/>
                    </w:rPr>
                  </w:pPr>
                </w:p>
              </w:tc>
              <w:tc>
                <w:tcPr>
                  <w:tcW w:w="838" w:type="pct"/>
                  <w:gridSpan w:val="2"/>
                  <w:vAlign w:val="center"/>
                </w:tcPr>
                <w:p>
                  <w:pPr>
                    <w:spacing w:line="360" w:lineRule="auto"/>
                    <w:jc w:val="center"/>
                    <w:rPr>
                      <w:szCs w:val="21"/>
                    </w:rPr>
                  </w:pPr>
                  <w:r>
                    <w:rPr>
                      <w:rFonts w:hint="eastAsia"/>
                      <w:szCs w:val="21"/>
                    </w:rPr>
                    <w:t>消防</w:t>
                  </w:r>
                </w:p>
              </w:tc>
              <w:tc>
                <w:tcPr>
                  <w:tcW w:w="3394" w:type="pct"/>
                  <w:vAlign w:val="center"/>
                </w:tcPr>
                <w:p>
                  <w:pPr>
                    <w:spacing w:line="360" w:lineRule="auto"/>
                    <w:rPr>
                      <w:szCs w:val="21"/>
                    </w:rPr>
                  </w:pPr>
                  <w:r>
                    <w:rPr>
                      <w:rFonts w:hint="eastAsia"/>
                      <w:szCs w:val="21"/>
                    </w:rPr>
                    <w:t>场区内部及外部道路兼用消防道路，项目区域共设置12套消防器材，每套消防器材包含消防砂箱1个、消防桶1个、消防铲2把、消防斧1把、灭火器4个。生产区设置7套消防器材，生活区设置5套消防器材。配消防软管200m及潜水泵。</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jc w:val="center"/>
              </w:trPr>
              <w:tc>
                <w:tcPr>
                  <w:tcW w:w="364" w:type="pct"/>
                  <w:vMerge w:val="restart"/>
                  <w:vAlign w:val="center"/>
                </w:tcPr>
                <w:p>
                  <w:pPr>
                    <w:spacing w:line="360" w:lineRule="auto"/>
                    <w:rPr>
                      <w:szCs w:val="21"/>
                    </w:rPr>
                  </w:pPr>
                  <w:r>
                    <w:rPr>
                      <w:szCs w:val="21"/>
                    </w:rPr>
                    <w:t>环保工程</w:t>
                  </w:r>
                </w:p>
              </w:tc>
              <w:tc>
                <w:tcPr>
                  <w:tcW w:w="838" w:type="pct"/>
                  <w:gridSpan w:val="2"/>
                  <w:vMerge w:val="restart"/>
                  <w:vAlign w:val="center"/>
                </w:tcPr>
                <w:p>
                  <w:pPr>
                    <w:spacing w:line="360" w:lineRule="auto"/>
                    <w:jc w:val="center"/>
                    <w:rPr>
                      <w:szCs w:val="21"/>
                    </w:rPr>
                  </w:pPr>
                  <w:r>
                    <w:rPr>
                      <w:rFonts w:hint="eastAsia"/>
                      <w:szCs w:val="21"/>
                    </w:rPr>
                    <w:t>废气</w:t>
                  </w:r>
                </w:p>
              </w:tc>
              <w:tc>
                <w:tcPr>
                  <w:tcW w:w="3394" w:type="pct"/>
                  <w:vAlign w:val="center"/>
                </w:tcPr>
                <w:p>
                  <w:pPr>
                    <w:spacing w:line="360" w:lineRule="auto"/>
                    <w:rPr>
                      <w:szCs w:val="21"/>
                    </w:rPr>
                  </w:pPr>
                  <w:r>
                    <w:rPr>
                      <w:rFonts w:hint="eastAsia"/>
                      <w:szCs w:val="21"/>
                    </w:rPr>
                    <w:t>水泥、粉煤灰每个储罐顶自带安装有1台风量为2500m</w:t>
                  </w:r>
                  <w:r>
                    <w:rPr>
                      <w:rFonts w:hint="eastAsia"/>
                      <w:szCs w:val="21"/>
                      <w:vertAlign w:val="superscript"/>
                    </w:rPr>
                    <w:t>3</w:t>
                  </w:r>
                  <w:r>
                    <w:rPr>
                      <w:rFonts w:hint="eastAsia"/>
                      <w:szCs w:val="21"/>
                    </w:rPr>
                    <w:t>/h的脉冲布袋除尘器，除尘效率为99%，储罐高度为12m，粉料储罐粉尘经除尘后由储罐顶3m的排气口排出，排放口有效高度为15m。</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jc w:val="center"/>
              </w:trPr>
              <w:tc>
                <w:tcPr>
                  <w:tcW w:w="364" w:type="pct"/>
                  <w:vMerge w:val="continue"/>
                  <w:vAlign w:val="center"/>
                </w:tcPr>
                <w:p>
                  <w:pPr>
                    <w:spacing w:line="360" w:lineRule="auto"/>
                    <w:rPr>
                      <w:szCs w:val="21"/>
                    </w:rPr>
                  </w:pPr>
                </w:p>
              </w:tc>
              <w:tc>
                <w:tcPr>
                  <w:tcW w:w="838" w:type="pct"/>
                  <w:gridSpan w:val="2"/>
                  <w:vMerge w:val="continue"/>
                  <w:vAlign w:val="center"/>
                </w:tcPr>
                <w:p>
                  <w:pPr>
                    <w:spacing w:line="360" w:lineRule="auto"/>
                    <w:jc w:val="center"/>
                    <w:rPr>
                      <w:szCs w:val="21"/>
                    </w:rPr>
                  </w:pPr>
                </w:p>
              </w:tc>
              <w:tc>
                <w:tcPr>
                  <w:tcW w:w="3394" w:type="pct"/>
                </w:tcPr>
                <w:p>
                  <w:r>
                    <w:t>原料库设置顶棚+三面围栏半封闭彩钢瓦大棚，并配套设置喷淋降尘系统，地面进行硬化，定期对砂石料堆场进行降尘。</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jc w:val="center"/>
              </w:trPr>
              <w:tc>
                <w:tcPr>
                  <w:tcW w:w="364" w:type="pct"/>
                  <w:vMerge w:val="continue"/>
                  <w:vAlign w:val="center"/>
                </w:tcPr>
                <w:p>
                  <w:pPr>
                    <w:spacing w:line="360" w:lineRule="auto"/>
                    <w:rPr>
                      <w:szCs w:val="21"/>
                    </w:rPr>
                  </w:pPr>
                </w:p>
              </w:tc>
              <w:tc>
                <w:tcPr>
                  <w:tcW w:w="838" w:type="pct"/>
                  <w:gridSpan w:val="2"/>
                  <w:vMerge w:val="continue"/>
                  <w:vAlign w:val="center"/>
                </w:tcPr>
                <w:p>
                  <w:pPr>
                    <w:spacing w:line="360" w:lineRule="auto"/>
                    <w:jc w:val="center"/>
                    <w:rPr>
                      <w:szCs w:val="21"/>
                    </w:rPr>
                  </w:pPr>
                </w:p>
              </w:tc>
              <w:tc>
                <w:tcPr>
                  <w:tcW w:w="3394" w:type="pct"/>
                </w:tcPr>
                <w:p>
                  <w:r>
                    <w:t>皮带输送机廊道上部加盖侧面密封，下部设收料盘，对皮带输送机进行封闭处理</w:t>
                  </w:r>
                  <w:r>
                    <w:rPr>
                      <w:rFonts w:hint="eastAsia"/>
                    </w:rPr>
                    <w:t>。</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jc w:val="center"/>
              </w:trPr>
              <w:tc>
                <w:tcPr>
                  <w:tcW w:w="364" w:type="pct"/>
                  <w:vMerge w:val="continue"/>
                  <w:vAlign w:val="center"/>
                </w:tcPr>
                <w:p>
                  <w:pPr>
                    <w:spacing w:line="360" w:lineRule="auto"/>
                    <w:rPr>
                      <w:szCs w:val="21"/>
                    </w:rPr>
                  </w:pPr>
                </w:p>
              </w:tc>
              <w:tc>
                <w:tcPr>
                  <w:tcW w:w="838" w:type="pct"/>
                  <w:gridSpan w:val="2"/>
                  <w:vMerge w:val="continue"/>
                  <w:vAlign w:val="center"/>
                </w:tcPr>
                <w:p>
                  <w:pPr>
                    <w:spacing w:line="360" w:lineRule="auto"/>
                    <w:jc w:val="center"/>
                    <w:rPr>
                      <w:szCs w:val="21"/>
                    </w:rPr>
                  </w:pPr>
                </w:p>
              </w:tc>
              <w:tc>
                <w:tcPr>
                  <w:tcW w:w="3394" w:type="pct"/>
                  <w:vAlign w:val="center"/>
                </w:tcPr>
                <w:p>
                  <w:r>
                    <w:rPr>
                      <w:rFonts w:hint="eastAsia"/>
                    </w:rPr>
                    <w:t>配备一辆洒水车，不定时进行洒水，同时项目区域内在扬尘较多的地方设置炮雾机进行降尘。</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jc w:val="center"/>
              </w:trPr>
              <w:tc>
                <w:tcPr>
                  <w:tcW w:w="364" w:type="pct"/>
                  <w:vMerge w:val="continue"/>
                  <w:vAlign w:val="center"/>
                </w:tcPr>
                <w:p>
                  <w:pPr>
                    <w:spacing w:line="360" w:lineRule="auto"/>
                    <w:rPr>
                      <w:szCs w:val="21"/>
                    </w:rPr>
                  </w:pPr>
                </w:p>
              </w:tc>
              <w:tc>
                <w:tcPr>
                  <w:tcW w:w="838" w:type="pct"/>
                  <w:gridSpan w:val="2"/>
                  <w:vMerge w:val="restart"/>
                  <w:vAlign w:val="center"/>
                </w:tcPr>
                <w:p>
                  <w:pPr>
                    <w:spacing w:line="360" w:lineRule="auto"/>
                    <w:jc w:val="center"/>
                    <w:rPr>
                      <w:szCs w:val="21"/>
                    </w:rPr>
                  </w:pPr>
                  <w:r>
                    <w:rPr>
                      <w:rFonts w:hint="eastAsia"/>
                      <w:szCs w:val="21"/>
                    </w:rPr>
                    <w:t>废水</w:t>
                  </w:r>
                </w:p>
              </w:tc>
              <w:tc>
                <w:tcPr>
                  <w:tcW w:w="3394" w:type="pct"/>
                  <w:vAlign w:val="center"/>
                </w:tcPr>
                <w:p>
                  <w:pPr>
                    <w:spacing w:line="360" w:lineRule="auto"/>
                    <w:jc w:val="center"/>
                    <w:rPr>
                      <w:szCs w:val="21"/>
                    </w:rPr>
                  </w:pPr>
                  <w:r>
                    <w:rPr>
                      <w:rFonts w:hint="eastAsia"/>
                      <w:szCs w:val="21"/>
                    </w:rPr>
                    <w:t>设置洗车区域，设置1个三级沉淀池（1</w:t>
                  </w:r>
                  <w:r>
                    <w:rPr>
                      <w:szCs w:val="21"/>
                    </w:rPr>
                    <w:t>05</w:t>
                  </w:r>
                  <w:r>
                    <w:rPr>
                      <w:rFonts w:hint="eastAsia"/>
                      <w:szCs w:val="21"/>
                    </w:rPr>
                    <w:t>m</w:t>
                  </w:r>
                  <w:r>
                    <w:rPr>
                      <w:rFonts w:hint="eastAsia"/>
                      <w:szCs w:val="21"/>
                      <w:vertAlign w:val="superscript"/>
                    </w:rPr>
                    <w:t>3</w:t>
                  </w:r>
                  <w:r>
                    <w:rPr>
                      <w:rFonts w:hint="eastAsia"/>
                      <w:szCs w:val="21"/>
                    </w:rPr>
                    <w:t>），处理车辆清洗废水、搅拌机清洗废水以及收集生产区域雨水。</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jc w:val="center"/>
              </w:trPr>
              <w:tc>
                <w:tcPr>
                  <w:tcW w:w="364" w:type="pct"/>
                  <w:vMerge w:val="continue"/>
                  <w:vAlign w:val="center"/>
                </w:tcPr>
                <w:p>
                  <w:pPr>
                    <w:spacing w:line="360" w:lineRule="auto"/>
                    <w:rPr>
                      <w:szCs w:val="21"/>
                    </w:rPr>
                  </w:pPr>
                </w:p>
              </w:tc>
              <w:tc>
                <w:tcPr>
                  <w:tcW w:w="838" w:type="pct"/>
                  <w:gridSpan w:val="2"/>
                  <w:vMerge w:val="continue"/>
                  <w:vAlign w:val="center"/>
                </w:tcPr>
                <w:p>
                  <w:pPr>
                    <w:spacing w:line="360" w:lineRule="auto"/>
                    <w:jc w:val="center"/>
                    <w:rPr>
                      <w:szCs w:val="21"/>
                    </w:rPr>
                  </w:pPr>
                </w:p>
              </w:tc>
              <w:tc>
                <w:tcPr>
                  <w:tcW w:w="3394" w:type="pct"/>
                  <w:vAlign w:val="center"/>
                </w:tcPr>
                <w:p>
                  <w:pPr>
                    <w:spacing w:line="360" w:lineRule="auto"/>
                    <w:jc w:val="center"/>
                    <w:rPr>
                      <w:szCs w:val="21"/>
                    </w:rPr>
                  </w:pPr>
                  <w:r>
                    <w:rPr>
                      <w:color w:val="000000" w:themeColor="text1"/>
                      <w:szCs w:val="21"/>
                      <w14:textFill>
                        <w14:solidFill>
                          <w14:schemeClr w14:val="tx1"/>
                        </w14:solidFill>
                      </w14:textFill>
                    </w:rPr>
                    <w:t>设置隔油池一个，容积1m³，化粪池2个，总容积为100m³。</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rPr>
                      <w:szCs w:val="21"/>
                    </w:rPr>
                  </w:pPr>
                </w:p>
              </w:tc>
              <w:tc>
                <w:tcPr>
                  <w:tcW w:w="838" w:type="pct"/>
                  <w:gridSpan w:val="2"/>
                  <w:vAlign w:val="center"/>
                </w:tcPr>
                <w:p>
                  <w:pPr>
                    <w:spacing w:line="360" w:lineRule="auto"/>
                    <w:jc w:val="center"/>
                    <w:rPr>
                      <w:szCs w:val="21"/>
                    </w:rPr>
                  </w:pPr>
                  <w:r>
                    <w:rPr>
                      <w:rFonts w:hint="eastAsia"/>
                      <w:szCs w:val="21"/>
                    </w:rPr>
                    <w:t>噪声</w:t>
                  </w:r>
                </w:p>
              </w:tc>
              <w:tc>
                <w:tcPr>
                  <w:tcW w:w="3394" w:type="pct"/>
                  <w:vAlign w:val="center"/>
                </w:tcPr>
                <w:p>
                  <w:pPr>
                    <w:spacing w:line="360" w:lineRule="auto"/>
                    <w:jc w:val="center"/>
                    <w:rPr>
                      <w:szCs w:val="21"/>
                    </w:rPr>
                  </w:pPr>
                  <w:r>
                    <w:rPr>
                      <w:rFonts w:hint="eastAsia"/>
                      <w:szCs w:val="21"/>
                    </w:rPr>
                    <w:t>搅拌机采用彩钢夹芯板进行密闭，搅拌机设减震基础。</w:t>
                  </w:r>
                </w:p>
              </w:tc>
              <w:tc>
                <w:tcPr>
                  <w:tcW w:w="404" w:type="pct"/>
                  <w:vAlign w:val="center"/>
                </w:tcPr>
                <w:p>
                  <w:pPr>
                    <w:spacing w:line="360" w:lineRule="auto"/>
                    <w:jc w:val="center"/>
                    <w:rPr>
                      <w:szCs w:val="21"/>
                    </w:rPr>
                  </w:pPr>
                  <w:r>
                    <w:rPr>
                      <w:rFonts w:hint="eastAsia"/>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64" w:type="pct"/>
                  <w:vMerge w:val="continue"/>
                  <w:vAlign w:val="center"/>
                </w:tcPr>
                <w:p>
                  <w:pPr>
                    <w:spacing w:line="360" w:lineRule="auto"/>
                    <w:rPr>
                      <w:szCs w:val="21"/>
                    </w:rPr>
                  </w:pPr>
                </w:p>
              </w:tc>
              <w:tc>
                <w:tcPr>
                  <w:tcW w:w="838" w:type="pct"/>
                  <w:gridSpan w:val="2"/>
                  <w:vAlign w:val="center"/>
                </w:tcPr>
                <w:p>
                  <w:pPr>
                    <w:spacing w:line="360" w:lineRule="auto"/>
                    <w:jc w:val="center"/>
                    <w:rPr>
                      <w:szCs w:val="21"/>
                    </w:rPr>
                  </w:pPr>
                  <w:r>
                    <w:rPr>
                      <w:rFonts w:hint="eastAsia"/>
                      <w:szCs w:val="21"/>
                    </w:rPr>
                    <w:t>固废</w:t>
                  </w:r>
                </w:p>
              </w:tc>
              <w:tc>
                <w:tcPr>
                  <w:tcW w:w="3394" w:type="pct"/>
                  <w:vAlign w:val="center"/>
                </w:tcPr>
                <w:p>
                  <w:pPr>
                    <w:spacing w:line="360" w:lineRule="auto"/>
                    <w:rPr>
                      <w:szCs w:val="21"/>
                    </w:rPr>
                  </w:pPr>
                  <w:r>
                    <w:rPr>
                      <w:rFonts w:hint="eastAsia"/>
                      <w:szCs w:val="21"/>
                    </w:rPr>
                    <w:t>办公生活区设置封闭式垃圾箱，设置</w:t>
                  </w:r>
                  <w:r>
                    <w:rPr>
                      <w:szCs w:val="21"/>
                    </w:rPr>
                    <w:t>1</w:t>
                  </w:r>
                  <w:r>
                    <w:rPr>
                      <w:rFonts w:hint="eastAsia"/>
                      <w:szCs w:val="21"/>
                    </w:rPr>
                    <w:t>间4m</w:t>
                  </w:r>
                  <w:r>
                    <w:rPr>
                      <w:szCs w:val="21"/>
                      <w:vertAlign w:val="superscript"/>
                    </w:rPr>
                    <w:t>2</w:t>
                  </w:r>
                  <w:r>
                    <w:rPr>
                      <w:rFonts w:hint="eastAsia"/>
                      <w:szCs w:val="21"/>
                    </w:rPr>
                    <w:t>危废间，</w:t>
                  </w:r>
                  <w:r>
                    <w:rPr>
                      <w:color w:val="000000"/>
                      <w:kern w:val="24"/>
                      <w:szCs w:val="28"/>
                    </w:rPr>
                    <w:t>危险废物暂存间地面采用2mm厚的高密度聚乙烯或其他人工材料进行防渗处理，渗透系数≤10</w:t>
                  </w:r>
                  <w:r>
                    <w:rPr>
                      <w:color w:val="000000"/>
                      <w:kern w:val="24"/>
                      <w:szCs w:val="28"/>
                      <w:vertAlign w:val="superscript"/>
                    </w:rPr>
                    <w:t>-10</w:t>
                  </w:r>
                  <w:r>
                    <w:rPr>
                      <w:color w:val="000000"/>
                      <w:kern w:val="24"/>
                      <w:szCs w:val="28"/>
                    </w:rPr>
                    <w:t>cm/s</w:t>
                  </w:r>
                  <w:r>
                    <w:rPr>
                      <w:rFonts w:hint="eastAsia"/>
                      <w:color w:val="000000"/>
                      <w:kern w:val="24"/>
                      <w:szCs w:val="28"/>
                    </w:rPr>
                    <w:t>，危废暂存间内设高密度的聚丙烯桶对废机油进行收集，并将收集容器贴上标签，</w:t>
                  </w:r>
                  <w:r>
                    <w:rPr>
                      <w:rFonts w:hint="eastAsia"/>
                      <w:szCs w:val="21"/>
                    </w:rPr>
                    <w:t>危废间粘贴标识标牌，并建立危废管理台账。</w:t>
                  </w:r>
                </w:p>
              </w:tc>
              <w:tc>
                <w:tcPr>
                  <w:tcW w:w="404" w:type="pct"/>
                  <w:vAlign w:val="center"/>
                </w:tcPr>
                <w:p>
                  <w:pPr>
                    <w:spacing w:line="360" w:lineRule="auto"/>
                    <w:jc w:val="center"/>
                    <w:rPr>
                      <w:szCs w:val="21"/>
                    </w:rPr>
                  </w:pPr>
                  <w:r>
                    <w:rPr>
                      <w:rFonts w:hint="eastAsia"/>
                      <w:szCs w:val="21"/>
                    </w:rPr>
                    <w:t>新建</w:t>
                  </w:r>
                </w:p>
              </w:tc>
            </w:tr>
          </w:tbl>
          <w:p>
            <w:pPr>
              <w:spacing w:line="360" w:lineRule="auto"/>
              <w:rPr>
                <w:b/>
                <w:bCs/>
                <w:sz w:val="24"/>
              </w:rPr>
            </w:pPr>
            <w:r>
              <w:rPr>
                <w:rFonts w:hint="eastAsia"/>
                <w:b/>
                <w:bCs/>
                <w:sz w:val="24"/>
              </w:rPr>
              <w:t>3、主要生产设备</w:t>
            </w:r>
          </w:p>
          <w:p>
            <w:pPr>
              <w:spacing w:line="360" w:lineRule="auto"/>
              <w:ind w:firstLine="420" w:firstLineChars="200"/>
              <w:rPr>
                <w:szCs w:val="21"/>
              </w:rPr>
            </w:pPr>
            <w:r>
              <w:rPr>
                <w:rFonts w:hint="eastAsia"/>
                <w:szCs w:val="21"/>
              </w:rPr>
              <w:t>根据建设单位提供的资料，项目主要设备见表2-</w:t>
            </w:r>
            <w:r>
              <w:rPr>
                <w:szCs w:val="21"/>
              </w:rPr>
              <w:t>2</w:t>
            </w:r>
            <w:r>
              <w:rPr>
                <w:rFonts w:hint="eastAsia"/>
                <w:szCs w:val="21"/>
              </w:rPr>
              <w:t>。</w:t>
            </w:r>
          </w:p>
          <w:p>
            <w:pPr>
              <w:spacing w:line="360" w:lineRule="auto"/>
              <w:ind w:firstLine="422" w:firstLineChars="200"/>
              <w:jc w:val="center"/>
              <w:rPr>
                <w:b/>
                <w:bCs/>
                <w:szCs w:val="21"/>
              </w:rPr>
            </w:pPr>
            <w:r>
              <w:rPr>
                <w:rFonts w:hint="eastAsia"/>
                <w:b/>
                <w:bCs/>
                <w:szCs w:val="21"/>
              </w:rPr>
              <w:t>表2-</w:t>
            </w:r>
            <w:r>
              <w:rPr>
                <w:b/>
                <w:bCs/>
                <w:szCs w:val="21"/>
              </w:rPr>
              <w:t>2</w:t>
            </w:r>
            <w:r>
              <w:rPr>
                <w:rFonts w:hint="eastAsia"/>
                <w:b/>
                <w:bCs/>
                <w:szCs w:val="21"/>
              </w:rPr>
              <w:t>项目主要生产设备</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1363"/>
              <w:gridCol w:w="1475"/>
              <w:gridCol w:w="1089"/>
              <w:gridCol w:w="1089"/>
              <w:gridCol w:w="2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szCs w:val="21"/>
                    </w:rPr>
                    <w:t>序号</w:t>
                  </w:r>
                </w:p>
              </w:tc>
              <w:tc>
                <w:tcPr>
                  <w:tcW w:w="1843" w:type="dxa"/>
                  <w:vAlign w:val="center"/>
                </w:tcPr>
                <w:p>
                  <w:pPr>
                    <w:spacing w:line="360" w:lineRule="auto"/>
                    <w:jc w:val="center"/>
                    <w:rPr>
                      <w:szCs w:val="21"/>
                    </w:rPr>
                  </w:pPr>
                  <w:r>
                    <w:rPr>
                      <w:szCs w:val="21"/>
                    </w:rPr>
                    <w:t>设备名称</w:t>
                  </w:r>
                </w:p>
              </w:tc>
              <w:tc>
                <w:tcPr>
                  <w:tcW w:w="1755" w:type="dxa"/>
                  <w:vAlign w:val="center"/>
                </w:tcPr>
                <w:p>
                  <w:pPr>
                    <w:spacing w:line="360" w:lineRule="auto"/>
                    <w:jc w:val="center"/>
                    <w:rPr>
                      <w:szCs w:val="21"/>
                    </w:rPr>
                  </w:pPr>
                  <w:r>
                    <w:rPr>
                      <w:szCs w:val="21"/>
                    </w:rPr>
                    <w:t>型号规格</w:t>
                  </w:r>
                </w:p>
              </w:tc>
              <w:tc>
                <w:tcPr>
                  <w:tcW w:w="1428" w:type="dxa"/>
                  <w:vAlign w:val="center"/>
                </w:tcPr>
                <w:p>
                  <w:pPr>
                    <w:spacing w:line="360" w:lineRule="auto"/>
                    <w:jc w:val="center"/>
                    <w:rPr>
                      <w:szCs w:val="21"/>
                    </w:rPr>
                  </w:pPr>
                  <w:r>
                    <w:rPr>
                      <w:szCs w:val="21"/>
                    </w:rPr>
                    <w:t>单位</w:t>
                  </w:r>
                </w:p>
              </w:tc>
              <w:tc>
                <w:tcPr>
                  <w:tcW w:w="1428" w:type="dxa"/>
                  <w:vAlign w:val="center"/>
                </w:tcPr>
                <w:p>
                  <w:pPr>
                    <w:spacing w:line="360" w:lineRule="auto"/>
                    <w:jc w:val="center"/>
                    <w:rPr>
                      <w:szCs w:val="21"/>
                    </w:rPr>
                  </w:pPr>
                  <w:r>
                    <w:rPr>
                      <w:szCs w:val="21"/>
                    </w:rPr>
                    <w:t>数量</w:t>
                  </w:r>
                </w:p>
              </w:tc>
              <w:tc>
                <w:tcPr>
                  <w:tcW w:w="2856" w:type="dxa"/>
                  <w:vAlign w:val="center"/>
                </w:tcPr>
                <w:p>
                  <w:pPr>
                    <w:spacing w:line="360" w:lineRule="auto"/>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szCs w:val="21"/>
                    </w:rPr>
                    <w:t>1</w:t>
                  </w:r>
                </w:p>
              </w:tc>
              <w:tc>
                <w:tcPr>
                  <w:tcW w:w="1843" w:type="dxa"/>
                  <w:vAlign w:val="center"/>
                </w:tcPr>
                <w:p>
                  <w:pPr>
                    <w:spacing w:line="360" w:lineRule="auto"/>
                    <w:jc w:val="center"/>
                    <w:rPr>
                      <w:szCs w:val="21"/>
                    </w:rPr>
                  </w:pPr>
                  <w:r>
                    <w:rPr>
                      <w:szCs w:val="21"/>
                    </w:rPr>
                    <w:t>搅拌楼</w:t>
                  </w:r>
                </w:p>
              </w:tc>
              <w:tc>
                <w:tcPr>
                  <w:tcW w:w="1755" w:type="dxa"/>
                  <w:vAlign w:val="center"/>
                </w:tcPr>
                <w:p>
                  <w:pPr>
                    <w:spacing w:line="360" w:lineRule="auto"/>
                    <w:jc w:val="center"/>
                    <w:rPr>
                      <w:szCs w:val="21"/>
                    </w:rPr>
                  </w:pPr>
                  <w:r>
                    <w:rPr>
                      <w:szCs w:val="21"/>
                    </w:rPr>
                    <w:t>HZS180</w:t>
                  </w:r>
                </w:p>
              </w:tc>
              <w:tc>
                <w:tcPr>
                  <w:tcW w:w="1428" w:type="dxa"/>
                  <w:vAlign w:val="center"/>
                </w:tcPr>
                <w:p>
                  <w:pPr>
                    <w:spacing w:line="360" w:lineRule="auto"/>
                    <w:jc w:val="center"/>
                    <w:rPr>
                      <w:szCs w:val="21"/>
                    </w:rPr>
                  </w:pPr>
                  <w:r>
                    <w:rPr>
                      <w:rFonts w:hint="eastAsia"/>
                      <w:szCs w:val="21"/>
                    </w:rPr>
                    <w:t>座</w:t>
                  </w:r>
                </w:p>
              </w:tc>
              <w:tc>
                <w:tcPr>
                  <w:tcW w:w="1428" w:type="dxa"/>
                  <w:vAlign w:val="center"/>
                </w:tcPr>
                <w:p>
                  <w:pPr>
                    <w:spacing w:line="360" w:lineRule="auto"/>
                    <w:jc w:val="center"/>
                    <w:rPr>
                      <w:szCs w:val="21"/>
                    </w:rPr>
                  </w:pPr>
                  <w:r>
                    <w:rPr>
                      <w:rFonts w:hint="eastAsia"/>
                      <w:szCs w:val="21"/>
                    </w:rPr>
                    <w:t>1</w:t>
                  </w:r>
                </w:p>
              </w:tc>
              <w:tc>
                <w:tcPr>
                  <w:tcW w:w="2856" w:type="dxa"/>
                  <w:vAlign w:val="center"/>
                </w:tcPr>
                <w:p>
                  <w:pPr>
                    <w:spacing w:line="360" w:lineRule="auto"/>
                    <w:jc w:val="center"/>
                    <w:rPr>
                      <w:szCs w:val="21"/>
                    </w:rPr>
                  </w:pPr>
                  <w:r>
                    <w:rPr>
                      <w:szCs w:val="21"/>
                    </w:rPr>
                    <w:t>生产率180m³/h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szCs w:val="21"/>
                    </w:rPr>
                    <w:t>2</w:t>
                  </w:r>
                </w:p>
              </w:tc>
              <w:tc>
                <w:tcPr>
                  <w:tcW w:w="1843" w:type="dxa"/>
                  <w:vAlign w:val="center"/>
                </w:tcPr>
                <w:p>
                  <w:pPr>
                    <w:spacing w:line="360" w:lineRule="auto"/>
                    <w:jc w:val="center"/>
                    <w:rPr>
                      <w:szCs w:val="21"/>
                    </w:rPr>
                  </w:pPr>
                  <w:r>
                    <w:rPr>
                      <w:szCs w:val="21"/>
                    </w:rPr>
                    <w:t>水泥储罐</w:t>
                  </w:r>
                </w:p>
              </w:tc>
              <w:tc>
                <w:tcPr>
                  <w:tcW w:w="1755" w:type="dxa"/>
                  <w:vAlign w:val="center"/>
                </w:tcPr>
                <w:p>
                  <w:pPr>
                    <w:spacing w:line="360" w:lineRule="auto"/>
                    <w:jc w:val="center"/>
                    <w:rPr>
                      <w:szCs w:val="21"/>
                    </w:rPr>
                  </w:pPr>
                  <w:r>
                    <w:rPr>
                      <w:szCs w:val="21"/>
                    </w:rPr>
                    <w:t>单个容量为150t</w:t>
                  </w:r>
                </w:p>
              </w:tc>
              <w:tc>
                <w:tcPr>
                  <w:tcW w:w="1428" w:type="dxa"/>
                  <w:vAlign w:val="center"/>
                </w:tcPr>
                <w:p>
                  <w:pPr>
                    <w:spacing w:line="360" w:lineRule="auto"/>
                    <w:jc w:val="center"/>
                    <w:rPr>
                      <w:szCs w:val="21"/>
                    </w:rPr>
                  </w:pPr>
                  <w:r>
                    <w:rPr>
                      <w:szCs w:val="21"/>
                    </w:rPr>
                    <w:t>个</w:t>
                  </w:r>
                </w:p>
              </w:tc>
              <w:tc>
                <w:tcPr>
                  <w:tcW w:w="1428" w:type="dxa"/>
                  <w:vAlign w:val="center"/>
                </w:tcPr>
                <w:p>
                  <w:pPr>
                    <w:spacing w:line="360" w:lineRule="auto"/>
                    <w:jc w:val="center"/>
                    <w:rPr>
                      <w:szCs w:val="21"/>
                    </w:rPr>
                  </w:pPr>
                  <w:r>
                    <w:rPr>
                      <w:rFonts w:hint="eastAsia"/>
                      <w:szCs w:val="21"/>
                    </w:rPr>
                    <w:t>4</w:t>
                  </w:r>
                </w:p>
              </w:tc>
              <w:tc>
                <w:tcPr>
                  <w:tcW w:w="2856" w:type="dxa"/>
                  <w:vAlign w:val="center"/>
                </w:tcPr>
                <w:p>
                  <w:pPr>
                    <w:widowControl/>
                    <w:jc w:val="center"/>
                    <w:textAlignment w:val="top"/>
                    <w:rPr>
                      <w:szCs w:val="21"/>
                    </w:rPr>
                  </w:pPr>
                  <w:r>
                    <w:rPr>
                      <w:kern w:val="0"/>
                      <w:szCs w:val="21"/>
                      <w:lang w:bidi="ar"/>
                    </w:rPr>
                    <w:t>储存散装水泥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szCs w:val="21"/>
                    </w:rPr>
                    <w:t>3</w:t>
                  </w:r>
                </w:p>
              </w:tc>
              <w:tc>
                <w:tcPr>
                  <w:tcW w:w="1843" w:type="dxa"/>
                  <w:vAlign w:val="center"/>
                </w:tcPr>
                <w:p>
                  <w:pPr>
                    <w:spacing w:line="360" w:lineRule="auto"/>
                    <w:jc w:val="center"/>
                    <w:rPr>
                      <w:szCs w:val="21"/>
                    </w:rPr>
                  </w:pPr>
                  <w:r>
                    <w:rPr>
                      <w:szCs w:val="21"/>
                    </w:rPr>
                    <w:t>粉煤灰储罐</w:t>
                  </w:r>
                </w:p>
              </w:tc>
              <w:tc>
                <w:tcPr>
                  <w:tcW w:w="1755" w:type="dxa"/>
                  <w:vAlign w:val="center"/>
                </w:tcPr>
                <w:p>
                  <w:pPr>
                    <w:spacing w:line="360" w:lineRule="auto"/>
                    <w:jc w:val="center"/>
                    <w:rPr>
                      <w:szCs w:val="21"/>
                    </w:rPr>
                  </w:pPr>
                  <w:r>
                    <w:rPr>
                      <w:szCs w:val="21"/>
                    </w:rPr>
                    <w:t>单个容量为150t</w:t>
                  </w:r>
                </w:p>
              </w:tc>
              <w:tc>
                <w:tcPr>
                  <w:tcW w:w="1428" w:type="dxa"/>
                  <w:vAlign w:val="center"/>
                </w:tcPr>
                <w:p>
                  <w:pPr>
                    <w:spacing w:line="360" w:lineRule="auto"/>
                    <w:jc w:val="center"/>
                    <w:rPr>
                      <w:szCs w:val="21"/>
                    </w:rPr>
                  </w:pPr>
                  <w:r>
                    <w:rPr>
                      <w:szCs w:val="21"/>
                    </w:rPr>
                    <w:t>个</w:t>
                  </w:r>
                </w:p>
              </w:tc>
              <w:tc>
                <w:tcPr>
                  <w:tcW w:w="1428" w:type="dxa"/>
                  <w:vAlign w:val="center"/>
                </w:tcPr>
                <w:p>
                  <w:pPr>
                    <w:spacing w:line="360" w:lineRule="auto"/>
                    <w:jc w:val="center"/>
                    <w:rPr>
                      <w:szCs w:val="21"/>
                    </w:rPr>
                  </w:pPr>
                  <w:r>
                    <w:rPr>
                      <w:rFonts w:hint="eastAsia"/>
                      <w:szCs w:val="21"/>
                    </w:rPr>
                    <w:t>2</w:t>
                  </w:r>
                </w:p>
              </w:tc>
              <w:tc>
                <w:tcPr>
                  <w:tcW w:w="2856" w:type="dxa"/>
                  <w:vAlign w:val="center"/>
                </w:tcPr>
                <w:p>
                  <w:pPr>
                    <w:jc w:val="center"/>
                    <w:rPr>
                      <w:szCs w:val="21"/>
                    </w:rPr>
                  </w:pPr>
                  <w:r>
                    <w:rPr>
                      <w:szCs w:val="21"/>
                    </w:rPr>
                    <w:t>储存粉煤灰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szCs w:val="21"/>
                    </w:rPr>
                    <w:t>4</w:t>
                  </w:r>
                </w:p>
              </w:tc>
              <w:tc>
                <w:tcPr>
                  <w:tcW w:w="1843" w:type="dxa"/>
                  <w:vAlign w:val="center"/>
                </w:tcPr>
                <w:p>
                  <w:pPr>
                    <w:spacing w:line="360" w:lineRule="auto"/>
                    <w:jc w:val="center"/>
                    <w:rPr>
                      <w:szCs w:val="21"/>
                    </w:rPr>
                  </w:pPr>
                  <w:r>
                    <w:rPr>
                      <w:szCs w:val="21"/>
                    </w:rPr>
                    <w:t>减水剂储罐</w:t>
                  </w:r>
                </w:p>
              </w:tc>
              <w:tc>
                <w:tcPr>
                  <w:tcW w:w="1755" w:type="dxa"/>
                  <w:vAlign w:val="center"/>
                </w:tcPr>
                <w:p>
                  <w:pPr>
                    <w:spacing w:line="360" w:lineRule="auto"/>
                    <w:jc w:val="center"/>
                    <w:rPr>
                      <w:szCs w:val="21"/>
                    </w:rPr>
                  </w:pPr>
                  <w:r>
                    <w:rPr>
                      <w:szCs w:val="21"/>
                    </w:rPr>
                    <w:t>单个容量5t</w:t>
                  </w:r>
                </w:p>
              </w:tc>
              <w:tc>
                <w:tcPr>
                  <w:tcW w:w="1428" w:type="dxa"/>
                  <w:vAlign w:val="center"/>
                </w:tcPr>
                <w:p>
                  <w:pPr>
                    <w:spacing w:line="360" w:lineRule="auto"/>
                    <w:jc w:val="center"/>
                    <w:rPr>
                      <w:szCs w:val="21"/>
                    </w:rPr>
                  </w:pPr>
                  <w:r>
                    <w:rPr>
                      <w:szCs w:val="21"/>
                    </w:rPr>
                    <w:t>个</w:t>
                  </w:r>
                </w:p>
              </w:tc>
              <w:tc>
                <w:tcPr>
                  <w:tcW w:w="1428" w:type="dxa"/>
                  <w:vAlign w:val="center"/>
                </w:tcPr>
                <w:p>
                  <w:pPr>
                    <w:spacing w:line="360" w:lineRule="auto"/>
                    <w:jc w:val="center"/>
                    <w:rPr>
                      <w:szCs w:val="21"/>
                    </w:rPr>
                  </w:pPr>
                  <w:r>
                    <w:rPr>
                      <w:rFonts w:hint="eastAsia"/>
                      <w:szCs w:val="21"/>
                    </w:rPr>
                    <w:t>1</w:t>
                  </w:r>
                </w:p>
              </w:tc>
              <w:tc>
                <w:tcPr>
                  <w:tcW w:w="2856" w:type="dxa"/>
                  <w:vAlign w:val="center"/>
                </w:tcPr>
                <w:p>
                  <w:pPr>
                    <w:spacing w:line="360" w:lineRule="auto"/>
                    <w:jc w:val="center"/>
                    <w:rPr>
                      <w:szCs w:val="21"/>
                    </w:rPr>
                  </w:pPr>
                  <w:r>
                    <w:rPr>
                      <w:szCs w:val="21"/>
                    </w:rPr>
                    <w:t>聚羧酸高性能减水剂采用塑料储罐进行存储并做好防渗措施。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szCs w:val="21"/>
                    </w:rPr>
                    <w:t>5</w:t>
                  </w:r>
                </w:p>
              </w:tc>
              <w:tc>
                <w:tcPr>
                  <w:tcW w:w="1843" w:type="dxa"/>
                  <w:vAlign w:val="center"/>
                </w:tcPr>
                <w:p>
                  <w:pPr>
                    <w:spacing w:line="360" w:lineRule="auto"/>
                    <w:jc w:val="center"/>
                    <w:rPr>
                      <w:szCs w:val="21"/>
                    </w:rPr>
                  </w:pPr>
                  <w:r>
                    <w:rPr>
                      <w:rFonts w:hint="eastAsia"/>
                      <w:szCs w:val="21"/>
                    </w:rPr>
                    <w:t>搅拌机</w:t>
                  </w:r>
                </w:p>
              </w:tc>
              <w:tc>
                <w:tcPr>
                  <w:tcW w:w="1755" w:type="dxa"/>
                  <w:vAlign w:val="center"/>
                </w:tcPr>
                <w:p>
                  <w:pPr>
                    <w:spacing w:line="360" w:lineRule="auto"/>
                    <w:jc w:val="center"/>
                    <w:rPr>
                      <w:szCs w:val="21"/>
                    </w:rPr>
                  </w:pPr>
                  <w:r>
                    <w:rPr>
                      <w:rFonts w:hint="eastAsia"/>
                      <w:szCs w:val="21"/>
                    </w:rPr>
                    <w:t>仕高玛J</w:t>
                  </w:r>
                  <w:r>
                    <w:rPr>
                      <w:szCs w:val="21"/>
                    </w:rPr>
                    <w:t>S3000</w:t>
                  </w:r>
                  <w:r>
                    <w:rPr>
                      <w:rFonts w:hint="eastAsia"/>
                      <w:szCs w:val="21"/>
                    </w:rPr>
                    <w:t>搅拌机</w:t>
                  </w:r>
                </w:p>
              </w:tc>
              <w:tc>
                <w:tcPr>
                  <w:tcW w:w="1428" w:type="dxa"/>
                  <w:vAlign w:val="center"/>
                </w:tcPr>
                <w:p>
                  <w:pPr>
                    <w:spacing w:line="360" w:lineRule="auto"/>
                    <w:jc w:val="center"/>
                    <w:rPr>
                      <w:szCs w:val="21"/>
                    </w:rPr>
                  </w:pPr>
                  <w:r>
                    <w:rPr>
                      <w:rFonts w:hint="eastAsia"/>
                      <w:szCs w:val="21"/>
                    </w:rPr>
                    <w:t>台</w:t>
                  </w:r>
                </w:p>
              </w:tc>
              <w:tc>
                <w:tcPr>
                  <w:tcW w:w="1428" w:type="dxa"/>
                  <w:vAlign w:val="center"/>
                </w:tcPr>
                <w:p>
                  <w:pPr>
                    <w:spacing w:line="360" w:lineRule="auto"/>
                    <w:jc w:val="center"/>
                    <w:rPr>
                      <w:szCs w:val="21"/>
                    </w:rPr>
                  </w:pPr>
                  <w:r>
                    <w:rPr>
                      <w:rFonts w:hint="eastAsia"/>
                      <w:szCs w:val="21"/>
                    </w:rPr>
                    <w:t>1</w:t>
                  </w:r>
                </w:p>
              </w:tc>
              <w:tc>
                <w:tcPr>
                  <w:tcW w:w="2856" w:type="dxa"/>
                  <w:vAlign w:val="center"/>
                </w:tcPr>
                <w:p>
                  <w:pPr>
                    <w:spacing w:line="360" w:lineRule="auto"/>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rFonts w:hint="eastAsia"/>
                      <w:szCs w:val="21"/>
                    </w:rPr>
                    <w:t>6</w:t>
                  </w:r>
                </w:p>
              </w:tc>
              <w:tc>
                <w:tcPr>
                  <w:tcW w:w="1843" w:type="dxa"/>
                  <w:vAlign w:val="center"/>
                </w:tcPr>
                <w:p>
                  <w:pPr>
                    <w:spacing w:line="360" w:lineRule="auto"/>
                    <w:jc w:val="center"/>
                    <w:rPr>
                      <w:szCs w:val="21"/>
                    </w:rPr>
                  </w:pPr>
                  <w:r>
                    <w:rPr>
                      <w:rFonts w:hint="eastAsia"/>
                      <w:szCs w:val="21"/>
                    </w:rPr>
                    <w:t>皮带输送机</w:t>
                  </w:r>
                </w:p>
              </w:tc>
              <w:tc>
                <w:tcPr>
                  <w:tcW w:w="1755" w:type="dxa"/>
                  <w:vAlign w:val="center"/>
                </w:tcPr>
                <w:p>
                  <w:pPr>
                    <w:spacing w:line="360" w:lineRule="auto"/>
                    <w:jc w:val="center"/>
                    <w:rPr>
                      <w:szCs w:val="21"/>
                    </w:rPr>
                  </w:pPr>
                  <w:r>
                    <w:rPr>
                      <w:rFonts w:hint="eastAsia"/>
                      <w:szCs w:val="21"/>
                    </w:rPr>
                    <w:t>B</w:t>
                  </w:r>
                  <w:r>
                    <w:rPr>
                      <w:szCs w:val="21"/>
                    </w:rPr>
                    <w:t>1000</w:t>
                  </w:r>
                </w:p>
              </w:tc>
              <w:tc>
                <w:tcPr>
                  <w:tcW w:w="1428" w:type="dxa"/>
                  <w:vAlign w:val="center"/>
                </w:tcPr>
                <w:p>
                  <w:pPr>
                    <w:spacing w:line="360" w:lineRule="auto"/>
                    <w:jc w:val="center"/>
                    <w:rPr>
                      <w:szCs w:val="21"/>
                    </w:rPr>
                  </w:pPr>
                  <w:r>
                    <w:rPr>
                      <w:rFonts w:hint="eastAsia"/>
                      <w:szCs w:val="21"/>
                    </w:rPr>
                    <w:t>台</w:t>
                  </w:r>
                </w:p>
              </w:tc>
              <w:tc>
                <w:tcPr>
                  <w:tcW w:w="1428" w:type="dxa"/>
                  <w:vAlign w:val="center"/>
                </w:tcPr>
                <w:p>
                  <w:pPr>
                    <w:spacing w:line="360" w:lineRule="auto"/>
                    <w:jc w:val="center"/>
                    <w:rPr>
                      <w:szCs w:val="21"/>
                    </w:rPr>
                  </w:pPr>
                  <w:r>
                    <w:rPr>
                      <w:rFonts w:hint="eastAsia"/>
                      <w:szCs w:val="21"/>
                    </w:rPr>
                    <w:t>1</w:t>
                  </w:r>
                </w:p>
              </w:tc>
              <w:tc>
                <w:tcPr>
                  <w:tcW w:w="2856" w:type="dxa"/>
                  <w:vAlign w:val="center"/>
                </w:tcPr>
                <w:p>
                  <w:pPr>
                    <w:spacing w:line="360" w:lineRule="auto"/>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rFonts w:hint="eastAsia"/>
                      <w:szCs w:val="21"/>
                    </w:rPr>
                    <w:t>7</w:t>
                  </w:r>
                </w:p>
              </w:tc>
              <w:tc>
                <w:tcPr>
                  <w:tcW w:w="1843" w:type="dxa"/>
                  <w:vAlign w:val="center"/>
                </w:tcPr>
                <w:p>
                  <w:pPr>
                    <w:spacing w:line="360" w:lineRule="auto"/>
                    <w:jc w:val="center"/>
                    <w:rPr>
                      <w:szCs w:val="21"/>
                    </w:rPr>
                  </w:pPr>
                  <w:r>
                    <w:rPr>
                      <w:rFonts w:hint="eastAsia"/>
                      <w:szCs w:val="21"/>
                    </w:rPr>
                    <w:t>粉料储送系统</w:t>
                  </w:r>
                </w:p>
              </w:tc>
              <w:tc>
                <w:tcPr>
                  <w:tcW w:w="1755" w:type="dxa"/>
                  <w:vAlign w:val="center"/>
                </w:tcPr>
                <w:p>
                  <w:pPr>
                    <w:spacing w:line="360" w:lineRule="auto"/>
                    <w:jc w:val="center"/>
                    <w:rPr>
                      <w:szCs w:val="21"/>
                    </w:rPr>
                  </w:pPr>
                  <w:r>
                    <w:rPr>
                      <w:rFonts w:hint="eastAsia"/>
                      <w:szCs w:val="21"/>
                    </w:rPr>
                    <w:t>/</w:t>
                  </w:r>
                </w:p>
              </w:tc>
              <w:tc>
                <w:tcPr>
                  <w:tcW w:w="1428" w:type="dxa"/>
                  <w:vAlign w:val="center"/>
                </w:tcPr>
                <w:p>
                  <w:pPr>
                    <w:spacing w:line="360" w:lineRule="auto"/>
                    <w:jc w:val="center"/>
                    <w:rPr>
                      <w:szCs w:val="21"/>
                    </w:rPr>
                  </w:pPr>
                  <w:r>
                    <w:rPr>
                      <w:rFonts w:hint="eastAsia"/>
                      <w:szCs w:val="21"/>
                    </w:rPr>
                    <w:t>套</w:t>
                  </w:r>
                </w:p>
              </w:tc>
              <w:tc>
                <w:tcPr>
                  <w:tcW w:w="1428" w:type="dxa"/>
                  <w:vAlign w:val="center"/>
                </w:tcPr>
                <w:p>
                  <w:pPr>
                    <w:spacing w:line="360" w:lineRule="auto"/>
                    <w:jc w:val="center"/>
                    <w:rPr>
                      <w:szCs w:val="21"/>
                    </w:rPr>
                  </w:pPr>
                  <w:r>
                    <w:rPr>
                      <w:rFonts w:hint="eastAsia"/>
                      <w:szCs w:val="21"/>
                    </w:rPr>
                    <w:t>6</w:t>
                  </w:r>
                </w:p>
              </w:tc>
              <w:tc>
                <w:tcPr>
                  <w:tcW w:w="2856" w:type="dxa"/>
                  <w:vAlign w:val="center"/>
                </w:tcPr>
                <w:p>
                  <w:pPr>
                    <w:spacing w:line="360" w:lineRule="auto"/>
                    <w:jc w:val="center"/>
                    <w:rPr>
                      <w:szCs w:val="21"/>
                    </w:rPr>
                  </w:pPr>
                  <w:r>
                    <w:rPr>
                      <w:rFonts w:hint="eastAsia"/>
                      <w:szCs w:val="21"/>
                    </w:rPr>
                    <w:t>装机容量1</w:t>
                  </w:r>
                  <w:r>
                    <w:rPr>
                      <w:szCs w:val="21"/>
                    </w:rPr>
                    <w:t>8.5</w:t>
                  </w:r>
                  <w:r>
                    <w:rPr>
                      <w:rFonts w:hint="eastAsia"/>
                      <w:szCs w:val="21"/>
                    </w:rPr>
                    <w:t>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rFonts w:hint="eastAsia"/>
                      <w:szCs w:val="21"/>
                    </w:rPr>
                    <w:t>8</w:t>
                  </w:r>
                </w:p>
              </w:tc>
              <w:tc>
                <w:tcPr>
                  <w:tcW w:w="1843" w:type="dxa"/>
                  <w:vAlign w:val="center"/>
                </w:tcPr>
                <w:p>
                  <w:pPr>
                    <w:spacing w:line="360" w:lineRule="auto"/>
                    <w:jc w:val="center"/>
                    <w:rPr>
                      <w:szCs w:val="21"/>
                    </w:rPr>
                  </w:pPr>
                  <w:r>
                    <w:rPr>
                      <w:rFonts w:hint="eastAsia"/>
                      <w:szCs w:val="21"/>
                    </w:rPr>
                    <w:t>空压机</w:t>
                  </w:r>
                </w:p>
              </w:tc>
              <w:tc>
                <w:tcPr>
                  <w:tcW w:w="1755" w:type="dxa"/>
                  <w:vAlign w:val="center"/>
                </w:tcPr>
                <w:p>
                  <w:pPr>
                    <w:spacing w:line="360" w:lineRule="auto"/>
                    <w:jc w:val="center"/>
                    <w:rPr>
                      <w:szCs w:val="21"/>
                    </w:rPr>
                  </w:pPr>
                  <w:r>
                    <w:rPr>
                      <w:rFonts w:hint="eastAsia"/>
                      <w:szCs w:val="21"/>
                    </w:rPr>
                    <w:t>螺杆空压机</w:t>
                  </w:r>
                </w:p>
              </w:tc>
              <w:tc>
                <w:tcPr>
                  <w:tcW w:w="1428" w:type="dxa"/>
                  <w:vAlign w:val="center"/>
                </w:tcPr>
                <w:p>
                  <w:pPr>
                    <w:spacing w:line="360" w:lineRule="auto"/>
                    <w:jc w:val="center"/>
                    <w:rPr>
                      <w:szCs w:val="21"/>
                    </w:rPr>
                  </w:pPr>
                  <w:r>
                    <w:rPr>
                      <w:rFonts w:hint="eastAsia"/>
                      <w:szCs w:val="21"/>
                    </w:rPr>
                    <w:t>台</w:t>
                  </w:r>
                </w:p>
              </w:tc>
              <w:tc>
                <w:tcPr>
                  <w:tcW w:w="1428" w:type="dxa"/>
                  <w:vAlign w:val="center"/>
                </w:tcPr>
                <w:p>
                  <w:pPr>
                    <w:spacing w:line="360" w:lineRule="auto"/>
                    <w:jc w:val="center"/>
                    <w:rPr>
                      <w:szCs w:val="21"/>
                    </w:rPr>
                  </w:pPr>
                  <w:r>
                    <w:rPr>
                      <w:rFonts w:hint="eastAsia"/>
                      <w:szCs w:val="21"/>
                    </w:rPr>
                    <w:t>1</w:t>
                  </w:r>
                </w:p>
              </w:tc>
              <w:tc>
                <w:tcPr>
                  <w:tcW w:w="2856" w:type="dxa"/>
                  <w:vAlign w:val="center"/>
                </w:tcPr>
                <w:p>
                  <w:pPr>
                    <w:spacing w:line="360" w:lineRule="auto"/>
                    <w:jc w:val="center"/>
                    <w:rPr>
                      <w:szCs w:val="21"/>
                    </w:rPr>
                  </w:pPr>
                  <w:r>
                    <w:rPr>
                      <w:rFonts w:hint="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rFonts w:hint="eastAsia"/>
                      <w:szCs w:val="21"/>
                    </w:rPr>
                    <w:t>9</w:t>
                  </w:r>
                </w:p>
              </w:tc>
              <w:tc>
                <w:tcPr>
                  <w:tcW w:w="1843" w:type="dxa"/>
                  <w:vAlign w:val="center"/>
                </w:tcPr>
                <w:p>
                  <w:pPr>
                    <w:spacing w:line="360" w:lineRule="auto"/>
                    <w:jc w:val="center"/>
                    <w:rPr>
                      <w:szCs w:val="21"/>
                    </w:rPr>
                  </w:pPr>
                  <w:r>
                    <w:rPr>
                      <w:rFonts w:hint="eastAsia"/>
                      <w:szCs w:val="21"/>
                    </w:rPr>
                    <w:t>控制室与监控系统</w:t>
                  </w:r>
                </w:p>
              </w:tc>
              <w:tc>
                <w:tcPr>
                  <w:tcW w:w="1755" w:type="dxa"/>
                  <w:vAlign w:val="center"/>
                </w:tcPr>
                <w:p>
                  <w:pPr>
                    <w:spacing w:line="360" w:lineRule="auto"/>
                    <w:jc w:val="center"/>
                    <w:rPr>
                      <w:szCs w:val="21"/>
                    </w:rPr>
                  </w:pPr>
                  <w:r>
                    <w:rPr>
                      <w:rFonts w:hint="eastAsia"/>
                      <w:szCs w:val="21"/>
                    </w:rPr>
                    <w:t>/</w:t>
                  </w:r>
                </w:p>
              </w:tc>
              <w:tc>
                <w:tcPr>
                  <w:tcW w:w="1428" w:type="dxa"/>
                  <w:vAlign w:val="center"/>
                </w:tcPr>
                <w:p>
                  <w:pPr>
                    <w:spacing w:line="360" w:lineRule="auto"/>
                    <w:jc w:val="center"/>
                    <w:rPr>
                      <w:szCs w:val="21"/>
                    </w:rPr>
                  </w:pPr>
                  <w:r>
                    <w:rPr>
                      <w:rFonts w:hint="eastAsia"/>
                      <w:szCs w:val="21"/>
                    </w:rPr>
                    <w:t>套</w:t>
                  </w:r>
                </w:p>
              </w:tc>
              <w:tc>
                <w:tcPr>
                  <w:tcW w:w="1428" w:type="dxa"/>
                  <w:vAlign w:val="center"/>
                </w:tcPr>
                <w:p>
                  <w:pPr>
                    <w:spacing w:line="360" w:lineRule="auto"/>
                    <w:jc w:val="center"/>
                    <w:rPr>
                      <w:szCs w:val="21"/>
                    </w:rPr>
                  </w:pPr>
                  <w:r>
                    <w:rPr>
                      <w:rFonts w:hint="eastAsia"/>
                      <w:szCs w:val="21"/>
                    </w:rPr>
                    <w:t>1</w:t>
                  </w:r>
                </w:p>
              </w:tc>
              <w:tc>
                <w:tcPr>
                  <w:tcW w:w="2856" w:type="dxa"/>
                  <w:vAlign w:val="center"/>
                </w:tcPr>
                <w:p>
                  <w:pPr>
                    <w:spacing w:line="360" w:lineRule="auto"/>
                    <w:jc w:val="center"/>
                    <w:rPr>
                      <w:szCs w:val="21"/>
                    </w:rPr>
                  </w:pPr>
                  <w:r>
                    <w:rPr>
                      <w:rFonts w:hint="eastAsia"/>
                      <w:szCs w:val="21"/>
                    </w:rPr>
                    <w:t>2套控制系统，控制室安装在主楼侧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rFonts w:hint="eastAsia"/>
                      <w:szCs w:val="21"/>
                    </w:rPr>
                    <w:t>1</w:t>
                  </w:r>
                  <w:r>
                    <w:rPr>
                      <w:szCs w:val="21"/>
                    </w:rPr>
                    <w:t>0</w:t>
                  </w:r>
                </w:p>
              </w:tc>
              <w:tc>
                <w:tcPr>
                  <w:tcW w:w="1843" w:type="dxa"/>
                  <w:vAlign w:val="center"/>
                </w:tcPr>
                <w:p>
                  <w:pPr>
                    <w:spacing w:line="360" w:lineRule="auto"/>
                    <w:jc w:val="center"/>
                    <w:rPr>
                      <w:szCs w:val="21"/>
                    </w:rPr>
                  </w:pPr>
                  <w:r>
                    <w:rPr>
                      <w:rFonts w:hint="eastAsia"/>
                      <w:szCs w:val="21"/>
                    </w:rPr>
                    <w:t>控制系统</w:t>
                  </w:r>
                </w:p>
              </w:tc>
              <w:tc>
                <w:tcPr>
                  <w:tcW w:w="1755" w:type="dxa"/>
                  <w:vAlign w:val="center"/>
                </w:tcPr>
                <w:p>
                  <w:pPr>
                    <w:spacing w:line="360" w:lineRule="auto"/>
                    <w:jc w:val="center"/>
                    <w:rPr>
                      <w:szCs w:val="21"/>
                    </w:rPr>
                  </w:pPr>
                  <w:r>
                    <w:rPr>
                      <w:rFonts w:hint="eastAsia"/>
                      <w:szCs w:val="21"/>
                    </w:rPr>
                    <w:t>P</w:t>
                  </w:r>
                  <w:r>
                    <w:rPr>
                      <w:szCs w:val="21"/>
                    </w:rPr>
                    <w:t>LC+</w:t>
                  </w:r>
                  <w:r>
                    <w:rPr>
                      <w:rFonts w:hint="eastAsia"/>
                      <w:szCs w:val="21"/>
                    </w:rPr>
                    <w:t>人工控机</w:t>
                  </w:r>
                </w:p>
              </w:tc>
              <w:tc>
                <w:tcPr>
                  <w:tcW w:w="1428" w:type="dxa"/>
                  <w:vAlign w:val="center"/>
                </w:tcPr>
                <w:p>
                  <w:pPr>
                    <w:spacing w:line="360" w:lineRule="auto"/>
                    <w:jc w:val="center"/>
                    <w:rPr>
                      <w:szCs w:val="21"/>
                    </w:rPr>
                  </w:pPr>
                  <w:r>
                    <w:rPr>
                      <w:rFonts w:hint="eastAsia"/>
                      <w:szCs w:val="21"/>
                    </w:rPr>
                    <w:t>套</w:t>
                  </w:r>
                </w:p>
              </w:tc>
              <w:tc>
                <w:tcPr>
                  <w:tcW w:w="1428" w:type="dxa"/>
                  <w:vAlign w:val="center"/>
                </w:tcPr>
                <w:p>
                  <w:pPr>
                    <w:spacing w:line="360" w:lineRule="auto"/>
                    <w:jc w:val="center"/>
                    <w:rPr>
                      <w:szCs w:val="21"/>
                    </w:rPr>
                  </w:pPr>
                  <w:r>
                    <w:rPr>
                      <w:rFonts w:hint="eastAsia"/>
                      <w:szCs w:val="21"/>
                    </w:rPr>
                    <w:t>1</w:t>
                  </w:r>
                </w:p>
              </w:tc>
              <w:tc>
                <w:tcPr>
                  <w:tcW w:w="2856" w:type="dxa"/>
                  <w:vAlign w:val="center"/>
                </w:tcPr>
                <w:p>
                  <w:pPr>
                    <w:spacing w:line="360" w:lineRule="auto"/>
                    <w:jc w:val="center"/>
                    <w:rPr>
                      <w:szCs w:val="21"/>
                    </w:rPr>
                  </w:pPr>
                  <w:r>
                    <w:rPr>
                      <w:rFonts w:hint="eastAsia"/>
                      <w:szCs w:val="21"/>
                    </w:rPr>
                    <w:t>山东博硕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rFonts w:hint="eastAsia"/>
                      <w:szCs w:val="21"/>
                    </w:rPr>
                    <w:t>1</w:t>
                  </w:r>
                  <w:r>
                    <w:rPr>
                      <w:szCs w:val="21"/>
                    </w:rPr>
                    <w:t>1</w:t>
                  </w:r>
                </w:p>
              </w:tc>
              <w:tc>
                <w:tcPr>
                  <w:tcW w:w="1843" w:type="dxa"/>
                  <w:vAlign w:val="center"/>
                </w:tcPr>
                <w:p>
                  <w:pPr>
                    <w:spacing w:line="360" w:lineRule="auto"/>
                    <w:jc w:val="center"/>
                    <w:rPr>
                      <w:szCs w:val="21"/>
                    </w:rPr>
                  </w:pPr>
                  <w:r>
                    <w:rPr>
                      <w:rFonts w:hint="eastAsia"/>
                      <w:szCs w:val="21"/>
                    </w:rPr>
                    <w:t>轮式装载机</w:t>
                  </w:r>
                </w:p>
              </w:tc>
              <w:tc>
                <w:tcPr>
                  <w:tcW w:w="1755" w:type="dxa"/>
                  <w:vAlign w:val="center"/>
                </w:tcPr>
                <w:p>
                  <w:pPr>
                    <w:spacing w:line="360" w:lineRule="auto"/>
                    <w:jc w:val="center"/>
                    <w:rPr>
                      <w:szCs w:val="21"/>
                    </w:rPr>
                  </w:pPr>
                  <w:r>
                    <w:rPr>
                      <w:rFonts w:hint="eastAsia"/>
                      <w:szCs w:val="21"/>
                    </w:rPr>
                    <w:t>龙工8</w:t>
                  </w:r>
                  <w:r>
                    <w:rPr>
                      <w:szCs w:val="21"/>
                    </w:rPr>
                    <w:t>55</w:t>
                  </w:r>
                </w:p>
              </w:tc>
              <w:tc>
                <w:tcPr>
                  <w:tcW w:w="1428" w:type="dxa"/>
                  <w:vAlign w:val="center"/>
                </w:tcPr>
                <w:p>
                  <w:pPr>
                    <w:spacing w:line="360" w:lineRule="auto"/>
                    <w:jc w:val="center"/>
                    <w:rPr>
                      <w:szCs w:val="21"/>
                    </w:rPr>
                  </w:pPr>
                  <w:r>
                    <w:rPr>
                      <w:rFonts w:hint="eastAsia"/>
                      <w:szCs w:val="21"/>
                    </w:rPr>
                    <w:t>辆</w:t>
                  </w:r>
                </w:p>
              </w:tc>
              <w:tc>
                <w:tcPr>
                  <w:tcW w:w="1428" w:type="dxa"/>
                  <w:vAlign w:val="center"/>
                </w:tcPr>
                <w:p>
                  <w:pPr>
                    <w:spacing w:line="360" w:lineRule="auto"/>
                    <w:jc w:val="center"/>
                    <w:rPr>
                      <w:szCs w:val="21"/>
                    </w:rPr>
                  </w:pPr>
                  <w:r>
                    <w:rPr>
                      <w:rFonts w:hint="eastAsia"/>
                      <w:szCs w:val="21"/>
                    </w:rPr>
                    <w:t>1</w:t>
                  </w:r>
                </w:p>
              </w:tc>
              <w:tc>
                <w:tcPr>
                  <w:tcW w:w="2856" w:type="dxa"/>
                  <w:vAlign w:val="center"/>
                </w:tcPr>
                <w:p>
                  <w:pPr>
                    <w:spacing w:line="360" w:lineRule="auto"/>
                    <w:jc w:val="center"/>
                    <w:rPr>
                      <w:szCs w:val="21"/>
                    </w:rPr>
                  </w:pPr>
                  <w:r>
                    <w:rPr>
                      <w:rFonts w:hint="eastAsia"/>
                      <w:szCs w:val="21"/>
                    </w:rPr>
                    <w:t>配料区上料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rFonts w:hint="eastAsia"/>
                      <w:szCs w:val="21"/>
                    </w:rPr>
                    <w:t>1</w:t>
                  </w:r>
                  <w:r>
                    <w:rPr>
                      <w:szCs w:val="21"/>
                    </w:rPr>
                    <w:t>2</w:t>
                  </w:r>
                </w:p>
              </w:tc>
              <w:tc>
                <w:tcPr>
                  <w:tcW w:w="1843" w:type="dxa"/>
                  <w:vAlign w:val="center"/>
                </w:tcPr>
                <w:p>
                  <w:pPr>
                    <w:spacing w:line="360" w:lineRule="auto"/>
                    <w:jc w:val="center"/>
                    <w:rPr>
                      <w:szCs w:val="21"/>
                    </w:rPr>
                  </w:pPr>
                  <w:r>
                    <w:rPr>
                      <w:rFonts w:hint="eastAsia"/>
                      <w:szCs w:val="21"/>
                    </w:rPr>
                    <w:t>混凝土罐车</w:t>
                  </w:r>
                </w:p>
              </w:tc>
              <w:tc>
                <w:tcPr>
                  <w:tcW w:w="1755" w:type="dxa"/>
                  <w:vAlign w:val="center"/>
                </w:tcPr>
                <w:p>
                  <w:pPr>
                    <w:spacing w:line="360" w:lineRule="auto"/>
                    <w:jc w:val="center"/>
                    <w:rPr>
                      <w:szCs w:val="21"/>
                    </w:rPr>
                  </w:pPr>
                  <w:r>
                    <w:rPr>
                      <w:rFonts w:hint="eastAsia"/>
                      <w:szCs w:val="21"/>
                    </w:rPr>
                    <w:t>容积为1</w:t>
                  </w:r>
                  <w:r>
                    <w:rPr>
                      <w:szCs w:val="21"/>
                    </w:rPr>
                    <w:t>0</w:t>
                  </w:r>
                  <w:r>
                    <w:rPr>
                      <w:rFonts w:hint="eastAsia"/>
                      <w:szCs w:val="21"/>
                    </w:rPr>
                    <w:t>m³</w:t>
                  </w:r>
                </w:p>
              </w:tc>
              <w:tc>
                <w:tcPr>
                  <w:tcW w:w="1428" w:type="dxa"/>
                  <w:vAlign w:val="center"/>
                </w:tcPr>
                <w:p>
                  <w:pPr>
                    <w:spacing w:line="360" w:lineRule="auto"/>
                    <w:jc w:val="center"/>
                    <w:rPr>
                      <w:szCs w:val="21"/>
                    </w:rPr>
                  </w:pPr>
                  <w:r>
                    <w:rPr>
                      <w:rFonts w:hint="eastAsia"/>
                      <w:szCs w:val="21"/>
                    </w:rPr>
                    <w:t>辆</w:t>
                  </w:r>
                </w:p>
              </w:tc>
              <w:tc>
                <w:tcPr>
                  <w:tcW w:w="1428" w:type="dxa"/>
                  <w:vAlign w:val="center"/>
                </w:tcPr>
                <w:p>
                  <w:pPr>
                    <w:spacing w:line="360" w:lineRule="auto"/>
                    <w:jc w:val="center"/>
                    <w:rPr>
                      <w:szCs w:val="21"/>
                    </w:rPr>
                  </w:pPr>
                  <w:r>
                    <w:rPr>
                      <w:rFonts w:hint="eastAsia"/>
                      <w:szCs w:val="21"/>
                    </w:rPr>
                    <w:t>1</w:t>
                  </w:r>
                  <w:r>
                    <w:rPr>
                      <w:szCs w:val="21"/>
                    </w:rPr>
                    <w:t>5</w:t>
                  </w:r>
                </w:p>
              </w:tc>
              <w:tc>
                <w:tcPr>
                  <w:tcW w:w="2856" w:type="dxa"/>
                  <w:vAlign w:val="center"/>
                </w:tcPr>
                <w:p>
                  <w:pPr>
                    <w:spacing w:line="360" w:lineRule="auto"/>
                    <w:jc w:val="center"/>
                    <w:rPr>
                      <w:szCs w:val="21"/>
                    </w:rPr>
                  </w:pPr>
                  <w:r>
                    <w:rPr>
                      <w:rFonts w:hint="eastAsia"/>
                      <w:szCs w:val="21"/>
                    </w:rPr>
                    <w:t>用于运输混凝土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6" w:type="dxa"/>
                  <w:vAlign w:val="center"/>
                </w:tcPr>
                <w:p>
                  <w:pPr>
                    <w:spacing w:line="360" w:lineRule="auto"/>
                    <w:jc w:val="center"/>
                    <w:rPr>
                      <w:szCs w:val="21"/>
                    </w:rPr>
                  </w:pPr>
                  <w:r>
                    <w:rPr>
                      <w:rFonts w:hint="eastAsia"/>
                      <w:szCs w:val="21"/>
                    </w:rPr>
                    <w:t>1</w:t>
                  </w:r>
                  <w:r>
                    <w:rPr>
                      <w:szCs w:val="21"/>
                    </w:rPr>
                    <w:t>3</w:t>
                  </w:r>
                </w:p>
              </w:tc>
              <w:tc>
                <w:tcPr>
                  <w:tcW w:w="1843" w:type="dxa"/>
                  <w:vAlign w:val="center"/>
                </w:tcPr>
                <w:p>
                  <w:pPr>
                    <w:spacing w:line="360" w:lineRule="auto"/>
                    <w:jc w:val="center"/>
                    <w:rPr>
                      <w:szCs w:val="21"/>
                    </w:rPr>
                  </w:pPr>
                  <w:r>
                    <w:rPr>
                      <w:rFonts w:hint="eastAsia"/>
                      <w:szCs w:val="21"/>
                    </w:rPr>
                    <w:t>实验设备</w:t>
                  </w:r>
                </w:p>
              </w:tc>
              <w:tc>
                <w:tcPr>
                  <w:tcW w:w="1755" w:type="dxa"/>
                  <w:vAlign w:val="center"/>
                </w:tcPr>
                <w:p>
                  <w:pPr>
                    <w:spacing w:line="360" w:lineRule="auto"/>
                    <w:jc w:val="center"/>
                    <w:rPr>
                      <w:szCs w:val="21"/>
                    </w:rPr>
                  </w:pPr>
                  <w:r>
                    <w:rPr>
                      <w:rFonts w:hint="eastAsia"/>
                      <w:szCs w:val="21"/>
                    </w:rPr>
                    <w:t>/</w:t>
                  </w:r>
                </w:p>
              </w:tc>
              <w:tc>
                <w:tcPr>
                  <w:tcW w:w="1428" w:type="dxa"/>
                  <w:vAlign w:val="center"/>
                </w:tcPr>
                <w:p>
                  <w:pPr>
                    <w:spacing w:line="360" w:lineRule="auto"/>
                    <w:jc w:val="center"/>
                    <w:rPr>
                      <w:szCs w:val="21"/>
                    </w:rPr>
                  </w:pPr>
                  <w:r>
                    <w:rPr>
                      <w:rFonts w:hint="eastAsia"/>
                      <w:szCs w:val="21"/>
                    </w:rPr>
                    <w:t>套</w:t>
                  </w:r>
                </w:p>
              </w:tc>
              <w:tc>
                <w:tcPr>
                  <w:tcW w:w="1428" w:type="dxa"/>
                  <w:vAlign w:val="center"/>
                </w:tcPr>
                <w:p>
                  <w:pPr>
                    <w:spacing w:line="360" w:lineRule="auto"/>
                    <w:jc w:val="center"/>
                    <w:rPr>
                      <w:szCs w:val="21"/>
                    </w:rPr>
                  </w:pPr>
                  <w:r>
                    <w:rPr>
                      <w:rFonts w:hint="eastAsia"/>
                      <w:szCs w:val="21"/>
                    </w:rPr>
                    <w:t>1</w:t>
                  </w:r>
                </w:p>
              </w:tc>
              <w:tc>
                <w:tcPr>
                  <w:tcW w:w="2856" w:type="dxa"/>
                  <w:vAlign w:val="center"/>
                </w:tcPr>
                <w:p>
                  <w:pPr>
                    <w:spacing w:line="360" w:lineRule="auto"/>
                    <w:jc w:val="center"/>
                    <w:rPr>
                      <w:szCs w:val="21"/>
                    </w:rPr>
                  </w:pPr>
                  <w:r>
                    <w:rPr>
                      <w:rFonts w:hint="eastAsia"/>
                      <w:szCs w:val="21"/>
                    </w:rPr>
                    <w:t>用于混凝土试验（无化学试验）</w:t>
                  </w:r>
                </w:p>
              </w:tc>
            </w:tr>
          </w:tbl>
          <w:p>
            <w:pPr>
              <w:spacing w:line="360" w:lineRule="auto"/>
              <w:rPr>
                <w:b/>
                <w:bCs/>
                <w:sz w:val="24"/>
              </w:rPr>
            </w:pPr>
            <w:r>
              <w:rPr>
                <w:b/>
                <w:bCs/>
                <w:sz w:val="24"/>
              </w:rPr>
              <w:t>4、</w:t>
            </w:r>
            <w:r>
              <w:rPr>
                <w:rFonts w:hint="eastAsia"/>
                <w:b/>
                <w:bCs/>
                <w:sz w:val="24"/>
              </w:rPr>
              <w:t>项目主要原辅材料及能源消耗</w:t>
            </w:r>
          </w:p>
          <w:p>
            <w:pPr>
              <w:spacing w:line="360" w:lineRule="auto"/>
              <w:ind w:firstLine="480" w:firstLineChars="200"/>
              <w:rPr>
                <w:sz w:val="24"/>
              </w:rPr>
            </w:pPr>
            <w:r>
              <w:rPr>
                <w:rFonts w:hint="eastAsia"/>
                <w:sz w:val="24"/>
              </w:rPr>
              <w:t>（1）主要原辅材料</w:t>
            </w:r>
          </w:p>
          <w:p>
            <w:pPr>
              <w:spacing w:line="360" w:lineRule="auto"/>
              <w:ind w:firstLine="480" w:firstLineChars="200"/>
              <w:rPr>
                <w:sz w:val="24"/>
              </w:rPr>
            </w:pPr>
            <w:r>
              <w:rPr>
                <w:rFonts w:hint="eastAsia"/>
                <w:sz w:val="24"/>
              </w:rPr>
              <w:t>根据建设单位提供资料，项目运营期主要原辅材料及能源消耗情况详见下表。</w:t>
            </w:r>
          </w:p>
          <w:p>
            <w:pPr>
              <w:spacing w:line="360" w:lineRule="auto"/>
              <w:jc w:val="center"/>
              <w:rPr>
                <w:b/>
                <w:bCs/>
                <w:szCs w:val="21"/>
              </w:rPr>
            </w:pPr>
            <w:r>
              <w:rPr>
                <w:rFonts w:hint="eastAsia"/>
                <w:b/>
                <w:bCs/>
                <w:szCs w:val="21"/>
              </w:rPr>
              <w:t>表2-3  主要原辅材料及能源消耗情况一览表</w:t>
            </w:r>
          </w:p>
          <w:tbl>
            <w:tblPr>
              <w:tblStyle w:val="88"/>
              <w:tblW w:w="47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1465"/>
              <w:gridCol w:w="3140"/>
              <w:gridCol w:w="1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68" w:type="pct"/>
                  <w:vAlign w:val="center"/>
                </w:tcPr>
                <w:p>
                  <w:pPr>
                    <w:pStyle w:val="132"/>
                    <w:spacing w:before="31" w:after="31"/>
                    <w:rPr>
                      <w:rFonts w:ascii="仿宋" w:hAnsi="仿宋"/>
                      <w:b/>
                      <w:szCs w:val="21"/>
                    </w:rPr>
                  </w:pPr>
                  <w:r>
                    <w:rPr>
                      <w:rFonts w:hint="eastAsia" w:ascii="仿宋" w:hAnsi="仿宋"/>
                      <w:b/>
                      <w:szCs w:val="21"/>
                    </w:rPr>
                    <w:t>类别</w:t>
                  </w:r>
                </w:p>
              </w:tc>
              <w:tc>
                <w:tcPr>
                  <w:tcW w:w="980" w:type="pct"/>
                  <w:vAlign w:val="center"/>
                </w:tcPr>
                <w:p>
                  <w:pPr>
                    <w:pStyle w:val="132"/>
                    <w:spacing w:before="31" w:after="31"/>
                    <w:rPr>
                      <w:rFonts w:ascii="仿宋" w:hAnsi="仿宋"/>
                      <w:b/>
                      <w:szCs w:val="21"/>
                    </w:rPr>
                  </w:pPr>
                  <w:r>
                    <w:rPr>
                      <w:rFonts w:hint="eastAsia" w:ascii="仿宋" w:hAnsi="仿宋"/>
                      <w:b/>
                      <w:szCs w:val="21"/>
                    </w:rPr>
                    <w:t>名称</w:t>
                  </w:r>
                </w:p>
              </w:tc>
              <w:tc>
                <w:tcPr>
                  <w:tcW w:w="2100" w:type="pct"/>
                  <w:vAlign w:val="center"/>
                </w:tcPr>
                <w:p>
                  <w:pPr>
                    <w:pStyle w:val="132"/>
                    <w:spacing w:before="31" w:after="31"/>
                    <w:rPr>
                      <w:rFonts w:ascii="仿宋" w:hAnsi="仿宋"/>
                      <w:b/>
                      <w:szCs w:val="21"/>
                    </w:rPr>
                  </w:pPr>
                  <w:r>
                    <w:rPr>
                      <w:rFonts w:hint="eastAsia" w:ascii="仿宋" w:hAnsi="仿宋"/>
                      <w:b/>
                      <w:szCs w:val="21"/>
                    </w:rPr>
                    <w:t>年消耗量</w:t>
                  </w:r>
                </w:p>
              </w:tc>
              <w:tc>
                <w:tcPr>
                  <w:tcW w:w="1052" w:type="pct"/>
                  <w:vAlign w:val="center"/>
                </w:tcPr>
                <w:p>
                  <w:pPr>
                    <w:pStyle w:val="132"/>
                    <w:spacing w:before="31" w:after="31"/>
                    <w:rPr>
                      <w:rFonts w:ascii="仿宋" w:hAnsi="仿宋"/>
                      <w:b/>
                      <w:szCs w:val="21"/>
                    </w:rPr>
                  </w:pPr>
                  <w:r>
                    <w:rPr>
                      <w:rFonts w:hint="eastAsia" w:ascii="仿宋" w:hAnsi="仿宋"/>
                      <w:b/>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pct"/>
                  <w:vMerge w:val="restart"/>
                  <w:vAlign w:val="center"/>
                </w:tcPr>
                <w:p>
                  <w:pPr>
                    <w:pStyle w:val="132"/>
                    <w:spacing w:before="31" w:after="31"/>
                    <w:rPr>
                      <w:rFonts w:ascii="仿宋" w:hAnsi="仿宋"/>
                      <w:szCs w:val="21"/>
                    </w:rPr>
                  </w:pPr>
                  <w:r>
                    <w:rPr>
                      <w:rFonts w:hint="eastAsia" w:ascii="仿宋" w:hAnsi="仿宋"/>
                      <w:szCs w:val="21"/>
                    </w:rPr>
                    <w:t>原料</w:t>
                  </w:r>
                </w:p>
              </w:tc>
              <w:tc>
                <w:tcPr>
                  <w:tcW w:w="980" w:type="pct"/>
                  <w:vAlign w:val="center"/>
                </w:tcPr>
                <w:p>
                  <w:pPr>
                    <w:pStyle w:val="132"/>
                    <w:spacing w:before="31" w:after="31"/>
                    <w:rPr>
                      <w:rFonts w:ascii="仿宋" w:hAnsi="仿宋"/>
                      <w:szCs w:val="21"/>
                    </w:rPr>
                  </w:pPr>
                  <w:r>
                    <w:rPr>
                      <w:rFonts w:hint="eastAsia" w:ascii="仿宋" w:hAnsi="仿宋"/>
                      <w:szCs w:val="21"/>
                    </w:rPr>
                    <w:t>水泥</w:t>
                  </w:r>
                </w:p>
              </w:tc>
              <w:tc>
                <w:tcPr>
                  <w:tcW w:w="2100" w:type="pct"/>
                  <w:vAlign w:val="center"/>
                </w:tcPr>
                <w:p>
                  <w:pPr>
                    <w:pStyle w:val="132"/>
                    <w:spacing w:before="31" w:after="31"/>
                    <w:rPr>
                      <w:rFonts w:ascii="仿宋" w:hAnsi="仿宋"/>
                      <w:szCs w:val="21"/>
                    </w:rPr>
                  </w:pPr>
                  <w:r>
                    <w:rPr>
                      <w:rFonts w:hint="eastAsia" w:ascii="仿宋" w:hAnsi="仿宋"/>
                      <w:szCs w:val="21"/>
                    </w:rPr>
                    <w:t>1</w:t>
                  </w:r>
                  <w:r>
                    <w:rPr>
                      <w:rFonts w:ascii="仿宋" w:hAnsi="仿宋"/>
                      <w:szCs w:val="21"/>
                    </w:rPr>
                    <w:t>.8</w:t>
                  </w:r>
                  <w:r>
                    <w:rPr>
                      <w:rFonts w:hint="eastAsia" w:ascii="仿宋" w:hAnsi="仿宋"/>
                      <w:szCs w:val="21"/>
                    </w:rPr>
                    <w:t>万t</w:t>
                  </w:r>
                </w:p>
              </w:tc>
              <w:tc>
                <w:tcPr>
                  <w:tcW w:w="1052" w:type="pct"/>
                  <w:vAlign w:val="center"/>
                </w:tcPr>
                <w:p>
                  <w:pPr>
                    <w:pStyle w:val="132"/>
                    <w:spacing w:before="31" w:after="31"/>
                    <w:rPr>
                      <w:rFonts w:ascii="仿宋" w:hAnsi="仿宋"/>
                      <w:szCs w:val="21"/>
                    </w:rPr>
                  </w:pPr>
                  <w:r>
                    <w:rPr>
                      <w:rFonts w:hint="eastAsia" w:ascii="仿宋" w:hAnsi="仿宋"/>
                      <w:szCs w:val="21"/>
                    </w:rPr>
                    <w:t>华新水泥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68" w:type="pct"/>
                  <w:vMerge w:val="continue"/>
                  <w:vAlign w:val="center"/>
                </w:tcPr>
                <w:p>
                  <w:pPr>
                    <w:pStyle w:val="132"/>
                    <w:spacing w:before="31" w:after="31"/>
                    <w:rPr>
                      <w:rFonts w:ascii="仿宋" w:hAnsi="仿宋"/>
                      <w:szCs w:val="21"/>
                    </w:rPr>
                  </w:pPr>
                </w:p>
              </w:tc>
              <w:tc>
                <w:tcPr>
                  <w:tcW w:w="980" w:type="pct"/>
                  <w:vAlign w:val="center"/>
                </w:tcPr>
                <w:p>
                  <w:pPr>
                    <w:pStyle w:val="132"/>
                    <w:spacing w:before="31" w:after="31"/>
                    <w:rPr>
                      <w:rFonts w:ascii="仿宋" w:hAnsi="仿宋"/>
                      <w:szCs w:val="21"/>
                    </w:rPr>
                  </w:pPr>
                  <w:r>
                    <w:rPr>
                      <w:rFonts w:hint="eastAsia" w:ascii="仿宋" w:hAnsi="仿宋"/>
                      <w:szCs w:val="21"/>
                    </w:rPr>
                    <w:t>砂石骨料</w:t>
                  </w:r>
                </w:p>
              </w:tc>
              <w:tc>
                <w:tcPr>
                  <w:tcW w:w="2100" w:type="pct"/>
                  <w:vAlign w:val="center"/>
                </w:tcPr>
                <w:p>
                  <w:pPr>
                    <w:pStyle w:val="132"/>
                    <w:spacing w:before="31" w:after="31"/>
                    <w:rPr>
                      <w:rFonts w:ascii="仿宋" w:hAnsi="仿宋"/>
                      <w:szCs w:val="21"/>
                    </w:rPr>
                  </w:pPr>
                  <w:r>
                    <w:rPr>
                      <w:rFonts w:hint="eastAsia" w:ascii="仿宋" w:hAnsi="仿宋"/>
                      <w:szCs w:val="21"/>
                    </w:rPr>
                    <w:t>1</w:t>
                  </w:r>
                  <w:r>
                    <w:rPr>
                      <w:rFonts w:ascii="仿宋" w:hAnsi="仿宋"/>
                      <w:szCs w:val="21"/>
                    </w:rPr>
                    <w:t>5</w:t>
                  </w:r>
                  <w:r>
                    <w:rPr>
                      <w:rFonts w:hint="eastAsia" w:ascii="仿宋" w:hAnsi="仿宋"/>
                      <w:szCs w:val="21"/>
                    </w:rPr>
                    <w:t>万t</w:t>
                  </w:r>
                </w:p>
              </w:tc>
              <w:tc>
                <w:tcPr>
                  <w:tcW w:w="1052" w:type="pct"/>
                  <w:vAlign w:val="center"/>
                </w:tcPr>
                <w:p>
                  <w:pPr>
                    <w:pStyle w:val="132"/>
                    <w:spacing w:before="31" w:after="31"/>
                    <w:rPr>
                      <w:rFonts w:ascii="仿宋" w:hAnsi="仿宋"/>
                      <w:szCs w:val="21"/>
                    </w:rPr>
                  </w:pPr>
                  <w:r>
                    <w:rPr>
                      <w:rFonts w:hint="eastAsia" w:ascii="仿宋" w:hAnsi="仿宋"/>
                      <w:szCs w:val="21"/>
                    </w:rPr>
                    <w:t>小江碎石场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68" w:type="pct"/>
                  <w:vMerge w:val="restart"/>
                  <w:vAlign w:val="center"/>
                </w:tcPr>
                <w:p>
                  <w:pPr>
                    <w:pStyle w:val="132"/>
                    <w:spacing w:before="31" w:after="31"/>
                    <w:rPr>
                      <w:rFonts w:ascii="仿宋" w:hAnsi="仿宋"/>
                      <w:szCs w:val="21"/>
                    </w:rPr>
                  </w:pPr>
                  <w:r>
                    <w:rPr>
                      <w:rFonts w:hint="eastAsia" w:ascii="仿宋" w:hAnsi="仿宋"/>
                      <w:szCs w:val="21"/>
                    </w:rPr>
                    <w:t>辅料</w:t>
                  </w:r>
                </w:p>
              </w:tc>
              <w:tc>
                <w:tcPr>
                  <w:tcW w:w="980" w:type="pct"/>
                  <w:vAlign w:val="center"/>
                </w:tcPr>
                <w:p>
                  <w:pPr>
                    <w:pStyle w:val="132"/>
                    <w:spacing w:before="31" w:after="31"/>
                    <w:rPr>
                      <w:rFonts w:ascii="仿宋" w:hAnsi="仿宋"/>
                      <w:szCs w:val="21"/>
                    </w:rPr>
                  </w:pPr>
                  <w:r>
                    <w:rPr>
                      <w:rFonts w:hint="eastAsia" w:ascii="仿宋" w:hAnsi="仿宋"/>
                      <w:szCs w:val="21"/>
                    </w:rPr>
                    <w:t>粉煤灰</w:t>
                  </w:r>
                </w:p>
              </w:tc>
              <w:tc>
                <w:tcPr>
                  <w:tcW w:w="2100" w:type="pct"/>
                  <w:vAlign w:val="center"/>
                </w:tcPr>
                <w:p>
                  <w:pPr>
                    <w:pStyle w:val="132"/>
                    <w:spacing w:before="31" w:after="31"/>
                    <w:rPr>
                      <w:rFonts w:ascii="仿宋" w:hAnsi="仿宋"/>
                      <w:szCs w:val="21"/>
                    </w:rPr>
                  </w:pPr>
                  <w:r>
                    <w:rPr>
                      <w:rFonts w:ascii="仿宋" w:hAnsi="仿宋"/>
                      <w:szCs w:val="21"/>
                    </w:rPr>
                    <w:t>0.6</w:t>
                  </w:r>
                  <w:r>
                    <w:rPr>
                      <w:rFonts w:hint="eastAsia" w:ascii="仿宋" w:hAnsi="仿宋"/>
                      <w:szCs w:val="21"/>
                    </w:rPr>
                    <w:t>万t</w:t>
                  </w:r>
                </w:p>
              </w:tc>
              <w:tc>
                <w:tcPr>
                  <w:tcW w:w="1052" w:type="pct"/>
                  <w:vAlign w:val="center"/>
                </w:tcPr>
                <w:p>
                  <w:pPr>
                    <w:pStyle w:val="132"/>
                    <w:spacing w:before="31" w:after="31"/>
                    <w:rPr>
                      <w:rFonts w:ascii="仿宋" w:hAnsi="仿宋"/>
                      <w:szCs w:val="21"/>
                    </w:rPr>
                  </w:pPr>
                  <w:r>
                    <w:rPr>
                      <w:rFonts w:hint="eastAsia" w:ascii="仿宋" w:hAnsi="仿宋"/>
                      <w:szCs w:val="21"/>
                    </w:rPr>
                    <w:t>曲靖电厂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8" w:type="pct"/>
                  <w:vMerge w:val="continue"/>
                  <w:vAlign w:val="center"/>
                </w:tcPr>
                <w:p>
                  <w:pPr>
                    <w:pStyle w:val="132"/>
                    <w:spacing w:before="31" w:after="31"/>
                    <w:rPr>
                      <w:rFonts w:ascii="仿宋" w:hAnsi="仿宋"/>
                      <w:szCs w:val="21"/>
                    </w:rPr>
                  </w:pPr>
                </w:p>
              </w:tc>
              <w:tc>
                <w:tcPr>
                  <w:tcW w:w="980" w:type="pct"/>
                  <w:vAlign w:val="center"/>
                </w:tcPr>
                <w:p>
                  <w:pPr>
                    <w:pStyle w:val="132"/>
                    <w:spacing w:before="31" w:after="31"/>
                    <w:rPr>
                      <w:rFonts w:ascii="仿宋" w:hAnsi="仿宋"/>
                      <w:szCs w:val="21"/>
                    </w:rPr>
                  </w:pPr>
                  <w:r>
                    <w:rPr>
                      <w:rFonts w:hint="eastAsia" w:ascii="仿宋" w:hAnsi="仿宋"/>
                      <w:szCs w:val="21"/>
                    </w:rPr>
                    <w:t>外加剂</w:t>
                  </w:r>
                </w:p>
              </w:tc>
              <w:tc>
                <w:tcPr>
                  <w:tcW w:w="2100" w:type="pct"/>
                  <w:vAlign w:val="center"/>
                </w:tcPr>
                <w:p>
                  <w:pPr>
                    <w:pStyle w:val="132"/>
                    <w:spacing w:before="31" w:after="31"/>
                    <w:rPr>
                      <w:rFonts w:ascii="仿宋" w:hAnsi="仿宋"/>
                      <w:szCs w:val="21"/>
                    </w:rPr>
                  </w:pPr>
                  <w:r>
                    <w:rPr>
                      <w:rFonts w:hint="eastAsia" w:ascii="仿宋" w:hAnsi="仿宋"/>
                      <w:szCs w:val="21"/>
                    </w:rPr>
                    <w:t>3</w:t>
                  </w:r>
                  <w:r>
                    <w:rPr>
                      <w:rFonts w:ascii="仿宋" w:hAnsi="仿宋"/>
                      <w:szCs w:val="21"/>
                    </w:rPr>
                    <w:t>000t</w:t>
                  </w:r>
                </w:p>
              </w:tc>
              <w:tc>
                <w:tcPr>
                  <w:tcW w:w="1052" w:type="pct"/>
                  <w:vAlign w:val="center"/>
                </w:tcPr>
                <w:p>
                  <w:pPr>
                    <w:pStyle w:val="132"/>
                    <w:spacing w:before="31" w:after="31"/>
                    <w:rPr>
                      <w:rFonts w:ascii="仿宋" w:hAnsi="仿宋"/>
                      <w:szCs w:val="21"/>
                    </w:rPr>
                  </w:pPr>
                  <w:r>
                    <w:rPr>
                      <w:rFonts w:hint="eastAsia" w:ascii="仿宋" w:hAnsi="仿宋"/>
                      <w:szCs w:val="21"/>
                    </w:rPr>
                    <w:t>苏博特新材料股份有限公司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68" w:type="pct"/>
                  <w:vMerge w:val="restart"/>
                  <w:vAlign w:val="center"/>
                </w:tcPr>
                <w:p>
                  <w:pPr>
                    <w:pStyle w:val="132"/>
                    <w:spacing w:before="31" w:after="31"/>
                    <w:rPr>
                      <w:rFonts w:ascii="仿宋" w:hAnsi="仿宋"/>
                      <w:szCs w:val="21"/>
                    </w:rPr>
                  </w:pPr>
                  <w:r>
                    <w:rPr>
                      <w:rFonts w:hint="eastAsia" w:ascii="仿宋" w:hAnsi="仿宋"/>
                      <w:szCs w:val="21"/>
                    </w:rPr>
                    <w:t>能源</w:t>
                  </w:r>
                </w:p>
              </w:tc>
              <w:tc>
                <w:tcPr>
                  <w:tcW w:w="980" w:type="pct"/>
                  <w:vAlign w:val="center"/>
                </w:tcPr>
                <w:p>
                  <w:pPr>
                    <w:pStyle w:val="132"/>
                    <w:spacing w:before="31" w:after="31"/>
                    <w:rPr>
                      <w:rFonts w:ascii="仿宋" w:hAnsi="仿宋"/>
                      <w:szCs w:val="21"/>
                    </w:rPr>
                  </w:pPr>
                  <w:r>
                    <w:rPr>
                      <w:rFonts w:hint="eastAsia" w:ascii="仿宋" w:hAnsi="仿宋"/>
                      <w:szCs w:val="21"/>
                    </w:rPr>
                    <w:t>水</w:t>
                  </w:r>
                </w:p>
              </w:tc>
              <w:tc>
                <w:tcPr>
                  <w:tcW w:w="2100" w:type="pct"/>
                  <w:vAlign w:val="center"/>
                </w:tcPr>
                <w:p>
                  <w:pPr>
                    <w:pStyle w:val="132"/>
                    <w:spacing w:before="31" w:after="31"/>
                    <w:rPr>
                      <w:rFonts w:ascii="仿宋" w:hAnsi="仿宋"/>
                      <w:szCs w:val="21"/>
                    </w:rPr>
                  </w:pPr>
                  <w:r>
                    <w:rPr>
                      <w:rFonts w:ascii="仿宋" w:hAnsi="仿宋"/>
                      <w:color w:val="000000" w:themeColor="text1"/>
                      <w:szCs w:val="21"/>
                      <w14:textFill>
                        <w14:solidFill>
                          <w14:schemeClr w14:val="tx1"/>
                        </w14:solidFill>
                      </w14:textFill>
                    </w:rPr>
                    <w:t>4.3</w:t>
                  </w:r>
                  <w:r>
                    <w:rPr>
                      <w:rFonts w:hint="eastAsia" w:ascii="仿宋" w:hAnsi="仿宋"/>
                      <w:color w:val="000000" w:themeColor="text1"/>
                      <w:szCs w:val="21"/>
                      <w14:textFill>
                        <w14:solidFill>
                          <w14:schemeClr w14:val="tx1"/>
                        </w14:solidFill>
                      </w14:textFill>
                    </w:rPr>
                    <w:t>万</w:t>
                  </w:r>
                  <w:r>
                    <w:rPr>
                      <w:rFonts w:ascii="仿宋" w:hAnsi="仿宋"/>
                      <w:color w:val="000000" w:themeColor="text1"/>
                      <w:szCs w:val="21"/>
                      <w14:textFill>
                        <w14:solidFill>
                          <w14:schemeClr w14:val="tx1"/>
                        </w14:solidFill>
                      </w14:textFill>
                    </w:rPr>
                    <w:t>t</w:t>
                  </w:r>
                </w:p>
              </w:tc>
              <w:tc>
                <w:tcPr>
                  <w:tcW w:w="1052" w:type="pct"/>
                  <w:vAlign w:val="center"/>
                </w:tcPr>
                <w:p>
                  <w:pPr>
                    <w:pStyle w:val="132"/>
                    <w:spacing w:before="31" w:after="31"/>
                    <w:rPr>
                      <w:rFonts w:ascii="仿宋" w:hAnsi="仿宋"/>
                      <w:szCs w:val="21"/>
                    </w:rPr>
                  </w:pPr>
                  <w:r>
                    <w:rPr>
                      <w:rFonts w:hint="eastAsia" w:ascii="仿宋" w:hAnsi="仿宋"/>
                      <w:szCs w:val="21"/>
                    </w:rPr>
                    <w:t>小江江水、当地生活用水管网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868" w:type="pct"/>
                  <w:vMerge w:val="continue"/>
                  <w:vAlign w:val="center"/>
                </w:tcPr>
                <w:p>
                  <w:pPr>
                    <w:pStyle w:val="132"/>
                    <w:spacing w:before="31" w:after="31"/>
                    <w:rPr>
                      <w:rFonts w:ascii="仿宋" w:hAnsi="仿宋"/>
                      <w:szCs w:val="21"/>
                    </w:rPr>
                  </w:pPr>
                </w:p>
              </w:tc>
              <w:tc>
                <w:tcPr>
                  <w:tcW w:w="980" w:type="pct"/>
                  <w:vAlign w:val="center"/>
                </w:tcPr>
                <w:p>
                  <w:pPr>
                    <w:pStyle w:val="132"/>
                    <w:spacing w:before="31" w:after="31"/>
                    <w:rPr>
                      <w:rFonts w:ascii="仿宋" w:hAnsi="仿宋"/>
                      <w:szCs w:val="21"/>
                    </w:rPr>
                  </w:pPr>
                  <w:r>
                    <w:rPr>
                      <w:rFonts w:hint="eastAsia" w:ascii="仿宋" w:hAnsi="仿宋"/>
                      <w:szCs w:val="21"/>
                    </w:rPr>
                    <w:t>电</w:t>
                  </w:r>
                </w:p>
              </w:tc>
              <w:tc>
                <w:tcPr>
                  <w:tcW w:w="2100" w:type="pct"/>
                  <w:vAlign w:val="center"/>
                </w:tcPr>
                <w:p>
                  <w:pPr>
                    <w:pStyle w:val="132"/>
                    <w:spacing w:before="31" w:after="31"/>
                    <w:rPr>
                      <w:rFonts w:ascii="仿宋" w:hAnsi="仿宋"/>
                      <w:color w:val="FF0000"/>
                      <w:szCs w:val="21"/>
                    </w:rPr>
                  </w:pPr>
                  <w:r>
                    <w:rPr>
                      <w:rFonts w:hint="eastAsia" w:ascii="仿宋" w:hAnsi="仿宋"/>
                      <w:color w:val="000000" w:themeColor="text1"/>
                      <w:szCs w:val="21"/>
                      <w14:textFill>
                        <w14:solidFill>
                          <w14:schemeClr w14:val="tx1"/>
                        </w14:solidFill>
                      </w14:textFill>
                    </w:rPr>
                    <w:t>2</w:t>
                  </w:r>
                  <w:r>
                    <w:rPr>
                      <w:rFonts w:ascii="仿宋" w:hAnsi="仿宋"/>
                      <w:color w:val="000000" w:themeColor="text1"/>
                      <w:szCs w:val="21"/>
                      <w14:textFill>
                        <w14:solidFill>
                          <w14:schemeClr w14:val="tx1"/>
                        </w14:solidFill>
                      </w14:textFill>
                    </w:rPr>
                    <w:t>4</w:t>
                  </w:r>
                  <w:r>
                    <w:rPr>
                      <w:rFonts w:hint="eastAsia" w:ascii="仿宋" w:hAnsi="仿宋"/>
                      <w:color w:val="000000" w:themeColor="text1"/>
                      <w:szCs w:val="21"/>
                      <w14:textFill>
                        <w14:solidFill>
                          <w14:schemeClr w14:val="tx1"/>
                        </w14:solidFill>
                      </w14:textFill>
                    </w:rPr>
                    <w:t>万度</w:t>
                  </w:r>
                </w:p>
              </w:tc>
              <w:tc>
                <w:tcPr>
                  <w:tcW w:w="1052" w:type="pct"/>
                  <w:vAlign w:val="center"/>
                </w:tcPr>
                <w:p>
                  <w:pPr>
                    <w:pStyle w:val="132"/>
                    <w:spacing w:before="31" w:after="31"/>
                    <w:rPr>
                      <w:rFonts w:ascii="仿宋" w:hAnsi="仿宋"/>
                      <w:szCs w:val="21"/>
                    </w:rPr>
                  </w:pPr>
                  <w:r>
                    <w:rPr>
                      <w:rFonts w:hint="eastAsia" w:ascii="仿宋" w:hAnsi="仿宋"/>
                      <w:szCs w:val="21"/>
                    </w:rPr>
                    <w:t>当地电网</w:t>
                  </w:r>
                </w:p>
              </w:tc>
            </w:tr>
          </w:tbl>
          <w:p>
            <w:pPr>
              <w:spacing w:line="360" w:lineRule="auto"/>
              <w:ind w:firstLine="480" w:firstLineChars="200"/>
              <w:rPr>
                <w:sz w:val="24"/>
              </w:rPr>
            </w:pPr>
            <w:r>
              <w:rPr>
                <w:rFonts w:hint="eastAsia"/>
                <w:sz w:val="24"/>
              </w:rPr>
              <w:t>（2）原辅材料理化性质</w:t>
            </w:r>
          </w:p>
          <w:p>
            <w:pPr>
              <w:spacing w:line="360" w:lineRule="auto"/>
              <w:ind w:firstLine="480" w:firstLineChars="200"/>
              <w:rPr>
                <w:sz w:val="24"/>
              </w:rPr>
            </w:pPr>
            <w:r>
              <w:rPr>
                <w:rFonts w:hint="eastAsia"/>
                <w:sz w:val="24"/>
              </w:rPr>
              <w:t>原辅材料理化性质见表2-</w:t>
            </w:r>
            <w:r>
              <w:rPr>
                <w:sz w:val="24"/>
              </w:rPr>
              <w:t>4</w:t>
            </w:r>
            <w:r>
              <w:rPr>
                <w:rFonts w:hint="eastAsia"/>
                <w:sz w:val="24"/>
              </w:rPr>
              <w:t>。</w:t>
            </w:r>
          </w:p>
          <w:p>
            <w:pPr>
              <w:spacing w:line="360" w:lineRule="auto"/>
              <w:jc w:val="center"/>
              <w:rPr>
                <w:b/>
                <w:bCs/>
                <w:szCs w:val="21"/>
              </w:rPr>
            </w:pPr>
            <w:r>
              <w:rPr>
                <w:rFonts w:hint="eastAsia"/>
                <w:b/>
                <w:bCs/>
                <w:szCs w:val="21"/>
              </w:rPr>
              <w:t>表2-</w:t>
            </w:r>
            <w:r>
              <w:rPr>
                <w:b/>
                <w:bCs/>
                <w:szCs w:val="21"/>
              </w:rPr>
              <w:t xml:space="preserve">4   </w:t>
            </w:r>
            <w:r>
              <w:rPr>
                <w:rFonts w:hint="eastAsia"/>
                <w:b/>
                <w:bCs/>
                <w:szCs w:val="21"/>
              </w:rPr>
              <w:t>原辅材料理化性质一览表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802"/>
              <w:gridCol w:w="6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397" w:type="pct"/>
                  <w:shd w:val="clear" w:color="auto" w:fill="auto"/>
                  <w:vAlign w:val="center"/>
                </w:tcPr>
                <w:p>
                  <w:pPr>
                    <w:adjustRightInd w:val="0"/>
                    <w:snapToGrid w:val="0"/>
                    <w:jc w:val="center"/>
                    <w:rPr>
                      <w:b/>
                      <w:bCs/>
                      <w:snapToGrid w:val="0"/>
                      <w:color w:val="000000"/>
                      <w:kern w:val="0"/>
                      <w:szCs w:val="21"/>
                    </w:rPr>
                  </w:pPr>
                  <w:r>
                    <w:rPr>
                      <w:b/>
                      <w:bCs/>
                      <w:snapToGrid w:val="0"/>
                      <w:color w:val="000000"/>
                      <w:kern w:val="0"/>
                      <w:szCs w:val="21"/>
                    </w:rPr>
                    <w:t>序号</w:t>
                  </w:r>
                </w:p>
              </w:tc>
              <w:tc>
                <w:tcPr>
                  <w:tcW w:w="513" w:type="pct"/>
                  <w:shd w:val="clear" w:color="auto" w:fill="auto"/>
                  <w:vAlign w:val="center"/>
                </w:tcPr>
                <w:p>
                  <w:pPr>
                    <w:adjustRightInd w:val="0"/>
                    <w:snapToGrid w:val="0"/>
                    <w:jc w:val="center"/>
                    <w:rPr>
                      <w:b/>
                      <w:bCs/>
                      <w:snapToGrid w:val="0"/>
                      <w:color w:val="000000"/>
                      <w:kern w:val="0"/>
                      <w:szCs w:val="21"/>
                    </w:rPr>
                  </w:pPr>
                  <w:r>
                    <w:rPr>
                      <w:b/>
                      <w:bCs/>
                      <w:snapToGrid w:val="0"/>
                      <w:color w:val="000000"/>
                      <w:kern w:val="0"/>
                      <w:szCs w:val="21"/>
                    </w:rPr>
                    <w:t>名称</w:t>
                  </w:r>
                </w:p>
              </w:tc>
              <w:tc>
                <w:tcPr>
                  <w:tcW w:w="4090" w:type="pct"/>
                  <w:shd w:val="clear" w:color="auto" w:fill="auto"/>
                  <w:vAlign w:val="center"/>
                </w:tcPr>
                <w:p>
                  <w:pPr>
                    <w:adjustRightInd w:val="0"/>
                    <w:snapToGrid w:val="0"/>
                    <w:jc w:val="center"/>
                    <w:rPr>
                      <w:b/>
                      <w:bCs/>
                      <w:snapToGrid w:val="0"/>
                      <w:color w:val="000000"/>
                      <w:kern w:val="0"/>
                      <w:szCs w:val="21"/>
                    </w:rPr>
                  </w:pPr>
                  <w:r>
                    <w:rPr>
                      <w:b/>
                      <w:bCs/>
                      <w:snapToGrid w:val="0"/>
                      <w:color w:val="000000"/>
                      <w:kern w:val="0"/>
                      <w:szCs w:val="21"/>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97" w:type="pct"/>
                  <w:shd w:val="clear" w:color="auto" w:fill="auto"/>
                  <w:vAlign w:val="center"/>
                </w:tcPr>
                <w:p>
                  <w:pPr>
                    <w:adjustRightInd w:val="0"/>
                    <w:snapToGrid w:val="0"/>
                    <w:jc w:val="center"/>
                    <w:rPr>
                      <w:snapToGrid w:val="0"/>
                      <w:color w:val="000000"/>
                      <w:kern w:val="0"/>
                      <w:szCs w:val="21"/>
                    </w:rPr>
                  </w:pPr>
                  <w:r>
                    <w:rPr>
                      <w:snapToGrid w:val="0"/>
                      <w:color w:val="000000"/>
                      <w:kern w:val="0"/>
                      <w:szCs w:val="21"/>
                    </w:rPr>
                    <w:t>1</w:t>
                  </w:r>
                </w:p>
              </w:tc>
              <w:tc>
                <w:tcPr>
                  <w:tcW w:w="513" w:type="pct"/>
                  <w:shd w:val="clear" w:color="auto" w:fill="auto"/>
                  <w:vAlign w:val="center"/>
                </w:tcPr>
                <w:p>
                  <w:pPr>
                    <w:adjustRightInd w:val="0"/>
                    <w:snapToGrid w:val="0"/>
                    <w:jc w:val="center"/>
                    <w:rPr>
                      <w:b/>
                      <w:bCs/>
                      <w:snapToGrid w:val="0"/>
                      <w:color w:val="000000"/>
                      <w:kern w:val="0"/>
                      <w:szCs w:val="21"/>
                    </w:rPr>
                  </w:pPr>
                  <w:r>
                    <w:rPr>
                      <w:snapToGrid w:val="0"/>
                      <w:color w:val="000000"/>
                      <w:kern w:val="0"/>
                      <w:szCs w:val="21"/>
                    </w:rPr>
                    <w:t>水泥</w:t>
                  </w:r>
                </w:p>
              </w:tc>
              <w:tc>
                <w:tcPr>
                  <w:tcW w:w="4090" w:type="pct"/>
                  <w:shd w:val="clear" w:color="auto" w:fill="auto"/>
                  <w:vAlign w:val="center"/>
                </w:tcPr>
                <w:p>
                  <w:pPr>
                    <w:adjustRightInd w:val="0"/>
                    <w:snapToGrid w:val="0"/>
                    <w:ind w:firstLine="420" w:firstLineChars="200"/>
                    <w:jc w:val="left"/>
                    <w:rPr>
                      <w:b/>
                      <w:bCs/>
                      <w:snapToGrid w:val="0"/>
                      <w:color w:val="000000"/>
                      <w:kern w:val="0"/>
                      <w:szCs w:val="21"/>
                    </w:rPr>
                  </w:pPr>
                  <w:r>
                    <w:rPr>
                      <w:snapToGrid w:val="0"/>
                      <w:color w:val="000000"/>
                      <w:kern w:val="0"/>
                      <w:szCs w:val="21"/>
                    </w:rPr>
                    <w:t>一种细磨的粉状水硬性胶凝材料。向其中加入适量水后，成为塑性浆体，既能在空气中硬化、又能在水中硬化，并能把砂、石等材料牢固地胶结在一起。其种类很多，按组成可分为硅酸盐水泥、铝酸盐水泥、硫酸盐水泥、磷酸盐水泥、硫铝酸盐水泥、铁铝酸盐水泥、氟铝酸盐水泥等；用水泥制成的砂浆或混凝土，坚固耐久，是重要的建筑材料和工程材料，广泛用于建筑、水利、道路、国防等工程中。本项目选用水泥为硅酸盐或普通硅酸盐水泥。水泥的标号是水泥</w:t>
                  </w:r>
                  <w:r>
                    <w:rPr>
                      <w:rFonts w:hint="eastAsia"/>
                      <w:snapToGrid w:val="0"/>
                      <w:color w:val="000000"/>
                      <w:kern w:val="0"/>
                      <w:szCs w:val="21"/>
                    </w:rPr>
                    <w:t>“</w:t>
                  </w:r>
                  <w:r>
                    <w:rPr>
                      <w:snapToGrid w:val="0"/>
                      <w:color w:val="000000"/>
                      <w:kern w:val="0"/>
                      <w:szCs w:val="21"/>
                    </w:rPr>
                    <w:t>强度</w:t>
                  </w:r>
                  <w:r>
                    <w:rPr>
                      <w:rFonts w:hint="eastAsia"/>
                      <w:snapToGrid w:val="0"/>
                      <w:color w:val="000000"/>
                      <w:kern w:val="0"/>
                      <w:szCs w:val="21"/>
                    </w:rPr>
                    <w:t>”</w:t>
                  </w:r>
                  <w:r>
                    <w:rPr>
                      <w:snapToGrid w:val="0"/>
                      <w:color w:val="000000"/>
                      <w:kern w:val="0"/>
                      <w:szCs w:val="21"/>
                    </w:rPr>
                    <w:t>的指标。水泥的强度是表示单位面积受力的大小，是指水泥加水拌和后，经凝结、硬化后的坚实程度（水泥的强度与组成水泥的矿物成分、颗粒细度、硬化时的温度、湿度、以及水泥中加水的比例等因素有关）。水泥的强度是确定水泥标号的指标，也是选用水泥的主要依据。标号越高的水泥强度越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shd w:val="clear" w:color="auto" w:fill="auto"/>
                  <w:vAlign w:val="center"/>
                </w:tcPr>
                <w:p>
                  <w:pPr>
                    <w:adjustRightInd w:val="0"/>
                    <w:snapToGrid w:val="0"/>
                    <w:jc w:val="center"/>
                    <w:rPr>
                      <w:snapToGrid w:val="0"/>
                      <w:color w:val="000000"/>
                      <w:kern w:val="0"/>
                      <w:szCs w:val="21"/>
                    </w:rPr>
                  </w:pPr>
                  <w:r>
                    <w:rPr>
                      <w:snapToGrid w:val="0"/>
                      <w:color w:val="000000"/>
                      <w:kern w:val="0"/>
                      <w:szCs w:val="21"/>
                    </w:rPr>
                    <w:t>2</w:t>
                  </w:r>
                </w:p>
              </w:tc>
              <w:tc>
                <w:tcPr>
                  <w:tcW w:w="513" w:type="pct"/>
                  <w:shd w:val="clear" w:color="auto" w:fill="auto"/>
                  <w:vAlign w:val="center"/>
                </w:tcPr>
                <w:p>
                  <w:pPr>
                    <w:adjustRightInd w:val="0"/>
                    <w:snapToGrid w:val="0"/>
                    <w:jc w:val="center"/>
                    <w:rPr>
                      <w:b/>
                      <w:bCs/>
                      <w:snapToGrid w:val="0"/>
                      <w:color w:val="000000"/>
                      <w:kern w:val="0"/>
                      <w:szCs w:val="21"/>
                    </w:rPr>
                  </w:pPr>
                  <w:r>
                    <w:rPr>
                      <w:snapToGrid w:val="0"/>
                      <w:color w:val="000000"/>
                      <w:kern w:val="0"/>
                      <w:szCs w:val="21"/>
                    </w:rPr>
                    <w:t>粉煤灰</w:t>
                  </w:r>
                </w:p>
              </w:tc>
              <w:tc>
                <w:tcPr>
                  <w:tcW w:w="4090" w:type="pct"/>
                  <w:shd w:val="clear" w:color="auto" w:fill="auto"/>
                  <w:vAlign w:val="center"/>
                </w:tcPr>
                <w:p>
                  <w:pPr>
                    <w:adjustRightInd w:val="0"/>
                    <w:snapToGrid w:val="0"/>
                    <w:ind w:firstLine="420" w:firstLineChars="200"/>
                    <w:jc w:val="left"/>
                    <w:rPr>
                      <w:b/>
                      <w:bCs/>
                      <w:snapToGrid w:val="0"/>
                      <w:color w:val="000000"/>
                      <w:kern w:val="0"/>
                      <w:szCs w:val="21"/>
                    </w:rPr>
                  </w:pPr>
                  <w:r>
                    <w:rPr>
                      <w:snapToGrid w:val="0"/>
                      <w:color w:val="000000"/>
                      <w:kern w:val="0"/>
                      <w:szCs w:val="21"/>
                    </w:rPr>
                    <w:t>粉煤灰是由煤粉炉排出的烟气中收集到的细颗粒白色粉末，是由矿化程度较低的褐煤燃烧后形成的残灰，它的氧化钙含量较高，具有胶凝性质。粉煤灰一般多呈球形，且富含玻璃体，含量在50～70%之间。晶体部分主要是莫来石和石英，还有一定量的未燃尽炭，含量约为1～24％。从化学成份看，粉煤灰主要含有SiO</w:t>
                  </w:r>
                  <w:r>
                    <w:rPr>
                      <w:snapToGrid w:val="0"/>
                      <w:color w:val="000000"/>
                      <w:kern w:val="0"/>
                      <w:szCs w:val="21"/>
                      <w:vertAlign w:val="subscript"/>
                    </w:rPr>
                    <w:t>2</w:t>
                  </w:r>
                  <w:r>
                    <w:rPr>
                      <w:snapToGrid w:val="0"/>
                      <w:color w:val="000000"/>
                      <w:kern w:val="0"/>
                      <w:szCs w:val="21"/>
                    </w:rPr>
                    <w:t>（35～60%），Al</w:t>
                  </w:r>
                  <w:r>
                    <w:rPr>
                      <w:snapToGrid w:val="0"/>
                      <w:color w:val="000000"/>
                      <w:kern w:val="0"/>
                      <w:szCs w:val="21"/>
                      <w:vertAlign w:val="subscript"/>
                    </w:rPr>
                    <w:t>2</w:t>
                  </w:r>
                  <w:r>
                    <w:rPr>
                      <w:snapToGrid w:val="0"/>
                      <w:color w:val="000000"/>
                      <w:kern w:val="0"/>
                      <w:szCs w:val="21"/>
                    </w:rPr>
                    <w:t>O</w:t>
                  </w:r>
                  <w:r>
                    <w:rPr>
                      <w:snapToGrid w:val="0"/>
                      <w:color w:val="000000"/>
                      <w:kern w:val="0"/>
                      <w:szCs w:val="21"/>
                      <w:vertAlign w:val="subscript"/>
                    </w:rPr>
                    <w:t>3</w:t>
                  </w:r>
                  <w:r>
                    <w:rPr>
                      <w:snapToGrid w:val="0"/>
                      <w:color w:val="000000"/>
                      <w:kern w:val="0"/>
                      <w:szCs w:val="21"/>
                    </w:rPr>
                    <w:t>（13～40%），CaO（2～5%），Fe</w:t>
                  </w:r>
                  <w:r>
                    <w:rPr>
                      <w:snapToGrid w:val="0"/>
                      <w:color w:val="000000"/>
                      <w:kern w:val="0"/>
                      <w:szCs w:val="21"/>
                      <w:vertAlign w:val="subscript"/>
                    </w:rPr>
                    <w:t>2</w:t>
                  </w:r>
                  <w:r>
                    <w:rPr>
                      <w:snapToGrid w:val="0"/>
                      <w:color w:val="000000"/>
                      <w:kern w:val="0"/>
                      <w:szCs w:val="21"/>
                    </w:rPr>
                    <w:t>O</w:t>
                  </w:r>
                  <w:r>
                    <w:rPr>
                      <w:snapToGrid w:val="0"/>
                      <w:color w:val="000000"/>
                      <w:kern w:val="0"/>
                      <w:szCs w:val="21"/>
                      <w:vertAlign w:val="subscript"/>
                    </w:rPr>
                    <w:t>3</w:t>
                  </w:r>
                  <w:r>
                    <w:rPr>
                      <w:snapToGrid w:val="0"/>
                      <w:color w:val="000000"/>
                      <w:kern w:val="0"/>
                      <w:szCs w:val="21"/>
                    </w:rPr>
                    <w:t>（3～10%）等。由于粉煤灰经高温熔融，所以其结构非常致密。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 w:type="pct"/>
                  <w:shd w:val="clear" w:color="auto" w:fill="auto"/>
                  <w:vAlign w:val="center"/>
                </w:tcPr>
                <w:p>
                  <w:pPr>
                    <w:adjustRightInd w:val="0"/>
                    <w:snapToGrid w:val="0"/>
                    <w:jc w:val="center"/>
                    <w:rPr>
                      <w:snapToGrid w:val="0"/>
                      <w:color w:val="000000"/>
                      <w:kern w:val="0"/>
                      <w:szCs w:val="21"/>
                    </w:rPr>
                  </w:pPr>
                  <w:r>
                    <w:rPr>
                      <w:snapToGrid w:val="0"/>
                      <w:color w:val="000000"/>
                      <w:kern w:val="0"/>
                      <w:szCs w:val="21"/>
                    </w:rPr>
                    <w:t>3</w:t>
                  </w:r>
                </w:p>
              </w:tc>
              <w:tc>
                <w:tcPr>
                  <w:tcW w:w="513" w:type="pct"/>
                  <w:shd w:val="clear" w:color="auto" w:fill="auto"/>
                  <w:vAlign w:val="center"/>
                </w:tcPr>
                <w:p>
                  <w:pPr>
                    <w:adjustRightInd w:val="0"/>
                    <w:snapToGrid w:val="0"/>
                    <w:jc w:val="center"/>
                    <w:rPr>
                      <w:snapToGrid w:val="0"/>
                      <w:color w:val="000000"/>
                      <w:kern w:val="0"/>
                      <w:szCs w:val="21"/>
                    </w:rPr>
                  </w:pPr>
                  <w:r>
                    <w:rPr>
                      <w:snapToGrid w:val="0"/>
                      <w:color w:val="000000"/>
                      <w:kern w:val="0"/>
                      <w:szCs w:val="21"/>
                    </w:rPr>
                    <w:t>外加剂（聚羧酸高性能减水剂）</w:t>
                  </w:r>
                </w:p>
              </w:tc>
              <w:tc>
                <w:tcPr>
                  <w:tcW w:w="4090" w:type="pct"/>
                  <w:shd w:val="clear" w:color="auto" w:fill="auto"/>
                  <w:vAlign w:val="center"/>
                </w:tcPr>
                <w:p>
                  <w:pPr>
                    <w:widowControl/>
                    <w:snapToGrid w:val="0"/>
                    <w:ind w:firstLine="420" w:firstLineChars="200"/>
                    <w:rPr>
                      <w:snapToGrid w:val="0"/>
                      <w:color w:val="000000"/>
                      <w:kern w:val="0"/>
                      <w:szCs w:val="21"/>
                    </w:rPr>
                  </w:pPr>
                  <w:r>
                    <w:rPr>
                      <w:snapToGrid w:val="0"/>
                      <w:color w:val="000000"/>
                      <w:kern w:val="0"/>
                      <w:szCs w:val="21"/>
                    </w:rPr>
                    <w:t>聚羧酸系高性能减水剂是羧酸类接枝多元共聚物与其它有效助剂的复配产品。密度：1.07±0.02g/mL，固含量：20±2，水泥净浆流动度（基准水泥）：≥250mm（W/C=0.29），pH：6~8，氯离子含量：≤0.02%，减水率可高达45%，碱含量≤0.2%。产品无色无味，无毒无害，不含甲醛，不属于危险化学品，是新一代环保型减水剂，属于节能环保产品，产品外观为浅棕色液体。</w:t>
                  </w:r>
                </w:p>
              </w:tc>
            </w:tr>
          </w:tbl>
          <w:p>
            <w:pPr>
              <w:spacing w:line="360" w:lineRule="auto"/>
              <w:rPr>
                <w:b/>
                <w:bCs/>
                <w:sz w:val="24"/>
              </w:rPr>
            </w:pPr>
            <w:r>
              <w:rPr>
                <w:rFonts w:hint="eastAsia"/>
                <w:b/>
                <w:bCs/>
                <w:sz w:val="24"/>
              </w:rPr>
              <w:t>5、项目产品方案</w:t>
            </w:r>
          </w:p>
          <w:p>
            <w:pPr>
              <w:spacing w:line="360" w:lineRule="auto"/>
              <w:ind w:firstLine="480" w:firstLineChars="200"/>
              <w:rPr>
                <w:sz w:val="24"/>
              </w:rPr>
            </w:pPr>
            <w:r>
              <w:rPr>
                <w:sz w:val="24"/>
              </w:rPr>
              <w:t>项目设置2条商品混凝土生产线，</w:t>
            </w:r>
            <w:r>
              <w:rPr>
                <w:rFonts w:hint="eastAsia"/>
                <w:sz w:val="24"/>
              </w:rPr>
              <w:t>根据东川港工程项目施工需要</w:t>
            </w:r>
            <w:r>
              <w:rPr>
                <w:sz w:val="24"/>
              </w:rPr>
              <w:t>，</w:t>
            </w:r>
            <w:r>
              <w:rPr>
                <w:rFonts w:hint="eastAsia"/>
                <w:sz w:val="24"/>
              </w:rPr>
              <w:t>计划</w:t>
            </w:r>
            <w:r>
              <w:rPr>
                <w:sz w:val="24"/>
              </w:rPr>
              <w:t>年产量</w:t>
            </w:r>
            <w:r>
              <w:rPr>
                <w:rFonts w:hint="eastAsia"/>
                <w:sz w:val="24"/>
              </w:rPr>
              <w:t>6</w:t>
            </w:r>
            <w:r>
              <w:rPr>
                <w:sz w:val="24"/>
              </w:rPr>
              <w:t>万m</w:t>
            </w:r>
            <w:r>
              <w:rPr>
                <w:sz w:val="24"/>
                <w:vertAlign w:val="superscript"/>
              </w:rPr>
              <w:t>3</w:t>
            </w:r>
            <w:r>
              <w:rPr>
                <w:sz w:val="24"/>
              </w:rPr>
              <w:t>/a。项目主要生产不同标号的混凝土，产品包括：抗压强度等级为C10、C15、C20、C25、C30、C35、C40、C45、C50、C60等，</w:t>
            </w:r>
            <w:r>
              <w:rPr>
                <w:rFonts w:hint="eastAsia"/>
                <w:sz w:val="24"/>
              </w:rPr>
              <w:t>以东川港项目施工工程</w:t>
            </w:r>
            <w:r>
              <w:rPr>
                <w:sz w:val="24"/>
              </w:rPr>
              <w:t>需求量较为主。产品质量达到《混凝土质量控制标准》（GB50164-92）的要求。</w:t>
            </w:r>
          </w:p>
          <w:p>
            <w:pPr>
              <w:spacing w:line="360" w:lineRule="auto"/>
              <w:rPr>
                <w:b/>
                <w:bCs/>
                <w:sz w:val="24"/>
              </w:rPr>
            </w:pPr>
            <w:r>
              <w:rPr>
                <w:rFonts w:hint="eastAsia"/>
                <w:b/>
                <w:bCs/>
                <w:sz w:val="24"/>
              </w:rPr>
              <w:t>6、劳动定员及工作制度</w:t>
            </w:r>
          </w:p>
          <w:p>
            <w:pPr>
              <w:spacing w:line="360" w:lineRule="auto"/>
              <w:ind w:firstLine="480" w:firstLineChars="200"/>
              <w:rPr>
                <w:sz w:val="24"/>
              </w:rPr>
            </w:pPr>
            <w:r>
              <w:rPr>
                <w:rFonts w:hint="eastAsia"/>
                <w:sz w:val="24"/>
              </w:rPr>
              <w:t>（1）工作制度</w:t>
            </w:r>
          </w:p>
          <w:p>
            <w:pPr>
              <w:spacing w:line="360" w:lineRule="auto"/>
              <w:ind w:firstLine="480" w:firstLineChars="200"/>
              <w:rPr>
                <w:sz w:val="24"/>
              </w:rPr>
            </w:pPr>
            <w:r>
              <w:rPr>
                <w:rFonts w:hint="eastAsia"/>
                <w:sz w:val="24"/>
              </w:rPr>
              <w:t>正常年工作日300天，每天1班，每班8小时。根据东川港一期施工现场混凝土需要求，拌合站按需调整工作时间。</w:t>
            </w:r>
          </w:p>
          <w:p>
            <w:pPr>
              <w:spacing w:line="360" w:lineRule="auto"/>
              <w:ind w:firstLine="480" w:firstLineChars="200"/>
              <w:rPr>
                <w:sz w:val="24"/>
              </w:rPr>
            </w:pPr>
            <w:r>
              <w:rPr>
                <w:rFonts w:hint="eastAsia"/>
                <w:sz w:val="24"/>
              </w:rPr>
              <w:t>（2）劳动定员</w:t>
            </w:r>
          </w:p>
          <w:p>
            <w:pPr>
              <w:spacing w:line="360" w:lineRule="auto"/>
              <w:ind w:firstLine="480" w:firstLineChars="200"/>
              <w:rPr>
                <w:sz w:val="24"/>
              </w:rPr>
            </w:pPr>
            <w:r>
              <w:rPr>
                <w:rFonts w:hint="eastAsia"/>
                <w:sz w:val="24"/>
              </w:rPr>
              <w:t>项目劳动定员</w:t>
            </w:r>
            <w:r>
              <w:rPr>
                <w:sz w:val="24"/>
              </w:rPr>
              <w:t>32</w:t>
            </w:r>
            <w:r>
              <w:rPr>
                <w:rFonts w:hint="eastAsia"/>
                <w:sz w:val="24"/>
              </w:rPr>
              <w:t>人，其中管理人员8人，技术人员3人，试验室2人，司机1</w:t>
            </w:r>
            <w:r>
              <w:rPr>
                <w:sz w:val="24"/>
              </w:rPr>
              <w:t>4</w:t>
            </w:r>
            <w:r>
              <w:rPr>
                <w:rFonts w:hint="eastAsia"/>
                <w:sz w:val="24"/>
              </w:rPr>
              <w:t>人，其他人员5人，项目员工均在项目内部食宿。</w:t>
            </w:r>
          </w:p>
          <w:p>
            <w:pPr>
              <w:spacing w:line="360" w:lineRule="auto"/>
              <w:rPr>
                <w:b/>
                <w:bCs/>
                <w:sz w:val="24"/>
              </w:rPr>
            </w:pPr>
            <w:r>
              <w:rPr>
                <w:rFonts w:hint="eastAsia"/>
                <w:b/>
                <w:bCs/>
                <w:sz w:val="24"/>
              </w:rPr>
              <w:t>7、总平面布置</w:t>
            </w:r>
          </w:p>
          <w:p>
            <w:pPr>
              <w:spacing w:line="360" w:lineRule="auto"/>
              <w:ind w:firstLine="480" w:firstLineChars="200"/>
              <w:rPr>
                <w:sz w:val="24"/>
              </w:rPr>
            </w:pPr>
            <w:r>
              <w:rPr>
                <w:rFonts w:hint="eastAsia"/>
                <w:sz w:val="24"/>
              </w:rPr>
              <w:t>项目厂区呈南北走向，项目南部为储料仓及拌合楼，试验室及生活区位于项目西北部，项目中部区域为停车区及进出运输道路，项目进口道路设置在项目北部，项目进口处设有一间物资仓库，再往里是过磅房。项目建、构筑物的布置紧凑合理，人货流通畅顺捷，减少交叉，可满足生产系统的加工和储、装、运等主要生产环节的要求。总体布置分区明确，布置合理。</w:t>
            </w:r>
          </w:p>
          <w:p>
            <w:pPr>
              <w:spacing w:line="360" w:lineRule="auto"/>
              <w:ind w:firstLine="480" w:firstLineChars="200"/>
              <w:rPr>
                <w:sz w:val="24"/>
              </w:rPr>
            </w:pPr>
            <w:r>
              <w:rPr>
                <w:rFonts w:hint="eastAsia"/>
                <w:sz w:val="24"/>
              </w:rPr>
              <w:t>项目平面布置详见附图3。</w:t>
            </w:r>
          </w:p>
          <w:p>
            <w:pPr>
              <w:spacing w:line="360" w:lineRule="auto"/>
              <w:rPr>
                <w:b/>
                <w:bCs/>
                <w:sz w:val="24"/>
              </w:rPr>
            </w:pPr>
            <w:r>
              <w:rPr>
                <w:rFonts w:hint="eastAsia"/>
                <w:b/>
                <w:bCs/>
                <w:sz w:val="24"/>
              </w:rPr>
              <w:t>8、环保投资</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项目总投资1</w:t>
            </w:r>
            <w:r>
              <w:rPr>
                <w:color w:val="000000" w:themeColor="text1"/>
                <w:sz w:val="24"/>
                <w14:textFill>
                  <w14:solidFill>
                    <w14:schemeClr w14:val="tx1"/>
                  </w14:solidFill>
                </w14:textFill>
              </w:rPr>
              <w:t>89.55</w:t>
            </w:r>
            <w:r>
              <w:rPr>
                <w:rFonts w:hint="eastAsia"/>
                <w:color w:val="000000" w:themeColor="text1"/>
                <w:sz w:val="24"/>
                <w14:textFill>
                  <w14:solidFill>
                    <w14:schemeClr w14:val="tx1"/>
                  </w14:solidFill>
                </w14:textFill>
              </w:rPr>
              <w:t>万元，其中环保投资2</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万元，占总投资的1</w:t>
            </w:r>
            <w:r>
              <w:rPr>
                <w:color w:val="000000" w:themeColor="text1"/>
                <w:sz w:val="24"/>
                <w14:textFill>
                  <w14:solidFill>
                    <w14:schemeClr w14:val="tx1"/>
                  </w14:solidFill>
                </w14:textFill>
              </w:rPr>
              <w:t>1.08</w:t>
            </w:r>
            <w:r>
              <w:rPr>
                <w:rFonts w:hint="eastAsia"/>
                <w:color w:val="000000" w:themeColor="text1"/>
                <w:sz w:val="24"/>
                <w14:textFill>
                  <w14:solidFill>
                    <w14:schemeClr w14:val="tx1"/>
                  </w14:solidFill>
                </w14:textFill>
              </w:rPr>
              <w:t>%；环保投资估算明细表见表2-</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w:t>
            </w:r>
          </w:p>
          <w:p>
            <w:pPr>
              <w:spacing w:line="360" w:lineRule="auto"/>
              <w:ind w:firstLine="422" w:firstLineChars="200"/>
              <w:jc w:val="center"/>
              <w:rPr>
                <w:b/>
                <w:bCs/>
                <w:szCs w:val="21"/>
              </w:rPr>
            </w:pPr>
            <w:r>
              <w:rPr>
                <w:rFonts w:hint="eastAsia"/>
                <w:b/>
                <w:bCs/>
                <w:szCs w:val="21"/>
              </w:rPr>
              <w:t>表2-</w:t>
            </w:r>
            <w:r>
              <w:rPr>
                <w:b/>
                <w:bCs/>
                <w:szCs w:val="21"/>
              </w:rPr>
              <w:t xml:space="preserve">5  </w:t>
            </w:r>
            <w:r>
              <w:rPr>
                <w:rFonts w:hint="eastAsia"/>
                <w:b/>
                <w:bCs/>
                <w:szCs w:val="21"/>
              </w:rPr>
              <w:t>项目环保投资一览表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1300"/>
              <w:gridCol w:w="3499"/>
              <w:gridCol w:w="1077"/>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序号</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治理类别</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处置措施或处置设施</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投资估算（万元）</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一</w:t>
                  </w:r>
                </w:p>
              </w:tc>
              <w:tc>
                <w:tcPr>
                  <w:tcW w:w="3071" w:type="pct"/>
                  <w:gridSpan w:val="2"/>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施工期</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3</w:t>
                  </w:r>
                  <w:r>
                    <w:rPr>
                      <w:color w:val="000000"/>
                      <w:szCs w:val="21"/>
                    </w:rPr>
                    <w:t>.5</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1</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扬尘</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施工围栏、洒水设施等</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3</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2</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施工废水</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1</w:t>
                  </w:r>
                  <w:r>
                    <w:rPr>
                      <w:rFonts w:hint="eastAsia"/>
                      <w:color w:val="000000"/>
                      <w:szCs w:val="21"/>
                    </w:rPr>
                    <w:t>个临时沉淀池</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0.2</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3</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噪声防治</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噪声治理</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0.2</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4</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生活垃圾</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1</w:t>
                  </w:r>
                  <w:r>
                    <w:rPr>
                      <w:rFonts w:hint="eastAsia"/>
                      <w:color w:val="000000"/>
                      <w:szCs w:val="21"/>
                    </w:rPr>
                    <w:t>个垃圾桶</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0.1</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二</w:t>
                  </w:r>
                </w:p>
              </w:tc>
              <w:tc>
                <w:tcPr>
                  <w:tcW w:w="3071" w:type="pct"/>
                  <w:gridSpan w:val="2"/>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运营期</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1</w:t>
                  </w:r>
                  <w:r>
                    <w:rPr>
                      <w:color w:val="000000"/>
                      <w:szCs w:val="21"/>
                    </w:rPr>
                    <w:t>7.5</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1</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生活污水</w:t>
                  </w:r>
                </w:p>
              </w:tc>
              <w:tc>
                <w:tcPr>
                  <w:tcW w:w="223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jc w:val="left"/>
                    <w:rPr>
                      <w:color w:val="000000"/>
                      <w:szCs w:val="21"/>
                    </w:rPr>
                  </w:pPr>
                  <w:r>
                    <w:rPr>
                      <w:rFonts w:hint="eastAsia"/>
                      <w:color w:val="000000"/>
                      <w:szCs w:val="21"/>
                    </w:rPr>
                    <w:t>2个总容积为1</w:t>
                  </w:r>
                  <w:r>
                    <w:rPr>
                      <w:color w:val="000000"/>
                      <w:szCs w:val="21"/>
                    </w:rPr>
                    <w:t>00</w:t>
                  </w:r>
                  <w:r>
                    <w:rPr>
                      <w:rFonts w:hint="eastAsia"/>
                      <w:color w:val="000000"/>
                      <w:szCs w:val="21"/>
                    </w:rPr>
                    <w:t>m</w:t>
                  </w:r>
                  <w:r>
                    <w:rPr>
                      <w:rFonts w:hint="eastAsia"/>
                      <w:color w:val="000000"/>
                      <w:szCs w:val="21"/>
                      <w:vertAlign w:val="superscript"/>
                    </w:rPr>
                    <w:t>3</w:t>
                  </w:r>
                  <w:r>
                    <w:rPr>
                      <w:rFonts w:hint="eastAsia"/>
                      <w:color w:val="000000"/>
                      <w:szCs w:val="21"/>
                    </w:rPr>
                    <w:t>的化粪池，</w:t>
                  </w:r>
                  <w:r>
                    <w:rPr>
                      <w:color w:val="000000"/>
                      <w:szCs w:val="21"/>
                    </w:rPr>
                    <w:t>1</w:t>
                  </w:r>
                  <w:r>
                    <w:rPr>
                      <w:rFonts w:hint="eastAsia"/>
                      <w:color w:val="000000"/>
                      <w:szCs w:val="21"/>
                    </w:rPr>
                    <w:t>个容积为</w:t>
                  </w:r>
                  <w:r>
                    <w:rPr>
                      <w:color w:val="000000"/>
                      <w:szCs w:val="21"/>
                    </w:rPr>
                    <w:t>1</w:t>
                  </w:r>
                  <w:r>
                    <w:rPr>
                      <w:rFonts w:hint="eastAsia"/>
                      <w:color w:val="000000"/>
                      <w:szCs w:val="21"/>
                    </w:rPr>
                    <w:t>m</w:t>
                  </w:r>
                  <w:r>
                    <w:rPr>
                      <w:rFonts w:hint="eastAsia"/>
                      <w:color w:val="000000"/>
                      <w:szCs w:val="21"/>
                      <w:vertAlign w:val="superscript"/>
                    </w:rPr>
                    <w:t>3</w:t>
                  </w:r>
                  <w:r>
                    <w:rPr>
                      <w:rFonts w:hint="eastAsia"/>
                      <w:color w:val="000000"/>
                      <w:szCs w:val="21"/>
                    </w:rPr>
                    <w:t>隔油池。</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2</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2</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厂区雨水</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left"/>
                    <w:rPr>
                      <w:bCs/>
                      <w:color w:val="000000"/>
                      <w:szCs w:val="21"/>
                    </w:rPr>
                  </w:pPr>
                  <w:r>
                    <w:rPr>
                      <w:rFonts w:hint="eastAsia"/>
                      <w:color w:val="000000"/>
                      <w:szCs w:val="28"/>
                    </w:rPr>
                    <w:t>雨污分流系统、厂区地面硬化、生产区雨水收集系统及</w:t>
                  </w:r>
                  <w:r>
                    <w:rPr>
                      <w:rFonts w:hint="eastAsia"/>
                      <w:bCs/>
                      <w:color w:val="000000"/>
                      <w:szCs w:val="21"/>
                    </w:rPr>
                    <w:t>三级沉淀池（</w:t>
                  </w:r>
                  <w:r>
                    <w:rPr>
                      <w:rFonts w:hint="eastAsia"/>
                      <w:color w:val="000000"/>
                      <w:szCs w:val="21"/>
                    </w:rPr>
                    <w:t>容积</w:t>
                  </w:r>
                  <w:r>
                    <w:rPr>
                      <w:color w:val="000000"/>
                      <w:szCs w:val="21"/>
                    </w:rPr>
                    <w:t>105m</w:t>
                  </w:r>
                  <w:r>
                    <w:rPr>
                      <w:color w:val="000000"/>
                      <w:szCs w:val="21"/>
                      <w:vertAlign w:val="superscript"/>
                    </w:rPr>
                    <w:t>3</w:t>
                  </w:r>
                  <w:r>
                    <w:rPr>
                      <w:rFonts w:hint="eastAsia"/>
                      <w:bCs/>
                      <w:color w:val="000000"/>
                      <w:szCs w:val="21"/>
                    </w:rPr>
                    <w:t>）（同时用作生产废水沉淀）</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3</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3</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生产废水</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left"/>
                    <w:rPr>
                      <w:bCs/>
                      <w:color w:val="000000"/>
                      <w:szCs w:val="21"/>
                    </w:rPr>
                  </w:pPr>
                  <w:r>
                    <w:rPr>
                      <w:rFonts w:hint="eastAsia"/>
                      <w:color w:val="000000"/>
                      <w:szCs w:val="21"/>
                    </w:rPr>
                    <w:t>1个三级沉淀池（1</w:t>
                  </w:r>
                  <w:r>
                    <w:rPr>
                      <w:color w:val="000000"/>
                      <w:szCs w:val="21"/>
                    </w:rPr>
                    <w:t>05</w:t>
                  </w:r>
                  <w:r>
                    <w:rPr>
                      <w:rFonts w:hint="eastAsia"/>
                      <w:color w:val="000000"/>
                      <w:szCs w:val="21"/>
                    </w:rPr>
                    <w:t>m</w:t>
                  </w:r>
                  <w:r>
                    <w:rPr>
                      <w:rFonts w:hint="eastAsia"/>
                      <w:color w:val="000000"/>
                      <w:szCs w:val="21"/>
                      <w:vertAlign w:val="superscript"/>
                    </w:rPr>
                    <w:t>3</w:t>
                  </w:r>
                  <w:r>
                    <w:rPr>
                      <w:rFonts w:hint="eastAsia"/>
                      <w:color w:val="000000"/>
                      <w:szCs w:val="21"/>
                    </w:rPr>
                    <w:t>）（和雨水收集同用一个）</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2</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4</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储罐粉尘</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left"/>
                    <w:rPr>
                      <w:bCs/>
                      <w:color w:val="000000"/>
                      <w:szCs w:val="21"/>
                    </w:rPr>
                  </w:pPr>
                  <w:r>
                    <w:rPr>
                      <w:rFonts w:hint="eastAsia"/>
                      <w:color w:val="000000"/>
                    </w:rPr>
                    <w:t>项目水泥、粉煤灰等粉料储罐自带1套LX-Y36-2.0型脉冲布袋除尘器（仓顶，共计1</w:t>
                  </w:r>
                  <w:r>
                    <w:rPr>
                      <w:color w:val="000000"/>
                    </w:rPr>
                    <w:t>2</w:t>
                  </w:r>
                  <w:r>
                    <w:rPr>
                      <w:rFonts w:hint="eastAsia"/>
                      <w:color w:val="000000"/>
                    </w:rPr>
                    <w:t>套），风量为2500m</w:t>
                  </w:r>
                  <w:r>
                    <w:rPr>
                      <w:rFonts w:hint="eastAsia"/>
                      <w:color w:val="000000"/>
                      <w:vertAlign w:val="superscript"/>
                    </w:rPr>
                    <w:t>3</w:t>
                  </w:r>
                  <w:r>
                    <w:rPr>
                      <w:rFonts w:hint="eastAsia"/>
                      <w:color w:val="000000"/>
                    </w:rPr>
                    <w:t>/h，处理效率为99%，储罐高度为12m，粉料储罐粉尘经除尘后由储罐顶3m的排气口排出，排放口有效高度为15m。</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设备自带，不计入环保投资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7" w:hRule="atLeast"/>
                <w:jc w:val="center"/>
              </w:trPr>
              <w:tc>
                <w:tcPr>
                  <w:tcW w:w="514" w:type="pct"/>
                  <w:tcBorders>
                    <w:top w:val="single" w:color="auto" w:sz="4" w:space="0"/>
                    <w:left w:val="single" w:color="auto" w:sz="4" w:space="0"/>
                    <w:right w:val="single" w:color="auto" w:sz="4" w:space="0"/>
                  </w:tcBorders>
                  <w:vAlign w:val="center"/>
                </w:tcPr>
                <w:p>
                  <w:pPr>
                    <w:snapToGrid w:val="0"/>
                    <w:jc w:val="center"/>
                    <w:rPr>
                      <w:color w:val="000000"/>
                      <w:szCs w:val="21"/>
                    </w:rPr>
                  </w:pPr>
                  <w:r>
                    <w:rPr>
                      <w:color w:val="000000"/>
                      <w:szCs w:val="21"/>
                    </w:rPr>
                    <w:t>5</w:t>
                  </w:r>
                </w:p>
              </w:tc>
              <w:tc>
                <w:tcPr>
                  <w:tcW w:w="832" w:type="pct"/>
                  <w:tcBorders>
                    <w:top w:val="single" w:color="auto" w:sz="4" w:space="0"/>
                    <w:left w:val="single" w:color="auto" w:sz="4" w:space="0"/>
                    <w:right w:val="single" w:color="auto" w:sz="4" w:space="0"/>
                  </w:tcBorders>
                  <w:vAlign w:val="center"/>
                </w:tcPr>
                <w:p>
                  <w:pPr>
                    <w:snapToGrid w:val="0"/>
                    <w:jc w:val="center"/>
                    <w:rPr>
                      <w:color w:val="000000"/>
                      <w:szCs w:val="21"/>
                    </w:rPr>
                  </w:pPr>
                  <w:r>
                    <w:rPr>
                      <w:rFonts w:hint="eastAsia"/>
                      <w:color w:val="000000"/>
                      <w:szCs w:val="21"/>
                    </w:rPr>
                    <w:t>堆场粉尘</w:t>
                  </w:r>
                </w:p>
              </w:tc>
              <w:tc>
                <w:tcPr>
                  <w:tcW w:w="2239" w:type="pct"/>
                  <w:tcBorders>
                    <w:top w:val="single" w:color="auto" w:sz="4" w:space="0"/>
                    <w:left w:val="single" w:color="auto" w:sz="4" w:space="0"/>
                    <w:right w:val="single" w:color="auto" w:sz="4" w:space="0"/>
                  </w:tcBorders>
                  <w:vAlign w:val="center"/>
                </w:tcPr>
                <w:p>
                  <w:pPr>
                    <w:snapToGrid w:val="0"/>
                    <w:jc w:val="center"/>
                    <w:rPr>
                      <w:color w:val="000000"/>
                    </w:rPr>
                  </w:pPr>
                  <w:r>
                    <w:rPr>
                      <w:rFonts w:hint="eastAsia" w:hAnsi="宋体"/>
                      <w:color w:val="000000"/>
                      <w:szCs w:val="21"/>
                    </w:rPr>
                    <w:t>原料库采用带顶棚的彩钢瓦进行半封闭遮挡降尘，地面进行硬化，设置喷淋降尘系统。</w:t>
                  </w:r>
                </w:p>
              </w:tc>
              <w:tc>
                <w:tcPr>
                  <w:tcW w:w="689" w:type="pct"/>
                  <w:tcBorders>
                    <w:top w:val="single" w:color="auto" w:sz="4" w:space="0"/>
                    <w:left w:val="single" w:color="auto" w:sz="4" w:space="0"/>
                    <w:right w:val="single" w:color="auto" w:sz="4" w:space="0"/>
                  </w:tcBorders>
                  <w:vAlign w:val="center"/>
                </w:tcPr>
                <w:p>
                  <w:pPr>
                    <w:snapToGrid w:val="0"/>
                    <w:jc w:val="center"/>
                    <w:rPr>
                      <w:color w:val="000000"/>
                      <w:szCs w:val="21"/>
                    </w:rPr>
                  </w:pPr>
                  <w:r>
                    <w:rPr>
                      <w:rFonts w:hint="eastAsia"/>
                      <w:color w:val="000000"/>
                      <w:szCs w:val="21"/>
                    </w:rPr>
                    <w:t>--</w:t>
                  </w:r>
                </w:p>
              </w:tc>
              <w:tc>
                <w:tcPr>
                  <w:tcW w:w="726" w:type="pct"/>
                  <w:tcBorders>
                    <w:top w:val="single" w:color="auto" w:sz="4" w:space="0"/>
                    <w:left w:val="single" w:color="auto" w:sz="4" w:space="0"/>
                    <w:right w:val="single" w:color="auto" w:sz="4" w:space="0"/>
                  </w:tcBorders>
                  <w:vAlign w:val="center"/>
                </w:tcPr>
                <w:p>
                  <w:pPr>
                    <w:snapToGrid w:val="0"/>
                    <w:jc w:val="center"/>
                    <w:rPr>
                      <w:color w:val="000000"/>
                      <w:szCs w:val="21"/>
                    </w:rPr>
                  </w:pPr>
                  <w:r>
                    <w:rPr>
                      <w:rFonts w:hint="eastAsia"/>
                      <w:color w:val="000000"/>
                      <w:szCs w:val="21"/>
                    </w:rPr>
                    <w:t>设备自带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6</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输送粉尘</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center"/>
                    <w:rPr>
                      <w:rFonts w:hAnsi="宋体"/>
                      <w:color w:val="000000"/>
                      <w:szCs w:val="21"/>
                    </w:rPr>
                  </w:pPr>
                  <w:r>
                    <w:rPr>
                      <w:rFonts w:hint="eastAsia" w:hAnsi="宋体"/>
                      <w:color w:val="000000"/>
                      <w:szCs w:val="21"/>
                    </w:rPr>
                    <w:t>皮带输送机廊道上部加盖侧面密封，下部设有收料盘，对皮带输送机进行封闭处理。</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设备自带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7</w:t>
                  </w:r>
                </w:p>
              </w:tc>
              <w:tc>
                <w:tcPr>
                  <w:tcW w:w="832" w:type="pct"/>
                  <w:vMerge w:val="restart"/>
                  <w:tcBorders>
                    <w:top w:val="single" w:color="auto" w:sz="4" w:space="0"/>
                    <w:left w:val="single" w:color="auto" w:sz="4" w:space="0"/>
                    <w:right w:val="single" w:color="auto" w:sz="4" w:space="0"/>
                  </w:tcBorders>
                  <w:vAlign w:val="center"/>
                </w:tcPr>
                <w:p>
                  <w:pPr>
                    <w:snapToGrid w:val="0"/>
                    <w:jc w:val="center"/>
                    <w:rPr>
                      <w:color w:val="000000"/>
                      <w:szCs w:val="21"/>
                    </w:rPr>
                  </w:pPr>
                  <w:r>
                    <w:rPr>
                      <w:rFonts w:hint="eastAsia"/>
                      <w:color w:val="000000"/>
                      <w:szCs w:val="21"/>
                    </w:rPr>
                    <w:t>厂区粉尘</w:t>
                  </w:r>
                </w:p>
              </w:tc>
              <w:tc>
                <w:tcPr>
                  <w:tcW w:w="2239" w:type="pct"/>
                  <w:vMerge w:val="restart"/>
                  <w:tcBorders>
                    <w:top w:val="single" w:color="auto" w:sz="4" w:space="0"/>
                    <w:left w:val="single" w:color="auto" w:sz="4" w:space="0"/>
                    <w:right w:val="single" w:color="auto" w:sz="4" w:space="0"/>
                  </w:tcBorders>
                  <w:vAlign w:val="center"/>
                </w:tcPr>
                <w:p>
                  <w:pPr>
                    <w:snapToGrid w:val="0"/>
                    <w:jc w:val="center"/>
                    <w:rPr>
                      <w:rFonts w:hAnsi="宋体"/>
                      <w:color w:val="000000"/>
                      <w:szCs w:val="21"/>
                    </w:rPr>
                  </w:pPr>
                  <w:r>
                    <w:rPr>
                      <w:rFonts w:hint="eastAsia" w:hAnsi="宋体"/>
                      <w:color w:val="000000"/>
                      <w:szCs w:val="21"/>
                    </w:rPr>
                    <w:t>配制炮雾机，一辆洒水车，对生产区域及场地硬化区域每天洒水2次</w:t>
                  </w:r>
                </w:p>
              </w:tc>
              <w:tc>
                <w:tcPr>
                  <w:tcW w:w="689" w:type="pct"/>
                  <w:vMerge w:val="restart"/>
                  <w:tcBorders>
                    <w:top w:val="single" w:color="auto" w:sz="4" w:space="0"/>
                    <w:left w:val="single" w:color="auto" w:sz="4" w:space="0"/>
                    <w:right w:val="single" w:color="auto" w:sz="4" w:space="0"/>
                  </w:tcBorders>
                  <w:vAlign w:val="center"/>
                </w:tcPr>
                <w:p>
                  <w:pPr>
                    <w:snapToGrid w:val="0"/>
                    <w:jc w:val="center"/>
                    <w:rPr>
                      <w:color w:val="000000"/>
                      <w:szCs w:val="21"/>
                    </w:rPr>
                  </w:pPr>
                  <w:r>
                    <w:rPr>
                      <w:color w:val="000000"/>
                      <w:szCs w:val="21"/>
                    </w:rPr>
                    <w:t>8</w:t>
                  </w:r>
                </w:p>
              </w:tc>
              <w:tc>
                <w:tcPr>
                  <w:tcW w:w="726" w:type="pct"/>
                  <w:vMerge w:val="restart"/>
                  <w:tcBorders>
                    <w:top w:val="single" w:color="auto" w:sz="4" w:space="0"/>
                    <w:left w:val="single" w:color="auto" w:sz="4" w:space="0"/>
                    <w:right w:val="single" w:color="auto" w:sz="4" w:space="0"/>
                  </w:tcBorders>
                  <w:vAlign w:val="center"/>
                </w:tcPr>
                <w:p>
                  <w:pPr>
                    <w:snapToGrid w:val="0"/>
                    <w:jc w:val="center"/>
                    <w:rPr>
                      <w:color w:val="000000"/>
                      <w:szCs w:val="21"/>
                    </w:rPr>
                  </w:pPr>
                  <w:r>
                    <w:rPr>
                      <w:rFonts w:hint="eastAsia"/>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8</w:t>
                  </w:r>
                </w:p>
              </w:tc>
              <w:tc>
                <w:tcPr>
                  <w:tcW w:w="832" w:type="pct"/>
                  <w:vMerge w:val="continue"/>
                  <w:tcBorders>
                    <w:left w:val="single" w:color="auto" w:sz="4" w:space="0"/>
                    <w:bottom w:val="single" w:color="auto" w:sz="4" w:space="0"/>
                    <w:right w:val="single" w:color="auto" w:sz="4" w:space="0"/>
                  </w:tcBorders>
                  <w:vAlign w:val="center"/>
                </w:tcPr>
                <w:p>
                  <w:pPr>
                    <w:snapToGrid w:val="0"/>
                    <w:jc w:val="center"/>
                    <w:rPr>
                      <w:color w:val="000000"/>
                      <w:szCs w:val="21"/>
                    </w:rPr>
                  </w:pPr>
                </w:p>
              </w:tc>
              <w:tc>
                <w:tcPr>
                  <w:tcW w:w="2239" w:type="pct"/>
                  <w:vMerge w:val="continue"/>
                  <w:tcBorders>
                    <w:left w:val="single" w:color="auto" w:sz="4" w:space="0"/>
                    <w:bottom w:val="single" w:color="auto" w:sz="4" w:space="0"/>
                    <w:right w:val="single" w:color="auto" w:sz="4" w:space="0"/>
                  </w:tcBorders>
                  <w:vAlign w:val="center"/>
                </w:tcPr>
                <w:p>
                  <w:pPr>
                    <w:snapToGrid w:val="0"/>
                    <w:jc w:val="center"/>
                    <w:rPr>
                      <w:rFonts w:hAnsi="宋体"/>
                      <w:color w:val="000000"/>
                      <w:szCs w:val="21"/>
                    </w:rPr>
                  </w:pPr>
                </w:p>
              </w:tc>
              <w:tc>
                <w:tcPr>
                  <w:tcW w:w="689" w:type="pct"/>
                  <w:vMerge w:val="continue"/>
                  <w:tcBorders>
                    <w:left w:val="single" w:color="auto" w:sz="4" w:space="0"/>
                    <w:bottom w:val="single" w:color="auto" w:sz="4" w:space="0"/>
                    <w:right w:val="single" w:color="auto" w:sz="4" w:space="0"/>
                  </w:tcBorders>
                  <w:vAlign w:val="center"/>
                </w:tcPr>
                <w:p>
                  <w:pPr>
                    <w:snapToGrid w:val="0"/>
                    <w:jc w:val="center"/>
                    <w:rPr>
                      <w:color w:val="000000"/>
                      <w:szCs w:val="21"/>
                    </w:rPr>
                  </w:pPr>
                </w:p>
              </w:tc>
              <w:tc>
                <w:tcPr>
                  <w:tcW w:w="726" w:type="pct"/>
                  <w:vMerge w:val="continue"/>
                  <w:tcBorders>
                    <w:left w:val="single" w:color="auto" w:sz="4" w:space="0"/>
                    <w:bottom w:val="single" w:color="auto" w:sz="4" w:space="0"/>
                    <w:right w:val="single" w:color="auto" w:sz="4" w:space="0"/>
                  </w:tcBorders>
                  <w:vAlign w:val="center"/>
                </w:tcPr>
                <w:p>
                  <w:pPr>
                    <w:snapToGrid w:val="0"/>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9</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食堂油烟</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center"/>
                    <w:rPr>
                      <w:bCs/>
                      <w:color w:val="000000"/>
                      <w:szCs w:val="21"/>
                    </w:rPr>
                  </w:pPr>
                  <w:r>
                    <w:rPr>
                      <w:rFonts w:hint="eastAsia"/>
                      <w:bCs/>
                      <w:color w:val="000000"/>
                      <w:szCs w:val="21"/>
                    </w:rPr>
                    <w:t>食堂内安装1套处理效率不低于60%的油烟净化器，油烟废气通过排烟管道排放</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0</w:t>
                  </w:r>
                  <w:r>
                    <w:rPr>
                      <w:color w:val="000000"/>
                      <w:szCs w:val="21"/>
                    </w:rPr>
                    <w:t>.5</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10</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生活垃圾</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垃圾收集桶若干，封闭式垃圾箱一个，设1个带盖泔水收集桶，2个一般固废收集桶</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0</w:t>
                  </w:r>
                  <w:r>
                    <w:rPr>
                      <w:color w:val="000000"/>
                      <w:szCs w:val="21"/>
                    </w:rPr>
                    <w:t>.5</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color w:val="000000"/>
                      <w:szCs w:val="21"/>
                    </w:rPr>
                    <w:t>11</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一般固废</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设置生产固废临时堆存场所，地面硬化并进行覆盖处理</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0</w:t>
                  </w:r>
                  <w:r>
                    <w:rPr>
                      <w:color w:val="000000"/>
                      <w:szCs w:val="21"/>
                    </w:rPr>
                    <w:t>.5</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14"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1</w:t>
                  </w:r>
                  <w:r>
                    <w:rPr>
                      <w:color w:val="000000"/>
                      <w:szCs w:val="21"/>
                    </w:rPr>
                    <w:t>2</w:t>
                  </w:r>
                </w:p>
              </w:tc>
              <w:tc>
                <w:tcPr>
                  <w:tcW w:w="832"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危险固废</w:t>
                  </w:r>
                </w:p>
              </w:tc>
              <w:tc>
                <w:tcPr>
                  <w:tcW w:w="223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bCs/>
                      <w:color w:val="000000"/>
                      <w:szCs w:val="21"/>
                    </w:rPr>
                    <w:t>危废暂存间1间（4</w:t>
                  </w:r>
                  <w:r>
                    <w:rPr>
                      <w:bCs/>
                      <w:color w:val="000000"/>
                      <w:szCs w:val="21"/>
                    </w:rPr>
                    <w:t>m</w:t>
                  </w:r>
                  <w:r>
                    <w:rPr>
                      <w:bCs/>
                      <w:color w:val="000000"/>
                      <w:szCs w:val="21"/>
                      <w:vertAlign w:val="superscript"/>
                    </w:rPr>
                    <w:t>2</w:t>
                  </w:r>
                  <w:r>
                    <w:rPr>
                      <w:rFonts w:hint="eastAsia"/>
                      <w:bCs/>
                      <w:color w:val="000000"/>
                      <w:szCs w:val="21"/>
                    </w:rPr>
                    <w:t>）及防渗</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1</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585" w:type="pct"/>
                  <w:gridSpan w:val="3"/>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合计</w:t>
                  </w:r>
                </w:p>
              </w:tc>
              <w:tc>
                <w:tcPr>
                  <w:tcW w:w="689"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2</w:t>
                  </w:r>
                  <w:r>
                    <w:rPr>
                      <w:color w:val="000000"/>
                      <w:szCs w:val="21"/>
                    </w:rPr>
                    <w:t>1</w:t>
                  </w:r>
                </w:p>
              </w:tc>
              <w:tc>
                <w:tcPr>
                  <w:tcW w:w="726" w:type="pct"/>
                  <w:tcBorders>
                    <w:top w:val="single" w:color="auto" w:sz="4" w:space="0"/>
                    <w:left w:val="single" w:color="auto" w:sz="4" w:space="0"/>
                    <w:bottom w:val="single" w:color="auto" w:sz="4" w:space="0"/>
                    <w:right w:val="single" w:color="auto" w:sz="4" w:space="0"/>
                  </w:tcBorders>
                  <w:vAlign w:val="center"/>
                </w:tcPr>
                <w:p>
                  <w:pPr>
                    <w:snapToGrid w:val="0"/>
                    <w:jc w:val="center"/>
                    <w:rPr>
                      <w:color w:val="000000"/>
                      <w:szCs w:val="21"/>
                    </w:rPr>
                  </w:pPr>
                  <w:r>
                    <w:rPr>
                      <w:rFonts w:hint="eastAsia"/>
                      <w:color w:val="000000"/>
                      <w:szCs w:val="21"/>
                    </w:rPr>
                    <w:t>/</w:t>
                  </w:r>
                </w:p>
              </w:tc>
            </w:tr>
          </w:tbl>
          <w:p>
            <w:pPr>
              <w:spacing w:line="360" w:lineRule="auto"/>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sz w:val="24"/>
              </w:rPr>
            </w:pPr>
            <w:r>
              <w:rPr>
                <w:sz w:val="24"/>
              </w:rPr>
              <w:t>工艺流程及产排污</w:t>
            </w:r>
            <w:r>
              <w:rPr>
                <w:rFonts w:hint="eastAsia"/>
                <w:sz w:val="24"/>
              </w:rPr>
              <w:t>环节</w:t>
            </w:r>
          </w:p>
        </w:tc>
        <w:tc>
          <w:tcPr>
            <w:tcW w:w="0" w:type="auto"/>
          </w:tcPr>
          <w:p>
            <w:pPr>
              <w:spacing w:line="360" w:lineRule="auto"/>
              <w:rPr>
                <w:b/>
                <w:bCs/>
                <w:sz w:val="24"/>
              </w:rPr>
            </w:pPr>
            <w:r>
              <w:rPr>
                <w:b/>
                <w:bCs/>
                <w:sz w:val="24"/>
              </w:rPr>
              <w:t>1、施工期工艺流程</w:t>
            </w:r>
          </w:p>
          <w:p>
            <w:pPr>
              <w:autoSpaceDE w:val="0"/>
              <w:autoSpaceDN w:val="0"/>
              <w:adjustRightInd w:val="0"/>
              <w:snapToGrid w:val="0"/>
              <w:spacing w:line="360" w:lineRule="auto"/>
              <w:ind w:firstLine="480" w:firstLineChars="200"/>
              <w:jc w:val="left"/>
              <w:rPr>
                <w:color w:val="000000"/>
                <w:sz w:val="24"/>
              </w:rPr>
            </w:pPr>
            <w:r>
              <w:rPr>
                <w:color w:val="000000"/>
                <w:sz w:val="24"/>
              </w:rPr>
              <w:t>项目施工期主要进行混凝土搅拌楼、储罐、原料库、储料库、办公生活区及基础设施的建设，施工期为3个月，施工人数为20人，施工人员不在项目地内食宿。施工流程及各阶段产污环节见图2-2。</w:t>
            </w:r>
          </w:p>
          <w:p>
            <w:pPr>
              <w:snapToGrid w:val="0"/>
              <w:jc w:val="center"/>
              <w:rPr>
                <w:color w:val="000000"/>
                <w:sz w:val="24"/>
              </w:rPr>
            </w:pPr>
            <w:r>
              <w:rPr>
                <w:color w:val="000000"/>
                <w:sz w:val="24"/>
              </w:rPr>
              <w:pict>
                <v:shape id="_x0000_i1025" o:spt="75" type="#_x0000_t75" style="height:100.5pt;width:250.5pt;" filled="f" o:preferrelative="t" stroked="f" coordsize="21600,21600">
                  <v:path/>
                  <v:fill on="f" focussize="0,0"/>
                  <v:stroke on="f" joinstyle="miter"/>
                  <v:imagedata r:id="rId15" o:title=""/>
                  <o:lock v:ext="edit" aspectratio="t"/>
                  <w10:wrap type="none"/>
                  <w10:anchorlock/>
                </v:shape>
              </w:pict>
            </w:r>
          </w:p>
          <w:p>
            <w:pPr>
              <w:snapToGrid w:val="0"/>
              <w:spacing w:line="360" w:lineRule="auto"/>
              <w:jc w:val="center"/>
              <w:rPr>
                <w:b/>
                <w:color w:val="000000"/>
                <w:szCs w:val="21"/>
              </w:rPr>
            </w:pPr>
            <w:r>
              <w:rPr>
                <w:b/>
                <w:color w:val="000000"/>
                <w:szCs w:val="21"/>
              </w:rPr>
              <w:t>图2-1  施工期工艺流程及产污环节</w:t>
            </w:r>
          </w:p>
          <w:p>
            <w:pPr>
              <w:snapToGrid w:val="0"/>
              <w:spacing w:line="360" w:lineRule="auto"/>
              <w:ind w:firstLine="480" w:firstLineChars="200"/>
              <w:rPr>
                <w:color w:val="000000"/>
                <w:kern w:val="0"/>
                <w:sz w:val="24"/>
              </w:rPr>
            </w:pPr>
            <w:r>
              <w:rPr>
                <w:color w:val="000000"/>
                <w:kern w:val="0"/>
                <w:sz w:val="24"/>
              </w:rPr>
              <w:t>（1）基础开挖：包括</w:t>
            </w:r>
            <w:r>
              <w:rPr>
                <w:color w:val="000000"/>
                <w:sz w:val="24"/>
              </w:rPr>
              <w:t>混凝土搅拌楼</w:t>
            </w:r>
            <w:r>
              <w:rPr>
                <w:rFonts w:hint="eastAsia"/>
                <w:color w:val="000000"/>
                <w:sz w:val="24"/>
              </w:rPr>
              <w:t>、骨料仓</w:t>
            </w:r>
            <w:r>
              <w:rPr>
                <w:color w:val="000000"/>
                <w:sz w:val="24"/>
              </w:rPr>
              <w:t>库、办公生活区</w:t>
            </w:r>
            <w:r>
              <w:rPr>
                <w:color w:val="000000"/>
                <w:kern w:val="0"/>
                <w:sz w:val="24"/>
              </w:rPr>
              <w:t>基础的开挖，开挖过程中扬尘、少量土石方和开挖噪声。</w:t>
            </w:r>
          </w:p>
          <w:p>
            <w:pPr>
              <w:snapToGrid w:val="0"/>
              <w:spacing w:line="360" w:lineRule="auto"/>
              <w:ind w:firstLine="480" w:firstLineChars="200"/>
              <w:rPr>
                <w:color w:val="000000"/>
                <w:kern w:val="0"/>
                <w:sz w:val="24"/>
              </w:rPr>
            </w:pPr>
            <w:r>
              <w:rPr>
                <w:color w:val="000000"/>
                <w:kern w:val="0"/>
                <w:sz w:val="24"/>
              </w:rPr>
              <w:t>（2）主体工程及辅助工程施工：主要建设</w:t>
            </w:r>
            <w:r>
              <w:rPr>
                <w:color w:val="000000"/>
                <w:sz w:val="24"/>
              </w:rPr>
              <w:t>混凝土搅拌楼、储罐、</w:t>
            </w:r>
            <w:r>
              <w:rPr>
                <w:rFonts w:hint="eastAsia"/>
                <w:color w:val="000000"/>
                <w:sz w:val="24"/>
              </w:rPr>
              <w:t>骨料仓</w:t>
            </w:r>
            <w:r>
              <w:rPr>
                <w:color w:val="000000"/>
                <w:sz w:val="24"/>
              </w:rPr>
              <w:t>库、办公生活区及基础设施的</w:t>
            </w:r>
            <w:r>
              <w:rPr>
                <w:color w:val="000000"/>
                <w:kern w:val="0"/>
                <w:sz w:val="24"/>
              </w:rPr>
              <w:t>建设，该过程中会产生废气、废水、噪声、建筑垃圾。废气主要是扬尘和机械废气，废水有施工废水和生活废水，噪声主要为搅拌机、装载机、运输车辆等发出的噪声。</w:t>
            </w:r>
          </w:p>
          <w:p>
            <w:pPr>
              <w:spacing w:line="360" w:lineRule="auto"/>
              <w:ind w:firstLine="480" w:firstLineChars="200"/>
              <w:rPr>
                <w:color w:val="000000"/>
                <w:kern w:val="0"/>
                <w:sz w:val="24"/>
              </w:rPr>
            </w:pPr>
            <w:r>
              <w:rPr>
                <w:color w:val="000000"/>
                <w:kern w:val="0"/>
                <w:sz w:val="24"/>
              </w:rPr>
              <w:t>（3）安装调试：主要是安装</w:t>
            </w:r>
            <w:r>
              <w:rPr>
                <w:color w:val="000000"/>
                <w:sz w:val="24"/>
              </w:rPr>
              <w:t>混凝土搅拌楼、</w:t>
            </w:r>
            <w:r>
              <w:rPr>
                <w:rFonts w:hint="eastAsia"/>
                <w:color w:val="000000"/>
                <w:sz w:val="24"/>
              </w:rPr>
              <w:t>骨料仓库、</w:t>
            </w:r>
            <w:r>
              <w:rPr>
                <w:color w:val="000000"/>
                <w:sz w:val="24"/>
              </w:rPr>
              <w:t>储罐</w:t>
            </w:r>
            <w:r>
              <w:rPr>
                <w:color w:val="000000"/>
                <w:kern w:val="0"/>
                <w:sz w:val="24"/>
              </w:rPr>
              <w:t>设施等，在安装调试过程中会产生废水、废气、噪声、固体废物。</w:t>
            </w:r>
          </w:p>
          <w:p>
            <w:pPr>
              <w:spacing w:line="360" w:lineRule="auto"/>
              <w:rPr>
                <w:b/>
                <w:bCs/>
                <w:color w:val="000000"/>
                <w:kern w:val="0"/>
                <w:sz w:val="24"/>
              </w:rPr>
            </w:pPr>
            <w:r>
              <w:rPr>
                <w:b/>
                <w:bCs/>
                <w:color w:val="000000"/>
                <w:kern w:val="0"/>
                <w:sz w:val="24"/>
              </w:rPr>
              <w:t>2</w:t>
            </w:r>
            <w:r>
              <w:rPr>
                <w:rFonts w:hint="eastAsia"/>
                <w:b/>
                <w:bCs/>
                <w:color w:val="000000"/>
                <w:kern w:val="0"/>
                <w:sz w:val="24"/>
              </w:rPr>
              <w:t>、运营期工艺流程</w:t>
            </w:r>
          </w:p>
          <w:p>
            <w:pPr>
              <w:spacing w:line="360" w:lineRule="auto"/>
              <w:ind w:firstLine="480" w:firstLineChars="200"/>
              <w:rPr>
                <w:color w:val="000000"/>
                <w:kern w:val="0"/>
                <w:sz w:val="24"/>
              </w:rPr>
            </w:pPr>
            <w:r>
              <w:rPr>
                <w:rFonts w:hint="eastAsia"/>
                <w:color w:val="000000"/>
                <w:kern w:val="0"/>
                <w:sz w:val="24"/>
              </w:rPr>
              <w:t>本项目设置两条混凝土生产线，生产工艺相对比较简单，主要生产工艺为：配料、投料、搅拌、卸料。生产时首先将各种原料进行计量配送，之后进行强制配料，强制配料过程采用电脑控制，从而保证混凝土的品质，最后运送至建筑工地。</w:t>
            </w:r>
          </w:p>
          <w:p>
            <w:pPr>
              <w:spacing w:line="360" w:lineRule="auto"/>
              <w:ind w:firstLine="480" w:firstLineChars="200"/>
              <w:rPr>
                <w:color w:val="000000"/>
                <w:kern w:val="0"/>
                <w:sz w:val="24"/>
              </w:rPr>
            </w:pPr>
            <w:r>
              <w:rPr>
                <w:rFonts w:hint="eastAsia"/>
                <w:color w:val="000000"/>
                <w:kern w:val="0"/>
                <w:sz w:val="24"/>
              </w:rPr>
              <w:t>搅拌站砂石料提升以封闭式皮带机输送方式完成。水泥、粉煤灰则以压缩空气吹入散装粉料储罐，辅以螺旋输送机给各粉料秤斗供料，搅拌用水采用压力供水。搅拌站添加的外加剂主要为减水剂。项目设有1条全自动化生产线，年产6万m</w:t>
            </w:r>
            <w:r>
              <w:rPr>
                <w:rFonts w:hint="eastAsia"/>
                <w:color w:val="000000"/>
                <w:kern w:val="0"/>
                <w:sz w:val="24"/>
                <w:vertAlign w:val="superscript"/>
              </w:rPr>
              <w:t>3</w:t>
            </w:r>
            <w:r>
              <w:rPr>
                <w:rFonts w:hint="eastAsia"/>
                <w:color w:val="000000"/>
                <w:kern w:val="0"/>
                <w:sz w:val="24"/>
              </w:rPr>
              <w:t>混凝土。生产工艺先进，污水沉淀循环使用，粉尘采用脉冲式除尘器处理。项目运营期工艺流程及产污环节见图</w:t>
            </w:r>
            <w:r>
              <w:rPr>
                <w:color w:val="000000"/>
                <w:kern w:val="0"/>
                <w:sz w:val="24"/>
              </w:rPr>
              <w:t>2</w:t>
            </w:r>
            <w:r>
              <w:rPr>
                <w:rFonts w:hint="eastAsia"/>
                <w:color w:val="000000"/>
                <w:kern w:val="0"/>
                <w:sz w:val="24"/>
              </w:rPr>
              <w:t>-</w:t>
            </w:r>
            <w:r>
              <w:rPr>
                <w:color w:val="000000"/>
                <w:kern w:val="0"/>
                <w:sz w:val="24"/>
              </w:rPr>
              <w:t>2</w:t>
            </w:r>
            <w:r>
              <w:rPr>
                <w:rFonts w:hint="eastAsia"/>
                <w:color w:val="000000"/>
                <w:kern w:val="0"/>
                <w:sz w:val="24"/>
              </w:rPr>
              <w:t>。</w:t>
            </w:r>
          </w:p>
          <w:p>
            <w:pPr>
              <w:spacing w:line="360" w:lineRule="auto"/>
              <w:jc w:val="center"/>
              <w:rPr>
                <w:color w:val="000000"/>
                <w:kern w:val="0"/>
                <w:sz w:val="24"/>
              </w:rPr>
            </w:pPr>
            <w:r>
              <w:rPr>
                <w:color w:val="000000"/>
                <w:kern w:val="0"/>
                <w:sz w:val="24"/>
              </w:rPr>
              <w:drawing>
                <wp:inline distT="0" distB="0" distL="0" distR="0">
                  <wp:extent cx="4839335" cy="464756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43829" cy="4652190"/>
                          </a:xfrm>
                          <a:prstGeom prst="rect">
                            <a:avLst/>
                          </a:prstGeom>
                        </pic:spPr>
                      </pic:pic>
                    </a:graphicData>
                  </a:graphic>
                </wp:inline>
              </w:drawing>
            </w:r>
          </w:p>
          <w:p>
            <w:pPr>
              <w:spacing w:line="360" w:lineRule="auto"/>
              <w:ind w:firstLine="422" w:firstLineChars="200"/>
              <w:jc w:val="center"/>
              <w:rPr>
                <w:b/>
                <w:bCs/>
                <w:szCs w:val="21"/>
              </w:rPr>
            </w:pPr>
            <w:r>
              <w:rPr>
                <w:b/>
                <w:bCs/>
                <w:szCs w:val="21"/>
              </w:rPr>
              <w:t xml:space="preserve">图2-2  </w:t>
            </w:r>
            <w:r>
              <w:rPr>
                <w:rFonts w:hint="eastAsia"/>
                <w:b/>
                <w:bCs/>
                <w:szCs w:val="21"/>
              </w:rPr>
              <w:t>运营期</w:t>
            </w:r>
            <w:r>
              <w:rPr>
                <w:b/>
                <w:bCs/>
                <w:szCs w:val="21"/>
              </w:rPr>
              <w:t>生产工艺流程</w:t>
            </w:r>
            <w:r>
              <w:rPr>
                <w:rFonts w:hint="eastAsia"/>
                <w:b/>
                <w:bCs/>
                <w:szCs w:val="21"/>
              </w:rPr>
              <w:t>及产污环节图</w:t>
            </w:r>
          </w:p>
          <w:p>
            <w:pPr>
              <w:pStyle w:val="1164"/>
              <w:snapToGrid w:val="0"/>
              <w:spacing w:line="360" w:lineRule="auto"/>
              <w:jc w:val="left"/>
              <w:rPr>
                <w:szCs w:val="24"/>
              </w:rPr>
            </w:pPr>
            <w:r>
              <w:rPr>
                <w:szCs w:val="24"/>
              </w:rPr>
              <w:t>（1）原辅材料的运输</w:t>
            </w:r>
          </w:p>
          <w:p>
            <w:pPr>
              <w:pStyle w:val="1164"/>
              <w:snapToGrid w:val="0"/>
              <w:spacing w:line="360" w:lineRule="auto"/>
              <w:jc w:val="left"/>
              <w:rPr>
                <w:szCs w:val="24"/>
              </w:rPr>
            </w:pPr>
            <w:r>
              <w:rPr>
                <w:szCs w:val="24"/>
              </w:rPr>
              <w:t>项目使用的砂石料均由供货商运输，不在项目内加工，采用封闭的货仓车运输；散装水泥的运输由供货商采取密闭式散装水泥运输车运输，粉煤灰、供应商由密闭散装水泥运输车运输，运至专门的储罐中存储。</w:t>
            </w:r>
          </w:p>
          <w:p>
            <w:pPr>
              <w:pStyle w:val="1164"/>
              <w:snapToGrid w:val="0"/>
              <w:spacing w:line="360" w:lineRule="auto"/>
              <w:jc w:val="left"/>
              <w:rPr>
                <w:szCs w:val="24"/>
              </w:rPr>
            </w:pPr>
            <w:r>
              <w:rPr>
                <w:szCs w:val="24"/>
              </w:rPr>
              <w:t>（2）原辅材料装卸</w:t>
            </w:r>
          </w:p>
          <w:p>
            <w:pPr>
              <w:pStyle w:val="1164"/>
              <w:snapToGrid w:val="0"/>
              <w:spacing w:line="360" w:lineRule="auto"/>
              <w:jc w:val="left"/>
              <w:rPr>
                <w:szCs w:val="24"/>
              </w:rPr>
            </w:pPr>
            <w:r>
              <w:rPr>
                <w:szCs w:val="24"/>
              </w:rPr>
              <w:t>砂石料通过运输车辆的自动装卸装置，砂石料堆存于密闭钢架大棚内临时存放；散装水泥和粉煤灰通过自动衔接输料口送入封闭式存储罐内；泵送剂和减水剂通过运输车辆运至项目内，置于添加剂储罐内存储。</w:t>
            </w:r>
          </w:p>
          <w:p>
            <w:pPr>
              <w:pStyle w:val="1164"/>
              <w:snapToGrid w:val="0"/>
              <w:spacing w:line="360" w:lineRule="auto"/>
              <w:jc w:val="left"/>
              <w:rPr>
                <w:szCs w:val="24"/>
              </w:rPr>
            </w:pPr>
            <w:r>
              <w:rPr>
                <w:szCs w:val="24"/>
              </w:rPr>
              <w:t>（3）计量</w:t>
            </w:r>
          </w:p>
          <w:p>
            <w:pPr>
              <w:pStyle w:val="1164"/>
              <w:snapToGrid w:val="0"/>
              <w:spacing w:line="360" w:lineRule="auto"/>
              <w:jc w:val="left"/>
              <w:rPr>
                <w:szCs w:val="24"/>
              </w:rPr>
            </w:pPr>
            <w:r>
              <w:rPr>
                <w:szCs w:val="24"/>
              </w:rPr>
              <w:t>根据不同标号强度的要求，根据一定的比例，通过电脑主机控制各种原辅材料的重量根据所需混凝土规格和数量进行配料。</w:t>
            </w:r>
          </w:p>
          <w:p>
            <w:pPr>
              <w:pStyle w:val="1164"/>
              <w:snapToGrid w:val="0"/>
              <w:spacing w:line="360" w:lineRule="auto"/>
              <w:jc w:val="left"/>
              <w:rPr>
                <w:szCs w:val="24"/>
              </w:rPr>
            </w:pPr>
            <w:r>
              <w:rPr>
                <w:szCs w:val="24"/>
              </w:rPr>
              <w:t>（4）进料、搅拌</w:t>
            </w:r>
          </w:p>
          <w:p>
            <w:pPr>
              <w:pStyle w:val="1164"/>
              <w:snapToGrid w:val="0"/>
              <w:spacing w:line="360" w:lineRule="auto"/>
              <w:jc w:val="left"/>
              <w:rPr>
                <w:szCs w:val="24"/>
              </w:rPr>
            </w:pPr>
            <w:r>
              <w:rPr>
                <w:szCs w:val="24"/>
              </w:rPr>
              <w:t>砂石和碎石用铲车转移到砂石斗和碎石斗中，通过电脑控制重量混合后用皮带输送机传送带送至搅拌主机内；添加剂通过计量泵按计量提升至密闭搅拌主机内；水泥通过螺旋机将水泥加入搅拌主机内；水通过加压水泵将水提升至搅拌主机内同其他辅料一起混合搅拌。</w:t>
            </w:r>
          </w:p>
          <w:p>
            <w:pPr>
              <w:pStyle w:val="1164"/>
              <w:snapToGrid w:val="0"/>
              <w:spacing w:line="360" w:lineRule="auto"/>
              <w:jc w:val="left"/>
              <w:rPr>
                <w:szCs w:val="24"/>
              </w:rPr>
            </w:pPr>
            <w:r>
              <w:rPr>
                <w:szCs w:val="24"/>
              </w:rPr>
              <w:t>（5）外运</w:t>
            </w:r>
          </w:p>
          <w:p>
            <w:pPr>
              <w:pStyle w:val="1164"/>
              <w:snapToGrid w:val="0"/>
              <w:spacing w:line="360" w:lineRule="auto"/>
              <w:jc w:val="left"/>
              <w:rPr>
                <w:szCs w:val="24"/>
              </w:rPr>
            </w:pPr>
            <w:r>
              <w:rPr>
                <w:szCs w:val="24"/>
              </w:rPr>
              <w:t>将混合后的混凝土用专用的混凝土运输车运至施工场地。</w:t>
            </w:r>
          </w:p>
          <w:p>
            <w:pPr>
              <w:pStyle w:val="1164"/>
              <w:snapToGrid w:val="0"/>
              <w:spacing w:line="360" w:lineRule="auto"/>
              <w:jc w:val="left"/>
              <w:rPr>
                <w:szCs w:val="24"/>
              </w:rPr>
            </w:pPr>
            <w:r>
              <w:rPr>
                <w:szCs w:val="24"/>
              </w:rPr>
              <w:t>（6）产品检验</w:t>
            </w:r>
          </w:p>
          <w:p>
            <w:pPr>
              <w:pStyle w:val="1164"/>
              <w:snapToGrid w:val="0"/>
              <w:spacing w:line="360" w:lineRule="auto"/>
              <w:ind w:firstLine="480" w:firstLineChars="200"/>
              <w:jc w:val="left"/>
              <w:rPr>
                <w:szCs w:val="24"/>
              </w:rPr>
            </w:pPr>
            <w:r>
              <w:rPr>
                <w:szCs w:val="24"/>
              </w:rPr>
              <w:t>项目建有试验室，对每批次的混凝土进行检验，检验包括对拌和物性能（坍落度、扩展度、凝结时间、容重等）、力学性能（抗压强度、抗折强度、抗弯强度、劈拉强度等）、耐久性能和长期性能（收缩和徐变）的检验。</w:t>
            </w:r>
          </w:p>
          <w:p>
            <w:pPr>
              <w:pStyle w:val="1164"/>
              <w:snapToGrid w:val="0"/>
              <w:spacing w:line="360" w:lineRule="auto"/>
              <w:ind w:firstLine="0"/>
              <w:jc w:val="left"/>
              <w:rPr>
                <w:b/>
                <w:bCs/>
                <w:szCs w:val="24"/>
              </w:rPr>
            </w:pPr>
            <w:r>
              <w:rPr>
                <w:rFonts w:hint="eastAsia"/>
                <w:b/>
                <w:bCs/>
                <w:szCs w:val="24"/>
              </w:rPr>
              <w:t>3、项目产污情况</w:t>
            </w:r>
          </w:p>
          <w:p>
            <w:pPr>
              <w:pStyle w:val="1164"/>
              <w:snapToGrid w:val="0"/>
              <w:spacing w:line="360" w:lineRule="auto"/>
              <w:ind w:firstLine="480" w:firstLineChars="200"/>
              <w:jc w:val="left"/>
              <w:rPr>
                <w:szCs w:val="24"/>
              </w:rPr>
            </w:pPr>
            <w:r>
              <w:rPr>
                <w:rFonts w:hint="eastAsia"/>
                <w:szCs w:val="24"/>
              </w:rPr>
              <w:t>本项目主要生产产品为混凝土。生产过程中主要会产生废气、废水、噪声和固废等污染物，具体污染物对应产污工序详见下表。</w:t>
            </w:r>
          </w:p>
          <w:p>
            <w:pPr>
              <w:pStyle w:val="1164"/>
              <w:snapToGrid w:val="0"/>
              <w:spacing w:line="360" w:lineRule="auto"/>
              <w:ind w:firstLine="0"/>
              <w:jc w:val="center"/>
              <w:rPr>
                <w:b/>
                <w:bCs/>
                <w:sz w:val="21"/>
                <w:szCs w:val="21"/>
              </w:rPr>
            </w:pPr>
            <w:r>
              <w:rPr>
                <w:rFonts w:hint="eastAsia"/>
                <w:b/>
                <w:bCs/>
                <w:sz w:val="21"/>
                <w:szCs w:val="21"/>
              </w:rPr>
              <w:t>表2-6</w:t>
            </w:r>
            <w:r>
              <w:rPr>
                <w:b/>
                <w:bCs/>
                <w:sz w:val="21"/>
                <w:szCs w:val="21"/>
              </w:rPr>
              <w:t xml:space="preserve">  </w:t>
            </w:r>
            <w:r>
              <w:rPr>
                <w:rFonts w:hint="eastAsia"/>
                <w:b/>
                <w:bCs/>
                <w:sz w:val="21"/>
                <w:szCs w:val="21"/>
              </w:rPr>
              <w:t>本项目生产线产污情况一览表</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3"/>
              <w:gridCol w:w="850"/>
              <w:gridCol w:w="1276"/>
              <w:gridCol w:w="2835"/>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73" w:type="dxa"/>
                  <w:vAlign w:val="center"/>
                </w:tcPr>
                <w:p>
                  <w:pPr>
                    <w:pStyle w:val="1164"/>
                    <w:snapToGrid w:val="0"/>
                    <w:spacing w:line="360" w:lineRule="auto"/>
                    <w:ind w:firstLine="0"/>
                    <w:jc w:val="center"/>
                    <w:rPr>
                      <w:sz w:val="21"/>
                      <w:szCs w:val="21"/>
                    </w:rPr>
                  </w:pPr>
                  <w:r>
                    <w:rPr>
                      <w:rFonts w:hint="eastAsia"/>
                      <w:sz w:val="21"/>
                      <w:szCs w:val="21"/>
                    </w:rPr>
                    <w:t>生产线</w:t>
                  </w:r>
                </w:p>
              </w:tc>
              <w:tc>
                <w:tcPr>
                  <w:tcW w:w="850" w:type="dxa"/>
                  <w:vAlign w:val="center"/>
                </w:tcPr>
                <w:p>
                  <w:pPr>
                    <w:pStyle w:val="1164"/>
                    <w:snapToGrid w:val="0"/>
                    <w:spacing w:line="360" w:lineRule="auto"/>
                    <w:ind w:firstLine="0"/>
                    <w:jc w:val="center"/>
                    <w:rPr>
                      <w:sz w:val="21"/>
                      <w:szCs w:val="21"/>
                    </w:rPr>
                  </w:pPr>
                  <w:r>
                    <w:rPr>
                      <w:rFonts w:hint="eastAsia"/>
                      <w:sz w:val="21"/>
                      <w:szCs w:val="21"/>
                    </w:rPr>
                    <w:t>项目</w:t>
                  </w:r>
                </w:p>
              </w:tc>
              <w:tc>
                <w:tcPr>
                  <w:tcW w:w="1276" w:type="dxa"/>
                  <w:vAlign w:val="center"/>
                </w:tcPr>
                <w:p>
                  <w:pPr>
                    <w:pStyle w:val="1164"/>
                    <w:snapToGrid w:val="0"/>
                    <w:spacing w:line="360" w:lineRule="auto"/>
                    <w:ind w:firstLine="0"/>
                    <w:jc w:val="center"/>
                    <w:rPr>
                      <w:sz w:val="21"/>
                      <w:szCs w:val="21"/>
                    </w:rPr>
                  </w:pPr>
                  <w:r>
                    <w:rPr>
                      <w:rFonts w:hint="eastAsia"/>
                      <w:sz w:val="21"/>
                      <w:szCs w:val="21"/>
                    </w:rPr>
                    <w:t>产污工序</w:t>
                  </w:r>
                </w:p>
              </w:tc>
              <w:tc>
                <w:tcPr>
                  <w:tcW w:w="2835" w:type="dxa"/>
                  <w:vAlign w:val="center"/>
                </w:tcPr>
                <w:p>
                  <w:pPr>
                    <w:pStyle w:val="1164"/>
                    <w:snapToGrid w:val="0"/>
                    <w:spacing w:line="360" w:lineRule="auto"/>
                    <w:ind w:firstLine="0"/>
                    <w:jc w:val="center"/>
                    <w:rPr>
                      <w:sz w:val="21"/>
                      <w:szCs w:val="21"/>
                    </w:rPr>
                  </w:pPr>
                  <w:r>
                    <w:rPr>
                      <w:rFonts w:hint="eastAsia"/>
                      <w:sz w:val="21"/>
                      <w:szCs w:val="21"/>
                    </w:rPr>
                    <w:t>污染物</w:t>
                  </w:r>
                </w:p>
              </w:tc>
              <w:tc>
                <w:tcPr>
                  <w:tcW w:w="1775" w:type="dxa"/>
                  <w:vAlign w:val="center"/>
                </w:tcPr>
                <w:p>
                  <w:pPr>
                    <w:pStyle w:val="1164"/>
                    <w:snapToGrid w:val="0"/>
                    <w:spacing w:line="360" w:lineRule="auto"/>
                    <w:ind w:firstLine="0"/>
                    <w:jc w:val="center"/>
                    <w:rPr>
                      <w:sz w:val="21"/>
                      <w:szCs w:val="21"/>
                    </w:rPr>
                  </w:pPr>
                  <w:r>
                    <w:rPr>
                      <w:rFonts w:hint="eastAsia"/>
                      <w:sz w:val="21"/>
                      <w:szCs w:val="21"/>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jc w:val="center"/>
              </w:trPr>
              <w:tc>
                <w:tcPr>
                  <w:tcW w:w="1073" w:type="dxa"/>
                  <w:vMerge w:val="restart"/>
                  <w:vAlign w:val="center"/>
                </w:tcPr>
                <w:p>
                  <w:pPr>
                    <w:pStyle w:val="1164"/>
                    <w:snapToGrid w:val="0"/>
                    <w:spacing w:line="360" w:lineRule="auto"/>
                    <w:ind w:firstLine="0"/>
                    <w:jc w:val="center"/>
                    <w:rPr>
                      <w:sz w:val="21"/>
                      <w:szCs w:val="21"/>
                    </w:rPr>
                  </w:pPr>
                  <w:r>
                    <w:rPr>
                      <w:rFonts w:hint="eastAsia"/>
                      <w:sz w:val="21"/>
                      <w:szCs w:val="21"/>
                    </w:rPr>
                    <w:t>混凝土生产线</w:t>
                  </w:r>
                </w:p>
              </w:tc>
              <w:tc>
                <w:tcPr>
                  <w:tcW w:w="850" w:type="dxa"/>
                  <w:vMerge w:val="restart"/>
                  <w:vAlign w:val="center"/>
                </w:tcPr>
                <w:p>
                  <w:pPr>
                    <w:pStyle w:val="1164"/>
                    <w:snapToGrid w:val="0"/>
                    <w:spacing w:line="360" w:lineRule="auto"/>
                    <w:ind w:firstLine="0"/>
                    <w:jc w:val="center"/>
                    <w:rPr>
                      <w:sz w:val="21"/>
                      <w:szCs w:val="21"/>
                    </w:rPr>
                  </w:pPr>
                  <w:r>
                    <w:rPr>
                      <w:rFonts w:hint="eastAsia"/>
                      <w:sz w:val="21"/>
                      <w:szCs w:val="21"/>
                    </w:rPr>
                    <w:t>废气</w:t>
                  </w:r>
                </w:p>
              </w:tc>
              <w:tc>
                <w:tcPr>
                  <w:tcW w:w="1276" w:type="dxa"/>
                  <w:vMerge w:val="restart"/>
                  <w:vAlign w:val="center"/>
                </w:tcPr>
                <w:p>
                  <w:pPr>
                    <w:pStyle w:val="1164"/>
                    <w:snapToGrid w:val="0"/>
                    <w:spacing w:line="360" w:lineRule="auto"/>
                    <w:ind w:firstLine="0"/>
                    <w:jc w:val="center"/>
                    <w:rPr>
                      <w:sz w:val="21"/>
                      <w:szCs w:val="21"/>
                    </w:rPr>
                  </w:pPr>
                  <w:r>
                    <w:rPr>
                      <w:rFonts w:hint="eastAsia"/>
                      <w:sz w:val="21"/>
                      <w:szCs w:val="21"/>
                    </w:rPr>
                    <w:t>材料装卸、储存</w:t>
                  </w:r>
                </w:p>
              </w:tc>
              <w:tc>
                <w:tcPr>
                  <w:tcW w:w="2835" w:type="dxa"/>
                  <w:vAlign w:val="center"/>
                </w:tcPr>
                <w:p>
                  <w:pPr>
                    <w:pStyle w:val="1164"/>
                    <w:snapToGrid w:val="0"/>
                    <w:spacing w:line="360" w:lineRule="auto"/>
                    <w:ind w:firstLine="0"/>
                    <w:jc w:val="center"/>
                    <w:rPr>
                      <w:sz w:val="21"/>
                      <w:szCs w:val="21"/>
                    </w:rPr>
                  </w:pPr>
                  <w:r>
                    <w:rPr>
                      <w:rFonts w:hint="eastAsia"/>
                      <w:color w:val="000000"/>
                      <w:sz w:val="21"/>
                      <w:szCs w:val="21"/>
                    </w:rPr>
                    <w:t>砂石料堆存、装卸粉尘</w:t>
                  </w:r>
                </w:p>
              </w:tc>
              <w:tc>
                <w:tcPr>
                  <w:tcW w:w="1775" w:type="dxa"/>
                  <w:vMerge w:val="restart"/>
                  <w:vAlign w:val="center"/>
                </w:tcPr>
                <w:p>
                  <w:pPr>
                    <w:pStyle w:val="1164"/>
                    <w:snapToGrid w:val="0"/>
                    <w:spacing w:line="360" w:lineRule="auto"/>
                    <w:ind w:firstLine="0"/>
                    <w:jc w:val="center"/>
                    <w:rPr>
                      <w:sz w:val="21"/>
                      <w:szCs w:val="21"/>
                    </w:rPr>
                  </w:pPr>
                  <w:r>
                    <w:rPr>
                      <w:rFonts w:hint="eastAsia"/>
                      <w:sz w:val="21"/>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73" w:type="dxa"/>
                  <w:vMerge w:val="continue"/>
                  <w:vAlign w:val="center"/>
                </w:tcPr>
                <w:p>
                  <w:pPr>
                    <w:pStyle w:val="1164"/>
                    <w:snapToGrid w:val="0"/>
                    <w:spacing w:line="360" w:lineRule="auto"/>
                    <w:ind w:firstLine="0"/>
                    <w:jc w:val="center"/>
                    <w:rPr>
                      <w:sz w:val="21"/>
                      <w:szCs w:val="21"/>
                    </w:rPr>
                  </w:pPr>
                </w:p>
              </w:tc>
              <w:tc>
                <w:tcPr>
                  <w:tcW w:w="850" w:type="dxa"/>
                  <w:vMerge w:val="continue"/>
                  <w:vAlign w:val="center"/>
                </w:tcPr>
                <w:p>
                  <w:pPr>
                    <w:pStyle w:val="1164"/>
                    <w:snapToGrid w:val="0"/>
                    <w:spacing w:line="360" w:lineRule="auto"/>
                    <w:ind w:firstLine="0"/>
                    <w:jc w:val="center"/>
                    <w:rPr>
                      <w:sz w:val="21"/>
                      <w:szCs w:val="21"/>
                    </w:rPr>
                  </w:pPr>
                </w:p>
              </w:tc>
              <w:tc>
                <w:tcPr>
                  <w:tcW w:w="1276" w:type="dxa"/>
                  <w:vMerge w:val="continue"/>
                  <w:vAlign w:val="center"/>
                </w:tcPr>
                <w:p>
                  <w:pPr>
                    <w:pStyle w:val="1164"/>
                    <w:snapToGrid w:val="0"/>
                    <w:spacing w:line="360" w:lineRule="auto"/>
                    <w:ind w:firstLine="0"/>
                    <w:jc w:val="center"/>
                    <w:rPr>
                      <w:sz w:val="21"/>
                      <w:szCs w:val="21"/>
                    </w:rPr>
                  </w:pPr>
                </w:p>
              </w:tc>
              <w:tc>
                <w:tcPr>
                  <w:tcW w:w="2835" w:type="dxa"/>
                  <w:vAlign w:val="center"/>
                </w:tcPr>
                <w:p>
                  <w:pPr>
                    <w:pStyle w:val="1164"/>
                    <w:snapToGrid w:val="0"/>
                    <w:spacing w:line="360" w:lineRule="auto"/>
                    <w:ind w:firstLine="0"/>
                    <w:jc w:val="center"/>
                    <w:rPr>
                      <w:color w:val="000000"/>
                      <w:sz w:val="21"/>
                      <w:szCs w:val="21"/>
                    </w:rPr>
                  </w:pPr>
                  <w:r>
                    <w:rPr>
                      <w:rFonts w:hint="eastAsia"/>
                      <w:sz w:val="21"/>
                      <w:szCs w:val="21"/>
                    </w:rPr>
                    <w:t>筒仓粉尘</w:t>
                  </w:r>
                </w:p>
              </w:tc>
              <w:tc>
                <w:tcPr>
                  <w:tcW w:w="1775" w:type="dxa"/>
                  <w:vMerge w:val="continue"/>
                  <w:vAlign w:val="center"/>
                </w:tcPr>
                <w:p>
                  <w:pPr>
                    <w:pStyle w:val="1164"/>
                    <w:snapToGrid w:val="0"/>
                    <w:spacing w:line="360" w:lineRule="auto"/>
                    <w:ind w:firstLine="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 w:hRule="atLeast"/>
                <w:jc w:val="center"/>
              </w:trPr>
              <w:tc>
                <w:tcPr>
                  <w:tcW w:w="1073" w:type="dxa"/>
                  <w:vMerge w:val="continue"/>
                  <w:vAlign w:val="center"/>
                </w:tcPr>
                <w:p>
                  <w:pPr>
                    <w:pStyle w:val="1164"/>
                    <w:snapToGrid w:val="0"/>
                    <w:spacing w:line="360" w:lineRule="auto"/>
                    <w:ind w:firstLine="0"/>
                    <w:jc w:val="center"/>
                    <w:rPr>
                      <w:sz w:val="21"/>
                      <w:szCs w:val="21"/>
                    </w:rPr>
                  </w:pPr>
                </w:p>
              </w:tc>
              <w:tc>
                <w:tcPr>
                  <w:tcW w:w="850" w:type="dxa"/>
                  <w:vMerge w:val="continue"/>
                  <w:vAlign w:val="center"/>
                </w:tcPr>
                <w:p>
                  <w:pPr>
                    <w:pStyle w:val="1164"/>
                    <w:snapToGrid w:val="0"/>
                    <w:spacing w:line="360" w:lineRule="auto"/>
                    <w:ind w:firstLine="0"/>
                    <w:jc w:val="center"/>
                    <w:rPr>
                      <w:sz w:val="21"/>
                      <w:szCs w:val="21"/>
                    </w:rPr>
                  </w:pPr>
                </w:p>
              </w:tc>
              <w:tc>
                <w:tcPr>
                  <w:tcW w:w="1276" w:type="dxa"/>
                  <w:vAlign w:val="center"/>
                </w:tcPr>
                <w:p>
                  <w:pPr>
                    <w:pStyle w:val="1164"/>
                    <w:snapToGrid w:val="0"/>
                    <w:spacing w:line="360" w:lineRule="auto"/>
                    <w:ind w:firstLine="0"/>
                    <w:jc w:val="center"/>
                    <w:rPr>
                      <w:sz w:val="21"/>
                      <w:szCs w:val="21"/>
                    </w:rPr>
                  </w:pPr>
                  <w:r>
                    <w:rPr>
                      <w:rFonts w:hint="eastAsia"/>
                      <w:sz w:val="21"/>
                      <w:szCs w:val="21"/>
                    </w:rPr>
                    <w:t>加料</w:t>
                  </w:r>
                </w:p>
              </w:tc>
              <w:tc>
                <w:tcPr>
                  <w:tcW w:w="2835" w:type="dxa"/>
                  <w:vAlign w:val="center"/>
                </w:tcPr>
                <w:p>
                  <w:pPr>
                    <w:pStyle w:val="1164"/>
                    <w:snapToGrid w:val="0"/>
                    <w:spacing w:line="360" w:lineRule="auto"/>
                    <w:ind w:firstLine="0"/>
                    <w:jc w:val="center"/>
                    <w:rPr>
                      <w:sz w:val="21"/>
                      <w:szCs w:val="21"/>
                    </w:rPr>
                  </w:pPr>
                  <w:r>
                    <w:rPr>
                      <w:rFonts w:hint="eastAsia"/>
                      <w:color w:val="000000"/>
                      <w:sz w:val="21"/>
                      <w:szCs w:val="21"/>
                    </w:rPr>
                    <w:t>配料、计量、投料粉尘</w:t>
                  </w:r>
                </w:p>
              </w:tc>
              <w:tc>
                <w:tcPr>
                  <w:tcW w:w="1775" w:type="dxa"/>
                  <w:vAlign w:val="center"/>
                </w:tcPr>
                <w:p>
                  <w:pPr>
                    <w:pStyle w:val="1164"/>
                    <w:snapToGrid w:val="0"/>
                    <w:spacing w:line="360" w:lineRule="auto"/>
                    <w:ind w:firstLine="0"/>
                    <w:jc w:val="center"/>
                    <w:rPr>
                      <w:sz w:val="21"/>
                      <w:szCs w:val="21"/>
                    </w:rPr>
                  </w:pPr>
                  <w:r>
                    <w:rPr>
                      <w:rFonts w:hint="eastAsia"/>
                      <w:sz w:val="21"/>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 w:hRule="atLeast"/>
                <w:jc w:val="center"/>
              </w:trPr>
              <w:tc>
                <w:tcPr>
                  <w:tcW w:w="1073" w:type="dxa"/>
                  <w:vMerge w:val="continue"/>
                  <w:vAlign w:val="center"/>
                </w:tcPr>
                <w:p>
                  <w:pPr>
                    <w:pStyle w:val="1164"/>
                    <w:snapToGrid w:val="0"/>
                    <w:spacing w:line="360" w:lineRule="auto"/>
                    <w:ind w:firstLine="0"/>
                    <w:jc w:val="center"/>
                    <w:rPr>
                      <w:sz w:val="21"/>
                      <w:szCs w:val="21"/>
                    </w:rPr>
                  </w:pPr>
                </w:p>
              </w:tc>
              <w:tc>
                <w:tcPr>
                  <w:tcW w:w="850" w:type="dxa"/>
                  <w:vMerge w:val="continue"/>
                  <w:vAlign w:val="center"/>
                </w:tcPr>
                <w:p>
                  <w:pPr>
                    <w:pStyle w:val="1164"/>
                    <w:snapToGrid w:val="0"/>
                    <w:spacing w:line="360" w:lineRule="auto"/>
                    <w:ind w:firstLine="0"/>
                    <w:jc w:val="center"/>
                    <w:rPr>
                      <w:sz w:val="21"/>
                      <w:szCs w:val="21"/>
                    </w:rPr>
                  </w:pPr>
                </w:p>
              </w:tc>
              <w:tc>
                <w:tcPr>
                  <w:tcW w:w="1276" w:type="dxa"/>
                  <w:vAlign w:val="center"/>
                </w:tcPr>
                <w:p>
                  <w:pPr>
                    <w:pStyle w:val="1164"/>
                    <w:snapToGrid w:val="0"/>
                    <w:spacing w:line="360" w:lineRule="auto"/>
                    <w:ind w:firstLine="0"/>
                    <w:jc w:val="center"/>
                    <w:rPr>
                      <w:sz w:val="21"/>
                      <w:szCs w:val="21"/>
                    </w:rPr>
                  </w:pPr>
                  <w:r>
                    <w:rPr>
                      <w:rFonts w:hint="eastAsia"/>
                      <w:sz w:val="21"/>
                      <w:szCs w:val="21"/>
                    </w:rPr>
                    <w:t>搅拌</w:t>
                  </w:r>
                </w:p>
              </w:tc>
              <w:tc>
                <w:tcPr>
                  <w:tcW w:w="2835" w:type="dxa"/>
                  <w:vAlign w:val="center"/>
                </w:tcPr>
                <w:p>
                  <w:pPr>
                    <w:pStyle w:val="1164"/>
                    <w:snapToGrid w:val="0"/>
                    <w:spacing w:line="360" w:lineRule="auto"/>
                    <w:ind w:firstLine="0"/>
                    <w:jc w:val="center"/>
                    <w:rPr>
                      <w:sz w:val="21"/>
                      <w:szCs w:val="21"/>
                    </w:rPr>
                  </w:pPr>
                  <w:r>
                    <w:rPr>
                      <w:rFonts w:hint="eastAsia"/>
                      <w:color w:val="000000"/>
                      <w:sz w:val="21"/>
                      <w:szCs w:val="21"/>
                    </w:rPr>
                    <w:t>搅拌粉尘</w:t>
                  </w:r>
                </w:p>
              </w:tc>
              <w:tc>
                <w:tcPr>
                  <w:tcW w:w="1775" w:type="dxa"/>
                  <w:vAlign w:val="center"/>
                </w:tcPr>
                <w:p>
                  <w:pPr>
                    <w:pStyle w:val="1164"/>
                    <w:snapToGrid w:val="0"/>
                    <w:spacing w:line="360" w:lineRule="auto"/>
                    <w:ind w:firstLine="0"/>
                    <w:jc w:val="center"/>
                    <w:rPr>
                      <w:sz w:val="21"/>
                      <w:szCs w:val="21"/>
                    </w:rPr>
                  </w:pPr>
                  <w:r>
                    <w:rPr>
                      <w:rFonts w:hint="eastAsia"/>
                      <w:sz w:val="21"/>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1" w:hRule="atLeast"/>
                <w:jc w:val="center"/>
              </w:trPr>
              <w:tc>
                <w:tcPr>
                  <w:tcW w:w="1073" w:type="dxa"/>
                  <w:vMerge w:val="continue"/>
                  <w:vAlign w:val="center"/>
                </w:tcPr>
                <w:p>
                  <w:pPr>
                    <w:pStyle w:val="1164"/>
                    <w:snapToGrid w:val="0"/>
                    <w:spacing w:line="360" w:lineRule="auto"/>
                    <w:ind w:firstLine="0"/>
                    <w:jc w:val="center"/>
                    <w:rPr>
                      <w:sz w:val="21"/>
                      <w:szCs w:val="21"/>
                    </w:rPr>
                  </w:pPr>
                </w:p>
              </w:tc>
              <w:tc>
                <w:tcPr>
                  <w:tcW w:w="850" w:type="dxa"/>
                  <w:vMerge w:val="continue"/>
                  <w:vAlign w:val="center"/>
                </w:tcPr>
                <w:p>
                  <w:pPr>
                    <w:pStyle w:val="1164"/>
                    <w:snapToGrid w:val="0"/>
                    <w:spacing w:line="360" w:lineRule="auto"/>
                    <w:ind w:firstLine="0"/>
                    <w:jc w:val="center"/>
                    <w:rPr>
                      <w:sz w:val="21"/>
                      <w:szCs w:val="21"/>
                    </w:rPr>
                  </w:pPr>
                </w:p>
              </w:tc>
              <w:tc>
                <w:tcPr>
                  <w:tcW w:w="1276" w:type="dxa"/>
                  <w:vAlign w:val="center"/>
                </w:tcPr>
                <w:p>
                  <w:pPr>
                    <w:pStyle w:val="1164"/>
                    <w:snapToGrid w:val="0"/>
                    <w:spacing w:line="360" w:lineRule="auto"/>
                    <w:ind w:firstLine="0"/>
                    <w:jc w:val="center"/>
                    <w:rPr>
                      <w:sz w:val="21"/>
                      <w:szCs w:val="21"/>
                    </w:rPr>
                  </w:pPr>
                  <w:r>
                    <w:rPr>
                      <w:rFonts w:hint="eastAsia"/>
                      <w:sz w:val="21"/>
                      <w:szCs w:val="21"/>
                    </w:rPr>
                    <w:t>成品运输</w:t>
                  </w:r>
                </w:p>
              </w:tc>
              <w:tc>
                <w:tcPr>
                  <w:tcW w:w="2835" w:type="dxa"/>
                  <w:vAlign w:val="center"/>
                </w:tcPr>
                <w:p>
                  <w:pPr>
                    <w:pStyle w:val="1164"/>
                    <w:snapToGrid w:val="0"/>
                    <w:spacing w:line="360" w:lineRule="auto"/>
                    <w:ind w:firstLine="0"/>
                    <w:jc w:val="center"/>
                    <w:rPr>
                      <w:sz w:val="21"/>
                      <w:szCs w:val="21"/>
                    </w:rPr>
                  </w:pPr>
                  <w:r>
                    <w:rPr>
                      <w:rFonts w:hint="eastAsia"/>
                      <w:color w:val="000000"/>
                      <w:sz w:val="21"/>
                      <w:szCs w:val="21"/>
                    </w:rPr>
                    <w:t>运输粉尘、汽车尾气</w:t>
                  </w:r>
                </w:p>
              </w:tc>
              <w:tc>
                <w:tcPr>
                  <w:tcW w:w="1775" w:type="dxa"/>
                  <w:vAlign w:val="center"/>
                </w:tcPr>
                <w:p>
                  <w:pPr>
                    <w:widowControl/>
                    <w:jc w:val="left"/>
                    <w:rPr>
                      <w:rFonts w:ascii="宋体" w:hAnsi="宋体" w:cs="宋体"/>
                      <w:kern w:val="0"/>
                      <w:sz w:val="24"/>
                    </w:rPr>
                  </w:pPr>
                  <w:r>
                    <w:rPr>
                      <w:rFonts w:hint="eastAsia"/>
                      <w:szCs w:val="21"/>
                    </w:rPr>
                    <w:t>颗粒物、</w:t>
                  </w:r>
                  <w:r>
                    <w:rPr>
                      <w:rFonts w:hint="eastAsia" w:ascii="宋体" w:hAnsi="宋体" w:cs="宋体"/>
                      <w:color w:val="000000"/>
                      <w:kern w:val="0"/>
                      <w:szCs w:val="21"/>
                    </w:rPr>
                    <w:t>颗粒物、</w:t>
                  </w:r>
                  <w:r>
                    <w:rPr>
                      <w:color w:val="000000"/>
                      <w:kern w:val="0"/>
                      <w:szCs w:val="21"/>
                    </w:rPr>
                    <w:t>SO</w:t>
                  </w:r>
                  <w:r>
                    <w:rPr>
                      <w:color w:val="000000"/>
                      <w:kern w:val="0"/>
                      <w:sz w:val="14"/>
                      <w:szCs w:val="14"/>
                    </w:rPr>
                    <w:t>2</w:t>
                  </w:r>
                  <w:r>
                    <w:rPr>
                      <w:rFonts w:hint="eastAsia" w:ascii="宋体" w:hAnsi="宋体" w:cs="宋体"/>
                      <w:color w:val="000000"/>
                      <w:kern w:val="0"/>
                      <w:szCs w:val="21"/>
                    </w:rPr>
                    <w:t>、</w:t>
                  </w:r>
                  <w:r>
                    <w:rPr>
                      <w:color w:val="000000"/>
                      <w:kern w:val="0"/>
                      <w:szCs w:val="21"/>
                    </w:rPr>
                    <w:t>NO</w:t>
                  </w:r>
                  <w:r>
                    <w:rPr>
                      <w:color w:val="000000"/>
                      <w:kern w:val="0"/>
                      <w:sz w:val="14"/>
                      <w:szCs w:val="14"/>
                    </w:rPr>
                    <w:t>X</w:t>
                  </w:r>
                  <w:r>
                    <w:rPr>
                      <w:rFonts w:hint="eastAsia" w:ascii="宋体" w:hAnsi="宋体" w:cs="宋体"/>
                      <w:color w:val="000000"/>
                      <w:kern w:val="0"/>
                      <w:szCs w:val="21"/>
                    </w:rPr>
                    <w:t>、</w:t>
                  </w:r>
                  <w:r>
                    <w:rPr>
                      <w:color w:val="000000"/>
                      <w:kern w:val="0"/>
                      <w:szCs w:val="21"/>
                    </w:rPr>
                    <w:t>THC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 w:hRule="atLeast"/>
                <w:jc w:val="center"/>
              </w:trPr>
              <w:tc>
                <w:tcPr>
                  <w:tcW w:w="1073" w:type="dxa"/>
                  <w:vMerge w:val="continue"/>
                  <w:vAlign w:val="center"/>
                </w:tcPr>
                <w:p>
                  <w:pPr>
                    <w:pStyle w:val="1164"/>
                    <w:snapToGrid w:val="0"/>
                    <w:spacing w:line="360" w:lineRule="auto"/>
                    <w:ind w:firstLine="0"/>
                    <w:jc w:val="center"/>
                    <w:rPr>
                      <w:sz w:val="21"/>
                      <w:szCs w:val="21"/>
                    </w:rPr>
                  </w:pPr>
                </w:p>
              </w:tc>
              <w:tc>
                <w:tcPr>
                  <w:tcW w:w="850" w:type="dxa"/>
                  <w:vMerge w:val="restart"/>
                  <w:vAlign w:val="center"/>
                </w:tcPr>
                <w:p>
                  <w:pPr>
                    <w:pStyle w:val="1164"/>
                    <w:snapToGrid w:val="0"/>
                    <w:spacing w:line="360" w:lineRule="auto"/>
                    <w:ind w:firstLine="0"/>
                    <w:jc w:val="center"/>
                    <w:rPr>
                      <w:sz w:val="21"/>
                      <w:szCs w:val="21"/>
                    </w:rPr>
                  </w:pPr>
                  <w:r>
                    <w:rPr>
                      <w:rFonts w:hint="eastAsia"/>
                      <w:sz w:val="21"/>
                      <w:szCs w:val="21"/>
                    </w:rPr>
                    <w:t>废水</w:t>
                  </w:r>
                </w:p>
              </w:tc>
              <w:tc>
                <w:tcPr>
                  <w:tcW w:w="1276" w:type="dxa"/>
                  <w:vAlign w:val="center"/>
                </w:tcPr>
                <w:p>
                  <w:pPr>
                    <w:pStyle w:val="1164"/>
                    <w:snapToGrid w:val="0"/>
                    <w:spacing w:line="360" w:lineRule="auto"/>
                    <w:ind w:firstLine="0"/>
                    <w:jc w:val="center"/>
                    <w:rPr>
                      <w:sz w:val="21"/>
                      <w:szCs w:val="21"/>
                    </w:rPr>
                  </w:pPr>
                  <w:r>
                    <w:rPr>
                      <w:rFonts w:hint="eastAsia"/>
                      <w:sz w:val="21"/>
                      <w:szCs w:val="21"/>
                    </w:rPr>
                    <w:t>搅拌</w:t>
                  </w:r>
                </w:p>
              </w:tc>
              <w:tc>
                <w:tcPr>
                  <w:tcW w:w="2835" w:type="dxa"/>
                  <w:vAlign w:val="center"/>
                </w:tcPr>
                <w:p>
                  <w:pPr>
                    <w:pStyle w:val="1164"/>
                    <w:snapToGrid w:val="0"/>
                    <w:spacing w:line="360" w:lineRule="auto"/>
                    <w:ind w:firstLine="0"/>
                    <w:jc w:val="center"/>
                    <w:rPr>
                      <w:sz w:val="21"/>
                      <w:szCs w:val="21"/>
                    </w:rPr>
                  </w:pPr>
                  <w:r>
                    <w:rPr>
                      <w:rFonts w:hint="eastAsia"/>
                      <w:color w:val="000000"/>
                      <w:sz w:val="21"/>
                      <w:szCs w:val="21"/>
                    </w:rPr>
                    <w:t>搅拌机清洗废水</w:t>
                  </w:r>
                </w:p>
              </w:tc>
              <w:tc>
                <w:tcPr>
                  <w:tcW w:w="1775" w:type="dxa"/>
                  <w:vAlign w:val="center"/>
                </w:tcPr>
                <w:p>
                  <w:pPr>
                    <w:pStyle w:val="1164"/>
                    <w:snapToGrid w:val="0"/>
                    <w:spacing w:line="360" w:lineRule="auto"/>
                    <w:ind w:firstLine="0"/>
                    <w:jc w:val="center"/>
                    <w:rPr>
                      <w:sz w:val="21"/>
                      <w:szCs w:val="21"/>
                    </w:rPr>
                  </w:pPr>
                  <w:r>
                    <w:rPr>
                      <w:rFonts w:hint="eastAsia"/>
                      <w:sz w:val="21"/>
                      <w:szCs w:val="21"/>
                    </w:rPr>
                    <w:t>S</w:t>
                  </w:r>
                  <w:r>
                    <w:rPr>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 w:hRule="atLeast"/>
                <w:jc w:val="center"/>
              </w:trPr>
              <w:tc>
                <w:tcPr>
                  <w:tcW w:w="1073" w:type="dxa"/>
                  <w:vMerge w:val="continue"/>
                  <w:vAlign w:val="center"/>
                </w:tcPr>
                <w:p>
                  <w:pPr>
                    <w:pStyle w:val="1164"/>
                    <w:snapToGrid w:val="0"/>
                    <w:spacing w:line="360" w:lineRule="auto"/>
                    <w:ind w:firstLine="0"/>
                    <w:jc w:val="center"/>
                    <w:rPr>
                      <w:sz w:val="21"/>
                      <w:szCs w:val="21"/>
                    </w:rPr>
                  </w:pPr>
                </w:p>
              </w:tc>
              <w:tc>
                <w:tcPr>
                  <w:tcW w:w="850" w:type="dxa"/>
                  <w:vMerge w:val="continue"/>
                  <w:vAlign w:val="center"/>
                </w:tcPr>
                <w:p>
                  <w:pPr>
                    <w:pStyle w:val="1164"/>
                    <w:snapToGrid w:val="0"/>
                    <w:spacing w:line="360" w:lineRule="auto"/>
                    <w:ind w:firstLine="0"/>
                    <w:jc w:val="center"/>
                    <w:rPr>
                      <w:sz w:val="21"/>
                      <w:szCs w:val="21"/>
                    </w:rPr>
                  </w:pPr>
                </w:p>
              </w:tc>
              <w:tc>
                <w:tcPr>
                  <w:tcW w:w="1276" w:type="dxa"/>
                  <w:vAlign w:val="center"/>
                </w:tcPr>
                <w:p>
                  <w:pPr>
                    <w:pStyle w:val="1164"/>
                    <w:snapToGrid w:val="0"/>
                    <w:spacing w:line="360" w:lineRule="auto"/>
                    <w:ind w:firstLine="0"/>
                    <w:jc w:val="center"/>
                    <w:rPr>
                      <w:sz w:val="21"/>
                      <w:szCs w:val="21"/>
                    </w:rPr>
                  </w:pPr>
                  <w:r>
                    <w:rPr>
                      <w:rFonts w:hint="eastAsia"/>
                      <w:sz w:val="21"/>
                      <w:szCs w:val="21"/>
                    </w:rPr>
                    <w:t>实验</w:t>
                  </w:r>
                </w:p>
              </w:tc>
              <w:tc>
                <w:tcPr>
                  <w:tcW w:w="2835" w:type="dxa"/>
                  <w:vAlign w:val="center"/>
                </w:tcPr>
                <w:p>
                  <w:pPr>
                    <w:pStyle w:val="1164"/>
                    <w:snapToGrid w:val="0"/>
                    <w:spacing w:line="360" w:lineRule="auto"/>
                    <w:ind w:firstLine="0"/>
                    <w:jc w:val="center"/>
                    <w:rPr>
                      <w:sz w:val="21"/>
                      <w:szCs w:val="21"/>
                    </w:rPr>
                  </w:pPr>
                  <w:r>
                    <w:rPr>
                      <w:rFonts w:hint="eastAsia"/>
                      <w:color w:val="000000"/>
                      <w:sz w:val="21"/>
                      <w:szCs w:val="21"/>
                    </w:rPr>
                    <w:t>实验室废水</w:t>
                  </w:r>
                </w:p>
              </w:tc>
              <w:tc>
                <w:tcPr>
                  <w:tcW w:w="1775" w:type="dxa"/>
                  <w:vAlign w:val="center"/>
                </w:tcPr>
                <w:p>
                  <w:pPr>
                    <w:pStyle w:val="1164"/>
                    <w:snapToGrid w:val="0"/>
                    <w:spacing w:line="360" w:lineRule="auto"/>
                    <w:ind w:firstLine="0"/>
                    <w:jc w:val="center"/>
                    <w:rPr>
                      <w:sz w:val="21"/>
                      <w:szCs w:val="21"/>
                    </w:rPr>
                  </w:pPr>
                  <w:r>
                    <w:rPr>
                      <w:sz w:val="21"/>
                      <w:szCs w:val="21"/>
                    </w:rPr>
                    <w:t>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 w:hRule="atLeast"/>
                <w:jc w:val="center"/>
              </w:trPr>
              <w:tc>
                <w:tcPr>
                  <w:tcW w:w="1073" w:type="dxa"/>
                  <w:vMerge w:val="continue"/>
                  <w:vAlign w:val="center"/>
                </w:tcPr>
                <w:p>
                  <w:pPr>
                    <w:pStyle w:val="1164"/>
                    <w:snapToGrid w:val="0"/>
                    <w:spacing w:line="360" w:lineRule="auto"/>
                    <w:ind w:firstLine="0"/>
                    <w:jc w:val="center"/>
                    <w:rPr>
                      <w:sz w:val="21"/>
                      <w:szCs w:val="21"/>
                    </w:rPr>
                  </w:pPr>
                </w:p>
              </w:tc>
              <w:tc>
                <w:tcPr>
                  <w:tcW w:w="850" w:type="dxa"/>
                  <w:vMerge w:val="continue"/>
                  <w:vAlign w:val="center"/>
                </w:tcPr>
                <w:p>
                  <w:pPr>
                    <w:pStyle w:val="1164"/>
                    <w:snapToGrid w:val="0"/>
                    <w:spacing w:line="360" w:lineRule="auto"/>
                    <w:ind w:firstLine="0"/>
                    <w:jc w:val="center"/>
                    <w:rPr>
                      <w:sz w:val="21"/>
                      <w:szCs w:val="21"/>
                    </w:rPr>
                  </w:pPr>
                </w:p>
              </w:tc>
              <w:tc>
                <w:tcPr>
                  <w:tcW w:w="1276" w:type="dxa"/>
                  <w:vAlign w:val="center"/>
                </w:tcPr>
                <w:p>
                  <w:pPr>
                    <w:pStyle w:val="1164"/>
                    <w:snapToGrid w:val="0"/>
                    <w:spacing w:line="360" w:lineRule="auto"/>
                    <w:ind w:firstLine="0"/>
                    <w:jc w:val="center"/>
                    <w:rPr>
                      <w:sz w:val="21"/>
                      <w:szCs w:val="21"/>
                    </w:rPr>
                  </w:pPr>
                  <w:r>
                    <w:rPr>
                      <w:rFonts w:hint="eastAsia"/>
                      <w:sz w:val="21"/>
                      <w:szCs w:val="21"/>
                    </w:rPr>
                    <w:t>成品运输</w:t>
                  </w:r>
                </w:p>
              </w:tc>
              <w:tc>
                <w:tcPr>
                  <w:tcW w:w="2835" w:type="dxa"/>
                  <w:vAlign w:val="center"/>
                </w:tcPr>
                <w:p>
                  <w:pPr>
                    <w:pStyle w:val="1164"/>
                    <w:snapToGrid w:val="0"/>
                    <w:spacing w:line="360" w:lineRule="auto"/>
                    <w:ind w:firstLine="0"/>
                    <w:jc w:val="center"/>
                    <w:rPr>
                      <w:sz w:val="21"/>
                      <w:szCs w:val="21"/>
                    </w:rPr>
                  </w:pPr>
                  <w:r>
                    <w:rPr>
                      <w:rFonts w:hint="eastAsia"/>
                      <w:color w:val="000000"/>
                      <w:sz w:val="21"/>
                      <w:szCs w:val="21"/>
                    </w:rPr>
                    <w:t>混凝土运输车辆清洗废水</w:t>
                  </w:r>
                </w:p>
              </w:tc>
              <w:tc>
                <w:tcPr>
                  <w:tcW w:w="1775" w:type="dxa"/>
                  <w:vAlign w:val="center"/>
                </w:tcPr>
                <w:p>
                  <w:pPr>
                    <w:pStyle w:val="1164"/>
                    <w:snapToGrid w:val="0"/>
                    <w:spacing w:line="360" w:lineRule="auto"/>
                    <w:ind w:firstLine="0"/>
                    <w:jc w:val="center"/>
                    <w:rPr>
                      <w:sz w:val="21"/>
                      <w:szCs w:val="21"/>
                    </w:rPr>
                  </w:pPr>
                  <w:r>
                    <w:rPr>
                      <w:rFonts w:hint="eastAsia"/>
                      <w:sz w:val="21"/>
                      <w:szCs w:val="21"/>
                    </w:rPr>
                    <w:t>S</w:t>
                  </w:r>
                  <w:r>
                    <w:rPr>
                      <w:sz w:val="21"/>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jc w:val="center"/>
              </w:trPr>
              <w:tc>
                <w:tcPr>
                  <w:tcW w:w="1073" w:type="dxa"/>
                  <w:vMerge w:val="continue"/>
                  <w:vAlign w:val="center"/>
                </w:tcPr>
                <w:p>
                  <w:pPr>
                    <w:pStyle w:val="1164"/>
                    <w:snapToGrid w:val="0"/>
                    <w:spacing w:line="360" w:lineRule="auto"/>
                    <w:ind w:firstLine="0"/>
                    <w:jc w:val="center"/>
                    <w:rPr>
                      <w:sz w:val="21"/>
                      <w:szCs w:val="21"/>
                    </w:rPr>
                  </w:pPr>
                </w:p>
              </w:tc>
              <w:tc>
                <w:tcPr>
                  <w:tcW w:w="850" w:type="dxa"/>
                  <w:vMerge w:val="restart"/>
                  <w:vAlign w:val="center"/>
                </w:tcPr>
                <w:p>
                  <w:pPr>
                    <w:pStyle w:val="1164"/>
                    <w:snapToGrid w:val="0"/>
                    <w:spacing w:line="360" w:lineRule="auto"/>
                    <w:ind w:firstLine="0"/>
                    <w:jc w:val="center"/>
                    <w:rPr>
                      <w:sz w:val="21"/>
                      <w:szCs w:val="21"/>
                    </w:rPr>
                  </w:pPr>
                  <w:r>
                    <w:rPr>
                      <w:rFonts w:hint="eastAsia"/>
                      <w:sz w:val="21"/>
                      <w:szCs w:val="21"/>
                    </w:rPr>
                    <w:t>噪声</w:t>
                  </w:r>
                </w:p>
              </w:tc>
              <w:tc>
                <w:tcPr>
                  <w:tcW w:w="1276" w:type="dxa"/>
                  <w:vAlign w:val="center"/>
                </w:tcPr>
                <w:p>
                  <w:pPr>
                    <w:pStyle w:val="1164"/>
                    <w:snapToGrid w:val="0"/>
                    <w:spacing w:line="360" w:lineRule="auto"/>
                    <w:ind w:firstLine="0"/>
                    <w:jc w:val="center"/>
                    <w:rPr>
                      <w:sz w:val="21"/>
                      <w:szCs w:val="21"/>
                    </w:rPr>
                  </w:pPr>
                  <w:r>
                    <w:rPr>
                      <w:rFonts w:hint="eastAsia"/>
                      <w:sz w:val="21"/>
                      <w:szCs w:val="21"/>
                    </w:rPr>
                    <w:t>原料仓库</w:t>
                  </w:r>
                </w:p>
              </w:tc>
              <w:tc>
                <w:tcPr>
                  <w:tcW w:w="2835" w:type="dxa"/>
                  <w:vAlign w:val="center"/>
                </w:tcPr>
                <w:p>
                  <w:pPr>
                    <w:pStyle w:val="1164"/>
                    <w:snapToGrid w:val="0"/>
                    <w:spacing w:line="360" w:lineRule="auto"/>
                    <w:ind w:firstLine="0"/>
                    <w:jc w:val="center"/>
                    <w:rPr>
                      <w:sz w:val="21"/>
                      <w:szCs w:val="21"/>
                    </w:rPr>
                  </w:pPr>
                  <w:r>
                    <w:rPr>
                      <w:rFonts w:hint="eastAsia"/>
                      <w:color w:val="000000"/>
                      <w:sz w:val="21"/>
                      <w:szCs w:val="21"/>
                    </w:rPr>
                    <w:t>装载机噪声</w:t>
                  </w:r>
                </w:p>
              </w:tc>
              <w:tc>
                <w:tcPr>
                  <w:tcW w:w="1775" w:type="dxa"/>
                  <w:vAlign w:val="center"/>
                </w:tcPr>
                <w:p>
                  <w:pPr>
                    <w:pStyle w:val="1164"/>
                    <w:snapToGrid w:val="0"/>
                    <w:spacing w:line="360" w:lineRule="auto"/>
                    <w:ind w:firstLine="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jc w:val="center"/>
              </w:trPr>
              <w:tc>
                <w:tcPr>
                  <w:tcW w:w="1073" w:type="dxa"/>
                  <w:vMerge w:val="continue"/>
                  <w:vAlign w:val="center"/>
                </w:tcPr>
                <w:p>
                  <w:pPr>
                    <w:pStyle w:val="1164"/>
                    <w:snapToGrid w:val="0"/>
                    <w:spacing w:line="360" w:lineRule="auto"/>
                    <w:ind w:firstLine="0"/>
                    <w:jc w:val="center"/>
                    <w:rPr>
                      <w:sz w:val="21"/>
                      <w:szCs w:val="21"/>
                    </w:rPr>
                  </w:pPr>
                </w:p>
              </w:tc>
              <w:tc>
                <w:tcPr>
                  <w:tcW w:w="850" w:type="dxa"/>
                  <w:vMerge w:val="continue"/>
                  <w:vAlign w:val="center"/>
                </w:tcPr>
                <w:p>
                  <w:pPr>
                    <w:pStyle w:val="1164"/>
                    <w:snapToGrid w:val="0"/>
                    <w:spacing w:line="360" w:lineRule="auto"/>
                    <w:ind w:firstLine="0"/>
                    <w:jc w:val="center"/>
                    <w:rPr>
                      <w:sz w:val="21"/>
                      <w:szCs w:val="21"/>
                    </w:rPr>
                  </w:pPr>
                </w:p>
              </w:tc>
              <w:tc>
                <w:tcPr>
                  <w:tcW w:w="1276" w:type="dxa"/>
                  <w:vAlign w:val="center"/>
                </w:tcPr>
                <w:p>
                  <w:pPr>
                    <w:pStyle w:val="1164"/>
                    <w:snapToGrid w:val="0"/>
                    <w:spacing w:line="360" w:lineRule="auto"/>
                    <w:ind w:firstLine="0"/>
                    <w:jc w:val="center"/>
                    <w:rPr>
                      <w:sz w:val="21"/>
                      <w:szCs w:val="21"/>
                    </w:rPr>
                  </w:pPr>
                  <w:r>
                    <w:rPr>
                      <w:rFonts w:hint="eastAsia"/>
                      <w:sz w:val="21"/>
                      <w:szCs w:val="21"/>
                    </w:rPr>
                    <w:t>加料</w:t>
                  </w:r>
                </w:p>
              </w:tc>
              <w:tc>
                <w:tcPr>
                  <w:tcW w:w="2835" w:type="dxa"/>
                  <w:vAlign w:val="center"/>
                </w:tcPr>
                <w:p>
                  <w:pPr>
                    <w:pStyle w:val="1164"/>
                    <w:snapToGrid w:val="0"/>
                    <w:spacing w:line="360" w:lineRule="auto"/>
                    <w:ind w:firstLine="0"/>
                    <w:jc w:val="center"/>
                    <w:rPr>
                      <w:sz w:val="21"/>
                      <w:szCs w:val="21"/>
                    </w:rPr>
                  </w:pPr>
                  <w:r>
                    <w:rPr>
                      <w:rFonts w:hint="eastAsia"/>
                      <w:color w:val="000000"/>
                      <w:sz w:val="21"/>
                      <w:szCs w:val="21"/>
                    </w:rPr>
                    <w:t>物料传输装置噪声</w:t>
                  </w:r>
                </w:p>
              </w:tc>
              <w:tc>
                <w:tcPr>
                  <w:tcW w:w="1775" w:type="dxa"/>
                  <w:vAlign w:val="center"/>
                </w:tcPr>
                <w:p>
                  <w:pPr>
                    <w:pStyle w:val="1164"/>
                    <w:snapToGrid w:val="0"/>
                    <w:spacing w:line="360" w:lineRule="auto"/>
                    <w:ind w:firstLine="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jc w:val="center"/>
              </w:trPr>
              <w:tc>
                <w:tcPr>
                  <w:tcW w:w="1073" w:type="dxa"/>
                  <w:vMerge w:val="continue"/>
                  <w:vAlign w:val="center"/>
                </w:tcPr>
                <w:p>
                  <w:pPr>
                    <w:pStyle w:val="1164"/>
                    <w:snapToGrid w:val="0"/>
                    <w:spacing w:line="360" w:lineRule="auto"/>
                    <w:ind w:firstLine="0"/>
                    <w:jc w:val="center"/>
                    <w:rPr>
                      <w:sz w:val="21"/>
                      <w:szCs w:val="21"/>
                    </w:rPr>
                  </w:pPr>
                </w:p>
              </w:tc>
              <w:tc>
                <w:tcPr>
                  <w:tcW w:w="850" w:type="dxa"/>
                  <w:vMerge w:val="continue"/>
                  <w:vAlign w:val="center"/>
                </w:tcPr>
                <w:p>
                  <w:pPr>
                    <w:pStyle w:val="1164"/>
                    <w:snapToGrid w:val="0"/>
                    <w:spacing w:line="360" w:lineRule="auto"/>
                    <w:ind w:firstLine="0"/>
                    <w:jc w:val="center"/>
                    <w:rPr>
                      <w:sz w:val="21"/>
                      <w:szCs w:val="21"/>
                    </w:rPr>
                  </w:pPr>
                </w:p>
              </w:tc>
              <w:tc>
                <w:tcPr>
                  <w:tcW w:w="1276" w:type="dxa"/>
                  <w:vAlign w:val="center"/>
                </w:tcPr>
                <w:p>
                  <w:pPr>
                    <w:pStyle w:val="1164"/>
                    <w:snapToGrid w:val="0"/>
                    <w:spacing w:line="360" w:lineRule="auto"/>
                    <w:ind w:firstLine="0"/>
                    <w:jc w:val="center"/>
                    <w:rPr>
                      <w:sz w:val="21"/>
                      <w:szCs w:val="21"/>
                    </w:rPr>
                  </w:pPr>
                  <w:r>
                    <w:rPr>
                      <w:rFonts w:hint="eastAsia"/>
                      <w:sz w:val="21"/>
                      <w:szCs w:val="21"/>
                    </w:rPr>
                    <w:t>搅拌</w:t>
                  </w:r>
                </w:p>
              </w:tc>
              <w:tc>
                <w:tcPr>
                  <w:tcW w:w="2835" w:type="dxa"/>
                  <w:vAlign w:val="center"/>
                </w:tcPr>
                <w:p>
                  <w:pPr>
                    <w:pStyle w:val="1164"/>
                    <w:snapToGrid w:val="0"/>
                    <w:spacing w:line="360" w:lineRule="auto"/>
                    <w:ind w:firstLine="0"/>
                    <w:jc w:val="center"/>
                    <w:rPr>
                      <w:sz w:val="21"/>
                      <w:szCs w:val="21"/>
                    </w:rPr>
                  </w:pPr>
                  <w:r>
                    <w:rPr>
                      <w:rFonts w:hint="eastAsia"/>
                      <w:color w:val="000000"/>
                      <w:sz w:val="21"/>
                      <w:szCs w:val="21"/>
                    </w:rPr>
                    <w:t>搅拌设备噪声</w:t>
                  </w:r>
                </w:p>
              </w:tc>
              <w:tc>
                <w:tcPr>
                  <w:tcW w:w="1775" w:type="dxa"/>
                  <w:vAlign w:val="center"/>
                </w:tcPr>
                <w:p>
                  <w:pPr>
                    <w:pStyle w:val="1164"/>
                    <w:snapToGrid w:val="0"/>
                    <w:spacing w:line="360" w:lineRule="auto"/>
                    <w:ind w:firstLine="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jc w:val="center"/>
              </w:trPr>
              <w:tc>
                <w:tcPr>
                  <w:tcW w:w="1073" w:type="dxa"/>
                  <w:vMerge w:val="continue"/>
                  <w:vAlign w:val="center"/>
                </w:tcPr>
                <w:p>
                  <w:pPr>
                    <w:pStyle w:val="1164"/>
                    <w:snapToGrid w:val="0"/>
                    <w:spacing w:line="360" w:lineRule="auto"/>
                    <w:ind w:firstLine="0"/>
                    <w:jc w:val="center"/>
                    <w:rPr>
                      <w:sz w:val="21"/>
                      <w:szCs w:val="21"/>
                    </w:rPr>
                  </w:pPr>
                </w:p>
              </w:tc>
              <w:tc>
                <w:tcPr>
                  <w:tcW w:w="850" w:type="dxa"/>
                  <w:vMerge w:val="continue"/>
                  <w:vAlign w:val="center"/>
                </w:tcPr>
                <w:p>
                  <w:pPr>
                    <w:pStyle w:val="1164"/>
                    <w:snapToGrid w:val="0"/>
                    <w:spacing w:line="360" w:lineRule="auto"/>
                    <w:ind w:firstLine="0"/>
                    <w:jc w:val="center"/>
                    <w:rPr>
                      <w:sz w:val="21"/>
                      <w:szCs w:val="21"/>
                    </w:rPr>
                  </w:pPr>
                </w:p>
              </w:tc>
              <w:tc>
                <w:tcPr>
                  <w:tcW w:w="1276" w:type="dxa"/>
                  <w:vAlign w:val="center"/>
                </w:tcPr>
                <w:p>
                  <w:pPr>
                    <w:pStyle w:val="1164"/>
                    <w:snapToGrid w:val="0"/>
                    <w:spacing w:line="360" w:lineRule="auto"/>
                    <w:ind w:firstLine="0"/>
                    <w:jc w:val="center"/>
                    <w:rPr>
                      <w:sz w:val="21"/>
                      <w:szCs w:val="21"/>
                    </w:rPr>
                  </w:pPr>
                  <w:r>
                    <w:rPr>
                      <w:rFonts w:hint="eastAsia"/>
                      <w:sz w:val="21"/>
                      <w:szCs w:val="21"/>
                    </w:rPr>
                    <w:t>运输</w:t>
                  </w:r>
                </w:p>
              </w:tc>
              <w:tc>
                <w:tcPr>
                  <w:tcW w:w="2835" w:type="dxa"/>
                  <w:vAlign w:val="center"/>
                </w:tcPr>
                <w:p>
                  <w:pPr>
                    <w:pStyle w:val="1164"/>
                    <w:snapToGrid w:val="0"/>
                    <w:spacing w:line="360" w:lineRule="auto"/>
                    <w:ind w:firstLine="0"/>
                    <w:jc w:val="center"/>
                    <w:rPr>
                      <w:sz w:val="21"/>
                      <w:szCs w:val="21"/>
                    </w:rPr>
                  </w:pPr>
                  <w:r>
                    <w:rPr>
                      <w:rFonts w:hint="eastAsia"/>
                      <w:sz w:val="21"/>
                      <w:szCs w:val="21"/>
                    </w:rPr>
                    <w:t>运输车辆噪声</w:t>
                  </w:r>
                </w:p>
              </w:tc>
              <w:tc>
                <w:tcPr>
                  <w:tcW w:w="1775" w:type="dxa"/>
                  <w:vAlign w:val="center"/>
                </w:tcPr>
                <w:p>
                  <w:pPr>
                    <w:pStyle w:val="1164"/>
                    <w:snapToGrid w:val="0"/>
                    <w:spacing w:line="360" w:lineRule="auto"/>
                    <w:ind w:firstLine="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jc w:val="center"/>
              </w:trPr>
              <w:tc>
                <w:tcPr>
                  <w:tcW w:w="1073" w:type="dxa"/>
                  <w:vMerge w:val="continue"/>
                  <w:vAlign w:val="center"/>
                </w:tcPr>
                <w:p>
                  <w:pPr>
                    <w:pStyle w:val="1164"/>
                    <w:snapToGrid w:val="0"/>
                    <w:spacing w:line="360" w:lineRule="auto"/>
                    <w:ind w:firstLine="0"/>
                    <w:jc w:val="center"/>
                    <w:rPr>
                      <w:sz w:val="21"/>
                      <w:szCs w:val="21"/>
                    </w:rPr>
                  </w:pPr>
                </w:p>
              </w:tc>
              <w:tc>
                <w:tcPr>
                  <w:tcW w:w="850" w:type="dxa"/>
                  <w:vMerge w:val="restart"/>
                  <w:vAlign w:val="center"/>
                </w:tcPr>
                <w:p>
                  <w:pPr>
                    <w:pStyle w:val="1164"/>
                    <w:snapToGrid w:val="0"/>
                    <w:spacing w:line="360" w:lineRule="auto"/>
                    <w:ind w:firstLine="0"/>
                    <w:jc w:val="center"/>
                    <w:rPr>
                      <w:sz w:val="21"/>
                      <w:szCs w:val="21"/>
                    </w:rPr>
                  </w:pPr>
                  <w:r>
                    <w:rPr>
                      <w:rFonts w:hint="eastAsia"/>
                      <w:sz w:val="21"/>
                      <w:szCs w:val="21"/>
                    </w:rPr>
                    <w:t>固废</w:t>
                  </w:r>
                </w:p>
              </w:tc>
              <w:tc>
                <w:tcPr>
                  <w:tcW w:w="1276" w:type="dxa"/>
                </w:tcPr>
                <w:p>
                  <w:pPr>
                    <w:pStyle w:val="1164"/>
                    <w:snapToGrid w:val="0"/>
                    <w:spacing w:line="360" w:lineRule="auto"/>
                    <w:ind w:firstLine="0"/>
                    <w:jc w:val="center"/>
                    <w:rPr>
                      <w:sz w:val="21"/>
                      <w:szCs w:val="21"/>
                    </w:rPr>
                  </w:pPr>
                  <w:r>
                    <w:rPr>
                      <w:rFonts w:hint="eastAsia"/>
                    </w:rPr>
                    <w:t>加料</w:t>
                  </w:r>
                </w:p>
              </w:tc>
              <w:tc>
                <w:tcPr>
                  <w:tcW w:w="2835" w:type="dxa"/>
                  <w:vAlign w:val="center"/>
                </w:tcPr>
                <w:p>
                  <w:pPr>
                    <w:pStyle w:val="1164"/>
                    <w:snapToGrid w:val="0"/>
                    <w:spacing w:line="360" w:lineRule="auto"/>
                    <w:ind w:firstLine="0"/>
                    <w:jc w:val="center"/>
                    <w:rPr>
                      <w:sz w:val="21"/>
                      <w:szCs w:val="21"/>
                    </w:rPr>
                  </w:pPr>
                  <w:r>
                    <w:rPr>
                      <w:rFonts w:hint="eastAsia"/>
                      <w:color w:val="000000"/>
                      <w:sz w:val="21"/>
                      <w:szCs w:val="21"/>
                    </w:rPr>
                    <w:t>除尘器收集的粉尘</w:t>
                  </w:r>
                </w:p>
              </w:tc>
              <w:tc>
                <w:tcPr>
                  <w:tcW w:w="1775" w:type="dxa"/>
                  <w:vAlign w:val="center"/>
                </w:tcPr>
                <w:p>
                  <w:pPr>
                    <w:pStyle w:val="1164"/>
                    <w:snapToGrid w:val="0"/>
                    <w:spacing w:line="360" w:lineRule="auto"/>
                    <w:ind w:firstLine="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jc w:val="center"/>
              </w:trPr>
              <w:tc>
                <w:tcPr>
                  <w:tcW w:w="1073" w:type="dxa"/>
                  <w:vMerge w:val="continue"/>
                  <w:vAlign w:val="center"/>
                </w:tcPr>
                <w:p>
                  <w:pPr>
                    <w:pStyle w:val="1164"/>
                    <w:snapToGrid w:val="0"/>
                    <w:spacing w:line="360" w:lineRule="auto"/>
                    <w:ind w:firstLine="0"/>
                    <w:jc w:val="center"/>
                    <w:rPr>
                      <w:sz w:val="21"/>
                      <w:szCs w:val="21"/>
                    </w:rPr>
                  </w:pPr>
                </w:p>
              </w:tc>
              <w:tc>
                <w:tcPr>
                  <w:tcW w:w="850" w:type="dxa"/>
                  <w:vMerge w:val="continue"/>
                  <w:vAlign w:val="center"/>
                </w:tcPr>
                <w:p>
                  <w:pPr>
                    <w:pStyle w:val="1164"/>
                    <w:snapToGrid w:val="0"/>
                    <w:spacing w:line="360" w:lineRule="auto"/>
                    <w:ind w:firstLine="0"/>
                    <w:jc w:val="center"/>
                    <w:rPr>
                      <w:sz w:val="21"/>
                      <w:szCs w:val="21"/>
                    </w:rPr>
                  </w:pPr>
                </w:p>
              </w:tc>
              <w:tc>
                <w:tcPr>
                  <w:tcW w:w="1276" w:type="dxa"/>
                </w:tcPr>
                <w:p>
                  <w:pPr>
                    <w:pStyle w:val="1164"/>
                    <w:snapToGrid w:val="0"/>
                    <w:spacing w:line="360" w:lineRule="auto"/>
                    <w:ind w:firstLine="0"/>
                    <w:jc w:val="center"/>
                    <w:rPr>
                      <w:sz w:val="21"/>
                      <w:szCs w:val="21"/>
                    </w:rPr>
                  </w:pPr>
                  <w:r>
                    <w:rPr>
                      <w:rFonts w:hint="eastAsia"/>
                    </w:rPr>
                    <w:t>罐车、搅拌车清洗</w:t>
                  </w:r>
                </w:p>
              </w:tc>
              <w:tc>
                <w:tcPr>
                  <w:tcW w:w="2835" w:type="dxa"/>
                  <w:vAlign w:val="center"/>
                </w:tcPr>
                <w:p>
                  <w:pPr>
                    <w:pStyle w:val="1164"/>
                    <w:snapToGrid w:val="0"/>
                    <w:spacing w:line="360" w:lineRule="auto"/>
                    <w:ind w:firstLine="0"/>
                    <w:jc w:val="center"/>
                    <w:rPr>
                      <w:sz w:val="21"/>
                      <w:szCs w:val="21"/>
                    </w:rPr>
                  </w:pPr>
                  <w:r>
                    <w:rPr>
                      <w:rFonts w:hint="eastAsia"/>
                      <w:sz w:val="21"/>
                      <w:szCs w:val="21"/>
                    </w:rPr>
                    <w:t>运输罐车及搅拌机内残留混凝土</w:t>
                  </w:r>
                </w:p>
              </w:tc>
              <w:tc>
                <w:tcPr>
                  <w:tcW w:w="1775" w:type="dxa"/>
                  <w:vAlign w:val="center"/>
                </w:tcPr>
                <w:p>
                  <w:pPr>
                    <w:pStyle w:val="1164"/>
                    <w:snapToGrid w:val="0"/>
                    <w:spacing w:line="360" w:lineRule="auto"/>
                    <w:ind w:firstLine="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jc w:val="center"/>
              </w:trPr>
              <w:tc>
                <w:tcPr>
                  <w:tcW w:w="1073" w:type="dxa"/>
                  <w:vMerge w:val="continue"/>
                  <w:vAlign w:val="center"/>
                </w:tcPr>
                <w:p>
                  <w:pPr>
                    <w:pStyle w:val="1164"/>
                    <w:snapToGrid w:val="0"/>
                    <w:spacing w:line="360" w:lineRule="auto"/>
                    <w:ind w:firstLine="0"/>
                    <w:jc w:val="center"/>
                    <w:rPr>
                      <w:sz w:val="21"/>
                      <w:szCs w:val="21"/>
                    </w:rPr>
                  </w:pPr>
                </w:p>
              </w:tc>
              <w:tc>
                <w:tcPr>
                  <w:tcW w:w="850" w:type="dxa"/>
                  <w:vMerge w:val="continue"/>
                  <w:vAlign w:val="center"/>
                </w:tcPr>
                <w:p>
                  <w:pPr>
                    <w:pStyle w:val="1164"/>
                    <w:snapToGrid w:val="0"/>
                    <w:spacing w:line="360" w:lineRule="auto"/>
                    <w:ind w:firstLine="0"/>
                    <w:jc w:val="center"/>
                    <w:rPr>
                      <w:sz w:val="21"/>
                      <w:szCs w:val="21"/>
                    </w:rPr>
                  </w:pPr>
                </w:p>
              </w:tc>
              <w:tc>
                <w:tcPr>
                  <w:tcW w:w="1276" w:type="dxa"/>
                  <w:vAlign w:val="center"/>
                </w:tcPr>
                <w:p>
                  <w:pPr>
                    <w:pStyle w:val="1164"/>
                    <w:snapToGrid w:val="0"/>
                    <w:spacing w:line="360" w:lineRule="auto"/>
                    <w:ind w:firstLine="0"/>
                    <w:jc w:val="center"/>
                    <w:rPr>
                      <w:sz w:val="21"/>
                      <w:szCs w:val="21"/>
                    </w:rPr>
                  </w:pPr>
                  <w:r>
                    <w:rPr>
                      <w:rFonts w:hint="eastAsia"/>
                      <w:sz w:val="21"/>
                      <w:szCs w:val="21"/>
                    </w:rPr>
                    <w:t>实验室</w:t>
                  </w:r>
                </w:p>
              </w:tc>
              <w:tc>
                <w:tcPr>
                  <w:tcW w:w="2835" w:type="dxa"/>
                  <w:vAlign w:val="center"/>
                </w:tcPr>
                <w:p>
                  <w:pPr>
                    <w:pStyle w:val="1164"/>
                    <w:snapToGrid w:val="0"/>
                    <w:spacing w:line="360" w:lineRule="auto"/>
                    <w:ind w:firstLine="0"/>
                    <w:jc w:val="center"/>
                    <w:rPr>
                      <w:sz w:val="21"/>
                      <w:szCs w:val="21"/>
                    </w:rPr>
                  </w:pPr>
                  <w:r>
                    <w:rPr>
                      <w:rFonts w:hint="eastAsia"/>
                      <w:color w:val="000000"/>
                      <w:sz w:val="21"/>
                      <w:szCs w:val="21"/>
                    </w:rPr>
                    <w:t>实验室废混凝土</w:t>
                  </w:r>
                </w:p>
              </w:tc>
              <w:tc>
                <w:tcPr>
                  <w:tcW w:w="1775" w:type="dxa"/>
                  <w:vAlign w:val="center"/>
                </w:tcPr>
                <w:p>
                  <w:pPr>
                    <w:pStyle w:val="1164"/>
                    <w:snapToGrid w:val="0"/>
                    <w:spacing w:line="360" w:lineRule="auto"/>
                    <w:ind w:firstLine="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jc w:val="center"/>
              </w:trPr>
              <w:tc>
                <w:tcPr>
                  <w:tcW w:w="1073" w:type="dxa"/>
                  <w:vMerge w:val="continue"/>
                  <w:vAlign w:val="center"/>
                </w:tcPr>
                <w:p>
                  <w:pPr>
                    <w:pStyle w:val="1164"/>
                    <w:snapToGrid w:val="0"/>
                    <w:spacing w:line="360" w:lineRule="auto"/>
                    <w:ind w:firstLine="0"/>
                    <w:jc w:val="center"/>
                    <w:rPr>
                      <w:sz w:val="21"/>
                      <w:szCs w:val="21"/>
                    </w:rPr>
                  </w:pPr>
                </w:p>
              </w:tc>
              <w:tc>
                <w:tcPr>
                  <w:tcW w:w="850" w:type="dxa"/>
                  <w:vMerge w:val="continue"/>
                  <w:vAlign w:val="center"/>
                </w:tcPr>
                <w:p>
                  <w:pPr>
                    <w:pStyle w:val="1164"/>
                    <w:snapToGrid w:val="0"/>
                    <w:spacing w:line="360" w:lineRule="auto"/>
                    <w:ind w:firstLine="0"/>
                    <w:jc w:val="center"/>
                    <w:rPr>
                      <w:sz w:val="21"/>
                      <w:szCs w:val="21"/>
                    </w:rPr>
                  </w:pPr>
                </w:p>
              </w:tc>
              <w:tc>
                <w:tcPr>
                  <w:tcW w:w="1276" w:type="dxa"/>
                  <w:vAlign w:val="center"/>
                </w:tcPr>
                <w:p>
                  <w:pPr>
                    <w:pStyle w:val="1164"/>
                    <w:snapToGrid w:val="0"/>
                    <w:spacing w:line="360" w:lineRule="auto"/>
                    <w:ind w:firstLine="0"/>
                    <w:jc w:val="center"/>
                    <w:rPr>
                      <w:sz w:val="21"/>
                      <w:szCs w:val="21"/>
                    </w:rPr>
                  </w:pPr>
                  <w:r>
                    <w:rPr>
                      <w:rFonts w:hint="eastAsia"/>
                      <w:sz w:val="21"/>
                      <w:szCs w:val="21"/>
                    </w:rPr>
                    <w:t>废水处理</w:t>
                  </w:r>
                </w:p>
              </w:tc>
              <w:tc>
                <w:tcPr>
                  <w:tcW w:w="2835" w:type="dxa"/>
                  <w:vAlign w:val="center"/>
                </w:tcPr>
                <w:p>
                  <w:pPr>
                    <w:pStyle w:val="1164"/>
                    <w:snapToGrid w:val="0"/>
                    <w:spacing w:line="360" w:lineRule="auto"/>
                    <w:ind w:firstLine="0"/>
                    <w:jc w:val="center"/>
                    <w:rPr>
                      <w:sz w:val="21"/>
                      <w:szCs w:val="21"/>
                    </w:rPr>
                  </w:pPr>
                  <w:r>
                    <w:rPr>
                      <w:rFonts w:hint="eastAsia"/>
                      <w:color w:val="000000"/>
                      <w:sz w:val="21"/>
                      <w:szCs w:val="21"/>
                    </w:rPr>
                    <w:t>沉淀池沉淀渣</w:t>
                  </w:r>
                </w:p>
              </w:tc>
              <w:tc>
                <w:tcPr>
                  <w:tcW w:w="1775" w:type="dxa"/>
                  <w:vAlign w:val="center"/>
                </w:tcPr>
                <w:p>
                  <w:pPr>
                    <w:pStyle w:val="1164"/>
                    <w:snapToGrid w:val="0"/>
                    <w:spacing w:line="360" w:lineRule="auto"/>
                    <w:ind w:firstLine="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jc w:val="center"/>
              </w:trPr>
              <w:tc>
                <w:tcPr>
                  <w:tcW w:w="1073" w:type="dxa"/>
                  <w:vMerge w:val="continue"/>
                  <w:vAlign w:val="center"/>
                </w:tcPr>
                <w:p>
                  <w:pPr>
                    <w:pStyle w:val="1164"/>
                    <w:snapToGrid w:val="0"/>
                    <w:spacing w:line="360" w:lineRule="auto"/>
                    <w:ind w:firstLine="0"/>
                    <w:jc w:val="center"/>
                    <w:rPr>
                      <w:sz w:val="21"/>
                      <w:szCs w:val="21"/>
                    </w:rPr>
                  </w:pPr>
                </w:p>
              </w:tc>
              <w:tc>
                <w:tcPr>
                  <w:tcW w:w="850" w:type="dxa"/>
                  <w:vMerge w:val="continue"/>
                  <w:vAlign w:val="center"/>
                </w:tcPr>
                <w:p>
                  <w:pPr>
                    <w:pStyle w:val="1164"/>
                    <w:snapToGrid w:val="0"/>
                    <w:spacing w:line="360" w:lineRule="auto"/>
                    <w:ind w:firstLine="0"/>
                    <w:jc w:val="center"/>
                    <w:rPr>
                      <w:sz w:val="21"/>
                      <w:szCs w:val="21"/>
                    </w:rPr>
                  </w:pPr>
                </w:p>
              </w:tc>
              <w:tc>
                <w:tcPr>
                  <w:tcW w:w="1276" w:type="dxa"/>
                  <w:vAlign w:val="center"/>
                </w:tcPr>
                <w:p>
                  <w:pPr>
                    <w:pStyle w:val="1164"/>
                    <w:snapToGrid w:val="0"/>
                    <w:spacing w:line="360" w:lineRule="auto"/>
                    <w:ind w:firstLine="0"/>
                    <w:jc w:val="center"/>
                    <w:rPr>
                      <w:sz w:val="21"/>
                      <w:szCs w:val="21"/>
                    </w:rPr>
                  </w:pPr>
                  <w:r>
                    <w:rPr>
                      <w:rFonts w:hint="eastAsia"/>
                      <w:sz w:val="21"/>
                      <w:szCs w:val="21"/>
                    </w:rPr>
                    <w:t>机修车间</w:t>
                  </w:r>
                </w:p>
              </w:tc>
              <w:tc>
                <w:tcPr>
                  <w:tcW w:w="2835" w:type="dxa"/>
                  <w:vAlign w:val="center"/>
                </w:tcPr>
                <w:p>
                  <w:pPr>
                    <w:pStyle w:val="1164"/>
                    <w:snapToGrid w:val="0"/>
                    <w:spacing w:line="360" w:lineRule="auto"/>
                    <w:ind w:firstLine="0"/>
                    <w:jc w:val="center"/>
                    <w:rPr>
                      <w:sz w:val="21"/>
                      <w:szCs w:val="21"/>
                    </w:rPr>
                  </w:pPr>
                  <w:r>
                    <w:rPr>
                      <w:rFonts w:hint="eastAsia"/>
                      <w:color w:val="000000"/>
                      <w:sz w:val="21"/>
                      <w:szCs w:val="21"/>
                    </w:rPr>
                    <w:t>机修废物</w:t>
                  </w:r>
                </w:p>
              </w:tc>
              <w:tc>
                <w:tcPr>
                  <w:tcW w:w="1775" w:type="dxa"/>
                  <w:vAlign w:val="center"/>
                </w:tcPr>
                <w:p>
                  <w:pPr>
                    <w:pStyle w:val="1164"/>
                    <w:snapToGrid w:val="0"/>
                    <w:spacing w:line="360" w:lineRule="auto"/>
                    <w:ind w:firstLine="0"/>
                    <w:jc w:val="center"/>
                    <w:rPr>
                      <w:sz w:val="21"/>
                      <w:szCs w:val="21"/>
                    </w:rPr>
                  </w:pPr>
                  <w:r>
                    <w:rPr>
                      <w:rFonts w:hint="eastAsia"/>
                      <w:sz w:val="21"/>
                      <w:szCs w:val="21"/>
                    </w:rPr>
                    <w:t>/</w:t>
                  </w:r>
                </w:p>
              </w:tc>
            </w:tr>
          </w:tbl>
          <w:p>
            <w:pPr>
              <w:pStyle w:val="1164"/>
              <w:snapToGrid w:val="0"/>
              <w:spacing w:line="360" w:lineRule="auto"/>
              <w:ind w:firstLine="0"/>
              <w:rPr>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pPr>
              <w:spacing w:line="360" w:lineRule="auto"/>
              <w:jc w:val="center"/>
              <w:rPr>
                <w:sz w:val="24"/>
              </w:rPr>
            </w:pPr>
            <w:r>
              <w:rPr>
                <w:rFonts w:hint="eastAsia"/>
                <w:sz w:val="24"/>
              </w:rPr>
              <w:t>与项目有关的原有环境污染问题</w:t>
            </w:r>
          </w:p>
        </w:tc>
        <w:tc>
          <w:tcPr>
            <w:tcW w:w="0" w:type="auto"/>
          </w:tcPr>
          <w:p>
            <w:pPr>
              <w:spacing w:line="360" w:lineRule="auto"/>
              <w:ind w:firstLine="480" w:firstLineChars="200"/>
              <w:rPr>
                <w:b/>
                <w:bCs/>
                <w:sz w:val="24"/>
              </w:rPr>
            </w:pPr>
            <w:r>
              <w:rPr>
                <w:rFonts w:hint="eastAsia"/>
                <w:color w:val="000000"/>
                <w:sz w:val="24"/>
                <w:szCs w:val="21"/>
              </w:rPr>
              <w:t>项目位于云南省昆明市东川区拖布卡镇格勒村，地处农村区域，附近只有8户格勒村散户（项目东侧），选址地方均为临时用地，项目临时用地合同见附件5，项目属于新建项目，不存在</w:t>
            </w:r>
            <w:r>
              <w:rPr>
                <w:rFonts w:hint="eastAsia"/>
                <w:sz w:val="24"/>
              </w:rPr>
              <w:t>原有环境污染问题。</w:t>
            </w:r>
          </w:p>
          <w:p>
            <w:pPr>
              <w:spacing w:line="360" w:lineRule="auto"/>
              <w:ind w:firstLine="480" w:firstLineChars="200"/>
              <w:rPr>
                <w:b/>
                <w:bCs/>
                <w:sz w:val="24"/>
              </w:rPr>
            </w:pPr>
            <w:r>
              <w:rPr>
                <w:rFonts w:hint="eastAsia"/>
                <w:color w:val="000000"/>
                <w:sz w:val="24"/>
                <w:szCs w:val="21"/>
              </w:rPr>
              <w:t>项目搅拌站于2021年4月建成并投产，已受到昆明市生态环境局责令改正，要求建设单位补齐环保手续，详见附件8。</w:t>
            </w:r>
          </w:p>
        </w:tc>
      </w:tr>
    </w:tbl>
    <w:p>
      <w:pPr>
        <w:rPr>
          <w:b/>
          <w:bCs/>
          <w:sz w:val="30"/>
          <w:szCs w:val="30"/>
        </w:rPr>
        <w:sectPr>
          <w:pgSz w:w="11906" w:h="16838"/>
          <w:pgMar w:top="1440" w:right="1800" w:bottom="1440" w:left="1800" w:header="851" w:footer="992" w:gutter="0"/>
          <w:cols w:space="425" w:num="1"/>
          <w:docGrid w:type="lines" w:linePitch="312" w:charSpace="0"/>
        </w:sectPr>
      </w:pPr>
    </w:p>
    <w:p>
      <w:pPr>
        <w:jc w:val="center"/>
        <w:outlineLvl w:val="0"/>
        <w:rPr>
          <w:b/>
          <w:bCs/>
          <w:sz w:val="30"/>
          <w:szCs w:val="30"/>
        </w:rPr>
      </w:pPr>
      <w:bookmarkStart w:id="30" w:name="_Toc11914"/>
      <w:r>
        <w:rPr>
          <w:rFonts w:hint="eastAsia"/>
          <w:b/>
          <w:bCs/>
          <w:sz w:val="30"/>
          <w:szCs w:val="30"/>
        </w:rPr>
        <w:t>三、区域环境质量现状、环境保护目标及评价标准</w:t>
      </w:r>
      <w:bookmarkEnd w:id="30"/>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8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jc w:val="center"/>
              <w:rPr>
                <w:sz w:val="24"/>
              </w:rPr>
            </w:pPr>
            <w:r>
              <w:rPr>
                <w:rFonts w:hint="eastAsia"/>
                <w:sz w:val="24"/>
              </w:rPr>
              <w:t>区域环境质量现状</w:t>
            </w:r>
          </w:p>
        </w:tc>
        <w:tc>
          <w:tcPr>
            <w:tcW w:w="10148" w:type="dxa"/>
          </w:tcPr>
          <w:p>
            <w:pPr>
              <w:spacing w:line="360" w:lineRule="auto"/>
              <w:rPr>
                <w:b/>
                <w:bCs/>
                <w:sz w:val="24"/>
              </w:rPr>
            </w:pPr>
            <w:r>
              <w:rPr>
                <w:rFonts w:hint="eastAsia"/>
                <w:b/>
                <w:bCs/>
                <w:sz w:val="24"/>
              </w:rPr>
              <w:t>1、环境空气质量现状</w:t>
            </w:r>
          </w:p>
          <w:p>
            <w:pPr>
              <w:spacing w:line="360" w:lineRule="auto"/>
              <w:ind w:firstLine="480" w:firstLineChars="200"/>
              <w:rPr>
                <w:sz w:val="24"/>
              </w:rPr>
            </w:pPr>
            <w:r>
              <w:rPr>
                <w:rFonts w:hint="eastAsia"/>
                <w:sz w:val="24"/>
              </w:rPr>
              <w:t>本项目位于云南省昆明市东川区拖布卡镇格勒村，根据《环境空气质量标准》（G</w:t>
            </w:r>
            <w:r>
              <w:rPr>
                <w:sz w:val="24"/>
              </w:rPr>
              <w:t>B3095-2012</w:t>
            </w:r>
            <w:r>
              <w:rPr>
                <w:rFonts w:hint="eastAsia"/>
                <w:sz w:val="24"/>
              </w:rPr>
              <w:t>），项目区域环境空气功能为二类标准，执行《环境空气质量标准》（G</w:t>
            </w:r>
            <w:r>
              <w:rPr>
                <w:sz w:val="24"/>
              </w:rPr>
              <w:t>B3095</w:t>
            </w:r>
            <w:r>
              <w:rPr>
                <w:rFonts w:hint="eastAsia"/>
                <w:sz w:val="24"/>
              </w:rPr>
              <w:t>-</w:t>
            </w:r>
            <w:r>
              <w:rPr>
                <w:sz w:val="24"/>
              </w:rPr>
              <w:t>2012</w:t>
            </w:r>
            <w:r>
              <w:rPr>
                <w:rFonts w:hint="eastAsia"/>
                <w:sz w:val="24"/>
              </w:rPr>
              <w:t>）二级标准，详见表3-</w:t>
            </w:r>
            <w:r>
              <w:rPr>
                <w:sz w:val="24"/>
              </w:rPr>
              <w:t>1</w:t>
            </w:r>
            <w:r>
              <w:rPr>
                <w:rFonts w:hint="eastAsia"/>
                <w:sz w:val="24"/>
              </w:rPr>
              <w:t>。</w:t>
            </w:r>
          </w:p>
          <w:p>
            <w:pPr>
              <w:spacing w:line="360" w:lineRule="auto"/>
              <w:jc w:val="center"/>
              <w:rPr>
                <w:b/>
                <w:bCs/>
                <w:szCs w:val="21"/>
              </w:rPr>
            </w:pPr>
            <w:r>
              <w:rPr>
                <w:rFonts w:hint="eastAsia"/>
                <w:b/>
                <w:bCs/>
                <w:szCs w:val="21"/>
              </w:rPr>
              <w:t>表3-</w:t>
            </w:r>
            <w:r>
              <w:rPr>
                <w:b/>
                <w:bCs/>
                <w:szCs w:val="21"/>
              </w:rPr>
              <w:t xml:space="preserve">1  </w:t>
            </w:r>
            <w:r>
              <w:rPr>
                <w:rFonts w:hint="eastAsia"/>
                <w:b/>
                <w:bCs/>
                <w:szCs w:val="21"/>
              </w:rPr>
              <w:t xml:space="preserve">环境空气质量标准 </w:t>
            </w:r>
            <w:r>
              <w:rPr>
                <w:b/>
                <w:bCs/>
                <w:szCs w:val="21"/>
              </w:rPr>
              <w:t xml:space="preserve"> </w:t>
            </w:r>
            <w:r>
              <w:rPr>
                <w:rFonts w:hint="eastAsia"/>
                <w:b/>
                <w:bCs/>
                <w:szCs w:val="21"/>
              </w:rPr>
              <w:t>单位：ug</w:t>
            </w:r>
            <w:r>
              <w:rPr>
                <w:b/>
                <w:bCs/>
                <w:szCs w:val="21"/>
              </w:rPr>
              <w:t>/</w:t>
            </w:r>
            <w:r>
              <w:rPr>
                <w:rFonts w:hint="eastAsia"/>
                <w:b/>
                <w:bCs/>
                <w:szCs w:val="21"/>
              </w:rPr>
              <w:t>m³</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2"/>
              <w:gridCol w:w="2491"/>
              <w:gridCol w:w="3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Align w:val="center"/>
                </w:tcPr>
                <w:p>
                  <w:pPr>
                    <w:jc w:val="center"/>
                    <w:rPr>
                      <w:szCs w:val="21"/>
                    </w:rPr>
                  </w:pPr>
                  <w:r>
                    <w:rPr>
                      <w:szCs w:val="21"/>
                    </w:rPr>
                    <w:t>污染物名称</w:t>
                  </w:r>
                </w:p>
              </w:tc>
              <w:tc>
                <w:tcPr>
                  <w:tcW w:w="1594" w:type="pct"/>
                  <w:vAlign w:val="center"/>
                </w:tcPr>
                <w:p>
                  <w:pPr>
                    <w:jc w:val="center"/>
                    <w:rPr>
                      <w:szCs w:val="21"/>
                    </w:rPr>
                  </w:pPr>
                  <w:r>
                    <w:rPr>
                      <w:szCs w:val="21"/>
                    </w:rPr>
                    <w:t>取值时间</w:t>
                  </w:r>
                </w:p>
              </w:tc>
              <w:tc>
                <w:tcPr>
                  <w:tcW w:w="1990" w:type="pct"/>
                  <w:vAlign w:val="center"/>
                </w:tcPr>
                <w:p>
                  <w:pPr>
                    <w:jc w:val="center"/>
                    <w:rPr>
                      <w:szCs w:val="21"/>
                    </w:rPr>
                  </w:pPr>
                  <w:r>
                    <w:rPr>
                      <w:szCs w:val="21"/>
                    </w:rPr>
                    <w:t>二级标准浓度限值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6" w:type="pct"/>
                  <w:vMerge w:val="restart"/>
                  <w:vAlign w:val="center"/>
                </w:tcPr>
                <w:p>
                  <w:pPr>
                    <w:jc w:val="center"/>
                    <w:rPr>
                      <w:szCs w:val="21"/>
                    </w:rPr>
                  </w:pPr>
                  <w:r>
                    <w:rPr>
                      <w:szCs w:val="21"/>
                    </w:rPr>
                    <w:t>总悬浮颗粒物（TSP）</w:t>
                  </w:r>
                </w:p>
              </w:tc>
              <w:tc>
                <w:tcPr>
                  <w:tcW w:w="1594" w:type="pct"/>
                  <w:vAlign w:val="center"/>
                </w:tcPr>
                <w:p>
                  <w:pPr>
                    <w:jc w:val="center"/>
                    <w:rPr>
                      <w:szCs w:val="21"/>
                    </w:rPr>
                  </w:pPr>
                  <w:r>
                    <w:rPr>
                      <w:szCs w:val="21"/>
                    </w:rPr>
                    <w:t>年平均</w:t>
                  </w:r>
                </w:p>
              </w:tc>
              <w:tc>
                <w:tcPr>
                  <w:tcW w:w="1990" w:type="pct"/>
                  <w:vAlign w:val="center"/>
                </w:tcPr>
                <w:p>
                  <w:pPr>
                    <w:jc w:val="center"/>
                    <w:rPr>
                      <w:szCs w:val="21"/>
                    </w:rPr>
                  </w:pPr>
                  <w:r>
                    <w:rPr>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16" w:type="pct"/>
                  <w:vMerge w:val="continue"/>
                  <w:vAlign w:val="center"/>
                </w:tcPr>
                <w:p>
                  <w:pPr>
                    <w:jc w:val="center"/>
                    <w:rPr>
                      <w:szCs w:val="21"/>
                    </w:rPr>
                  </w:pPr>
                </w:p>
              </w:tc>
              <w:tc>
                <w:tcPr>
                  <w:tcW w:w="1594" w:type="pct"/>
                  <w:vAlign w:val="center"/>
                </w:tcPr>
                <w:p>
                  <w:pPr>
                    <w:jc w:val="center"/>
                    <w:rPr>
                      <w:szCs w:val="21"/>
                    </w:rPr>
                  </w:pPr>
                  <w:r>
                    <w:rPr>
                      <w:szCs w:val="21"/>
                    </w:rPr>
                    <w:t>日平均</w:t>
                  </w:r>
                </w:p>
              </w:tc>
              <w:tc>
                <w:tcPr>
                  <w:tcW w:w="1990" w:type="pct"/>
                  <w:vAlign w:val="center"/>
                </w:tcPr>
                <w:p>
                  <w:pPr>
                    <w:jc w:val="center"/>
                    <w:rPr>
                      <w:szCs w:val="21"/>
                    </w:rPr>
                  </w:pPr>
                  <w:r>
                    <w:rPr>
                      <w:szCs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restart"/>
                  <w:vAlign w:val="center"/>
                </w:tcPr>
                <w:p>
                  <w:pPr>
                    <w:jc w:val="center"/>
                    <w:rPr>
                      <w:szCs w:val="21"/>
                    </w:rPr>
                  </w:pPr>
                  <w:r>
                    <w:rPr>
                      <w:szCs w:val="21"/>
                    </w:rPr>
                    <w:t>二氧化硫（SO</w:t>
                  </w:r>
                  <w:r>
                    <w:rPr>
                      <w:szCs w:val="21"/>
                      <w:vertAlign w:val="subscript"/>
                    </w:rPr>
                    <w:t>2</w:t>
                  </w:r>
                  <w:r>
                    <w:rPr>
                      <w:szCs w:val="21"/>
                    </w:rPr>
                    <w:t>）</w:t>
                  </w:r>
                </w:p>
              </w:tc>
              <w:tc>
                <w:tcPr>
                  <w:tcW w:w="1594" w:type="pct"/>
                  <w:vAlign w:val="center"/>
                </w:tcPr>
                <w:p>
                  <w:pPr>
                    <w:jc w:val="center"/>
                    <w:rPr>
                      <w:szCs w:val="21"/>
                    </w:rPr>
                  </w:pPr>
                  <w:r>
                    <w:rPr>
                      <w:szCs w:val="21"/>
                    </w:rPr>
                    <w:t>年平均</w:t>
                  </w:r>
                </w:p>
              </w:tc>
              <w:tc>
                <w:tcPr>
                  <w:tcW w:w="1990" w:type="pct"/>
                  <w:vAlign w:val="center"/>
                </w:tcPr>
                <w:p>
                  <w:pPr>
                    <w:jc w:val="center"/>
                    <w:rPr>
                      <w:szCs w:val="21"/>
                    </w:rPr>
                  </w:pPr>
                  <w:r>
                    <w:rPr>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continue"/>
                  <w:vAlign w:val="center"/>
                </w:tcPr>
                <w:p>
                  <w:pPr>
                    <w:jc w:val="center"/>
                    <w:rPr>
                      <w:szCs w:val="21"/>
                    </w:rPr>
                  </w:pPr>
                </w:p>
              </w:tc>
              <w:tc>
                <w:tcPr>
                  <w:tcW w:w="1594" w:type="pct"/>
                  <w:vAlign w:val="center"/>
                </w:tcPr>
                <w:p>
                  <w:pPr>
                    <w:jc w:val="center"/>
                    <w:rPr>
                      <w:szCs w:val="21"/>
                    </w:rPr>
                  </w:pPr>
                  <w:r>
                    <w:rPr>
                      <w:szCs w:val="21"/>
                    </w:rPr>
                    <w:t>日平均</w:t>
                  </w:r>
                </w:p>
              </w:tc>
              <w:tc>
                <w:tcPr>
                  <w:tcW w:w="1990" w:type="pct"/>
                  <w:vAlign w:val="center"/>
                </w:tcPr>
                <w:p>
                  <w:pPr>
                    <w:jc w:val="center"/>
                    <w:rPr>
                      <w:szCs w:val="21"/>
                    </w:rPr>
                  </w:pPr>
                  <w:r>
                    <w:rPr>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continue"/>
                  <w:vAlign w:val="center"/>
                </w:tcPr>
                <w:p>
                  <w:pPr>
                    <w:jc w:val="center"/>
                    <w:rPr>
                      <w:szCs w:val="21"/>
                    </w:rPr>
                  </w:pPr>
                </w:p>
              </w:tc>
              <w:tc>
                <w:tcPr>
                  <w:tcW w:w="1594" w:type="pct"/>
                  <w:vAlign w:val="center"/>
                </w:tcPr>
                <w:p>
                  <w:pPr>
                    <w:jc w:val="center"/>
                    <w:rPr>
                      <w:szCs w:val="21"/>
                    </w:rPr>
                  </w:pPr>
                  <w:r>
                    <w:rPr>
                      <w:szCs w:val="21"/>
                    </w:rPr>
                    <w:t>1小时平均</w:t>
                  </w:r>
                </w:p>
              </w:tc>
              <w:tc>
                <w:tcPr>
                  <w:tcW w:w="1990" w:type="pct"/>
                  <w:vAlign w:val="center"/>
                </w:tcPr>
                <w:p>
                  <w:pPr>
                    <w:jc w:val="center"/>
                    <w:rPr>
                      <w:szCs w:val="21"/>
                    </w:rPr>
                  </w:pPr>
                  <w:r>
                    <w:rPr>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restart"/>
                  <w:vAlign w:val="center"/>
                </w:tcPr>
                <w:p>
                  <w:pPr>
                    <w:jc w:val="center"/>
                    <w:rPr>
                      <w:szCs w:val="21"/>
                    </w:rPr>
                  </w:pPr>
                  <w:r>
                    <w:rPr>
                      <w:szCs w:val="21"/>
                    </w:rPr>
                    <w:t>二氧化氮（NO</w:t>
                  </w:r>
                  <w:r>
                    <w:rPr>
                      <w:szCs w:val="21"/>
                      <w:vertAlign w:val="subscript"/>
                    </w:rPr>
                    <w:t>2</w:t>
                  </w:r>
                  <w:r>
                    <w:rPr>
                      <w:szCs w:val="21"/>
                    </w:rPr>
                    <w:t>）</w:t>
                  </w:r>
                </w:p>
              </w:tc>
              <w:tc>
                <w:tcPr>
                  <w:tcW w:w="1594" w:type="pct"/>
                  <w:vAlign w:val="center"/>
                </w:tcPr>
                <w:p>
                  <w:pPr>
                    <w:jc w:val="center"/>
                    <w:rPr>
                      <w:szCs w:val="21"/>
                    </w:rPr>
                  </w:pPr>
                  <w:r>
                    <w:rPr>
                      <w:szCs w:val="21"/>
                    </w:rPr>
                    <w:t>年平均</w:t>
                  </w:r>
                </w:p>
              </w:tc>
              <w:tc>
                <w:tcPr>
                  <w:tcW w:w="1990" w:type="pct"/>
                  <w:vAlign w:val="center"/>
                </w:tcPr>
                <w:p>
                  <w:pPr>
                    <w:jc w:val="center"/>
                    <w:rPr>
                      <w:szCs w:val="21"/>
                    </w:rPr>
                  </w:pPr>
                  <w:r>
                    <w:rPr>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continue"/>
                  <w:vAlign w:val="center"/>
                </w:tcPr>
                <w:p>
                  <w:pPr>
                    <w:jc w:val="center"/>
                    <w:rPr>
                      <w:szCs w:val="21"/>
                    </w:rPr>
                  </w:pPr>
                </w:p>
              </w:tc>
              <w:tc>
                <w:tcPr>
                  <w:tcW w:w="1594" w:type="pct"/>
                  <w:vAlign w:val="center"/>
                </w:tcPr>
                <w:p>
                  <w:pPr>
                    <w:jc w:val="center"/>
                    <w:rPr>
                      <w:szCs w:val="21"/>
                    </w:rPr>
                  </w:pPr>
                  <w:r>
                    <w:rPr>
                      <w:szCs w:val="21"/>
                    </w:rPr>
                    <w:t>日平均</w:t>
                  </w:r>
                </w:p>
              </w:tc>
              <w:tc>
                <w:tcPr>
                  <w:tcW w:w="1990" w:type="pct"/>
                  <w:vAlign w:val="center"/>
                </w:tcPr>
                <w:p>
                  <w:pPr>
                    <w:jc w:val="center"/>
                    <w:rPr>
                      <w:szCs w:val="21"/>
                    </w:rPr>
                  </w:pPr>
                  <w:r>
                    <w:rPr>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continue"/>
                  <w:vAlign w:val="center"/>
                </w:tcPr>
                <w:p>
                  <w:pPr>
                    <w:jc w:val="center"/>
                    <w:rPr>
                      <w:szCs w:val="21"/>
                    </w:rPr>
                  </w:pPr>
                </w:p>
              </w:tc>
              <w:tc>
                <w:tcPr>
                  <w:tcW w:w="1594" w:type="pct"/>
                  <w:vAlign w:val="center"/>
                </w:tcPr>
                <w:p>
                  <w:pPr>
                    <w:jc w:val="center"/>
                    <w:rPr>
                      <w:szCs w:val="21"/>
                    </w:rPr>
                  </w:pPr>
                  <w:r>
                    <w:rPr>
                      <w:szCs w:val="21"/>
                    </w:rPr>
                    <w:t>1小时平均</w:t>
                  </w:r>
                </w:p>
              </w:tc>
              <w:tc>
                <w:tcPr>
                  <w:tcW w:w="1990" w:type="pct"/>
                  <w:vAlign w:val="center"/>
                </w:tcPr>
                <w:p>
                  <w:pPr>
                    <w:jc w:val="center"/>
                    <w:rPr>
                      <w:szCs w:val="21"/>
                    </w:rPr>
                  </w:pPr>
                  <w:r>
                    <w:rPr>
                      <w:szCs w:val="21"/>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restart"/>
                  <w:vAlign w:val="center"/>
                </w:tcPr>
                <w:p>
                  <w:pPr>
                    <w:jc w:val="center"/>
                    <w:rPr>
                      <w:szCs w:val="21"/>
                    </w:rPr>
                  </w:pPr>
                  <w:r>
                    <w:rPr>
                      <w:szCs w:val="21"/>
                    </w:rPr>
                    <w:t>颗粒物（PM10）</w:t>
                  </w:r>
                </w:p>
              </w:tc>
              <w:tc>
                <w:tcPr>
                  <w:tcW w:w="1594" w:type="pct"/>
                  <w:vAlign w:val="center"/>
                </w:tcPr>
                <w:p>
                  <w:pPr>
                    <w:jc w:val="center"/>
                    <w:rPr>
                      <w:szCs w:val="21"/>
                    </w:rPr>
                  </w:pPr>
                  <w:r>
                    <w:rPr>
                      <w:szCs w:val="21"/>
                    </w:rPr>
                    <w:t>年平均</w:t>
                  </w:r>
                </w:p>
              </w:tc>
              <w:tc>
                <w:tcPr>
                  <w:tcW w:w="1990" w:type="pct"/>
                  <w:vAlign w:val="center"/>
                </w:tcPr>
                <w:p>
                  <w:pPr>
                    <w:jc w:val="center"/>
                    <w:rPr>
                      <w:szCs w:val="21"/>
                    </w:rPr>
                  </w:pPr>
                  <w:r>
                    <w:rPr>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continue"/>
                  <w:vAlign w:val="center"/>
                </w:tcPr>
                <w:p>
                  <w:pPr>
                    <w:jc w:val="center"/>
                    <w:rPr>
                      <w:szCs w:val="21"/>
                    </w:rPr>
                  </w:pPr>
                </w:p>
              </w:tc>
              <w:tc>
                <w:tcPr>
                  <w:tcW w:w="1594" w:type="pct"/>
                  <w:vAlign w:val="center"/>
                </w:tcPr>
                <w:p>
                  <w:pPr>
                    <w:jc w:val="center"/>
                    <w:rPr>
                      <w:szCs w:val="21"/>
                    </w:rPr>
                  </w:pPr>
                  <w:r>
                    <w:rPr>
                      <w:szCs w:val="21"/>
                    </w:rPr>
                    <w:t>日平均</w:t>
                  </w:r>
                </w:p>
              </w:tc>
              <w:tc>
                <w:tcPr>
                  <w:tcW w:w="1990" w:type="pct"/>
                  <w:vAlign w:val="center"/>
                </w:tcPr>
                <w:p>
                  <w:pPr>
                    <w:jc w:val="center"/>
                    <w:rPr>
                      <w:szCs w:val="21"/>
                    </w:rPr>
                  </w:pPr>
                  <w:r>
                    <w:rPr>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restart"/>
                  <w:vAlign w:val="center"/>
                </w:tcPr>
                <w:p>
                  <w:pPr>
                    <w:jc w:val="center"/>
                    <w:rPr>
                      <w:szCs w:val="21"/>
                    </w:rPr>
                  </w:pPr>
                  <w:r>
                    <w:rPr>
                      <w:szCs w:val="21"/>
                    </w:rPr>
                    <w:t>颗粒物（PM2.5）</w:t>
                  </w:r>
                </w:p>
              </w:tc>
              <w:tc>
                <w:tcPr>
                  <w:tcW w:w="1594" w:type="pct"/>
                  <w:vAlign w:val="center"/>
                </w:tcPr>
                <w:p>
                  <w:pPr>
                    <w:jc w:val="center"/>
                    <w:rPr>
                      <w:szCs w:val="21"/>
                    </w:rPr>
                  </w:pPr>
                  <w:r>
                    <w:rPr>
                      <w:szCs w:val="21"/>
                    </w:rPr>
                    <w:t>年平均</w:t>
                  </w:r>
                </w:p>
              </w:tc>
              <w:tc>
                <w:tcPr>
                  <w:tcW w:w="1990" w:type="pct"/>
                  <w:vAlign w:val="center"/>
                </w:tcPr>
                <w:p>
                  <w:pPr>
                    <w:jc w:val="center"/>
                    <w:rPr>
                      <w:szCs w:val="21"/>
                    </w:rPr>
                  </w:pPr>
                  <w:r>
                    <w:rPr>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continue"/>
                  <w:vAlign w:val="center"/>
                </w:tcPr>
                <w:p>
                  <w:pPr>
                    <w:jc w:val="center"/>
                    <w:rPr>
                      <w:szCs w:val="21"/>
                    </w:rPr>
                  </w:pPr>
                </w:p>
              </w:tc>
              <w:tc>
                <w:tcPr>
                  <w:tcW w:w="1594" w:type="pct"/>
                  <w:vAlign w:val="center"/>
                </w:tcPr>
                <w:p>
                  <w:pPr>
                    <w:jc w:val="center"/>
                    <w:rPr>
                      <w:szCs w:val="21"/>
                    </w:rPr>
                  </w:pPr>
                  <w:r>
                    <w:rPr>
                      <w:szCs w:val="21"/>
                    </w:rPr>
                    <w:t>日平均</w:t>
                  </w:r>
                </w:p>
              </w:tc>
              <w:tc>
                <w:tcPr>
                  <w:tcW w:w="1990" w:type="pct"/>
                  <w:vAlign w:val="center"/>
                </w:tcPr>
                <w:p>
                  <w:pPr>
                    <w:jc w:val="center"/>
                    <w:rPr>
                      <w:szCs w:val="21"/>
                    </w:rPr>
                  </w:pPr>
                  <w:r>
                    <w:rPr>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restart"/>
                  <w:vAlign w:val="center"/>
                </w:tcPr>
                <w:p>
                  <w:pPr>
                    <w:jc w:val="center"/>
                    <w:rPr>
                      <w:szCs w:val="21"/>
                    </w:rPr>
                  </w:pPr>
                  <w:r>
                    <w:rPr>
                      <w:szCs w:val="21"/>
                    </w:rPr>
                    <w:t>一氧化碳（CO）</w:t>
                  </w:r>
                </w:p>
              </w:tc>
              <w:tc>
                <w:tcPr>
                  <w:tcW w:w="1594" w:type="pct"/>
                  <w:vAlign w:val="center"/>
                </w:tcPr>
                <w:p>
                  <w:pPr>
                    <w:jc w:val="center"/>
                    <w:rPr>
                      <w:szCs w:val="21"/>
                    </w:rPr>
                  </w:pPr>
                  <w:r>
                    <w:rPr>
                      <w:szCs w:val="21"/>
                    </w:rPr>
                    <w:t>24小时平均</w:t>
                  </w:r>
                </w:p>
              </w:tc>
              <w:tc>
                <w:tcPr>
                  <w:tcW w:w="1990" w:type="pct"/>
                  <w:vAlign w:val="center"/>
                </w:tcPr>
                <w:p>
                  <w:pPr>
                    <w:jc w:val="center"/>
                    <w:rPr>
                      <w:szCs w:val="21"/>
                    </w:rPr>
                  </w:pPr>
                  <w:r>
                    <w:rPr>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continue"/>
                  <w:vAlign w:val="center"/>
                </w:tcPr>
                <w:p>
                  <w:pPr>
                    <w:jc w:val="center"/>
                    <w:rPr>
                      <w:szCs w:val="21"/>
                    </w:rPr>
                  </w:pPr>
                </w:p>
              </w:tc>
              <w:tc>
                <w:tcPr>
                  <w:tcW w:w="1594" w:type="pct"/>
                  <w:vAlign w:val="center"/>
                </w:tcPr>
                <w:p>
                  <w:pPr>
                    <w:jc w:val="center"/>
                    <w:rPr>
                      <w:szCs w:val="21"/>
                    </w:rPr>
                  </w:pPr>
                  <w:r>
                    <w:rPr>
                      <w:szCs w:val="21"/>
                    </w:rPr>
                    <w:t>1小时平均</w:t>
                  </w:r>
                </w:p>
              </w:tc>
              <w:tc>
                <w:tcPr>
                  <w:tcW w:w="1990" w:type="pct"/>
                  <w:vAlign w:val="center"/>
                </w:tcPr>
                <w:p>
                  <w:pPr>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restart"/>
                  <w:vAlign w:val="center"/>
                </w:tcPr>
                <w:p>
                  <w:pPr>
                    <w:jc w:val="center"/>
                    <w:rPr>
                      <w:szCs w:val="21"/>
                    </w:rPr>
                  </w:pPr>
                  <w:r>
                    <w:rPr>
                      <w:szCs w:val="21"/>
                    </w:rPr>
                    <w:t>臭氧（O</w:t>
                  </w:r>
                  <w:r>
                    <w:rPr>
                      <w:szCs w:val="21"/>
                      <w:vertAlign w:val="subscript"/>
                    </w:rPr>
                    <w:t>3</w:t>
                  </w:r>
                  <w:r>
                    <w:rPr>
                      <w:szCs w:val="21"/>
                    </w:rPr>
                    <w:t>）</w:t>
                  </w:r>
                </w:p>
              </w:tc>
              <w:tc>
                <w:tcPr>
                  <w:tcW w:w="1594" w:type="pct"/>
                  <w:vAlign w:val="center"/>
                </w:tcPr>
                <w:p>
                  <w:pPr>
                    <w:jc w:val="center"/>
                    <w:rPr>
                      <w:szCs w:val="21"/>
                    </w:rPr>
                  </w:pPr>
                  <w:r>
                    <w:rPr>
                      <w:szCs w:val="21"/>
                    </w:rPr>
                    <w:t>日最大8小时平均</w:t>
                  </w:r>
                </w:p>
              </w:tc>
              <w:tc>
                <w:tcPr>
                  <w:tcW w:w="1990" w:type="pct"/>
                  <w:vAlign w:val="center"/>
                </w:tcPr>
                <w:p>
                  <w:pPr>
                    <w:jc w:val="center"/>
                    <w:rPr>
                      <w:szCs w:val="21"/>
                    </w:rPr>
                  </w:pPr>
                  <w:r>
                    <w:rPr>
                      <w:szCs w:val="21"/>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416" w:type="pct"/>
                  <w:vMerge w:val="continue"/>
                  <w:vAlign w:val="center"/>
                </w:tcPr>
                <w:p>
                  <w:pPr>
                    <w:jc w:val="center"/>
                    <w:rPr>
                      <w:szCs w:val="21"/>
                    </w:rPr>
                  </w:pPr>
                </w:p>
              </w:tc>
              <w:tc>
                <w:tcPr>
                  <w:tcW w:w="1594" w:type="pct"/>
                  <w:vAlign w:val="center"/>
                </w:tcPr>
                <w:p>
                  <w:pPr>
                    <w:jc w:val="center"/>
                    <w:rPr>
                      <w:szCs w:val="21"/>
                    </w:rPr>
                  </w:pPr>
                  <w:r>
                    <w:rPr>
                      <w:szCs w:val="21"/>
                    </w:rPr>
                    <w:t>1小时平均</w:t>
                  </w:r>
                </w:p>
              </w:tc>
              <w:tc>
                <w:tcPr>
                  <w:tcW w:w="1990" w:type="pct"/>
                  <w:vAlign w:val="center"/>
                </w:tcPr>
                <w:p>
                  <w:pPr>
                    <w:jc w:val="center"/>
                    <w:rPr>
                      <w:szCs w:val="21"/>
                    </w:rPr>
                  </w:pPr>
                  <w:r>
                    <w:rPr>
                      <w:szCs w:val="21"/>
                    </w:rPr>
                    <w:t>200</w:t>
                  </w:r>
                </w:p>
              </w:tc>
            </w:tr>
          </w:tbl>
          <w:p>
            <w:pPr>
              <w:spacing w:line="360" w:lineRule="auto"/>
              <w:ind w:firstLine="480" w:firstLineChars="200"/>
              <w:rPr>
                <w:sz w:val="24"/>
              </w:rPr>
            </w:pPr>
            <w:r>
              <w:rPr>
                <w:rFonts w:hint="eastAsia"/>
                <w:sz w:val="24"/>
              </w:rPr>
              <w:t>根据《2021年昆明市生态环境状况公报》，昆明市主城区环境空气质量优良率达98.63%，其中优209天、良151天、轻度污染5天。与2020年相比，优级天数增加6天，环境空气污染综合指数持平。各县（市）区环境空气质量总体保持良好。与2020年相比，安宁市、禄劝县环境空气综合污染指数有所下降，东川区、石林县、嵩明县、富民县、宜良县和阳宗海风景名胜区环境空气综合污染指数有所上升。</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采用《昆明金睿人矿业有限公司铁矿破碎分级资源综合利用工程项目环境影响报告书》的数据，昆明市东川区2</w:t>
            </w:r>
            <w:r>
              <w:rPr>
                <w:color w:val="000000" w:themeColor="text1"/>
                <w:sz w:val="24"/>
                <w14:textFill>
                  <w14:solidFill>
                    <w14:schemeClr w14:val="tx1"/>
                  </w14:solidFill>
                </w14:textFill>
              </w:rPr>
              <w:t>021</w:t>
            </w:r>
            <w:r>
              <w:rPr>
                <w:rFonts w:hint="eastAsia"/>
                <w:color w:val="000000" w:themeColor="text1"/>
                <w:sz w:val="24"/>
                <w14:textFill>
                  <w14:solidFill>
                    <w14:schemeClr w14:val="tx1"/>
                  </w14:solidFill>
                </w14:textFill>
              </w:rPr>
              <w:t>年环境质量监测数据统计见表3-</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w:t>
            </w:r>
          </w:p>
          <w:p>
            <w:pPr>
              <w:spacing w:line="360" w:lineRule="auto"/>
              <w:jc w:val="center"/>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表3-</w:t>
            </w:r>
            <w:r>
              <w:rPr>
                <w:b/>
                <w:bCs/>
                <w:color w:val="000000" w:themeColor="text1"/>
                <w:szCs w:val="21"/>
                <w14:textFill>
                  <w14:solidFill>
                    <w14:schemeClr w14:val="tx1"/>
                  </w14:solidFill>
                </w14:textFill>
              </w:rPr>
              <w:t xml:space="preserve">2  </w:t>
            </w:r>
            <w:r>
              <w:rPr>
                <w:rFonts w:hint="eastAsia"/>
                <w:b/>
                <w:bCs/>
                <w:color w:val="000000" w:themeColor="text1"/>
                <w:szCs w:val="21"/>
                <w14:textFill>
                  <w14:solidFill>
                    <w14:schemeClr w14:val="tx1"/>
                  </w14:solidFill>
                </w14:textFill>
              </w:rPr>
              <w:t>昆明市东川区2021年环境质量监测数据统计一览表</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
              <w:gridCol w:w="1968"/>
              <w:gridCol w:w="1820"/>
              <w:gridCol w:w="2070"/>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71" w:type="dxa"/>
                  <w:vAlign w:val="center"/>
                </w:tcPr>
                <w:p>
                  <w:pPr>
                    <w:jc w:val="center"/>
                    <w:rPr>
                      <w:szCs w:val="21"/>
                    </w:rPr>
                  </w:pPr>
                  <w:r>
                    <w:rPr>
                      <w:rFonts w:hint="eastAsia"/>
                      <w:szCs w:val="21"/>
                    </w:rPr>
                    <w:t>污染物</w:t>
                  </w:r>
                </w:p>
              </w:tc>
              <w:tc>
                <w:tcPr>
                  <w:tcW w:w="2795" w:type="dxa"/>
                  <w:vAlign w:val="center"/>
                </w:tcPr>
                <w:p>
                  <w:pPr>
                    <w:jc w:val="center"/>
                    <w:rPr>
                      <w:szCs w:val="21"/>
                    </w:rPr>
                  </w:pPr>
                  <w:r>
                    <w:rPr>
                      <w:rFonts w:hint="eastAsia"/>
                      <w:szCs w:val="21"/>
                    </w:rPr>
                    <w:t>取值标准</w:t>
                  </w:r>
                </w:p>
              </w:tc>
              <w:tc>
                <w:tcPr>
                  <w:tcW w:w="2167" w:type="dxa"/>
                  <w:vAlign w:val="center"/>
                </w:tcPr>
                <w:p>
                  <w:pPr>
                    <w:jc w:val="center"/>
                    <w:rPr>
                      <w:szCs w:val="21"/>
                    </w:rPr>
                  </w:pPr>
                  <w:r>
                    <w:rPr>
                      <w:rFonts w:hint="eastAsia"/>
                      <w:szCs w:val="21"/>
                    </w:rPr>
                    <w:t>现状浓度</w:t>
                  </w:r>
                </w:p>
                <w:p>
                  <w:pPr>
                    <w:jc w:val="center"/>
                    <w:rPr>
                      <w:szCs w:val="21"/>
                    </w:rPr>
                  </w:pPr>
                  <w:r>
                    <w:rPr>
                      <w:rFonts w:hint="eastAsia"/>
                      <w:szCs w:val="21"/>
                    </w:rPr>
                    <w:t>（u</w:t>
                  </w:r>
                  <w:r>
                    <w:rPr>
                      <w:szCs w:val="21"/>
                    </w:rPr>
                    <w:t>g/</w:t>
                  </w:r>
                  <w:r>
                    <w:rPr>
                      <w:rFonts w:hint="eastAsia"/>
                      <w:szCs w:val="21"/>
                    </w:rPr>
                    <w:t>m³）</w:t>
                  </w:r>
                </w:p>
              </w:tc>
              <w:tc>
                <w:tcPr>
                  <w:tcW w:w="2551" w:type="dxa"/>
                  <w:vAlign w:val="center"/>
                </w:tcPr>
                <w:p>
                  <w:pPr>
                    <w:jc w:val="center"/>
                    <w:rPr>
                      <w:szCs w:val="21"/>
                    </w:rPr>
                  </w:pPr>
                  <w:r>
                    <w:rPr>
                      <w:rFonts w:hint="eastAsia"/>
                      <w:szCs w:val="21"/>
                    </w:rPr>
                    <w:t>标准值（ug/m³）</w:t>
                  </w:r>
                </w:p>
              </w:tc>
              <w:tc>
                <w:tcPr>
                  <w:tcW w:w="1233" w:type="dxa"/>
                  <w:vAlign w:val="center"/>
                </w:tcPr>
                <w:p>
                  <w:pPr>
                    <w:jc w:val="center"/>
                    <w:rPr>
                      <w:szCs w:val="21"/>
                    </w:rPr>
                  </w:pPr>
                  <w:r>
                    <w:rPr>
                      <w:rFonts w:hint="eastAsia"/>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71" w:type="dxa"/>
                  <w:vAlign w:val="center"/>
                </w:tcPr>
                <w:p>
                  <w:pPr>
                    <w:jc w:val="center"/>
                    <w:rPr>
                      <w:szCs w:val="21"/>
                    </w:rPr>
                  </w:pPr>
                  <w:r>
                    <w:rPr>
                      <w:rFonts w:hint="eastAsia"/>
                      <w:szCs w:val="21"/>
                    </w:rPr>
                    <w:t>S</w:t>
                  </w:r>
                  <w:r>
                    <w:rPr>
                      <w:szCs w:val="21"/>
                    </w:rPr>
                    <w:t>O</w:t>
                  </w:r>
                  <w:r>
                    <w:rPr>
                      <w:szCs w:val="21"/>
                      <w:vertAlign w:val="subscript"/>
                    </w:rPr>
                    <w:t>2</w:t>
                  </w:r>
                </w:p>
              </w:tc>
              <w:tc>
                <w:tcPr>
                  <w:tcW w:w="2795" w:type="dxa"/>
                  <w:vAlign w:val="center"/>
                </w:tcPr>
                <w:p>
                  <w:pPr>
                    <w:jc w:val="center"/>
                    <w:rPr>
                      <w:szCs w:val="21"/>
                    </w:rPr>
                  </w:pPr>
                  <w:r>
                    <w:rPr>
                      <w:rFonts w:hint="eastAsia"/>
                      <w:szCs w:val="21"/>
                    </w:rPr>
                    <w:t>年平均</w:t>
                  </w:r>
                </w:p>
              </w:tc>
              <w:tc>
                <w:tcPr>
                  <w:tcW w:w="2167" w:type="dxa"/>
                  <w:vAlign w:val="center"/>
                </w:tcPr>
                <w:p>
                  <w:pPr>
                    <w:jc w:val="center"/>
                    <w:rPr>
                      <w:szCs w:val="21"/>
                    </w:rPr>
                  </w:pPr>
                  <w:r>
                    <w:rPr>
                      <w:rFonts w:hint="eastAsia"/>
                      <w:szCs w:val="21"/>
                    </w:rPr>
                    <w:t>2</w:t>
                  </w:r>
                  <w:r>
                    <w:rPr>
                      <w:szCs w:val="21"/>
                    </w:rPr>
                    <w:t>9</w:t>
                  </w:r>
                </w:p>
              </w:tc>
              <w:tc>
                <w:tcPr>
                  <w:tcW w:w="2551" w:type="dxa"/>
                  <w:vAlign w:val="center"/>
                </w:tcPr>
                <w:p>
                  <w:pPr>
                    <w:jc w:val="center"/>
                    <w:rPr>
                      <w:szCs w:val="21"/>
                    </w:rPr>
                  </w:pPr>
                  <w:r>
                    <w:rPr>
                      <w:rFonts w:hint="eastAsia"/>
                      <w:szCs w:val="21"/>
                    </w:rPr>
                    <w:t>6</w:t>
                  </w:r>
                  <w:r>
                    <w:rPr>
                      <w:szCs w:val="21"/>
                    </w:rPr>
                    <w:t>0</w:t>
                  </w:r>
                </w:p>
              </w:tc>
              <w:tc>
                <w:tcPr>
                  <w:tcW w:w="1233"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71" w:type="dxa"/>
                  <w:vAlign w:val="center"/>
                </w:tcPr>
                <w:p>
                  <w:pPr>
                    <w:jc w:val="center"/>
                    <w:rPr>
                      <w:szCs w:val="21"/>
                    </w:rPr>
                  </w:pPr>
                  <w:r>
                    <w:rPr>
                      <w:rFonts w:hint="eastAsia"/>
                      <w:szCs w:val="21"/>
                    </w:rPr>
                    <w:t>N</w:t>
                  </w:r>
                  <w:r>
                    <w:rPr>
                      <w:szCs w:val="21"/>
                    </w:rPr>
                    <w:t>O</w:t>
                  </w:r>
                  <w:r>
                    <w:rPr>
                      <w:szCs w:val="21"/>
                      <w:vertAlign w:val="subscript"/>
                    </w:rPr>
                    <w:t>2</w:t>
                  </w:r>
                </w:p>
              </w:tc>
              <w:tc>
                <w:tcPr>
                  <w:tcW w:w="2795" w:type="dxa"/>
                  <w:vAlign w:val="center"/>
                </w:tcPr>
                <w:p>
                  <w:pPr>
                    <w:jc w:val="center"/>
                    <w:rPr>
                      <w:szCs w:val="21"/>
                    </w:rPr>
                  </w:pPr>
                  <w:r>
                    <w:rPr>
                      <w:rFonts w:hint="eastAsia"/>
                      <w:szCs w:val="21"/>
                    </w:rPr>
                    <w:t>年平均</w:t>
                  </w:r>
                </w:p>
              </w:tc>
              <w:tc>
                <w:tcPr>
                  <w:tcW w:w="2167" w:type="dxa"/>
                  <w:vAlign w:val="center"/>
                </w:tcPr>
                <w:p>
                  <w:pPr>
                    <w:jc w:val="center"/>
                    <w:rPr>
                      <w:szCs w:val="21"/>
                    </w:rPr>
                  </w:pPr>
                  <w:r>
                    <w:rPr>
                      <w:rFonts w:hint="eastAsia"/>
                      <w:szCs w:val="21"/>
                    </w:rPr>
                    <w:t>1</w:t>
                  </w:r>
                  <w:r>
                    <w:rPr>
                      <w:szCs w:val="21"/>
                    </w:rPr>
                    <w:t>0</w:t>
                  </w:r>
                </w:p>
              </w:tc>
              <w:tc>
                <w:tcPr>
                  <w:tcW w:w="2551" w:type="dxa"/>
                  <w:vAlign w:val="center"/>
                </w:tcPr>
                <w:p>
                  <w:pPr>
                    <w:jc w:val="center"/>
                    <w:rPr>
                      <w:szCs w:val="21"/>
                    </w:rPr>
                  </w:pPr>
                  <w:r>
                    <w:rPr>
                      <w:rFonts w:hint="eastAsia"/>
                      <w:szCs w:val="21"/>
                    </w:rPr>
                    <w:t>4</w:t>
                  </w:r>
                  <w:r>
                    <w:rPr>
                      <w:szCs w:val="21"/>
                    </w:rPr>
                    <w:t>0</w:t>
                  </w:r>
                </w:p>
              </w:tc>
              <w:tc>
                <w:tcPr>
                  <w:tcW w:w="1233"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71" w:type="dxa"/>
                  <w:vAlign w:val="center"/>
                </w:tcPr>
                <w:p>
                  <w:pPr>
                    <w:jc w:val="center"/>
                    <w:rPr>
                      <w:szCs w:val="21"/>
                    </w:rPr>
                  </w:pPr>
                  <w:r>
                    <w:rPr>
                      <w:rFonts w:hint="eastAsia"/>
                      <w:szCs w:val="21"/>
                    </w:rPr>
                    <w:t>P</w:t>
                  </w:r>
                  <w:r>
                    <w:rPr>
                      <w:szCs w:val="21"/>
                    </w:rPr>
                    <w:t>M</w:t>
                  </w:r>
                  <w:r>
                    <w:rPr>
                      <w:szCs w:val="21"/>
                      <w:vertAlign w:val="subscript"/>
                    </w:rPr>
                    <w:t>10</w:t>
                  </w:r>
                </w:p>
              </w:tc>
              <w:tc>
                <w:tcPr>
                  <w:tcW w:w="2795" w:type="dxa"/>
                  <w:vAlign w:val="center"/>
                </w:tcPr>
                <w:p>
                  <w:pPr>
                    <w:jc w:val="center"/>
                    <w:rPr>
                      <w:szCs w:val="21"/>
                    </w:rPr>
                  </w:pPr>
                  <w:r>
                    <w:rPr>
                      <w:rFonts w:hint="eastAsia"/>
                      <w:szCs w:val="21"/>
                    </w:rPr>
                    <w:t>年平均</w:t>
                  </w:r>
                </w:p>
              </w:tc>
              <w:tc>
                <w:tcPr>
                  <w:tcW w:w="2167" w:type="dxa"/>
                  <w:vAlign w:val="center"/>
                </w:tcPr>
                <w:p>
                  <w:pPr>
                    <w:jc w:val="center"/>
                    <w:rPr>
                      <w:szCs w:val="21"/>
                    </w:rPr>
                  </w:pPr>
                  <w:r>
                    <w:rPr>
                      <w:rFonts w:hint="eastAsia"/>
                      <w:szCs w:val="21"/>
                    </w:rPr>
                    <w:t>3</w:t>
                  </w:r>
                  <w:r>
                    <w:rPr>
                      <w:szCs w:val="21"/>
                    </w:rPr>
                    <w:t>8</w:t>
                  </w:r>
                </w:p>
              </w:tc>
              <w:tc>
                <w:tcPr>
                  <w:tcW w:w="2551" w:type="dxa"/>
                  <w:vAlign w:val="center"/>
                </w:tcPr>
                <w:p>
                  <w:pPr>
                    <w:jc w:val="center"/>
                    <w:rPr>
                      <w:szCs w:val="21"/>
                    </w:rPr>
                  </w:pPr>
                  <w:r>
                    <w:rPr>
                      <w:rFonts w:hint="eastAsia"/>
                      <w:szCs w:val="21"/>
                    </w:rPr>
                    <w:t>7</w:t>
                  </w:r>
                  <w:r>
                    <w:rPr>
                      <w:szCs w:val="21"/>
                    </w:rPr>
                    <w:t>0</w:t>
                  </w:r>
                </w:p>
              </w:tc>
              <w:tc>
                <w:tcPr>
                  <w:tcW w:w="1233"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71" w:type="dxa"/>
                  <w:vAlign w:val="center"/>
                </w:tcPr>
                <w:p>
                  <w:pPr>
                    <w:jc w:val="center"/>
                    <w:rPr>
                      <w:szCs w:val="21"/>
                    </w:rPr>
                  </w:pPr>
                  <w:r>
                    <w:rPr>
                      <w:rFonts w:hint="eastAsia"/>
                      <w:szCs w:val="21"/>
                    </w:rPr>
                    <w:t>P</w:t>
                  </w:r>
                  <w:r>
                    <w:rPr>
                      <w:szCs w:val="21"/>
                    </w:rPr>
                    <w:t>M</w:t>
                  </w:r>
                  <w:r>
                    <w:rPr>
                      <w:szCs w:val="21"/>
                      <w:vertAlign w:val="subscript"/>
                    </w:rPr>
                    <w:t>2.5</w:t>
                  </w:r>
                </w:p>
              </w:tc>
              <w:tc>
                <w:tcPr>
                  <w:tcW w:w="2795" w:type="dxa"/>
                  <w:vAlign w:val="center"/>
                </w:tcPr>
                <w:p>
                  <w:pPr>
                    <w:jc w:val="center"/>
                    <w:rPr>
                      <w:szCs w:val="21"/>
                    </w:rPr>
                  </w:pPr>
                  <w:r>
                    <w:rPr>
                      <w:rFonts w:hint="eastAsia"/>
                      <w:szCs w:val="21"/>
                    </w:rPr>
                    <w:t>年平均</w:t>
                  </w:r>
                </w:p>
              </w:tc>
              <w:tc>
                <w:tcPr>
                  <w:tcW w:w="2167" w:type="dxa"/>
                  <w:vAlign w:val="center"/>
                </w:tcPr>
                <w:p>
                  <w:pPr>
                    <w:jc w:val="center"/>
                    <w:rPr>
                      <w:szCs w:val="21"/>
                    </w:rPr>
                  </w:pPr>
                  <w:r>
                    <w:rPr>
                      <w:rFonts w:hint="eastAsia"/>
                      <w:szCs w:val="21"/>
                    </w:rPr>
                    <w:t>2</w:t>
                  </w:r>
                  <w:r>
                    <w:rPr>
                      <w:szCs w:val="21"/>
                    </w:rPr>
                    <w:t>1</w:t>
                  </w:r>
                </w:p>
              </w:tc>
              <w:tc>
                <w:tcPr>
                  <w:tcW w:w="2551" w:type="dxa"/>
                  <w:vAlign w:val="center"/>
                </w:tcPr>
                <w:p>
                  <w:pPr>
                    <w:jc w:val="center"/>
                    <w:rPr>
                      <w:szCs w:val="21"/>
                    </w:rPr>
                  </w:pPr>
                  <w:r>
                    <w:rPr>
                      <w:rFonts w:hint="eastAsia"/>
                      <w:szCs w:val="21"/>
                    </w:rPr>
                    <w:t>3</w:t>
                  </w:r>
                  <w:r>
                    <w:rPr>
                      <w:szCs w:val="21"/>
                    </w:rPr>
                    <w:t>5</w:t>
                  </w:r>
                </w:p>
              </w:tc>
              <w:tc>
                <w:tcPr>
                  <w:tcW w:w="1233"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71" w:type="dxa"/>
                  <w:vAlign w:val="center"/>
                </w:tcPr>
                <w:p>
                  <w:pPr>
                    <w:jc w:val="center"/>
                    <w:rPr>
                      <w:szCs w:val="21"/>
                    </w:rPr>
                  </w:pPr>
                  <w:r>
                    <w:rPr>
                      <w:rFonts w:hint="eastAsia"/>
                      <w:szCs w:val="21"/>
                    </w:rPr>
                    <w:t>C</w:t>
                  </w:r>
                  <w:r>
                    <w:rPr>
                      <w:szCs w:val="21"/>
                    </w:rPr>
                    <w:t>O</w:t>
                  </w:r>
                </w:p>
              </w:tc>
              <w:tc>
                <w:tcPr>
                  <w:tcW w:w="2795" w:type="dxa"/>
                  <w:vAlign w:val="center"/>
                </w:tcPr>
                <w:p>
                  <w:pPr>
                    <w:jc w:val="center"/>
                    <w:rPr>
                      <w:szCs w:val="21"/>
                    </w:rPr>
                  </w:pPr>
                  <w:r>
                    <w:rPr>
                      <w:rFonts w:hint="eastAsia"/>
                      <w:szCs w:val="21"/>
                    </w:rPr>
                    <w:t>日均值第9</w:t>
                  </w:r>
                  <w:r>
                    <w:rPr>
                      <w:szCs w:val="21"/>
                    </w:rPr>
                    <w:t>5</w:t>
                  </w:r>
                  <w:r>
                    <w:rPr>
                      <w:rFonts w:hint="eastAsia"/>
                      <w:szCs w:val="21"/>
                    </w:rPr>
                    <w:t>位百分数</w:t>
                  </w:r>
                </w:p>
              </w:tc>
              <w:tc>
                <w:tcPr>
                  <w:tcW w:w="2167" w:type="dxa"/>
                  <w:vAlign w:val="center"/>
                </w:tcPr>
                <w:p>
                  <w:pPr>
                    <w:jc w:val="center"/>
                    <w:rPr>
                      <w:szCs w:val="21"/>
                    </w:rPr>
                  </w:pPr>
                  <w:r>
                    <w:rPr>
                      <w:rFonts w:hint="eastAsia"/>
                      <w:szCs w:val="21"/>
                    </w:rPr>
                    <w:t>7</w:t>
                  </w:r>
                  <w:r>
                    <w:rPr>
                      <w:szCs w:val="21"/>
                    </w:rPr>
                    <w:t>00</w:t>
                  </w:r>
                </w:p>
              </w:tc>
              <w:tc>
                <w:tcPr>
                  <w:tcW w:w="2551" w:type="dxa"/>
                  <w:vAlign w:val="center"/>
                </w:tcPr>
                <w:p>
                  <w:pPr>
                    <w:jc w:val="center"/>
                    <w:rPr>
                      <w:szCs w:val="21"/>
                    </w:rPr>
                  </w:pPr>
                  <w:r>
                    <w:rPr>
                      <w:rFonts w:hint="eastAsia"/>
                      <w:szCs w:val="21"/>
                    </w:rPr>
                    <w:t>4</w:t>
                  </w:r>
                  <w:r>
                    <w:rPr>
                      <w:szCs w:val="21"/>
                    </w:rPr>
                    <w:t>000</w:t>
                  </w:r>
                </w:p>
              </w:tc>
              <w:tc>
                <w:tcPr>
                  <w:tcW w:w="1233" w:type="dxa"/>
                  <w:vAlign w:val="center"/>
                </w:tcPr>
                <w:p>
                  <w:pPr>
                    <w:jc w:val="center"/>
                    <w:rPr>
                      <w:szCs w:val="21"/>
                    </w:rPr>
                  </w:pPr>
                  <w:r>
                    <w:rPr>
                      <w:rFonts w:hint="eastAsia"/>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71" w:type="dxa"/>
                  <w:vAlign w:val="center"/>
                </w:tcPr>
                <w:p>
                  <w:pPr>
                    <w:jc w:val="center"/>
                    <w:rPr>
                      <w:szCs w:val="21"/>
                    </w:rPr>
                  </w:pPr>
                  <w:r>
                    <w:rPr>
                      <w:rFonts w:hint="eastAsia"/>
                      <w:szCs w:val="21"/>
                    </w:rPr>
                    <w:t>O</w:t>
                  </w:r>
                  <w:r>
                    <w:rPr>
                      <w:szCs w:val="21"/>
                      <w:vertAlign w:val="subscript"/>
                    </w:rPr>
                    <w:t>3</w:t>
                  </w:r>
                </w:p>
              </w:tc>
              <w:tc>
                <w:tcPr>
                  <w:tcW w:w="2795" w:type="dxa"/>
                  <w:vAlign w:val="center"/>
                </w:tcPr>
                <w:p>
                  <w:pPr>
                    <w:jc w:val="center"/>
                    <w:rPr>
                      <w:szCs w:val="21"/>
                    </w:rPr>
                  </w:pPr>
                  <w:r>
                    <w:rPr>
                      <w:rFonts w:hint="eastAsia"/>
                      <w:szCs w:val="21"/>
                    </w:rPr>
                    <w:t>日最大8小时平均值90百分位数</w:t>
                  </w:r>
                </w:p>
              </w:tc>
              <w:tc>
                <w:tcPr>
                  <w:tcW w:w="2167" w:type="dxa"/>
                  <w:vAlign w:val="center"/>
                </w:tcPr>
                <w:p>
                  <w:pPr>
                    <w:jc w:val="center"/>
                    <w:rPr>
                      <w:szCs w:val="21"/>
                    </w:rPr>
                  </w:pPr>
                  <w:r>
                    <w:rPr>
                      <w:rFonts w:hint="eastAsia"/>
                      <w:szCs w:val="21"/>
                    </w:rPr>
                    <w:t>6</w:t>
                  </w:r>
                  <w:r>
                    <w:rPr>
                      <w:szCs w:val="21"/>
                    </w:rPr>
                    <w:t>7</w:t>
                  </w:r>
                </w:p>
              </w:tc>
              <w:tc>
                <w:tcPr>
                  <w:tcW w:w="2551" w:type="dxa"/>
                  <w:vAlign w:val="center"/>
                </w:tcPr>
                <w:p>
                  <w:pPr>
                    <w:jc w:val="center"/>
                    <w:rPr>
                      <w:szCs w:val="21"/>
                    </w:rPr>
                  </w:pPr>
                  <w:r>
                    <w:rPr>
                      <w:rFonts w:hint="eastAsia"/>
                      <w:szCs w:val="21"/>
                    </w:rPr>
                    <w:t>1</w:t>
                  </w:r>
                  <w:r>
                    <w:rPr>
                      <w:szCs w:val="21"/>
                    </w:rPr>
                    <w:t>60</w:t>
                  </w:r>
                </w:p>
              </w:tc>
              <w:tc>
                <w:tcPr>
                  <w:tcW w:w="1233" w:type="dxa"/>
                  <w:vAlign w:val="center"/>
                </w:tcPr>
                <w:p>
                  <w:pPr>
                    <w:jc w:val="center"/>
                    <w:rPr>
                      <w:szCs w:val="21"/>
                    </w:rPr>
                  </w:pPr>
                  <w:r>
                    <w:rPr>
                      <w:rFonts w:hint="eastAsia"/>
                      <w:szCs w:val="21"/>
                    </w:rPr>
                    <w:t>达标</w:t>
                  </w:r>
                </w:p>
              </w:tc>
            </w:tr>
          </w:tbl>
          <w:p>
            <w:pPr>
              <w:spacing w:line="360" w:lineRule="auto"/>
              <w:ind w:firstLine="480" w:firstLineChars="200"/>
              <w:rPr>
                <w:sz w:val="24"/>
              </w:rPr>
            </w:pPr>
            <w:r>
              <w:rPr>
                <w:rFonts w:hint="eastAsia"/>
                <w:sz w:val="24"/>
              </w:rPr>
              <w:t>综上所述，项目所在的东川区大气环境质量达到《环境空气质量标准》（GB3095-2012）二级标准要求，为环境空气达标区。</w:t>
            </w:r>
          </w:p>
          <w:p>
            <w:pPr>
              <w:spacing w:line="360" w:lineRule="auto"/>
              <w:rPr>
                <w:b/>
                <w:bCs/>
                <w:sz w:val="24"/>
              </w:rPr>
            </w:pPr>
            <w:r>
              <w:rPr>
                <w:rFonts w:hint="eastAsia"/>
                <w:b/>
                <w:bCs/>
                <w:sz w:val="24"/>
              </w:rPr>
              <w:t>2、地表水环境质量现状</w:t>
            </w:r>
          </w:p>
          <w:p>
            <w:pPr>
              <w:spacing w:line="360" w:lineRule="auto"/>
              <w:ind w:firstLine="480" w:firstLineChars="200"/>
              <w:rPr>
                <w:sz w:val="24"/>
              </w:rPr>
            </w:pPr>
            <w:r>
              <w:rPr>
                <w:rFonts w:hint="eastAsia"/>
                <w:sz w:val="24"/>
              </w:rPr>
              <w:t>项目所在区域涉及地表水为东侧的小江，小江为金沙江一级支流，根据《云南省水功能区划》（2</w:t>
            </w:r>
            <w:r>
              <w:rPr>
                <w:sz w:val="24"/>
              </w:rPr>
              <w:t>014</w:t>
            </w:r>
            <w:r>
              <w:rPr>
                <w:rFonts w:hint="eastAsia"/>
                <w:sz w:val="24"/>
              </w:rPr>
              <w:t>年）知，小江“小江寻甸-东川保留区，2</w:t>
            </w:r>
            <w:r>
              <w:rPr>
                <w:sz w:val="24"/>
              </w:rPr>
              <w:t>020</w:t>
            </w:r>
            <w:r>
              <w:rPr>
                <w:rFonts w:hint="eastAsia"/>
                <w:sz w:val="24"/>
              </w:rPr>
              <w:t>-</w:t>
            </w:r>
            <w:r>
              <w:rPr>
                <w:sz w:val="24"/>
              </w:rPr>
              <w:t>2030</w:t>
            </w:r>
            <w:r>
              <w:rPr>
                <w:rFonts w:hint="eastAsia"/>
                <w:sz w:val="24"/>
              </w:rPr>
              <w:t>年水质目标为Ⅲ类”，执行《地表水环境质量标准》（G</w:t>
            </w:r>
            <w:r>
              <w:rPr>
                <w:sz w:val="24"/>
              </w:rPr>
              <w:t>B3858</w:t>
            </w:r>
            <w:r>
              <w:rPr>
                <w:rFonts w:hint="eastAsia"/>
                <w:sz w:val="24"/>
              </w:rPr>
              <w:t>-</w:t>
            </w:r>
            <w:r>
              <w:rPr>
                <w:sz w:val="24"/>
              </w:rPr>
              <w:t>2002</w:t>
            </w:r>
            <w:r>
              <w:rPr>
                <w:rFonts w:hint="eastAsia"/>
                <w:sz w:val="24"/>
              </w:rPr>
              <w:t>）Ⅲ类，详见表3-</w:t>
            </w:r>
            <w:r>
              <w:rPr>
                <w:sz w:val="24"/>
              </w:rPr>
              <w:t>3</w:t>
            </w:r>
            <w:r>
              <w:rPr>
                <w:rFonts w:hint="eastAsia"/>
                <w:sz w:val="24"/>
              </w:rPr>
              <w:t>。</w:t>
            </w:r>
          </w:p>
          <w:p>
            <w:pPr>
              <w:spacing w:line="360" w:lineRule="auto"/>
              <w:jc w:val="center"/>
              <w:rPr>
                <w:b/>
                <w:bCs/>
                <w:szCs w:val="21"/>
              </w:rPr>
            </w:pPr>
            <w:r>
              <w:rPr>
                <w:rFonts w:hint="eastAsia"/>
                <w:b/>
                <w:bCs/>
                <w:szCs w:val="21"/>
              </w:rPr>
              <w:t>表3-</w:t>
            </w:r>
            <w:r>
              <w:rPr>
                <w:b/>
                <w:bCs/>
                <w:szCs w:val="21"/>
              </w:rPr>
              <w:t xml:space="preserve">3  </w:t>
            </w:r>
            <w:r>
              <w:rPr>
                <w:rFonts w:hint="eastAsia"/>
                <w:b/>
                <w:bCs/>
                <w:szCs w:val="21"/>
              </w:rPr>
              <w:t xml:space="preserve">地表水环境质量标准基本项目标准限值 </w:t>
            </w:r>
            <w:r>
              <w:rPr>
                <w:b/>
                <w:bCs/>
                <w:szCs w:val="21"/>
              </w:rPr>
              <w:t xml:space="preserve"> </w:t>
            </w:r>
            <w:r>
              <w:rPr>
                <w:rFonts w:hint="eastAsia"/>
                <w:b/>
                <w:bCs/>
                <w:szCs w:val="21"/>
              </w:rPr>
              <w:t>单位：mg</w:t>
            </w:r>
            <w:r>
              <w:rPr>
                <w:b/>
                <w:bCs/>
                <w:szCs w:val="21"/>
              </w:rPr>
              <w:t>/L</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8"/>
              <w:gridCol w:w="3952"/>
              <w:gridCol w:w="2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05" w:type="pct"/>
                  <w:vAlign w:val="center"/>
                </w:tcPr>
                <w:p>
                  <w:pPr>
                    <w:jc w:val="center"/>
                    <w:rPr>
                      <w:szCs w:val="21"/>
                    </w:rPr>
                  </w:pPr>
                  <w:r>
                    <w:rPr>
                      <w:szCs w:val="21"/>
                    </w:rPr>
                    <w:t>序号</w:t>
                  </w:r>
                </w:p>
              </w:tc>
              <w:tc>
                <w:tcPr>
                  <w:tcW w:w="2529" w:type="pct"/>
                  <w:vAlign w:val="center"/>
                </w:tcPr>
                <w:p>
                  <w:pPr>
                    <w:jc w:val="center"/>
                    <w:rPr>
                      <w:szCs w:val="21"/>
                    </w:rPr>
                  </w:pPr>
                  <w:r>
                    <w:rPr>
                      <w:szCs w:val="21"/>
                    </w:rPr>
                    <w:t>项目</w:t>
                  </w:r>
                </w:p>
              </w:tc>
              <w:tc>
                <w:tcPr>
                  <w:tcW w:w="1666" w:type="pct"/>
                  <w:vAlign w:val="center"/>
                </w:tcPr>
                <w:p>
                  <w:pPr>
                    <w:jc w:val="center"/>
                    <w:rPr>
                      <w:szCs w:val="21"/>
                    </w:rPr>
                  </w:pPr>
                  <w:r>
                    <w:rPr>
                      <w:rFonts w:hint="eastAsia" w:ascii="宋体" w:hAnsi="宋体" w:cs="宋体"/>
                      <w:szCs w:val="21"/>
                    </w:rPr>
                    <w:t>Ⅲ</w:t>
                  </w:r>
                  <w:r>
                    <w:rPr>
                      <w:szCs w:val="21"/>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Align w:val="center"/>
                </w:tcPr>
                <w:p>
                  <w:pPr>
                    <w:jc w:val="center"/>
                    <w:rPr>
                      <w:szCs w:val="21"/>
                    </w:rPr>
                  </w:pPr>
                  <w:r>
                    <w:rPr>
                      <w:szCs w:val="21"/>
                    </w:rPr>
                    <w:t>1</w:t>
                  </w:r>
                </w:p>
              </w:tc>
              <w:tc>
                <w:tcPr>
                  <w:tcW w:w="2529" w:type="pct"/>
                  <w:vAlign w:val="center"/>
                </w:tcPr>
                <w:p>
                  <w:pPr>
                    <w:jc w:val="center"/>
                    <w:rPr>
                      <w:szCs w:val="21"/>
                    </w:rPr>
                  </w:pPr>
                  <w:r>
                    <w:rPr>
                      <w:szCs w:val="21"/>
                    </w:rPr>
                    <w:t>pH（无量纲）</w:t>
                  </w:r>
                </w:p>
              </w:tc>
              <w:tc>
                <w:tcPr>
                  <w:tcW w:w="1666" w:type="pct"/>
                  <w:vAlign w:val="center"/>
                </w:tcPr>
                <w:p>
                  <w:pPr>
                    <w:jc w:val="center"/>
                    <w:rPr>
                      <w:szCs w:val="21"/>
                    </w:rPr>
                  </w:pPr>
                  <w:r>
                    <w:rPr>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05" w:type="pct"/>
                  <w:vAlign w:val="center"/>
                </w:tcPr>
                <w:p>
                  <w:pPr>
                    <w:jc w:val="center"/>
                    <w:rPr>
                      <w:szCs w:val="21"/>
                    </w:rPr>
                  </w:pPr>
                  <w:r>
                    <w:rPr>
                      <w:szCs w:val="21"/>
                    </w:rPr>
                    <w:t>2</w:t>
                  </w:r>
                </w:p>
              </w:tc>
              <w:tc>
                <w:tcPr>
                  <w:tcW w:w="2529" w:type="pct"/>
                  <w:vAlign w:val="center"/>
                </w:tcPr>
                <w:p>
                  <w:pPr>
                    <w:jc w:val="center"/>
                    <w:rPr>
                      <w:szCs w:val="21"/>
                    </w:rPr>
                  </w:pPr>
                  <w:r>
                    <w:rPr>
                      <w:szCs w:val="21"/>
                    </w:rPr>
                    <w:t>溶解氧≥</w:t>
                  </w:r>
                </w:p>
              </w:tc>
              <w:tc>
                <w:tcPr>
                  <w:tcW w:w="1666" w:type="pct"/>
                  <w:vAlign w:val="center"/>
                </w:tcPr>
                <w:p>
                  <w:pPr>
                    <w:jc w:val="center"/>
                    <w:rPr>
                      <w:szCs w:val="21"/>
                    </w:rPr>
                  </w:pPr>
                  <w:r>
                    <w:rPr>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05" w:type="pct"/>
                  <w:vAlign w:val="center"/>
                </w:tcPr>
                <w:p>
                  <w:pPr>
                    <w:jc w:val="center"/>
                    <w:rPr>
                      <w:szCs w:val="21"/>
                    </w:rPr>
                  </w:pPr>
                  <w:r>
                    <w:rPr>
                      <w:szCs w:val="21"/>
                    </w:rPr>
                    <w:t>3</w:t>
                  </w:r>
                </w:p>
              </w:tc>
              <w:tc>
                <w:tcPr>
                  <w:tcW w:w="2529" w:type="pct"/>
                  <w:vAlign w:val="center"/>
                </w:tcPr>
                <w:p>
                  <w:pPr>
                    <w:jc w:val="center"/>
                    <w:rPr>
                      <w:szCs w:val="21"/>
                    </w:rPr>
                  </w:pPr>
                  <w:r>
                    <w:rPr>
                      <w:szCs w:val="21"/>
                    </w:rPr>
                    <w:t>石油类≤</w:t>
                  </w:r>
                </w:p>
              </w:tc>
              <w:tc>
                <w:tcPr>
                  <w:tcW w:w="1666" w:type="pct"/>
                  <w:vAlign w:val="center"/>
                </w:tcPr>
                <w:p>
                  <w:pPr>
                    <w:jc w:val="center"/>
                    <w:rPr>
                      <w:szCs w:val="21"/>
                    </w:rPr>
                  </w:pPr>
                  <w:r>
                    <w:rPr>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05" w:type="pct"/>
                  <w:vAlign w:val="center"/>
                </w:tcPr>
                <w:p>
                  <w:pPr>
                    <w:jc w:val="center"/>
                    <w:rPr>
                      <w:szCs w:val="21"/>
                    </w:rPr>
                  </w:pPr>
                  <w:r>
                    <w:rPr>
                      <w:szCs w:val="21"/>
                    </w:rPr>
                    <w:t>4</w:t>
                  </w:r>
                </w:p>
              </w:tc>
              <w:tc>
                <w:tcPr>
                  <w:tcW w:w="2529" w:type="pct"/>
                  <w:vAlign w:val="center"/>
                </w:tcPr>
                <w:p>
                  <w:pPr>
                    <w:jc w:val="center"/>
                    <w:rPr>
                      <w:szCs w:val="21"/>
                    </w:rPr>
                  </w:pPr>
                  <w:r>
                    <w:rPr>
                      <w:szCs w:val="21"/>
                    </w:rPr>
                    <w:t>化学需氧量（COD）</w:t>
                  </w:r>
                </w:p>
              </w:tc>
              <w:tc>
                <w:tcPr>
                  <w:tcW w:w="1666" w:type="pct"/>
                  <w:vAlign w:val="center"/>
                </w:tcPr>
                <w:p>
                  <w:pPr>
                    <w:jc w:val="center"/>
                    <w:rPr>
                      <w:szCs w:val="21"/>
                    </w:rPr>
                  </w:pPr>
                  <w:r>
                    <w:rPr>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05" w:type="pct"/>
                  <w:vAlign w:val="center"/>
                </w:tcPr>
                <w:p>
                  <w:pPr>
                    <w:jc w:val="center"/>
                    <w:rPr>
                      <w:szCs w:val="21"/>
                    </w:rPr>
                  </w:pPr>
                  <w:r>
                    <w:rPr>
                      <w:szCs w:val="21"/>
                    </w:rPr>
                    <w:t>5</w:t>
                  </w:r>
                </w:p>
              </w:tc>
              <w:tc>
                <w:tcPr>
                  <w:tcW w:w="2529" w:type="pct"/>
                  <w:vAlign w:val="center"/>
                </w:tcPr>
                <w:p>
                  <w:pPr>
                    <w:jc w:val="center"/>
                    <w:rPr>
                      <w:szCs w:val="21"/>
                    </w:rPr>
                  </w:pPr>
                  <w:r>
                    <w:rPr>
                      <w:szCs w:val="21"/>
                    </w:rPr>
                    <w:t>五日生化需氧量（BOD）</w:t>
                  </w:r>
                </w:p>
              </w:tc>
              <w:tc>
                <w:tcPr>
                  <w:tcW w:w="1666" w:type="pct"/>
                  <w:vAlign w:val="center"/>
                </w:tcPr>
                <w:p>
                  <w:pPr>
                    <w:jc w:val="center"/>
                    <w:rPr>
                      <w:szCs w:val="21"/>
                    </w:rPr>
                  </w:pPr>
                  <w:r>
                    <w:rPr>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05" w:type="pct"/>
                  <w:vAlign w:val="center"/>
                </w:tcPr>
                <w:p>
                  <w:pPr>
                    <w:jc w:val="center"/>
                    <w:rPr>
                      <w:szCs w:val="21"/>
                    </w:rPr>
                  </w:pPr>
                  <w:r>
                    <w:rPr>
                      <w:szCs w:val="21"/>
                    </w:rPr>
                    <w:t>6</w:t>
                  </w:r>
                </w:p>
              </w:tc>
              <w:tc>
                <w:tcPr>
                  <w:tcW w:w="2529" w:type="pct"/>
                  <w:vAlign w:val="center"/>
                </w:tcPr>
                <w:p>
                  <w:pPr>
                    <w:jc w:val="center"/>
                    <w:rPr>
                      <w:szCs w:val="21"/>
                    </w:rPr>
                  </w:pPr>
                  <w:r>
                    <w:rPr>
                      <w:szCs w:val="21"/>
                    </w:rPr>
                    <w:t>氨氮（NH</w:t>
                  </w:r>
                  <w:r>
                    <w:rPr>
                      <w:szCs w:val="21"/>
                      <w:vertAlign w:val="subscript"/>
                    </w:rPr>
                    <w:t>3</w:t>
                  </w:r>
                  <w:r>
                    <w:rPr>
                      <w:szCs w:val="21"/>
                    </w:rPr>
                    <w:t>-N）</w:t>
                  </w:r>
                </w:p>
              </w:tc>
              <w:tc>
                <w:tcPr>
                  <w:tcW w:w="1666" w:type="pct"/>
                  <w:vAlign w:val="center"/>
                </w:tcPr>
                <w:p>
                  <w:pPr>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05" w:type="pct"/>
                  <w:vAlign w:val="center"/>
                </w:tcPr>
                <w:p>
                  <w:pPr>
                    <w:jc w:val="center"/>
                    <w:rPr>
                      <w:szCs w:val="21"/>
                    </w:rPr>
                  </w:pPr>
                  <w:r>
                    <w:rPr>
                      <w:szCs w:val="21"/>
                    </w:rPr>
                    <w:t>7</w:t>
                  </w:r>
                </w:p>
              </w:tc>
              <w:tc>
                <w:tcPr>
                  <w:tcW w:w="2529" w:type="pct"/>
                  <w:vAlign w:val="center"/>
                </w:tcPr>
                <w:p>
                  <w:pPr>
                    <w:jc w:val="center"/>
                    <w:rPr>
                      <w:szCs w:val="21"/>
                    </w:rPr>
                  </w:pPr>
                  <w:r>
                    <w:rPr>
                      <w:szCs w:val="21"/>
                    </w:rPr>
                    <w:t>总磷（以P计）</w:t>
                  </w:r>
                </w:p>
              </w:tc>
              <w:tc>
                <w:tcPr>
                  <w:tcW w:w="1666" w:type="pct"/>
                  <w:vAlign w:val="center"/>
                </w:tcPr>
                <w:p>
                  <w:pPr>
                    <w:jc w:val="center"/>
                    <w:rPr>
                      <w:szCs w:val="21"/>
                    </w:rPr>
                  </w:pPr>
                  <w:r>
                    <w:rPr>
                      <w:szCs w:val="21"/>
                    </w:rPr>
                    <w:t>0.2（湖、库0.05）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05" w:type="pct"/>
                  <w:vAlign w:val="center"/>
                </w:tcPr>
                <w:p>
                  <w:pPr>
                    <w:jc w:val="center"/>
                    <w:rPr>
                      <w:szCs w:val="21"/>
                    </w:rPr>
                  </w:pPr>
                  <w:r>
                    <w:rPr>
                      <w:szCs w:val="21"/>
                    </w:rPr>
                    <w:t>8</w:t>
                  </w:r>
                </w:p>
              </w:tc>
              <w:tc>
                <w:tcPr>
                  <w:tcW w:w="2529" w:type="pct"/>
                  <w:vAlign w:val="center"/>
                </w:tcPr>
                <w:p>
                  <w:pPr>
                    <w:jc w:val="center"/>
                    <w:rPr>
                      <w:szCs w:val="21"/>
                    </w:rPr>
                  </w:pPr>
                  <w:r>
                    <w:rPr>
                      <w:szCs w:val="21"/>
                    </w:rPr>
                    <w:t>粪大肠杆菌群（个/L）</w:t>
                  </w:r>
                </w:p>
              </w:tc>
              <w:tc>
                <w:tcPr>
                  <w:tcW w:w="1666" w:type="pct"/>
                  <w:vAlign w:val="center"/>
                </w:tcPr>
                <w:p>
                  <w:pPr>
                    <w:jc w:val="center"/>
                    <w:rPr>
                      <w:szCs w:val="21"/>
                    </w:rPr>
                  </w:pPr>
                  <w:r>
                    <w:rPr>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05" w:type="pct"/>
                  <w:vAlign w:val="center"/>
                </w:tcPr>
                <w:p>
                  <w:pPr>
                    <w:jc w:val="center"/>
                    <w:rPr>
                      <w:szCs w:val="21"/>
                    </w:rPr>
                  </w:pPr>
                  <w:r>
                    <w:rPr>
                      <w:szCs w:val="21"/>
                    </w:rPr>
                    <w:t>9</w:t>
                  </w:r>
                </w:p>
              </w:tc>
              <w:tc>
                <w:tcPr>
                  <w:tcW w:w="2529" w:type="pct"/>
                  <w:vAlign w:val="center"/>
                </w:tcPr>
                <w:p>
                  <w:pPr>
                    <w:jc w:val="center"/>
                    <w:rPr>
                      <w:szCs w:val="21"/>
                    </w:rPr>
                  </w:pPr>
                  <w:r>
                    <w:rPr>
                      <w:szCs w:val="21"/>
                    </w:rPr>
                    <w:t>阴离子表面活性剂</w:t>
                  </w:r>
                </w:p>
              </w:tc>
              <w:tc>
                <w:tcPr>
                  <w:tcW w:w="1666" w:type="pct"/>
                  <w:vAlign w:val="center"/>
                </w:tcPr>
                <w:p>
                  <w:pPr>
                    <w:jc w:val="center"/>
                    <w:rPr>
                      <w:szCs w:val="21"/>
                    </w:rPr>
                  </w:pPr>
                  <w:r>
                    <w:rPr>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Align w:val="center"/>
                </w:tcPr>
                <w:p>
                  <w:pPr>
                    <w:jc w:val="center"/>
                    <w:rPr>
                      <w:szCs w:val="21"/>
                    </w:rPr>
                  </w:pPr>
                  <w:r>
                    <w:rPr>
                      <w:szCs w:val="21"/>
                    </w:rPr>
                    <w:t>10</w:t>
                  </w:r>
                </w:p>
              </w:tc>
              <w:tc>
                <w:tcPr>
                  <w:tcW w:w="2529" w:type="pct"/>
                  <w:vAlign w:val="center"/>
                </w:tcPr>
                <w:p>
                  <w:pPr>
                    <w:jc w:val="center"/>
                    <w:rPr>
                      <w:szCs w:val="21"/>
                    </w:rPr>
                  </w:pPr>
                  <w:r>
                    <w:rPr>
                      <w:szCs w:val="21"/>
                    </w:rPr>
                    <w:t>高锰酸盐指数</w:t>
                  </w:r>
                </w:p>
              </w:tc>
              <w:tc>
                <w:tcPr>
                  <w:tcW w:w="1666" w:type="pct"/>
                  <w:vAlign w:val="center"/>
                </w:tcPr>
                <w:p>
                  <w:pPr>
                    <w:jc w:val="center"/>
                    <w:rPr>
                      <w:szCs w:val="21"/>
                    </w:rPr>
                  </w:pPr>
                  <w:r>
                    <w:rPr>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05" w:type="pct"/>
                  <w:vAlign w:val="center"/>
                </w:tcPr>
                <w:p>
                  <w:pPr>
                    <w:jc w:val="center"/>
                    <w:rPr>
                      <w:szCs w:val="21"/>
                    </w:rPr>
                  </w:pPr>
                  <w:r>
                    <w:rPr>
                      <w:szCs w:val="21"/>
                    </w:rPr>
                    <w:t>11</w:t>
                  </w:r>
                </w:p>
              </w:tc>
              <w:tc>
                <w:tcPr>
                  <w:tcW w:w="2529" w:type="pct"/>
                  <w:vAlign w:val="center"/>
                </w:tcPr>
                <w:p>
                  <w:pPr>
                    <w:jc w:val="center"/>
                    <w:rPr>
                      <w:szCs w:val="21"/>
                    </w:rPr>
                  </w:pPr>
                  <w:r>
                    <w:rPr>
                      <w:szCs w:val="21"/>
                    </w:rPr>
                    <w:t>氟化物</w:t>
                  </w:r>
                </w:p>
              </w:tc>
              <w:tc>
                <w:tcPr>
                  <w:tcW w:w="1666" w:type="pct"/>
                  <w:vAlign w:val="center"/>
                </w:tcPr>
                <w:p>
                  <w:pPr>
                    <w:jc w:val="center"/>
                    <w:rPr>
                      <w:szCs w:val="21"/>
                    </w:rPr>
                  </w:pPr>
                  <w:r>
                    <w:rPr>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05" w:type="pct"/>
                  <w:vAlign w:val="center"/>
                </w:tcPr>
                <w:p>
                  <w:pPr>
                    <w:jc w:val="center"/>
                    <w:rPr>
                      <w:szCs w:val="21"/>
                    </w:rPr>
                  </w:pPr>
                  <w:r>
                    <w:rPr>
                      <w:szCs w:val="21"/>
                    </w:rPr>
                    <w:t>12</w:t>
                  </w:r>
                </w:p>
              </w:tc>
              <w:tc>
                <w:tcPr>
                  <w:tcW w:w="2529" w:type="pct"/>
                  <w:vAlign w:val="center"/>
                </w:tcPr>
                <w:p>
                  <w:pPr>
                    <w:jc w:val="center"/>
                    <w:rPr>
                      <w:szCs w:val="21"/>
                    </w:rPr>
                  </w:pPr>
                  <w:r>
                    <w:rPr>
                      <w:szCs w:val="21"/>
                    </w:rPr>
                    <w:t>挥发酚</w:t>
                  </w:r>
                </w:p>
              </w:tc>
              <w:tc>
                <w:tcPr>
                  <w:tcW w:w="1666" w:type="pct"/>
                  <w:vAlign w:val="center"/>
                </w:tcPr>
                <w:p>
                  <w:pPr>
                    <w:jc w:val="center"/>
                    <w:rPr>
                      <w:szCs w:val="21"/>
                    </w:rPr>
                  </w:pPr>
                  <w:r>
                    <w:rPr>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05" w:type="pct"/>
                  <w:vAlign w:val="center"/>
                </w:tcPr>
                <w:p>
                  <w:pPr>
                    <w:jc w:val="center"/>
                    <w:rPr>
                      <w:szCs w:val="21"/>
                    </w:rPr>
                  </w:pPr>
                  <w:r>
                    <w:rPr>
                      <w:szCs w:val="21"/>
                    </w:rPr>
                    <w:t>13</w:t>
                  </w:r>
                </w:p>
              </w:tc>
              <w:tc>
                <w:tcPr>
                  <w:tcW w:w="2529" w:type="pct"/>
                  <w:vAlign w:val="center"/>
                </w:tcPr>
                <w:p>
                  <w:pPr>
                    <w:jc w:val="center"/>
                    <w:rPr>
                      <w:szCs w:val="21"/>
                    </w:rPr>
                  </w:pPr>
                  <w:r>
                    <w:rPr>
                      <w:szCs w:val="21"/>
                    </w:rPr>
                    <w:t>硫化物</w:t>
                  </w:r>
                </w:p>
              </w:tc>
              <w:tc>
                <w:tcPr>
                  <w:tcW w:w="1666" w:type="pct"/>
                  <w:vAlign w:val="center"/>
                </w:tcPr>
                <w:p>
                  <w:pPr>
                    <w:jc w:val="center"/>
                    <w:rPr>
                      <w:szCs w:val="21"/>
                    </w:rPr>
                  </w:pPr>
                  <w:r>
                    <w:rPr>
                      <w:szCs w:val="21"/>
                    </w:rPr>
                    <w:t>0.2</w:t>
                  </w:r>
                </w:p>
              </w:tc>
            </w:tr>
          </w:tbl>
          <w:p>
            <w:pPr>
              <w:spacing w:line="360" w:lineRule="auto"/>
              <w:ind w:firstLine="480" w:firstLineChars="200"/>
              <w:rPr>
                <w:sz w:val="24"/>
              </w:rPr>
            </w:pPr>
            <w:r>
              <w:rPr>
                <w:rFonts w:hint="eastAsia"/>
                <w:sz w:val="24"/>
              </w:rPr>
              <w:t>根据《2</w:t>
            </w:r>
            <w:r>
              <w:rPr>
                <w:sz w:val="24"/>
              </w:rPr>
              <w:t>021</w:t>
            </w:r>
            <w:r>
              <w:rPr>
                <w:rFonts w:hint="eastAsia"/>
                <w:sz w:val="24"/>
              </w:rPr>
              <w:t>昆明市生态环境状况公报》，小江与2</w:t>
            </w:r>
            <w:r>
              <w:rPr>
                <w:sz w:val="24"/>
              </w:rPr>
              <w:t>020</w:t>
            </w:r>
            <w:r>
              <w:rPr>
                <w:rFonts w:hint="eastAsia"/>
                <w:sz w:val="24"/>
              </w:rPr>
              <w:t>年相比，四级站断面水质类别由Ⅲ类提升至Ⅱ类，阿旺（姑海）断面水质类别保持Ⅱ类不变。</w:t>
            </w:r>
          </w:p>
          <w:p>
            <w:pPr>
              <w:spacing w:line="360" w:lineRule="auto"/>
              <w:ind w:firstLine="480" w:firstLineChars="200"/>
              <w:rPr>
                <w:sz w:val="24"/>
              </w:rPr>
            </w:pPr>
            <w:r>
              <w:rPr>
                <w:rFonts w:hint="eastAsia"/>
                <w:sz w:val="24"/>
              </w:rPr>
              <w:t>因此项目区域地表水环境能满足《地表水环境质量标准》（G</w:t>
            </w:r>
            <w:r>
              <w:rPr>
                <w:sz w:val="24"/>
              </w:rPr>
              <w:t>B3838</w:t>
            </w:r>
            <w:r>
              <w:rPr>
                <w:rFonts w:hint="eastAsia"/>
                <w:sz w:val="24"/>
              </w:rPr>
              <w:t>-</w:t>
            </w:r>
            <w:r>
              <w:rPr>
                <w:sz w:val="24"/>
              </w:rPr>
              <w:t>2002</w:t>
            </w:r>
            <w:r>
              <w:rPr>
                <w:rFonts w:hint="eastAsia"/>
                <w:sz w:val="24"/>
              </w:rPr>
              <w:t>）Ⅲ类水质要求。</w:t>
            </w:r>
          </w:p>
          <w:p>
            <w:pPr>
              <w:spacing w:line="360" w:lineRule="auto"/>
              <w:rPr>
                <w:b/>
                <w:bCs/>
                <w:sz w:val="24"/>
              </w:rPr>
            </w:pPr>
            <w:r>
              <w:rPr>
                <w:rFonts w:hint="eastAsia"/>
                <w:b/>
                <w:bCs/>
                <w:sz w:val="24"/>
              </w:rPr>
              <w:t>3、声环境质量现状</w:t>
            </w:r>
          </w:p>
          <w:p>
            <w:pPr>
              <w:spacing w:line="360" w:lineRule="auto"/>
              <w:ind w:firstLine="480" w:firstLineChars="200"/>
              <w:rPr>
                <w:sz w:val="24"/>
              </w:rPr>
            </w:pPr>
            <w:r>
              <w:rPr>
                <w:rFonts w:hint="eastAsia"/>
                <w:sz w:val="24"/>
              </w:rPr>
              <w:t>根据《声环境质量标准》（G</w:t>
            </w:r>
            <w:r>
              <w:rPr>
                <w:sz w:val="24"/>
              </w:rPr>
              <w:t>B3096-2008</w:t>
            </w:r>
            <w:r>
              <w:rPr>
                <w:rFonts w:hint="eastAsia"/>
                <w:sz w:val="24"/>
              </w:rPr>
              <w:t>）中声环境功能区分类，根据东川声功能区划，建设项目所在区域属于</w:t>
            </w:r>
            <w:r>
              <w:rPr>
                <w:sz w:val="24"/>
              </w:rPr>
              <w:t>2</w:t>
            </w:r>
            <w:r>
              <w:rPr>
                <w:rFonts w:hint="eastAsia"/>
                <w:sz w:val="24"/>
              </w:rPr>
              <w:t>类声环境功能区，执行《声环境质量标准》（</w:t>
            </w:r>
            <w:r>
              <w:rPr>
                <w:sz w:val="24"/>
              </w:rPr>
              <w:t>GB3096-2008</w:t>
            </w:r>
            <w:r>
              <w:rPr>
                <w:rFonts w:hint="eastAsia"/>
                <w:sz w:val="24"/>
              </w:rPr>
              <w:t>）2类标准，根据现场调查，本项目厂界外东侧3</w:t>
            </w:r>
            <w:r>
              <w:rPr>
                <w:sz w:val="24"/>
              </w:rPr>
              <w:t>5m</w:t>
            </w:r>
            <w:r>
              <w:rPr>
                <w:rFonts w:hint="eastAsia"/>
                <w:sz w:val="24"/>
              </w:rPr>
              <w:t>有8户格勒村小坡组散户，执行《声环境质量标准》（</w:t>
            </w:r>
            <w:r>
              <w:rPr>
                <w:sz w:val="24"/>
              </w:rPr>
              <w:t>GB3096-2008</w:t>
            </w:r>
            <w:r>
              <w:rPr>
                <w:rFonts w:hint="eastAsia"/>
                <w:sz w:val="24"/>
              </w:rPr>
              <w:t>）2类标准，具体标准限值见表3-</w:t>
            </w:r>
            <w:r>
              <w:rPr>
                <w:sz w:val="24"/>
              </w:rPr>
              <w:t>4</w:t>
            </w:r>
            <w:r>
              <w:rPr>
                <w:rFonts w:hint="eastAsia"/>
                <w:sz w:val="24"/>
              </w:rPr>
              <w:t>。</w:t>
            </w:r>
          </w:p>
          <w:p>
            <w:pPr>
              <w:spacing w:line="360" w:lineRule="auto"/>
              <w:jc w:val="center"/>
              <w:rPr>
                <w:b/>
                <w:bCs/>
                <w:szCs w:val="21"/>
              </w:rPr>
            </w:pPr>
            <w:r>
              <w:rPr>
                <w:rFonts w:hint="eastAsia"/>
                <w:b/>
                <w:bCs/>
                <w:szCs w:val="21"/>
              </w:rPr>
              <w:t>表3-</w:t>
            </w:r>
            <w:r>
              <w:rPr>
                <w:b/>
                <w:bCs/>
                <w:szCs w:val="21"/>
              </w:rPr>
              <w:t xml:space="preserve">4  </w:t>
            </w:r>
            <w:r>
              <w:rPr>
                <w:rFonts w:hint="eastAsia"/>
                <w:b/>
                <w:bCs/>
                <w:szCs w:val="21"/>
              </w:rPr>
              <w:t xml:space="preserve">声环境质量标准 </w:t>
            </w:r>
            <w:r>
              <w:rPr>
                <w:b/>
                <w:bCs/>
                <w:szCs w:val="21"/>
              </w:rPr>
              <w:t xml:space="preserve"> </w:t>
            </w:r>
            <w:r>
              <w:rPr>
                <w:rFonts w:hint="eastAsia"/>
                <w:b/>
                <w:bCs/>
                <w:szCs w:val="21"/>
              </w:rPr>
              <w:t>单位：d</w:t>
            </w:r>
            <w:r>
              <w:rPr>
                <w:b/>
                <w:bCs/>
                <w:szCs w:val="21"/>
              </w:rPr>
              <w:t>B</w:t>
            </w:r>
            <w:r>
              <w:rPr>
                <w:rFonts w:hint="eastAsia"/>
                <w:b/>
                <w:bCs/>
                <w:szCs w:val="21"/>
              </w:rPr>
              <w:t>（A）</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3"/>
              <w:gridCol w:w="2605"/>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05" w:type="dxa"/>
                  <w:vMerge w:val="restart"/>
                  <w:vAlign w:val="center"/>
                </w:tcPr>
                <w:p>
                  <w:pPr>
                    <w:jc w:val="center"/>
                    <w:rPr>
                      <w:szCs w:val="21"/>
                    </w:rPr>
                  </w:pPr>
                  <w:r>
                    <w:rPr>
                      <w:szCs w:val="21"/>
                    </w:rPr>
                    <w:t>类别</w:t>
                  </w:r>
                </w:p>
              </w:tc>
              <w:tc>
                <w:tcPr>
                  <w:tcW w:w="6612" w:type="dxa"/>
                  <w:gridSpan w:val="2"/>
                  <w:vAlign w:val="center"/>
                </w:tcPr>
                <w:p>
                  <w:pPr>
                    <w:jc w:val="center"/>
                    <w:rPr>
                      <w:szCs w:val="21"/>
                    </w:rPr>
                  </w:pPr>
                  <w:r>
                    <w:rPr>
                      <w:szCs w:val="21"/>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05" w:type="dxa"/>
                  <w:vMerge w:val="continue"/>
                  <w:vAlign w:val="center"/>
                </w:tcPr>
                <w:p>
                  <w:pPr>
                    <w:jc w:val="center"/>
                    <w:rPr>
                      <w:szCs w:val="21"/>
                    </w:rPr>
                  </w:pPr>
                </w:p>
              </w:tc>
              <w:tc>
                <w:tcPr>
                  <w:tcW w:w="3306" w:type="dxa"/>
                  <w:vAlign w:val="center"/>
                </w:tcPr>
                <w:p>
                  <w:pPr>
                    <w:jc w:val="center"/>
                    <w:rPr>
                      <w:szCs w:val="21"/>
                    </w:rPr>
                  </w:pPr>
                  <w:r>
                    <w:rPr>
                      <w:szCs w:val="21"/>
                    </w:rPr>
                    <w:t>昼间</w:t>
                  </w:r>
                </w:p>
              </w:tc>
              <w:tc>
                <w:tcPr>
                  <w:tcW w:w="3306" w:type="dxa"/>
                  <w:vAlign w:val="center"/>
                </w:tcPr>
                <w:p>
                  <w:pPr>
                    <w:jc w:val="center"/>
                    <w:rPr>
                      <w:szCs w:val="21"/>
                    </w:rPr>
                  </w:pPr>
                  <w:r>
                    <w:rPr>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05" w:type="dxa"/>
                  <w:vAlign w:val="center"/>
                </w:tcPr>
                <w:p>
                  <w:pPr>
                    <w:jc w:val="center"/>
                    <w:rPr>
                      <w:szCs w:val="21"/>
                    </w:rPr>
                  </w:pPr>
                  <w:r>
                    <w:rPr>
                      <w:szCs w:val="21"/>
                    </w:rPr>
                    <w:t>2类</w:t>
                  </w:r>
                </w:p>
              </w:tc>
              <w:tc>
                <w:tcPr>
                  <w:tcW w:w="3306" w:type="dxa"/>
                  <w:vAlign w:val="center"/>
                </w:tcPr>
                <w:p>
                  <w:pPr>
                    <w:jc w:val="center"/>
                    <w:rPr>
                      <w:szCs w:val="21"/>
                    </w:rPr>
                  </w:pPr>
                  <w:r>
                    <w:rPr>
                      <w:szCs w:val="21"/>
                    </w:rPr>
                    <w:t>60</w:t>
                  </w:r>
                </w:p>
              </w:tc>
              <w:tc>
                <w:tcPr>
                  <w:tcW w:w="3306" w:type="dxa"/>
                  <w:vAlign w:val="center"/>
                </w:tcPr>
                <w:p>
                  <w:pPr>
                    <w:jc w:val="center"/>
                    <w:rPr>
                      <w:szCs w:val="21"/>
                    </w:rPr>
                  </w:pPr>
                  <w:r>
                    <w:rPr>
                      <w:szCs w:val="21"/>
                    </w:rPr>
                    <w:t>50</w:t>
                  </w:r>
                </w:p>
              </w:tc>
            </w:tr>
          </w:tbl>
          <w:p>
            <w:pPr>
              <w:spacing w:line="360" w:lineRule="auto"/>
              <w:ind w:firstLine="480" w:firstLineChars="200"/>
              <w:rPr>
                <w:sz w:val="24"/>
              </w:rPr>
            </w:pPr>
            <w:r>
              <w:rPr>
                <w:sz w:val="24"/>
              </w:rPr>
              <w:t>为了解项目所在地声环境质量现状，建设单位委托云南天籁环保科技有限公司于</w:t>
            </w:r>
            <w:r>
              <w:rPr>
                <w:color w:val="000000" w:themeColor="text1"/>
                <w:sz w:val="24"/>
                <w14:textFill>
                  <w14:solidFill>
                    <w14:schemeClr w14:val="tx1"/>
                  </w14:solidFill>
                </w14:textFill>
              </w:rPr>
              <w:t>2022年08月24日-25日</w:t>
            </w:r>
            <w:r>
              <w:rPr>
                <w:sz w:val="24"/>
              </w:rPr>
              <w:t>对项目区厂界四周声环境质量现状进行检测，监测结果见下表，监测报告见附件4，监测点位详见附图</w:t>
            </w:r>
            <w:r>
              <w:rPr>
                <w:rFonts w:hint="eastAsia"/>
                <w:sz w:val="24"/>
              </w:rPr>
              <w:t>5</w:t>
            </w:r>
            <w:r>
              <w:rPr>
                <w:sz w:val="24"/>
              </w:rPr>
              <w:t>。</w:t>
            </w:r>
          </w:p>
          <w:p>
            <w:pPr>
              <w:spacing w:line="360" w:lineRule="auto"/>
              <w:jc w:val="center"/>
              <w:rPr>
                <w:b/>
                <w:bCs/>
                <w:szCs w:val="21"/>
              </w:rPr>
            </w:pPr>
            <w:r>
              <w:rPr>
                <w:rFonts w:hint="eastAsia"/>
                <w:b/>
                <w:bCs/>
                <w:szCs w:val="21"/>
              </w:rPr>
              <w:t>表3-</w:t>
            </w:r>
            <w:r>
              <w:rPr>
                <w:b/>
                <w:bCs/>
                <w:szCs w:val="21"/>
              </w:rPr>
              <w:t xml:space="preserve">5  </w:t>
            </w:r>
            <w:r>
              <w:rPr>
                <w:rFonts w:hint="eastAsia"/>
                <w:b/>
                <w:bCs/>
                <w:szCs w:val="21"/>
              </w:rPr>
              <w:t xml:space="preserve">声环境质量监测结果一览表 </w:t>
            </w:r>
            <w:r>
              <w:rPr>
                <w:b/>
                <w:bCs/>
                <w:szCs w:val="21"/>
              </w:rPr>
              <w:t xml:space="preserve"> </w:t>
            </w:r>
            <w:r>
              <w:rPr>
                <w:rFonts w:hint="eastAsia"/>
                <w:b/>
                <w:bCs/>
                <w:szCs w:val="21"/>
              </w:rPr>
              <w:t>单位：d</w:t>
            </w:r>
            <w:r>
              <w:rPr>
                <w:b/>
                <w:bCs/>
                <w:szCs w:val="21"/>
              </w:rPr>
              <w:t>B</w:t>
            </w:r>
            <w:r>
              <w:rPr>
                <w:rFonts w:hint="eastAsia"/>
                <w:b/>
                <w:bCs/>
                <w:szCs w:val="21"/>
              </w:rPr>
              <w:t>（A）</w:t>
            </w:r>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5"/>
              <w:gridCol w:w="1486"/>
              <w:gridCol w:w="1188"/>
              <w:gridCol w:w="1277"/>
              <w:gridCol w:w="1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4" w:type="pct"/>
                  <w:vAlign w:val="center"/>
                </w:tcPr>
                <w:p>
                  <w:pPr>
                    <w:spacing w:line="360" w:lineRule="auto"/>
                    <w:jc w:val="center"/>
                    <w:rPr>
                      <w:b/>
                      <w:bCs/>
                      <w:szCs w:val="21"/>
                    </w:rPr>
                  </w:pPr>
                  <w:r>
                    <w:rPr>
                      <w:rFonts w:hint="eastAsia"/>
                      <w:b/>
                      <w:bCs/>
                      <w:szCs w:val="21"/>
                    </w:rPr>
                    <w:t>检测时间</w:t>
                  </w:r>
                </w:p>
              </w:tc>
              <w:tc>
                <w:tcPr>
                  <w:tcW w:w="951" w:type="pct"/>
                  <w:vAlign w:val="center"/>
                </w:tcPr>
                <w:p>
                  <w:pPr>
                    <w:spacing w:line="360" w:lineRule="auto"/>
                    <w:jc w:val="center"/>
                    <w:rPr>
                      <w:b/>
                      <w:bCs/>
                      <w:szCs w:val="21"/>
                    </w:rPr>
                  </w:pPr>
                  <w:r>
                    <w:rPr>
                      <w:rFonts w:hint="eastAsia"/>
                      <w:b/>
                      <w:bCs/>
                      <w:szCs w:val="21"/>
                    </w:rPr>
                    <w:t>检测点位</w:t>
                  </w:r>
                </w:p>
              </w:tc>
              <w:tc>
                <w:tcPr>
                  <w:tcW w:w="760" w:type="pct"/>
                  <w:vAlign w:val="center"/>
                </w:tcPr>
                <w:p>
                  <w:pPr>
                    <w:spacing w:line="360" w:lineRule="auto"/>
                    <w:jc w:val="center"/>
                    <w:rPr>
                      <w:b/>
                      <w:bCs/>
                      <w:szCs w:val="21"/>
                    </w:rPr>
                  </w:pPr>
                  <w:r>
                    <w:rPr>
                      <w:rFonts w:hint="eastAsia"/>
                      <w:b/>
                      <w:bCs/>
                      <w:szCs w:val="21"/>
                    </w:rPr>
                    <w:t>昼间</w:t>
                  </w:r>
                </w:p>
              </w:tc>
              <w:tc>
                <w:tcPr>
                  <w:tcW w:w="817" w:type="pct"/>
                  <w:vAlign w:val="center"/>
                </w:tcPr>
                <w:p>
                  <w:pPr>
                    <w:spacing w:line="360" w:lineRule="auto"/>
                    <w:jc w:val="center"/>
                    <w:rPr>
                      <w:b/>
                      <w:bCs/>
                      <w:szCs w:val="21"/>
                    </w:rPr>
                  </w:pPr>
                  <w:r>
                    <w:rPr>
                      <w:rFonts w:hint="eastAsia"/>
                      <w:b/>
                      <w:bCs/>
                      <w:szCs w:val="21"/>
                    </w:rPr>
                    <w:t>夜间</w:t>
                  </w:r>
                </w:p>
              </w:tc>
              <w:tc>
                <w:tcPr>
                  <w:tcW w:w="1137" w:type="pct"/>
                </w:tcPr>
                <w:p>
                  <w:pPr>
                    <w:spacing w:line="360" w:lineRule="auto"/>
                    <w:jc w:val="center"/>
                    <w:rPr>
                      <w:b/>
                      <w:bCs/>
                      <w:szCs w:val="21"/>
                    </w:rPr>
                  </w:pPr>
                  <w:r>
                    <w:rPr>
                      <w:rFonts w:hint="eastAsia"/>
                      <w:b/>
                      <w:bCs/>
                      <w:szCs w:val="21"/>
                    </w:rPr>
                    <w:t>主要声源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4" w:type="pct"/>
                  <w:vMerge w:val="restart"/>
                  <w:vAlign w:val="center"/>
                </w:tcPr>
                <w:p>
                  <w:pPr>
                    <w:spacing w:line="360" w:lineRule="auto"/>
                    <w:jc w:val="center"/>
                    <w:rPr>
                      <w:b/>
                      <w:bCs/>
                      <w:szCs w:val="21"/>
                    </w:rPr>
                  </w:pPr>
                  <w:r>
                    <w:rPr>
                      <w:rFonts w:hint="eastAsia"/>
                      <w:b/>
                      <w:bCs/>
                      <w:szCs w:val="21"/>
                    </w:rPr>
                    <w:t>2</w:t>
                  </w:r>
                  <w:r>
                    <w:rPr>
                      <w:b/>
                      <w:bCs/>
                      <w:szCs w:val="21"/>
                    </w:rPr>
                    <w:t>022.8.24</w:t>
                  </w:r>
                </w:p>
              </w:tc>
              <w:tc>
                <w:tcPr>
                  <w:tcW w:w="951" w:type="pct"/>
                  <w:vAlign w:val="center"/>
                </w:tcPr>
                <w:p>
                  <w:pPr>
                    <w:spacing w:line="360" w:lineRule="auto"/>
                    <w:jc w:val="center"/>
                    <w:rPr>
                      <w:szCs w:val="21"/>
                    </w:rPr>
                  </w:pPr>
                  <w:r>
                    <w:rPr>
                      <w:rFonts w:hint="eastAsia"/>
                      <w:szCs w:val="21"/>
                    </w:rPr>
                    <w:t>厂界东侧</w:t>
                  </w:r>
                </w:p>
              </w:tc>
              <w:tc>
                <w:tcPr>
                  <w:tcW w:w="760" w:type="pct"/>
                  <w:vAlign w:val="center"/>
                </w:tcPr>
                <w:p>
                  <w:pPr>
                    <w:spacing w:line="360" w:lineRule="auto"/>
                    <w:jc w:val="center"/>
                    <w:rPr>
                      <w:szCs w:val="21"/>
                    </w:rPr>
                  </w:pPr>
                  <w:r>
                    <w:rPr>
                      <w:rFonts w:hint="eastAsia"/>
                      <w:szCs w:val="21"/>
                    </w:rPr>
                    <w:t>5</w:t>
                  </w:r>
                  <w:r>
                    <w:rPr>
                      <w:szCs w:val="21"/>
                    </w:rPr>
                    <w:t>6.3</w:t>
                  </w:r>
                </w:p>
              </w:tc>
              <w:tc>
                <w:tcPr>
                  <w:tcW w:w="817" w:type="pct"/>
                  <w:vAlign w:val="center"/>
                </w:tcPr>
                <w:p>
                  <w:pPr>
                    <w:spacing w:line="360" w:lineRule="auto"/>
                    <w:jc w:val="center"/>
                    <w:rPr>
                      <w:szCs w:val="21"/>
                    </w:rPr>
                  </w:pPr>
                  <w:r>
                    <w:rPr>
                      <w:rFonts w:hint="eastAsia"/>
                      <w:szCs w:val="21"/>
                    </w:rPr>
                    <w:t>4</w:t>
                  </w:r>
                  <w:r>
                    <w:rPr>
                      <w:szCs w:val="21"/>
                    </w:rPr>
                    <w:t>5.8</w:t>
                  </w:r>
                </w:p>
              </w:tc>
              <w:tc>
                <w:tcPr>
                  <w:tcW w:w="1137" w:type="pct"/>
                </w:tcPr>
                <w:p>
                  <w:pPr>
                    <w:spacing w:line="360" w:lineRule="auto"/>
                    <w:jc w:val="center"/>
                    <w:rPr>
                      <w:szCs w:val="21"/>
                    </w:rPr>
                  </w:pPr>
                  <w:r>
                    <w:rPr>
                      <w:rFonts w:hint="eastAsia"/>
                      <w:szCs w:val="21"/>
                    </w:rPr>
                    <w:t>生产、生活噪声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4" w:type="pct"/>
                  <w:vMerge w:val="continue"/>
                  <w:vAlign w:val="center"/>
                </w:tcPr>
                <w:p>
                  <w:pPr>
                    <w:spacing w:line="360" w:lineRule="auto"/>
                    <w:jc w:val="center"/>
                    <w:rPr>
                      <w:b/>
                      <w:bCs/>
                      <w:szCs w:val="21"/>
                    </w:rPr>
                  </w:pPr>
                </w:p>
              </w:tc>
              <w:tc>
                <w:tcPr>
                  <w:tcW w:w="951" w:type="pct"/>
                </w:tcPr>
                <w:p>
                  <w:pPr>
                    <w:jc w:val="center"/>
                  </w:pPr>
                  <w:r>
                    <w:rPr>
                      <w:rFonts w:hint="eastAsia"/>
                    </w:rPr>
                    <w:t>厂界南侧</w:t>
                  </w:r>
                </w:p>
              </w:tc>
              <w:tc>
                <w:tcPr>
                  <w:tcW w:w="760" w:type="pct"/>
                  <w:vAlign w:val="center"/>
                </w:tcPr>
                <w:p>
                  <w:pPr>
                    <w:spacing w:line="360" w:lineRule="auto"/>
                    <w:jc w:val="center"/>
                    <w:rPr>
                      <w:szCs w:val="21"/>
                    </w:rPr>
                  </w:pPr>
                  <w:r>
                    <w:rPr>
                      <w:rFonts w:hint="eastAsia"/>
                      <w:szCs w:val="21"/>
                    </w:rPr>
                    <w:t>5</w:t>
                  </w:r>
                  <w:r>
                    <w:rPr>
                      <w:szCs w:val="21"/>
                    </w:rPr>
                    <w:t>8.9</w:t>
                  </w:r>
                </w:p>
              </w:tc>
              <w:tc>
                <w:tcPr>
                  <w:tcW w:w="817" w:type="pct"/>
                  <w:vAlign w:val="center"/>
                </w:tcPr>
                <w:p>
                  <w:pPr>
                    <w:spacing w:line="360" w:lineRule="auto"/>
                    <w:jc w:val="center"/>
                    <w:rPr>
                      <w:szCs w:val="21"/>
                    </w:rPr>
                  </w:pPr>
                  <w:r>
                    <w:rPr>
                      <w:rFonts w:hint="eastAsia"/>
                      <w:szCs w:val="21"/>
                    </w:rPr>
                    <w:t>4</w:t>
                  </w:r>
                  <w:r>
                    <w:rPr>
                      <w:szCs w:val="21"/>
                    </w:rPr>
                    <w:t>8.7</w:t>
                  </w:r>
                </w:p>
              </w:tc>
              <w:tc>
                <w:tcPr>
                  <w:tcW w:w="1137" w:type="pct"/>
                </w:tcPr>
                <w:p>
                  <w:pPr>
                    <w:spacing w:line="360" w:lineRule="auto"/>
                    <w:jc w:val="center"/>
                    <w:rPr>
                      <w:szCs w:val="21"/>
                    </w:rPr>
                  </w:pPr>
                  <w:r>
                    <w:rPr>
                      <w:rFonts w:hint="eastAsia"/>
                      <w:szCs w:val="21"/>
                    </w:rPr>
                    <w:t>生产、生活噪声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4" w:type="pct"/>
                  <w:vMerge w:val="continue"/>
                  <w:vAlign w:val="center"/>
                </w:tcPr>
                <w:p>
                  <w:pPr>
                    <w:spacing w:line="360" w:lineRule="auto"/>
                    <w:jc w:val="center"/>
                    <w:rPr>
                      <w:b/>
                      <w:bCs/>
                      <w:szCs w:val="21"/>
                    </w:rPr>
                  </w:pPr>
                </w:p>
              </w:tc>
              <w:tc>
                <w:tcPr>
                  <w:tcW w:w="951" w:type="pct"/>
                </w:tcPr>
                <w:p>
                  <w:pPr>
                    <w:jc w:val="center"/>
                  </w:pPr>
                  <w:r>
                    <w:rPr>
                      <w:rFonts w:hint="eastAsia"/>
                    </w:rPr>
                    <w:t>厂界西侧</w:t>
                  </w:r>
                </w:p>
              </w:tc>
              <w:tc>
                <w:tcPr>
                  <w:tcW w:w="760" w:type="pct"/>
                  <w:vAlign w:val="center"/>
                </w:tcPr>
                <w:p>
                  <w:pPr>
                    <w:spacing w:line="360" w:lineRule="auto"/>
                    <w:jc w:val="center"/>
                    <w:rPr>
                      <w:szCs w:val="21"/>
                    </w:rPr>
                  </w:pPr>
                  <w:r>
                    <w:rPr>
                      <w:rFonts w:hint="eastAsia"/>
                      <w:szCs w:val="21"/>
                    </w:rPr>
                    <w:t>5</w:t>
                  </w:r>
                  <w:r>
                    <w:rPr>
                      <w:szCs w:val="21"/>
                    </w:rPr>
                    <w:t>7.0</w:t>
                  </w:r>
                </w:p>
              </w:tc>
              <w:tc>
                <w:tcPr>
                  <w:tcW w:w="817" w:type="pct"/>
                  <w:vAlign w:val="center"/>
                </w:tcPr>
                <w:p>
                  <w:pPr>
                    <w:spacing w:line="360" w:lineRule="auto"/>
                    <w:jc w:val="center"/>
                    <w:rPr>
                      <w:szCs w:val="21"/>
                    </w:rPr>
                  </w:pPr>
                  <w:r>
                    <w:rPr>
                      <w:rFonts w:hint="eastAsia"/>
                      <w:szCs w:val="21"/>
                    </w:rPr>
                    <w:t>4</w:t>
                  </w:r>
                  <w:r>
                    <w:rPr>
                      <w:szCs w:val="21"/>
                    </w:rPr>
                    <w:t>3.9</w:t>
                  </w:r>
                </w:p>
              </w:tc>
              <w:tc>
                <w:tcPr>
                  <w:tcW w:w="1137" w:type="pct"/>
                </w:tcPr>
                <w:p>
                  <w:pPr>
                    <w:spacing w:line="360" w:lineRule="auto"/>
                    <w:jc w:val="center"/>
                    <w:rPr>
                      <w:szCs w:val="21"/>
                    </w:rPr>
                  </w:pPr>
                  <w:r>
                    <w:rPr>
                      <w:rFonts w:hint="eastAsia"/>
                      <w:szCs w:val="21"/>
                    </w:rPr>
                    <w:t>生产、生活噪声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4" w:type="pct"/>
                  <w:vMerge w:val="continue"/>
                  <w:vAlign w:val="center"/>
                </w:tcPr>
                <w:p>
                  <w:pPr>
                    <w:spacing w:line="360" w:lineRule="auto"/>
                    <w:jc w:val="center"/>
                    <w:rPr>
                      <w:b/>
                      <w:bCs/>
                      <w:szCs w:val="21"/>
                    </w:rPr>
                  </w:pPr>
                </w:p>
              </w:tc>
              <w:tc>
                <w:tcPr>
                  <w:tcW w:w="951" w:type="pct"/>
                </w:tcPr>
                <w:p>
                  <w:pPr>
                    <w:jc w:val="center"/>
                  </w:pPr>
                  <w:r>
                    <w:rPr>
                      <w:rFonts w:hint="eastAsia"/>
                    </w:rPr>
                    <w:t>厂界北侧</w:t>
                  </w:r>
                </w:p>
              </w:tc>
              <w:tc>
                <w:tcPr>
                  <w:tcW w:w="760" w:type="pct"/>
                  <w:vAlign w:val="center"/>
                </w:tcPr>
                <w:p>
                  <w:pPr>
                    <w:spacing w:line="360" w:lineRule="auto"/>
                    <w:jc w:val="center"/>
                    <w:rPr>
                      <w:szCs w:val="21"/>
                    </w:rPr>
                  </w:pPr>
                  <w:r>
                    <w:rPr>
                      <w:rFonts w:hint="eastAsia"/>
                      <w:szCs w:val="21"/>
                    </w:rPr>
                    <w:t>5</w:t>
                  </w:r>
                  <w:r>
                    <w:rPr>
                      <w:szCs w:val="21"/>
                    </w:rPr>
                    <w:t>4.7</w:t>
                  </w:r>
                </w:p>
              </w:tc>
              <w:tc>
                <w:tcPr>
                  <w:tcW w:w="817" w:type="pct"/>
                  <w:vAlign w:val="center"/>
                </w:tcPr>
                <w:p>
                  <w:pPr>
                    <w:spacing w:line="360" w:lineRule="auto"/>
                    <w:jc w:val="center"/>
                    <w:rPr>
                      <w:szCs w:val="21"/>
                    </w:rPr>
                  </w:pPr>
                  <w:r>
                    <w:rPr>
                      <w:rFonts w:hint="eastAsia"/>
                      <w:szCs w:val="21"/>
                    </w:rPr>
                    <w:t>4</w:t>
                  </w:r>
                  <w:r>
                    <w:rPr>
                      <w:szCs w:val="21"/>
                    </w:rPr>
                    <w:t>4.2</w:t>
                  </w:r>
                </w:p>
              </w:tc>
              <w:tc>
                <w:tcPr>
                  <w:tcW w:w="1137" w:type="pct"/>
                </w:tcPr>
                <w:p>
                  <w:pPr>
                    <w:spacing w:line="360" w:lineRule="auto"/>
                    <w:jc w:val="center"/>
                    <w:rPr>
                      <w:szCs w:val="21"/>
                    </w:rPr>
                  </w:pPr>
                  <w:r>
                    <w:rPr>
                      <w:rFonts w:hint="eastAsia"/>
                      <w:szCs w:val="21"/>
                    </w:rPr>
                    <w:t>生产、生活噪声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4" w:type="pct"/>
                  <w:vMerge w:val="continue"/>
                  <w:vAlign w:val="center"/>
                </w:tcPr>
                <w:p>
                  <w:pPr>
                    <w:spacing w:line="360" w:lineRule="auto"/>
                    <w:jc w:val="center"/>
                    <w:rPr>
                      <w:b/>
                      <w:bCs/>
                      <w:szCs w:val="21"/>
                    </w:rPr>
                  </w:pPr>
                </w:p>
              </w:tc>
              <w:tc>
                <w:tcPr>
                  <w:tcW w:w="951" w:type="pct"/>
                </w:tcPr>
                <w:p>
                  <w:pPr>
                    <w:jc w:val="center"/>
                  </w:pPr>
                  <w:r>
                    <w:rPr>
                      <w:rFonts w:hint="eastAsia"/>
                    </w:rPr>
                    <w:t>格勒村小坡组散户</w:t>
                  </w:r>
                </w:p>
              </w:tc>
              <w:tc>
                <w:tcPr>
                  <w:tcW w:w="760" w:type="pct"/>
                  <w:vAlign w:val="center"/>
                </w:tcPr>
                <w:p>
                  <w:pPr>
                    <w:spacing w:line="360" w:lineRule="auto"/>
                    <w:jc w:val="center"/>
                    <w:rPr>
                      <w:szCs w:val="21"/>
                    </w:rPr>
                  </w:pPr>
                  <w:r>
                    <w:rPr>
                      <w:rFonts w:hint="eastAsia"/>
                      <w:szCs w:val="21"/>
                    </w:rPr>
                    <w:t>5</w:t>
                  </w:r>
                  <w:r>
                    <w:rPr>
                      <w:szCs w:val="21"/>
                    </w:rPr>
                    <w:t>4.0</w:t>
                  </w:r>
                </w:p>
              </w:tc>
              <w:tc>
                <w:tcPr>
                  <w:tcW w:w="817" w:type="pct"/>
                  <w:vAlign w:val="center"/>
                </w:tcPr>
                <w:p>
                  <w:pPr>
                    <w:spacing w:line="360" w:lineRule="auto"/>
                    <w:jc w:val="center"/>
                    <w:rPr>
                      <w:szCs w:val="21"/>
                    </w:rPr>
                  </w:pPr>
                  <w:r>
                    <w:rPr>
                      <w:rFonts w:hint="eastAsia"/>
                      <w:szCs w:val="21"/>
                    </w:rPr>
                    <w:t>3</w:t>
                  </w:r>
                  <w:r>
                    <w:rPr>
                      <w:szCs w:val="21"/>
                    </w:rPr>
                    <w:t>9.6</w:t>
                  </w:r>
                </w:p>
              </w:tc>
              <w:tc>
                <w:tcPr>
                  <w:tcW w:w="1137" w:type="pct"/>
                </w:tcPr>
                <w:p>
                  <w:pPr>
                    <w:spacing w:line="360" w:lineRule="auto"/>
                    <w:jc w:val="center"/>
                    <w:rPr>
                      <w:szCs w:val="21"/>
                    </w:rPr>
                  </w:pPr>
                  <w:r>
                    <w:rPr>
                      <w:rFonts w:hint="eastAsia"/>
                      <w:szCs w:val="21"/>
                    </w:rPr>
                    <w:t>生产、生活噪声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4" w:type="pct"/>
                  <w:vMerge w:val="restart"/>
                  <w:vAlign w:val="center"/>
                </w:tcPr>
                <w:p>
                  <w:pPr>
                    <w:spacing w:line="360" w:lineRule="auto"/>
                    <w:jc w:val="center"/>
                    <w:rPr>
                      <w:b/>
                      <w:bCs/>
                      <w:szCs w:val="21"/>
                    </w:rPr>
                  </w:pPr>
                  <w:r>
                    <w:rPr>
                      <w:rFonts w:hint="eastAsia"/>
                      <w:b/>
                      <w:bCs/>
                      <w:szCs w:val="21"/>
                    </w:rPr>
                    <w:t>2</w:t>
                  </w:r>
                  <w:r>
                    <w:rPr>
                      <w:b/>
                      <w:bCs/>
                      <w:szCs w:val="21"/>
                    </w:rPr>
                    <w:t>022.8.25</w:t>
                  </w:r>
                </w:p>
              </w:tc>
              <w:tc>
                <w:tcPr>
                  <w:tcW w:w="951" w:type="pct"/>
                </w:tcPr>
                <w:p>
                  <w:pPr>
                    <w:jc w:val="center"/>
                  </w:pPr>
                  <w:r>
                    <w:rPr>
                      <w:rFonts w:hint="eastAsia"/>
                    </w:rPr>
                    <w:t>厂界东侧</w:t>
                  </w:r>
                </w:p>
              </w:tc>
              <w:tc>
                <w:tcPr>
                  <w:tcW w:w="760" w:type="pct"/>
                  <w:vAlign w:val="center"/>
                </w:tcPr>
                <w:p>
                  <w:pPr>
                    <w:spacing w:line="360" w:lineRule="auto"/>
                    <w:jc w:val="center"/>
                    <w:rPr>
                      <w:szCs w:val="21"/>
                    </w:rPr>
                  </w:pPr>
                  <w:r>
                    <w:rPr>
                      <w:rFonts w:hint="eastAsia"/>
                      <w:szCs w:val="21"/>
                    </w:rPr>
                    <w:t>5</w:t>
                  </w:r>
                  <w:r>
                    <w:rPr>
                      <w:szCs w:val="21"/>
                    </w:rPr>
                    <w:t>5.5</w:t>
                  </w:r>
                </w:p>
              </w:tc>
              <w:tc>
                <w:tcPr>
                  <w:tcW w:w="817" w:type="pct"/>
                  <w:vAlign w:val="center"/>
                </w:tcPr>
                <w:p>
                  <w:pPr>
                    <w:spacing w:line="360" w:lineRule="auto"/>
                    <w:jc w:val="center"/>
                    <w:rPr>
                      <w:szCs w:val="21"/>
                    </w:rPr>
                  </w:pPr>
                  <w:r>
                    <w:rPr>
                      <w:rFonts w:hint="eastAsia"/>
                      <w:szCs w:val="21"/>
                    </w:rPr>
                    <w:t>4</w:t>
                  </w:r>
                  <w:r>
                    <w:rPr>
                      <w:szCs w:val="21"/>
                    </w:rPr>
                    <w:t>4.6</w:t>
                  </w:r>
                </w:p>
              </w:tc>
              <w:tc>
                <w:tcPr>
                  <w:tcW w:w="1137" w:type="pct"/>
                </w:tcPr>
                <w:p>
                  <w:pPr>
                    <w:spacing w:line="360" w:lineRule="auto"/>
                    <w:jc w:val="center"/>
                    <w:rPr>
                      <w:szCs w:val="21"/>
                    </w:rPr>
                  </w:pPr>
                  <w:r>
                    <w:rPr>
                      <w:rFonts w:hint="eastAsia"/>
                      <w:szCs w:val="21"/>
                    </w:rPr>
                    <w:t>生产、生活噪声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4" w:type="pct"/>
                  <w:vMerge w:val="continue"/>
                  <w:vAlign w:val="center"/>
                </w:tcPr>
                <w:p>
                  <w:pPr>
                    <w:spacing w:line="360" w:lineRule="auto"/>
                    <w:jc w:val="center"/>
                    <w:rPr>
                      <w:b/>
                      <w:bCs/>
                      <w:szCs w:val="21"/>
                    </w:rPr>
                  </w:pPr>
                </w:p>
              </w:tc>
              <w:tc>
                <w:tcPr>
                  <w:tcW w:w="951" w:type="pct"/>
                </w:tcPr>
                <w:p>
                  <w:pPr>
                    <w:jc w:val="center"/>
                  </w:pPr>
                  <w:r>
                    <w:rPr>
                      <w:rFonts w:hint="eastAsia"/>
                    </w:rPr>
                    <w:t>厂界南侧</w:t>
                  </w:r>
                </w:p>
              </w:tc>
              <w:tc>
                <w:tcPr>
                  <w:tcW w:w="760" w:type="pct"/>
                  <w:vAlign w:val="center"/>
                </w:tcPr>
                <w:p>
                  <w:pPr>
                    <w:spacing w:line="360" w:lineRule="auto"/>
                    <w:jc w:val="center"/>
                    <w:rPr>
                      <w:szCs w:val="21"/>
                    </w:rPr>
                  </w:pPr>
                  <w:r>
                    <w:rPr>
                      <w:rFonts w:hint="eastAsia"/>
                      <w:szCs w:val="21"/>
                    </w:rPr>
                    <w:t>5</w:t>
                  </w:r>
                  <w:r>
                    <w:rPr>
                      <w:szCs w:val="21"/>
                    </w:rPr>
                    <w:t>7.4</w:t>
                  </w:r>
                </w:p>
              </w:tc>
              <w:tc>
                <w:tcPr>
                  <w:tcW w:w="817" w:type="pct"/>
                  <w:vAlign w:val="center"/>
                </w:tcPr>
                <w:p>
                  <w:pPr>
                    <w:spacing w:line="360" w:lineRule="auto"/>
                    <w:jc w:val="center"/>
                    <w:rPr>
                      <w:szCs w:val="21"/>
                    </w:rPr>
                  </w:pPr>
                  <w:r>
                    <w:rPr>
                      <w:rFonts w:hint="eastAsia"/>
                      <w:szCs w:val="21"/>
                    </w:rPr>
                    <w:t>4</w:t>
                  </w:r>
                  <w:r>
                    <w:rPr>
                      <w:szCs w:val="21"/>
                    </w:rPr>
                    <w:t>6.5</w:t>
                  </w:r>
                </w:p>
              </w:tc>
              <w:tc>
                <w:tcPr>
                  <w:tcW w:w="1137" w:type="pct"/>
                </w:tcPr>
                <w:p>
                  <w:pPr>
                    <w:spacing w:line="360" w:lineRule="auto"/>
                    <w:jc w:val="center"/>
                    <w:rPr>
                      <w:szCs w:val="21"/>
                    </w:rPr>
                  </w:pPr>
                  <w:r>
                    <w:rPr>
                      <w:rFonts w:hint="eastAsia"/>
                      <w:szCs w:val="21"/>
                    </w:rPr>
                    <w:t>生产、生活噪声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4" w:type="pct"/>
                  <w:vMerge w:val="continue"/>
                  <w:vAlign w:val="center"/>
                </w:tcPr>
                <w:p>
                  <w:pPr>
                    <w:spacing w:line="360" w:lineRule="auto"/>
                    <w:jc w:val="center"/>
                    <w:rPr>
                      <w:b/>
                      <w:bCs/>
                      <w:szCs w:val="21"/>
                    </w:rPr>
                  </w:pPr>
                </w:p>
              </w:tc>
              <w:tc>
                <w:tcPr>
                  <w:tcW w:w="951" w:type="pct"/>
                </w:tcPr>
                <w:p>
                  <w:pPr>
                    <w:jc w:val="center"/>
                  </w:pPr>
                  <w:r>
                    <w:rPr>
                      <w:rFonts w:hint="eastAsia"/>
                    </w:rPr>
                    <w:t>厂界西侧</w:t>
                  </w:r>
                </w:p>
              </w:tc>
              <w:tc>
                <w:tcPr>
                  <w:tcW w:w="760" w:type="pct"/>
                  <w:vAlign w:val="center"/>
                </w:tcPr>
                <w:p>
                  <w:pPr>
                    <w:spacing w:line="360" w:lineRule="auto"/>
                    <w:jc w:val="center"/>
                    <w:rPr>
                      <w:szCs w:val="21"/>
                    </w:rPr>
                  </w:pPr>
                  <w:r>
                    <w:rPr>
                      <w:rFonts w:hint="eastAsia"/>
                      <w:szCs w:val="21"/>
                    </w:rPr>
                    <w:t>5</w:t>
                  </w:r>
                  <w:r>
                    <w:rPr>
                      <w:szCs w:val="21"/>
                    </w:rPr>
                    <w:t>6.3</w:t>
                  </w:r>
                </w:p>
              </w:tc>
              <w:tc>
                <w:tcPr>
                  <w:tcW w:w="817" w:type="pct"/>
                  <w:vAlign w:val="center"/>
                </w:tcPr>
                <w:p>
                  <w:pPr>
                    <w:spacing w:line="360" w:lineRule="auto"/>
                    <w:jc w:val="center"/>
                    <w:rPr>
                      <w:szCs w:val="21"/>
                    </w:rPr>
                  </w:pPr>
                  <w:r>
                    <w:rPr>
                      <w:rFonts w:hint="eastAsia"/>
                      <w:szCs w:val="21"/>
                    </w:rPr>
                    <w:t>4</w:t>
                  </w:r>
                  <w:r>
                    <w:rPr>
                      <w:szCs w:val="21"/>
                    </w:rPr>
                    <w:t>5.3</w:t>
                  </w:r>
                </w:p>
              </w:tc>
              <w:tc>
                <w:tcPr>
                  <w:tcW w:w="1137" w:type="pct"/>
                </w:tcPr>
                <w:p>
                  <w:pPr>
                    <w:spacing w:line="360" w:lineRule="auto"/>
                    <w:jc w:val="center"/>
                    <w:rPr>
                      <w:szCs w:val="21"/>
                    </w:rPr>
                  </w:pPr>
                  <w:r>
                    <w:rPr>
                      <w:rFonts w:hint="eastAsia"/>
                      <w:szCs w:val="21"/>
                    </w:rPr>
                    <w:t>生产、生活噪声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4" w:type="pct"/>
                  <w:vMerge w:val="continue"/>
                  <w:vAlign w:val="center"/>
                </w:tcPr>
                <w:p>
                  <w:pPr>
                    <w:spacing w:line="360" w:lineRule="auto"/>
                    <w:jc w:val="center"/>
                    <w:rPr>
                      <w:b/>
                      <w:bCs/>
                      <w:szCs w:val="21"/>
                    </w:rPr>
                  </w:pPr>
                </w:p>
              </w:tc>
              <w:tc>
                <w:tcPr>
                  <w:tcW w:w="951" w:type="pct"/>
                </w:tcPr>
                <w:p>
                  <w:pPr>
                    <w:jc w:val="center"/>
                  </w:pPr>
                  <w:r>
                    <w:rPr>
                      <w:rFonts w:hint="eastAsia"/>
                    </w:rPr>
                    <w:t>厂界北侧</w:t>
                  </w:r>
                </w:p>
              </w:tc>
              <w:tc>
                <w:tcPr>
                  <w:tcW w:w="760" w:type="pct"/>
                  <w:vAlign w:val="center"/>
                </w:tcPr>
                <w:p>
                  <w:pPr>
                    <w:spacing w:line="360" w:lineRule="auto"/>
                    <w:jc w:val="center"/>
                    <w:rPr>
                      <w:szCs w:val="21"/>
                    </w:rPr>
                  </w:pPr>
                  <w:r>
                    <w:rPr>
                      <w:rFonts w:hint="eastAsia"/>
                      <w:szCs w:val="21"/>
                    </w:rPr>
                    <w:t>5</w:t>
                  </w:r>
                  <w:r>
                    <w:rPr>
                      <w:szCs w:val="21"/>
                    </w:rPr>
                    <w:t>5.0</w:t>
                  </w:r>
                </w:p>
              </w:tc>
              <w:tc>
                <w:tcPr>
                  <w:tcW w:w="817" w:type="pct"/>
                  <w:vAlign w:val="center"/>
                </w:tcPr>
                <w:p>
                  <w:pPr>
                    <w:spacing w:line="360" w:lineRule="auto"/>
                    <w:jc w:val="center"/>
                    <w:rPr>
                      <w:szCs w:val="21"/>
                    </w:rPr>
                  </w:pPr>
                  <w:r>
                    <w:rPr>
                      <w:rFonts w:hint="eastAsia"/>
                      <w:szCs w:val="21"/>
                    </w:rPr>
                    <w:t>4</w:t>
                  </w:r>
                  <w:r>
                    <w:rPr>
                      <w:szCs w:val="21"/>
                    </w:rPr>
                    <w:t>4.3</w:t>
                  </w:r>
                </w:p>
              </w:tc>
              <w:tc>
                <w:tcPr>
                  <w:tcW w:w="1137" w:type="pct"/>
                </w:tcPr>
                <w:p>
                  <w:pPr>
                    <w:spacing w:line="360" w:lineRule="auto"/>
                    <w:jc w:val="center"/>
                    <w:rPr>
                      <w:szCs w:val="21"/>
                    </w:rPr>
                  </w:pPr>
                  <w:r>
                    <w:rPr>
                      <w:rFonts w:hint="eastAsia"/>
                      <w:szCs w:val="21"/>
                    </w:rPr>
                    <w:t>生产、生活噪声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34" w:type="pct"/>
                  <w:vMerge w:val="continue"/>
                  <w:vAlign w:val="center"/>
                </w:tcPr>
                <w:p>
                  <w:pPr>
                    <w:spacing w:line="360" w:lineRule="auto"/>
                    <w:jc w:val="center"/>
                    <w:rPr>
                      <w:b/>
                      <w:bCs/>
                      <w:szCs w:val="21"/>
                    </w:rPr>
                  </w:pPr>
                </w:p>
              </w:tc>
              <w:tc>
                <w:tcPr>
                  <w:tcW w:w="951" w:type="pct"/>
                </w:tcPr>
                <w:p>
                  <w:pPr>
                    <w:jc w:val="center"/>
                  </w:pPr>
                  <w:r>
                    <w:rPr>
                      <w:rFonts w:hint="eastAsia"/>
                    </w:rPr>
                    <w:t>格勒村小坡组散户</w:t>
                  </w:r>
                </w:p>
              </w:tc>
              <w:tc>
                <w:tcPr>
                  <w:tcW w:w="760" w:type="pct"/>
                  <w:vAlign w:val="center"/>
                </w:tcPr>
                <w:p>
                  <w:pPr>
                    <w:spacing w:line="360" w:lineRule="auto"/>
                    <w:jc w:val="center"/>
                    <w:rPr>
                      <w:szCs w:val="21"/>
                    </w:rPr>
                  </w:pPr>
                  <w:r>
                    <w:rPr>
                      <w:rFonts w:hint="eastAsia"/>
                      <w:szCs w:val="21"/>
                    </w:rPr>
                    <w:t>5</w:t>
                  </w:r>
                  <w:r>
                    <w:rPr>
                      <w:szCs w:val="21"/>
                    </w:rPr>
                    <w:t>0.5</w:t>
                  </w:r>
                </w:p>
              </w:tc>
              <w:tc>
                <w:tcPr>
                  <w:tcW w:w="817" w:type="pct"/>
                  <w:vAlign w:val="center"/>
                </w:tcPr>
                <w:p>
                  <w:pPr>
                    <w:spacing w:line="360" w:lineRule="auto"/>
                    <w:jc w:val="center"/>
                    <w:rPr>
                      <w:szCs w:val="21"/>
                    </w:rPr>
                  </w:pPr>
                  <w:r>
                    <w:rPr>
                      <w:rFonts w:hint="eastAsia"/>
                      <w:szCs w:val="21"/>
                    </w:rPr>
                    <w:t>4</w:t>
                  </w:r>
                  <w:r>
                    <w:rPr>
                      <w:szCs w:val="21"/>
                    </w:rPr>
                    <w:t>3.9</w:t>
                  </w:r>
                </w:p>
              </w:tc>
              <w:tc>
                <w:tcPr>
                  <w:tcW w:w="1137" w:type="pct"/>
                </w:tcPr>
                <w:p>
                  <w:pPr>
                    <w:spacing w:line="360" w:lineRule="auto"/>
                    <w:jc w:val="center"/>
                    <w:rPr>
                      <w:szCs w:val="21"/>
                    </w:rPr>
                  </w:pPr>
                  <w:r>
                    <w:rPr>
                      <w:rFonts w:hint="eastAsia"/>
                      <w:szCs w:val="21"/>
                    </w:rPr>
                    <w:t>生产、生活噪声</w:t>
                  </w:r>
                </w:p>
              </w:tc>
            </w:tr>
          </w:tbl>
          <w:p>
            <w:pPr>
              <w:spacing w:line="360" w:lineRule="auto"/>
              <w:ind w:firstLine="480" w:firstLineChars="200"/>
              <w:rPr>
                <w:sz w:val="24"/>
              </w:rPr>
            </w:pPr>
            <w:r>
              <w:rPr>
                <w:rFonts w:hint="eastAsia"/>
                <w:sz w:val="24"/>
              </w:rPr>
              <w:t>由以上结果可知本项目声环境质量现状满足《声环境质量标准》（G</w:t>
            </w:r>
            <w:r>
              <w:rPr>
                <w:sz w:val="24"/>
              </w:rPr>
              <w:t>B3096-2008</w:t>
            </w:r>
            <w:r>
              <w:rPr>
                <w:rFonts w:hint="eastAsia"/>
                <w:sz w:val="24"/>
              </w:rPr>
              <w:t>）2类标准，即昼间</w:t>
            </w:r>
            <w:r>
              <w:rPr>
                <w:sz w:val="24"/>
              </w:rPr>
              <w:t>≤60</w:t>
            </w:r>
            <w:r>
              <w:rPr>
                <w:szCs w:val="21"/>
              </w:rPr>
              <w:t>dB（A）</w:t>
            </w:r>
            <w:r>
              <w:rPr>
                <w:sz w:val="24"/>
              </w:rPr>
              <w:t>，夜间≤50</w:t>
            </w:r>
            <w:r>
              <w:rPr>
                <w:szCs w:val="21"/>
              </w:rPr>
              <w:t>dB（A）</w:t>
            </w:r>
            <w:r>
              <w:rPr>
                <w:rFonts w:hint="eastAsia"/>
                <w:szCs w:val="21"/>
              </w:rPr>
              <w:t>。</w:t>
            </w:r>
          </w:p>
          <w:p>
            <w:pPr>
              <w:spacing w:line="360" w:lineRule="auto"/>
              <w:rPr>
                <w:b/>
                <w:bCs/>
                <w:sz w:val="24"/>
              </w:rPr>
            </w:pPr>
            <w:r>
              <w:rPr>
                <w:rFonts w:hint="eastAsia"/>
                <w:b/>
                <w:bCs/>
                <w:sz w:val="24"/>
              </w:rPr>
              <w:t>4、生态环境质量现状</w:t>
            </w:r>
          </w:p>
          <w:p>
            <w:pPr>
              <w:spacing w:line="360" w:lineRule="auto"/>
              <w:ind w:firstLine="480" w:firstLineChars="200"/>
              <w:rPr>
                <w:sz w:val="24"/>
              </w:rPr>
            </w:pPr>
            <w:r>
              <w:rPr>
                <w:rFonts w:hint="eastAsia"/>
                <w:sz w:val="24"/>
              </w:rPr>
              <w:t>项目位于东川区拖布卡镇格勒村，项目工程占地内原始占地类型主要为荒草地，项目用地不占用公益林和坡耕地，项目区内不涉及国家级和省级重点保护物种、珍稀濒危物种，以及狭域分布物种；项目内人为干扰较大，生物多样性单一，生态系统结构简单。从总体上来看，该项目所在区域生态环境一般。项目周边200m范围没有原生植被和国家规定需要特殊保护的动植物，生物多样性简单。项目区生态系统发育不完整、物种多样性较差，易受人为控制，生态环境质量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jc w:val="center"/>
              <w:rPr>
                <w:sz w:val="24"/>
              </w:rPr>
            </w:pPr>
            <w:r>
              <w:rPr>
                <w:rFonts w:hint="eastAsia"/>
                <w:sz w:val="24"/>
              </w:rPr>
              <w:t>环境保护目标</w:t>
            </w:r>
          </w:p>
        </w:tc>
        <w:tc>
          <w:tcPr>
            <w:tcW w:w="10148" w:type="dxa"/>
          </w:tcPr>
          <w:p>
            <w:pPr>
              <w:spacing w:line="360" w:lineRule="auto"/>
              <w:rPr>
                <w:b/>
                <w:bCs/>
                <w:sz w:val="24"/>
              </w:rPr>
            </w:pPr>
            <w:r>
              <w:rPr>
                <w:rFonts w:hint="eastAsia"/>
                <w:b/>
                <w:bCs/>
                <w:sz w:val="24"/>
              </w:rPr>
              <w:t>1、环境空气保护目标</w:t>
            </w:r>
          </w:p>
          <w:p>
            <w:pPr>
              <w:spacing w:line="360" w:lineRule="auto"/>
              <w:ind w:firstLine="480" w:firstLineChars="200"/>
              <w:rPr>
                <w:sz w:val="24"/>
              </w:rPr>
            </w:pPr>
            <w:r>
              <w:rPr>
                <w:rFonts w:hint="eastAsia"/>
                <w:sz w:val="24"/>
              </w:rPr>
              <w:t>根据现场踏勘及调查，项目厂界外东侧35m有8户格勒村小坡组散户居住，无自然保护区、风景名胜区、文化区等保护目标。</w:t>
            </w:r>
          </w:p>
          <w:p>
            <w:pPr>
              <w:spacing w:line="360" w:lineRule="auto"/>
              <w:rPr>
                <w:b/>
                <w:bCs/>
                <w:sz w:val="24"/>
              </w:rPr>
            </w:pPr>
            <w:r>
              <w:rPr>
                <w:rFonts w:hint="eastAsia"/>
                <w:b/>
                <w:bCs/>
                <w:sz w:val="24"/>
              </w:rPr>
              <w:t>2、声环境保护目标</w:t>
            </w:r>
          </w:p>
          <w:p>
            <w:pPr>
              <w:spacing w:line="360" w:lineRule="auto"/>
              <w:ind w:firstLine="480" w:firstLineChars="200"/>
              <w:rPr>
                <w:sz w:val="24"/>
              </w:rPr>
            </w:pPr>
            <w:r>
              <w:rPr>
                <w:rFonts w:hint="eastAsia"/>
                <w:sz w:val="24"/>
              </w:rPr>
              <w:t>根据现场踏勘及调查，项目厂界外东侧</w:t>
            </w:r>
            <w:r>
              <w:rPr>
                <w:sz w:val="24"/>
              </w:rPr>
              <w:t>35</w:t>
            </w:r>
            <w:r>
              <w:rPr>
                <w:rFonts w:hint="eastAsia"/>
                <w:sz w:val="24"/>
              </w:rPr>
              <w:t>m有8户格勒村小坡组散户居住，为本次评价声环境保护目标。</w:t>
            </w:r>
          </w:p>
          <w:p>
            <w:pPr>
              <w:spacing w:line="360" w:lineRule="auto"/>
              <w:rPr>
                <w:b/>
                <w:bCs/>
                <w:sz w:val="24"/>
              </w:rPr>
            </w:pPr>
            <w:r>
              <w:rPr>
                <w:rFonts w:hint="eastAsia"/>
                <w:b/>
                <w:bCs/>
                <w:sz w:val="24"/>
              </w:rPr>
              <w:t>3、地表水环境保护目标</w:t>
            </w:r>
          </w:p>
          <w:p>
            <w:pPr>
              <w:spacing w:line="360" w:lineRule="auto"/>
              <w:ind w:firstLine="480" w:firstLineChars="200"/>
              <w:rPr>
                <w:sz w:val="24"/>
              </w:rPr>
            </w:pPr>
            <w:r>
              <w:rPr>
                <w:rFonts w:hint="eastAsia"/>
                <w:sz w:val="24"/>
              </w:rPr>
              <w:t>项目区地表水体主要为厂区东侧的小江，小江为金沙江一级支流。项目运营期无工艺废水产生；项目区设食宿，设一个厕所，生活污水排入化粪池，食堂废水经隔油池处理后同其他污水排入化粪池，所有生活污水经化粪池处理后用槽罐车外送污水处理厂进行处理。项目无废水外排放，项目的建设对区域地表水环境影响较小。</w:t>
            </w:r>
          </w:p>
          <w:p>
            <w:pPr>
              <w:spacing w:line="360" w:lineRule="auto"/>
              <w:rPr>
                <w:b/>
                <w:bCs/>
                <w:sz w:val="24"/>
              </w:rPr>
            </w:pPr>
            <w:r>
              <w:rPr>
                <w:rFonts w:hint="eastAsia"/>
                <w:b/>
                <w:bCs/>
                <w:sz w:val="24"/>
              </w:rPr>
              <w:t>4、地下水环境保护目标</w:t>
            </w:r>
          </w:p>
          <w:p>
            <w:pPr>
              <w:spacing w:line="360" w:lineRule="auto"/>
              <w:ind w:firstLine="480" w:firstLineChars="200"/>
              <w:rPr>
                <w:sz w:val="24"/>
              </w:rPr>
            </w:pPr>
            <w:r>
              <w:rPr>
                <w:rFonts w:hint="eastAsia"/>
                <w:sz w:val="24"/>
              </w:rPr>
              <w:t>根据现场踏勘及调查，项目厂界外500m范围内无地下水集中式饮用水源点和热水、矿泉水、温泉等特殊地下水资源，项目本次评价不设地下水环境保护目标。</w:t>
            </w:r>
          </w:p>
          <w:p>
            <w:pPr>
              <w:spacing w:line="360" w:lineRule="auto"/>
              <w:rPr>
                <w:b/>
                <w:bCs/>
                <w:sz w:val="24"/>
              </w:rPr>
            </w:pPr>
            <w:r>
              <w:rPr>
                <w:rFonts w:hint="eastAsia"/>
                <w:b/>
                <w:bCs/>
                <w:sz w:val="24"/>
              </w:rPr>
              <w:t>5、生态环境保护目标</w:t>
            </w:r>
          </w:p>
          <w:p>
            <w:pPr>
              <w:spacing w:line="360" w:lineRule="auto"/>
              <w:ind w:firstLine="480" w:firstLineChars="200"/>
              <w:rPr>
                <w:sz w:val="24"/>
              </w:rPr>
            </w:pPr>
            <w:r>
              <w:rPr>
                <w:rFonts w:hint="eastAsia"/>
                <w:sz w:val="24"/>
              </w:rPr>
              <w:t>项目区周边不涉及自然保护区、风景名胜区等生态环境敏感点，无生态环境保护目标。</w:t>
            </w:r>
          </w:p>
          <w:p>
            <w:pPr>
              <w:spacing w:line="360" w:lineRule="auto"/>
              <w:ind w:firstLine="480" w:firstLineChars="200"/>
              <w:rPr>
                <w:sz w:val="24"/>
              </w:rPr>
            </w:pPr>
            <w:r>
              <w:rPr>
                <w:rFonts w:hint="eastAsia"/>
                <w:sz w:val="24"/>
              </w:rPr>
              <w:t>根据项目周围自然和社会环境情况以及本项目环境污染特征，项目涉及的环境保护目标见表3-</w:t>
            </w:r>
            <w:r>
              <w:rPr>
                <w:sz w:val="24"/>
              </w:rPr>
              <w:t>6</w:t>
            </w:r>
            <w:r>
              <w:rPr>
                <w:rFonts w:hint="eastAsia"/>
                <w:sz w:val="24"/>
              </w:rPr>
              <w:t>所示，项目周边关系及评价范围详见附图4</w:t>
            </w:r>
          </w:p>
          <w:p>
            <w:pPr>
              <w:spacing w:line="360" w:lineRule="auto"/>
              <w:jc w:val="center"/>
              <w:rPr>
                <w:b/>
                <w:bCs/>
                <w:szCs w:val="21"/>
              </w:rPr>
            </w:pPr>
            <w:r>
              <w:rPr>
                <w:rFonts w:hint="eastAsia"/>
                <w:b/>
                <w:bCs/>
                <w:szCs w:val="21"/>
              </w:rPr>
              <w:t>表3-</w:t>
            </w:r>
            <w:r>
              <w:rPr>
                <w:b/>
                <w:bCs/>
                <w:szCs w:val="21"/>
              </w:rPr>
              <w:t xml:space="preserve">6  </w:t>
            </w:r>
            <w:r>
              <w:rPr>
                <w:rFonts w:hint="eastAsia"/>
                <w:b/>
                <w:bCs/>
                <w:szCs w:val="21"/>
              </w:rPr>
              <w:t>项目保护目标一览表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1045"/>
              <w:gridCol w:w="1004"/>
              <w:gridCol w:w="899"/>
              <w:gridCol w:w="575"/>
              <w:gridCol w:w="458"/>
              <w:gridCol w:w="813"/>
              <w:gridCol w:w="696"/>
              <w:gridCol w:w="1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8" w:type="pct"/>
                  <w:vMerge w:val="restart"/>
                  <w:vAlign w:val="center"/>
                </w:tcPr>
                <w:p>
                  <w:pPr>
                    <w:jc w:val="center"/>
                    <w:rPr>
                      <w:b/>
                      <w:bCs/>
                      <w:szCs w:val="21"/>
                    </w:rPr>
                  </w:pPr>
                  <w:r>
                    <w:rPr>
                      <w:b/>
                      <w:bCs/>
                      <w:szCs w:val="21"/>
                    </w:rPr>
                    <w:t>环境</w:t>
                  </w:r>
                </w:p>
                <w:p>
                  <w:pPr>
                    <w:jc w:val="center"/>
                    <w:rPr>
                      <w:b/>
                      <w:bCs/>
                      <w:szCs w:val="21"/>
                    </w:rPr>
                  </w:pPr>
                  <w:r>
                    <w:rPr>
                      <w:b/>
                      <w:bCs/>
                      <w:szCs w:val="21"/>
                    </w:rPr>
                    <w:t>要素</w:t>
                  </w:r>
                </w:p>
              </w:tc>
              <w:tc>
                <w:tcPr>
                  <w:tcW w:w="746" w:type="pct"/>
                  <w:vMerge w:val="restart"/>
                  <w:vAlign w:val="center"/>
                </w:tcPr>
                <w:p>
                  <w:pPr>
                    <w:jc w:val="center"/>
                    <w:rPr>
                      <w:b/>
                      <w:bCs/>
                      <w:szCs w:val="21"/>
                    </w:rPr>
                  </w:pPr>
                  <w:r>
                    <w:rPr>
                      <w:b/>
                      <w:bCs/>
                      <w:szCs w:val="21"/>
                    </w:rPr>
                    <w:t>保护目标</w:t>
                  </w:r>
                </w:p>
              </w:tc>
              <w:tc>
                <w:tcPr>
                  <w:tcW w:w="959" w:type="pct"/>
                  <w:gridSpan w:val="2"/>
                  <w:vAlign w:val="center"/>
                </w:tcPr>
                <w:p>
                  <w:pPr>
                    <w:jc w:val="center"/>
                    <w:rPr>
                      <w:b/>
                      <w:bCs/>
                      <w:szCs w:val="21"/>
                    </w:rPr>
                  </w:pPr>
                  <w:r>
                    <w:rPr>
                      <w:b/>
                      <w:bCs/>
                      <w:szCs w:val="21"/>
                    </w:rPr>
                    <w:t>坐标</w:t>
                  </w:r>
                </w:p>
              </w:tc>
              <w:tc>
                <w:tcPr>
                  <w:tcW w:w="445" w:type="pct"/>
                  <w:vMerge w:val="restart"/>
                  <w:vAlign w:val="center"/>
                </w:tcPr>
                <w:p>
                  <w:pPr>
                    <w:jc w:val="center"/>
                    <w:rPr>
                      <w:b/>
                      <w:bCs/>
                      <w:szCs w:val="21"/>
                    </w:rPr>
                  </w:pPr>
                  <w:r>
                    <w:rPr>
                      <w:b/>
                      <w:bCs/>
                      <w:szCs w:val="21"/>
                    </w:rPr>
                    <w:t>类别</w:t>
                  </w:r>
                </w:p>
              </w:tc>
              <w:tc>
                <w:tcPr>
                  <w:tcW w:w="370" w:type="pct"/>
                  <w:vMerge w:val="restart"/>
                  <w:vAlign w:val="center"/>
                </w:tcPr>
                <w:p>
                  <w:pPr>
                    <w:jc w:val="center"/>
                    <w:rPr>
                      <w:b/>
                      <w:bCs/>
                      <w:szCs w:val="21"/>
                    </w:rPr>
                  </w:pPr>
                  <w:r>
                    <w:rPr>
                      <w:b/>
                      <w:bCs/>
                      <w:szCs w:val="21"/>
                    </w:rPr>
                    <w:t>方位</w:t>
                  </w:r>
                </w:p>
              </w:tc>
              <w:tc>
                <w:tcPr>
                  <w:tcW w:w="445" w:type="pct"/>
                  <w:vMerge w:val="restart"/>
                  <w:vAlign w:val="center"/>
                </w:tcPr>
                <w:p>
                  <w:pPr>
                    <w:jc w:val="center"/>
                    <w:rPr>
                      <w:b/>
                      <w:bCs/>
                      <w:szCs w:val="21"/>
                    </w:rPr>
                  </w:pPr>
                  <w:r>
                    <w:rPr>
                      <w:b/>
                      <w:bCs/>
                      <w:szCs w:val="21"/>
                    </w:rPr>
                    <w:t>相对厂界距离</w:t>
                  </w:r>
                </w:p>
                <w:p>
                  <w:pPr>
                    <w:jc w:val="center"/>
                    <w:rPr>
                      <w:b/>
                      <w:bCs/>
                      <w:szCs w:val="21"/>
                    </w:rPr>
                  </w:pPr>
                  <w:r>
                    <w:rPr>
                      <w:b/>
                      <w:bCs/>
                      <w:szCs w:val="21"/>
                    </w:rPr>
                    <w:t>（m）</w:t>
                  </w:r>
                </w:p>
              </w:tc>
              <w:tc>
                <w:tcPr>
                  <w:tcW w:w="522" w:type="pct"/>
                  <w:vMerge w:val="restart"/>
                  <w:vAlign w:val="center"/>
                </w:tcPr>
                <w:p>
                  <w:pPr>
                    <w:jc w:val="center"/>
                    <w:rPr>
                      <w:b/>
                      <w:bCs/>
                      <w:szCs w:val="21"/>
                    </w:rPr>
                  </w:pPr>
                  <w:r>
                    <w:rPr>
                      <w:b/>
                      <w:bCs/>
                      <w:szCs w:val="21"/>
                    </w:rPr>
                    <w:t>保护</w:t>
                  </w:r>
                </w:p>
                <w:p>
                  <w:pPr>
                    <w:jc w:val="center"/>
                    <w:rPr>
                      <w:b/>
                      <w:bCs/>
                      <w:szCs w:val="21"/>
                    </w:rPr>
                  </w:pPr>
                  <w:r>
                    <w:rPr>
                      <w:b/>
                      <w:bCs/>
                      <w:szCs w:val="21"/>
                    </w:rPr>
                    <w:t>内容</w:t>
                  </w:r>
                </w:p>
              </w:tc>
              <w:tc>
                <w:tcPr>
                  <w:tcW w:w="1125" w:type="pct"/>
                  <w:vMerge w:val="restart"/>
                  <w:vAlign w:val="center"/>
                </w:tcPr>
                <w:p>
                  <w:pPr>
                    <w:jc w:val="center"/>
                    <w:rPr>
                      <w:b/>
                      <w:bCs/>
                      <w:szCs w:val="21"/>
                    </w:rPr>
                  </w:pPr>
                  <w:r>
                    <w:rPr>
                      <w:b/>
                      <w:bCs/>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8" w:type="pct"/>
                  <w:vMerge w:val="continue"/>
                  <w:vAlign w:val="center"/>
                </w:tcPr>
                <w:p>
                  <w:pPr>
                    <w:jc w:val="center"/>
                    <w:rPr>
                      <w:szCs w:val="21"/>
                    </w:rPr>
                  </w:pPr>
                </w:p>
              </w:tc>
              <w:tc>
                <w:tcPr>
                  <w:tcW w:w="746" w:type="pct"/>
                  <w:vMerge w:val="continue"/>
                  <w:vAlign w:val="center"/>
                </w:tcPr>
                <w:p>
                  <w:pPr>
                    <w:jc w:val="center"/>
                    <w:rPr>
                      <w:szCs w:val="21"/>
                    </w:rPr>
                  </w:pPr>
                </w:p>
              </w:tc>
              <w:tc>
                <w:tcPr>
                  <w:tcW w:w="506" w:type="pct"/>
                  <w:vAlign w:val="center"/>
                </w:tcPr>
                <w:p>
                  <w:pPr>
                    <w:jc w:val="center"/>
                    <w:rPr>
                      <w:b/>
                      <w:bCs/>
                      <w:szCs w:val="21"/>
                    </w:rPr>
                  </w:pPr>
                  <w:r>
                    <w:rPr>
                      <w:b/>
                      <w:bCs/>
                      <w:szCs w:val="21"/>
                    </w:rPr>
                    <w:t>经度</w:t>
                  </w:r>
                </w:p>
              </w:tc>
              <w:tc>
                <w:tcPr>
                  <w:tcW w:w="453" w:type="pct"/>
                  <w:vAlign w:val="center"/>
                </w:tcPr>
                <w:p>
                  <w:pPr>
                    <w:jc w:val="center"/>
                    <w:rPr>
                      <w:b/>
                      <w:bCs/>
                      <w:szCs w:val="21"/>
                    </w:rPr>
                  </w:pPr>
                  <w:r>
                    <w:rPr>
                      <w:b/>
                      <w:bCs/>
                      <w:szCs w:val="21"/>
                    </w:rPr>
                    <w:t>纬度</w:t>
                  </w:r>
                </w:p>
              </w:tc>
              <w:tc>
                <w:tcPr>
                  <w:tcW w:w="445" w:type="pct"/>
                  <w:vMerge w:val="continue"/>
                  <w:vAlign w:val="center"/>
                </w:tcPr>
                <w:p>
                  <w:pPr>
                    <w:jc w:val="center"/>
                    <w:rPr>
                      <w:szCs w:val="21"/>
                    </w:rPr>
                  </w:pPr>
                </w:p>
              </w:tc>
              <w:tc>
                <w:tcPr>
                  <w:tcW w:w="370" w:type="pct"/>
                  <w:vMerge w:val="continue"/>
                  <w:vAlign w:val="center"/>
                </w:tcPr>
                <w:p>
                  <w:pPr>
                    <w:jc w:val="center"/>
                    <w:rPr>
                      <w:szCs w:val="21"/>
                    </w:rPr>
                  </w:pPr>
                </w:p>
              </w:tc>
              <w:tc>
                <w:tcPr>
                  <w:tcW w:w="445" w:type="pct"/>
                  <w:vMerge w:val="continue"/>
                  <w:vAlign w:val="center"/>
                </w:tcPr>
                <w:p>
                  <w:pPr>
                    <w:jc w:val="center"/>
                    <w:rPr>
                      <w:szCs w:val="21"/>
                    </w:rPr>
                  </w:pPr>
                </w:p>
              </w:tc>
              <w:tc>
                <w:tcPr>
                  <w:tcW w:w="522" w:type="pct"/>
                  <w:vMerge w:val="continue"/>
                  <w:vAlign w:val="center"/>
                </w:tcPr>
                <w:p>
                  <w:pPr>
                    <w:jc w:val="center"/>
                    <w:rPr>
                      <w:szCs w:val="21"/>
                    </w:rPr>
                  </w:pPr>
                </w:p>
              </w:tc>
              <w:tc>
                <w:tcPr>
                  <w:tcW w:w="1125" w:type="pct"/>
                  <w:vMerge w:val="continue"/>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8" w:type="pct"/>
                  <w:vAlign w:val="center"/>
                </w:tcPr>
                <w:p>
                  <w:pPr>
                    <w:jc w:val="center"/>
                    <w:rPr>
                      <w:szCs w:val="21"/>
                    </w:rPr>
                  </w:pPr>
                  <w:r>
                    <w:rPr>
                      <w:szCs w:val="21"/>
                    </w:rPr>
                    <w:t>声环境</w:t>
                  </w:r>
                </w:p>
              </w:tc>
              <w:tc>
                <w:tcPr>
                  <w:tcW w:w="746" w:type="pct"/>
                  <w:vAlign w:val="center"/>
                </w:tcPr>
                <w:p>
                  <w:pPr>
                    <w:jc w:val="center"/>
                    <w:rPr>
                      <w:szCs w:val="21"/>
                    </w:rPr>
                  </w:pPr>
                  <w:r>
                    <w:rPr>
                      <w:szCs w:val="21"/>
                    </w:rPr>
                    <w:t>格勒村小坡组散户</w:t>
                  </w:r>
                </w:p>
              </w:tc>
              <w:tc>
                <w:tcPr>
                  <w:tcW w:w="506" w:type="pct"/>
                  <w:vAlign w:val="center"/>
                </w:tcPr>
                <w:p>
                  <w:pPr>
                    <w:jc w:val="center"/>
                    <w:rPr>
                      <w:szCs w:val="21"/>
                    </w:rPr>
                  </w:pPr>
                  <w:r>
                    <w:rPr>
                      <w:szCs w:val="21"/>
                    </w:rPr>
                    <w:t>103.0665</w:t>
                  </w:r>
                </w:p>
              </w:tc>
              <w:tc>
                <w:tcPr>
                  <w:tcW w:w="453" w:type="pct"/>
                  <w:vAlign w:val="center"/>
                </w:tcPr>
                <w:p>
                  <w:pPr>
                    <w:jc w:val="center"/>
                    <w:rPr>
                      <w:szCs w:val="21"/>
                    </w:rPr>
                  </w:pPr>
                  <w:r>
                    <w:rPr>
                      <w:szCs w:val="21"/>
                    </w:rPr>
                    <w:t>26.4710</w:t>
                  </w:r>
                </w:p>
              </w:tc>
              <w:tc>
                <w:tcPr>
                  <w:tcW w:w="445" w:type="pct"/>
                  <w:vAlign w:val="center"/>
                </w:tcPr>
                <w:p>
                  <w:pPr>
                    <w:jc w:val="center"/>
                    <w:rPr>
                      <w:szCs w:val="21"/>
                    </w:rPr>
                  </w:pPr>
                  <w:r>
                    <w:rPr>
                      <w:szCs w:val="21"/>
                    </w:rPr>
                    <w:t>居民区</w:t>
                  </w:r>
                </w:p>
              </w:tc>
              <w:tc>
                <w:tcPr>
                  <w:tcW w:w="370" w:type="pct"/>
                  <w:vAlign w:val="center"/>
                </w:tcPr>
                <w:p>
                  <w:pPr>
                    <w:jc w:val="center"/>
                    <w:rPr>
                      <w:szCs w:val="21"/>
                    </w:rPr>
                  </w:pPr>
                  <w:r>
                    <w:rPr>
                      <w:szCs w:val="21"/>
                    </w:rPr>
                    <w:t>东</w:t>
                  </w:r>
                </w:p>
              </w:tc>
              <w:tc>
                <w:tcPr>
                  <w:tcW w:w="445" w:type="pct"/>
                  <w:vAlign w:val="center"/>
                </w:tcPr>
                <w:p>
                  <w:pPr>
                    <w:jc w:val="center"/>
                    <w:rPr>
                      <w:szCs w:val="21"/>
                    </w:rPr>
                  </w:pPr>
                  <w:r>
                    <w:rPr>
                      <w:szCs w:val="21"/>
                    </w:rPr>
                    <w:t>35m</w:t>
                  </w:r>
                </w:p>
              </w:tc>
              <w:tc>
                <w:tcPr>
                  <w:tcW w:w="522" w:type="pct"/>
                  <w:vAlign w:val="center"/>
                </w:tcPr>
                <w:p>
                  <w:pPr>
                    <w:jc w:val="center"/>
                    <w:rPr>
                      <w:szCs w:val="21"/>
                    </w:rPr>
                  </w:pPr>
                  <w:r>
                    <w:rPr>
                      <w:szCs w:val="21"/>
                    </w:rPr>
                    <w:t>约25人</w:t>
                  </w:r>
                </w:p>
              </w:tc>
              <w:tc>
                <w:tcPr>
                  <w:tcW w:w="1125" w:type="pct"/>
                  <w:vAlign w:val="center"/>
                </w:tcPr>
                <w:p>
                  <w:pPr>
                    <w:jc w:val="center"/>
                    <w:rPr>
                      <w:szCs w:val="21"/>
                    </w:rPr>
                  </w:pPr>
                  <w:r>
                    <w:rPr>
                      <w:szCs w:val="21"/>
                    </w:rPr>
                    <w:t>执行《声环境质量标准》（GB3096-2008）2类标准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8" w:type="pct"/>
                  <w:vAlign w:val="center"/>
                </w:tcPr>
                <w:p>
                  <w:pPr>
                    <w:jc w:val="center"/>
                    <w:rPr>
                      <w:szCs w:val="21"/>
                    </w:rPr>
                  </w:pPr>
                  <w:r>
                    <w:rPr>
                      <w:szCs w:val="21"/>
                    </w:rPr>
                    <w:t>地表水</w:t>
                  </w:r>
                </w:p>
              </w:tc>
              <w:tc>
                <w:tcPr>
                  <w:tcW w:w="746" w:type="pct"/>
                  <w:vAlign w:val="center"/>
                </w:tcPr>
                <w:p>
                  <w:pPr>
                    <w:jc w:val="center"/>
                    <w:rPr>
                      <w:szCs w:val="21"/>
                    </w:rPr>
                  </w:pPr>
                  <w:r>
                    <w:rPr>
                      <w:szCs w:val="21"/>
                    </w:rPr>
                    <w:t>小江</w:t>
                  </w:r>
                </w:p>
              </w:tc>
              <w:tc>
                <w:tcPr>
                  <w:tcW w:w="506" w:type="pct"/>
                  <w:vAlign w:val="center"/>
                </w:tcPr>
                <w:p>
                  <w:pPr>
                    <w:jc w:val="center"/>
                    <w:rPr>
                      <w:szCs w:val="21"/>
                    </w:rPr>
                  </w:pPr>
                  <w:r>
                    <w:rPr>
                      <w:szCs w:val="21"/>
                    </w:rPr>
                    <w:t>/</w:t>
                  </w:r>
                </w:p>
              </w:tc>
              <w:tc>
                <w:tcPr>
                  <w:tcW w:w="453" w:type="pct"/>
                  <w:vAlign w:val="center"/>
                </w:tcPr>
                <w:p>
                  <w:pPr>
                    <w:jc w:val="center"/>
                    <w:rPr>
                      <w:szCs w:val="21"/>
                    </w:rPr>
                  </w:pPr>
                  <w:r>
                    <w:rPr>
                      <w:szCs w:val="21"/>
                    </w:rPr>
                    <w:t>/</w:t>
                  </w:r>
                </w:p>
              </w:tc>
              <w:tc>
                <w:tcPr>
                  <w:tcW w:w="445" w:type="pct"/>
                  <w:vAlign w:val="center"/>
                </w:tcPr>
                <w:p>
                  <w:pPr>
                    <w:jc w:val="center"/>
                    <w:rPr>
                      <w:szCs w:val="21"/>
                    </w:rPr>
                  </w:pPr>
                  <w:r>
                    <w:rPr>
                      <w:szCs w:val="21"/>
                    </w:rPr>
                    <w:t>地表水</w:t>
                  </w:r>
                </w:p>
              </w:tc>
              <w:tc>
                <w:tcPr>
                  <w:tcW w:w="370" w:type="pct"/>
                  <w:vAlign w:val="center"/>
                </w:tcPr>
                <w:p>
                  <w:pPr>
                    <w:jc w:val="center"/>
                    <w:rPr>
                      <w:szCs w:val="21"/>
                    </w:rPr>
                  </w:pPr>
                  <w:r>
                    <w:rPr>
                      <w:szCs w:val="21"/>
                    </w:rPr>
                    <w:t>东</w:t>
                  </w:r>
                </w:p>
              </w:tc>
              <w:tc>
                <w:tcPr>
                  <w:tcW w:w="445" w:type="pct"/>
                  <w:vAlign w:val="center"/>
                </w:tcPr>
                <w:p>
                  <w:pPr>
                    <w:jc w:val="center"/>
                    <w:rPr>
                      <w:szCs w:val="21"/>
                    </w:rPr>
                  </w:pPr>
                  <w:r>
                    <w:rPr>
                      <w:szCs w:val="21"/>
                    </w:rPr>
                    <w:t>235</w:t>
                  </w:r>
                </w:p>
              </w:tc>
              <w:tc>
                <w:tcPr>
                  <w:tcW w:w="522" w:type="pct"/>
                  <w:vAlign w:val="center"/>
                </w:tcPr>
                <w:p>
                  <w:pPr>
                    <w:jc w:val="center"/>
                    <w:rPr>
                      <w:szCs w:val="21"/>
                    </w:rPr>
                  </w:pPr>
                  <w:r>
                    <w:rPr>
                      <w:szCs w:val="21"/>
                    </w:rPr>
                    <w:t>水质</w:t>
                  </w:r>
                </w:p>
              </w:tc>
              <w:tc>
                <w:tcPr>
                  <w:tcW w:w="1125" w:type="pct"/>
                  <w:vAlign w:val="center"/>
                </w:tcPr>
                <w:p>
                  <w:pPr>
                    <w:jc w:val="center"/>
                    <w:rPr>
                      <w:szCs w:val="21"/>
                    </w:rPr>
                  </w:pPr>
                  <w:r>
                    <w:rPr>
                      <w:szCs w:val="21"/>
                    </w:rPr>
                    <w:t>《地表水环境质量标准》（GB3838-2002）</w:t>
                  </w:r>
                  <w:r>
                    <w:rPr>
                      <w:rFonts w:hint="eastAsia" w:ascii="宋体" w:hAnsi="宋体" w:cs="宋体"/>
                      <w:szCs w:val="21"/>
                    </w:rPr>
                    <w:t>Ⅲ</w:t>
                  </w:r>
                  <w:r>
                    <w:rPr>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8" w:type="pct"/>
                  <w:vAlign w:val="center"/>
                </w:tcPr>
                <w:p>
                  <w:pPr>
                    <w:jc w:val="center"/>
                    <w:rPr>
                      <w:szCs w:val="21"/>
                    </w:rPr>
                  </w:pPr>
                  <w:r>
                    <w:rPr>
                      <w:rFonts w:hint="eastAsia"/>
                      <w:szCs w:val="21"/>
                    </w:rPr>
                    <w:t>环境空气</w:t>
                  </w:r>
                </w:p>
              </w:tc>
              <w:tc>
                <w:tcPr>
                  <w:tcW w:w="746" w:type="pct"/>
                  <w:vAlign w:val="center"/>
                </w:tcPr>
                <w:p>
                  <w:pPr>
                    <w:jc w:val="center"/>
                    <w:rPr>
                      <w:szCs w:val="21"/>
                    </w:rPr>
                  </w:pPr>
                  <w:r>
                    <w:rPr>
                      <w:rFonts w:hint="eastAsia"/>
                      <w:szCs w:val="21"/>
                    </w:rPr>
                    <w:t>格勒村小坡组散户</w:t>
                  </w:r>
                </w:p>
              </w:tc>
              <w:tc>
                <w:tcPr>
                  <w:tcW w:w="506" w:type="pct"/>
                  <w:vAlign w:val="center"/>
                </w:tcPr>
                <w:p>
                  <w:pPr>
                    <w:jc w:val="center"/>
                    <w:rPr>
                      <w:szCs w:val="21"/>
                    </w:rPr>
                  </w:pPr>
                  <w:r>
                    <w:rPr>
                      <w:szCs w:val="21"/>
                    </w:rPr>
                    <w:t>103.0665</w:t>
                  </w:r>
                </w:p>
              </w:tc>
              <w:tc>
                <w:tcPr>
                  <w:tcW w:w="453" w:type="pct"/>
                  <w:vAlign w:val="center"/>
                </w:tcPr>
                <w:p>
                  <w:pPr>
                    <w:jc w:val="center"/>
                    <w:rPr>
                      <w:szCs w:val="21"/>
                    </w:rPr>
                  </w:pPr>
                  <w:r>
                    <w:rPr>
                      <w:szCs w:val="21"/>
                    </w:rPr>
                    <w:t>26.4710</w:t>
                  </w:r>
                </w:p>
              </w:tc>
              <w:tc>
                <w:tcPr>
                  <w:tcW w:w="445" w:type="pct"/>
                  <w:vAlign w:val="center"/>
                </w:tcPr>
                <w:p>
                  <w:pPr>
                    <w:jc w:val="center"/>
                    <w:rPr>
                      <w:szCs w:val="21"/>
                    </w:rPr>
                  </w:pPr>
                  <w:r>
                    <w:rPr>
                      <w:rFonts w:hint="eastAsia"/>
                      <w:szCs w:val="21"/>
                    </w:rPr>
                    <w:t>居民区</w:t>
                  </w:r>
                </w:p>
              </w:tc>
              <w:tc>
                <w:tcPr>
                  <w:tcW w:w="370" w:type="pct"/>
                  <w:vAlign w:val="center"/>
                </w:tcPr>
                <w:p>
                  <w:pPr>
                    <w:jc w:val="center"/>
                    <w:rPr>
                      <w:szCs w:val="21"/>
                    </w:rPr>
                  </w:pPr>
                  <w:r>
                    <w:rPr>
                      <w:rFonts w:hint="eastAsia"/>
                      <w:szCs w:val="21"/>
                    </w:rPr>
                    <w:t>东</w:t>
                  </w:r>
                </w:p>
              </w:tc>
              <w:tc>
                <w:tcPr>
                  <w:tcW w:w="445" w:type="pct"/>
                  <w:vAlign w:val="center"/>
                </w:tcPr>
                <w:p>
                  <w:pPr>
                    <w:jc w:val="center"/>
                    <w:rPr>
                      <w:szCs w:val="21"/>
                    </w:rPr>
                  </w:pPr>
                  <w:r>
                    <w:rPr>
                      <w:rFonts w:hint="eastAsia"/>
                      <w:szCs w:val="21"/>
                    </w:rPr>
                    <w:t>3</w:t>
                  </w:r>
                  <w:r>
                    <w:rPr>
                      <w:szCs w:val="21"/>
                    </w:rPr>
                    <w:t>5</w:t>
                  </w:r>
                  <w:r>
                    <w:rPr>
                      <w:rFonts w:hint="eastAsia"/>
                      <w:szCs w:val="21"/>
                    </w:rPr>
                    <w:t>m</w:t>
                  </w:r>
                </w:p>
              </w:tc>
              <w:tc>
                <w:tcPr>
                  <w:tcW w:w="522" w:type="pct"/>
                  <w:vAlign w:val="center"/>
                </w:tcPr>
                <w:p>
                  <w:pPr>
                    <w:jc w:val="center"/>
                    <w:rPr>
                      <w:szCs w:val="21"/>
                    </w:rPr>
                  </w:pPr>
                  <w:r>
                    <w:rPr>
                      <w:rFonts w:hint="eastAsia"/>
                      <w:szCs w:val="21"/>
                    </w:rPr>
                    <w:t>约2</w:t>
                  </w:r>
                  <w:r>
                    <w:rPr>
                      <w:szCs w:val="21"/>
                    </w:rPr>
                    <w:t>5</w:t>
                  </w:r>
                  <w:r>
                    <w:rPr>
                      <w:rFonts w:hint="eastAsia"/>
                      <w:szCs w:val="21"/>
                    </w:rPr>
                    <w:t>人</w:t>
                  </w:r>
                </w:p>
              </w:tc>
              <w:tc>
                <w:tcPr>
                  <w:tcW w:w="1125" w:type="pct"/>
                  <w:vAlign w:val="center"/>
                </w:tcPr>
                <w:p>
                  <w:pPr>
                    <w:jc w:val="center"/>
                    <w:rPr>
                      <w:szCs w:val="21"/>
                    </w:rPr>
                  </w:pPr>
                  <w:r>
                    <w:rPr>
                      <w:rFonts w:hint="eastAsia"/>
                      <w:szCs w:val="21"/>
                    </w:rPr>
                    <w:t>《环境空气质量标准》（GB3095-2012）二级标准</w:t>
                  </w:r>
                </w:p>
              </w:tc>
            </w:tr>
          </w:tbl>
          <w:p>
            <w:pPr>
              <w:spacing w:line="360" w:lineRule="auto"/>
              <w:jc w:val="center"/>
              <w:rPr>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jc w:val="center"/>
              <w:rPr>
                <w:sz w:val="24"/>
              </w:rPr>
            </w:pPr>
            <w:r>
              <w:rPr>
                <w:rFonts w:hint="eastAsia"/>
                <w:sz w:val="24"/>
              </w:rPr>
              <w:t>污染物排放控制标准</w:t>
            </w:r>
          </w:p>
        </w:tc>
        <w:tc>
          <w:tcPr>
            <w:tcW w:w="10148" w:type="dxa"/>
          </w:tcPr>
          <w:p>
            <w:pPr>
              <w:spacing w:line="360" w:lineRule="auto"/>
              <w:rPr>
                <w:b/>
                <w:bCs/>
                <w:sz w:val="24"/>
              </w:rPr>
            </w:pPr>
            <w:r>
              <w:rPr>
                <w:rFonts w:hint="eastAsia"/>
                <w:b/>
                <w:bCs/>
                <w:sz w:val="24"/>
              </w:rPr>
              <w:t>一、施工期污染物排放标准</w:t>
            </w:r>
          </w:p>
          <w:p>
            <w:pPr>
              <w:autoSpaceDE w:val="0"/>
              <w:autoSpaceDN w:val="0"/>
              <w:adjustRightInd w:val="0"/>
              <w:spacing w:line="360" w:lineRule="auto"/>
              <w:jc w:val="left"/>
              <w:rPr>
                <w:b/>
                <w:sz w:val="24"/>
              </w:rPr>
            </w:pPr>
            <w:r>
              <w:rPr>
                <w:b/>
                <w:sz w:val="24"/>
              </w:rPr>
              <w:t>1、大气污染物排放标准</w:t>
            </w:r>
          </w:p>
          <w:p>
            <w:pPr>
              <w:autoSpaceDE w:val="0"/>
              <w:autoSpaceDN w:val="0"/>
              <w:adjustRightInd w:val="0"/>
              <w:spacing w:line="360" w:lineRule="auto"/>
              <w:ind w:firstLine="480" w:firstLineChars="200"/>
              <w:rPr>
                <w:sz w:val="24"/>
              </w:rPr>
            </w:pPr>
            <w:r>
              <w:rPr>
                <w:sz w:val="24"/>
              </w:rPr>
              <w:t>施工期间，粉尘排放执行《大气污染物综合排放标准》（GB16297-1996）中的无组织排放监控浓度限值，详见下表</w:t>
            </w:r>
            <w:r>
              <w:rPr>
                <w:rFonts w:hint="eastAsia"/>
                <w:sz w:val="24"/>
              </w:rPr>
              <w:t>。</w:t>
            </w:r>
          </w:p>
          <w:p>
            <w:pPr>
              <w:spacing w:line="360" w:lineRule="auto"/>
              <w:jc w:val="center"/>
              <w:rPr>
                <w:b/>
                <w:szCs w:val="21"/>
              </w:rPr>
            </w:pPr>
            <w:r>
              <w:rPr>
                <w:b/>
                <w:szCs w:val="21"/>
              </w:rPr>
              <w:t>表3-7  施工期大气污染物排放标准限值一览表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1431"/>
              <w:gridCol w:w="2011"/>
              <w:gridCol w:w="3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 w:hRule="atLeast"/>
                <w:jc w:val="center"/>
              </w:trPr>
              <w:tc>
                <w:tcPr>
                  <w:tcW w:w="709" w:type="pct"/>
                  <w:vMerge w:val="restart"/>
                  <w:vAlign w:val="center"/>
                </w:tcPr>
                <w:p>
                  <w:pPr>
                    <w:jc w:val="center"/>
                    <w:rPr>
                      <w:b/>
                      <w:szCs w:val="21"/>
                    </w:rPr>
                  </w:pPr>
                  <w:r>
                    <w:rPr>
                      <w:b/>
                      <w:szCs w:val="21"/>
                    </w:rPr>
                    <w:t>污染物</w:t>
                  </w:r>
                </w:p>
              </w:tc>
              <w:tc>
                <w:tcPr>
                  <w:tcW w:w="2202" w:type="pct"/>
                  <w:gridSpan w:val="2"/>
                  <w:vAlign w:val="center"/>
                </w:tcPr>
                <w:p>
                  <w:pPr>
                    <w:jc w:val="center"/>
                    <w:rPr>
                      <w:b/>
                      <w:szCs w:val="21"/>
                    </w:rPr>
                  </w:pPr>
                  <w:r>
                    <w:rPr>
                      <w:b/>
                      <w:szCs w:val="21"/>
                    </w:rPr>
                    <w:t>无组织排放监控浓度限值</w:t>
                  </w:r>
                </w:p>
              </w:tc>
              <w:tc>
                <w:tcPr>
                  <w:tcW w:w="2089" w:type="pct"/>
                  <w:vMerge w:val="restart"/>
                  <w:vAlign w:val="center"/>
                </w:tcPr>
                <w:p>
                  <w:pPr>
                    <w:jc w:val="center"/>
                    <w:rPr>
                      <w:b/>
                      <w:szCs w:val="21"/>
                    </w:rPr>
                  </w:pPr>
                  <w:r>
                    <w:rPr>
                      <w:b/>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709" w:type="pct"/>
                  <w:vMerge w:val="continue"/>
                  <w:vAlign w:val="center"/>
                </w:tcPr>
                <w:p>
                  <w:pPr>
                    <w:jc w:val="center"/>
                    <w:rPr>
                      <w:b/>
                      <w:szCs w:val="21"/>
                    </w:rPr>
                  </w:pPr>
                </w:p>
              </w:tc>
              <w:tc>
                <w:tcPr>
                  <w:tcW w:w="916" w:type="pct"/>
                  <w:vAlign w:val="center"/>
                </w:tcPr>
                <w:p>
                  <w:pPr>
                    <w:jc w:val="center"/>
                    <w:rPr>
                      <w:b/>
                      <w:szCs w:val="21"/>
                    </w:rPr>
                  </w:pPr>
                  <w:r>
                    <w:rPr>
                      <w:b/>
                      <w:szCs w:val="21"/>
                    </w:rPr>
                    <w:t>监控点</w:t>
                  </w:r>
                </w:p>
              </w:tc>
              <w:tc>
                <w:tcPr>
                  <w:tcW w:w="1287" w:type="pct"/>
                  <w:vAlign w:val="center"/>
                </w:tcPr>
                <w:p>
                  <w:pPr>
                    <w:jc w:val="center"/>
                    <w:rPr>
                      <w:b/>
                      <w:szCs w:val="21"/>
                    </w:rPr>
                  </w:pPr>
                  <w:r>
                    <w:rPr>
                      <w:b/>
                      <w:szCs w:val="21"/>
                    </w:rPr>
                    <w:t>浓度</w:t>
                  </w:r>
                </w:p>
              </w:tc>
              <w:tc>
                <w:tcPr>
                  <w:tcW w:w="2089" w:type="pct"/>
                  <w:vMerge w:val="continue"/>
                  <w:vAlign w:val="center"/>
                </w:tcPr>
                <w:p>
                  <w:pPr>
                    <w:jc w:val="center"/>
                    <w:rPr>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 w:hRule="atLeast"/>
                <w:jc w:val="center"/>
              </w:trPr>
              <w:tc>
                <w:tcPr>
                  <w:tcW w:w="709" w:type="pct"/>
                  <w:vAlign w:val="center"/>
                </w:tcPr>
                <w:p>
                  <w:pPr>
                    <w:jc w:val="center"/>
                    <w:rPr>
                      <w:szCs w:val="21"/>
                    </w:rPr>
                  </w:pPr>
                  <w:r>
                    <w:rPr>
                      <w:szCs w:val="21"/>
                    </w:rPr>
                    <w:t>颗粒物</w:t>
                  </w:r>
                </w:p>
              </w:tc>
              <w:tc>
                <w:tcPr>
                  <w:tcW w:w="916" w:type="pct"/>
                  <w:vAlign w:val="center"/>
                </w:tcPr>
                <w:p>
                  <w:pPr>
                    <w:jc w:val="center"/>
                    <w:rPr>
                      <w:szCs w:val="21"/>
                    </w:rPr>
                  </w:pPr>
                  <w:r>
                    <w:rPr>
                      <w:szCs w:val="21"/>
                    </w:rPr>
                    <w:t>厂界外浓度最高点</w:t>
                  </w:r>
                </w:p>
              </w:tc>
              <w:tc>
                <w:tcPr>
                  <w:tcW w:w="1287" w:type="pct"/>
                  <w:vAlign w:val="center"/>
                </w:tcPr>
                <w:p>
                  <w:pPr>
                    <w:jc w:val="center"/>
                    <w:rPr>
                      <w:szCs w:val="21"/>
                    </w:rPr>
                  </w:pPr>
                  <w:r>
                    <w:rPr>
                      <w:szCs w:val="21"/>
                    </w:rPr>
                    <w:t>1.0</w:t>
                  </w:r>
                  <w:r>
                    <w:rPr>
                      <w:sz w:val="24"/>
                    </w:rPr>
                    <w:t>mg/m</w:t>
                  </w:r>
                  <w:r>
                    <w:rPr>
                      <w:sz w:val="24"/>
                      <w:vertAlign w:val="superscript"/>
                    </w:rPr>
                    <w:t>3</w:t>
                  </w:r>
                </w:p>
              </w:tc>
              <w:tc>
                <w:tcPr>
                  <w:tcW w:w="2089" w:type="pct"/>
                  <w:vAlign w:val="center"/>
                </w:tcPr>
                <w:p>
                  <w:pPr>
                    <w:jc w:val="center"/>
                    <w:rPr>
                      <w:szCs w:val="21"/>
                    </w:rPr>
                  </w:pPr>
                  <w:r>
                    <w:rPr>
                      <w:szCs w:val="21"/>
                    </w:rPr>
                    <w:t>《大气污染物综合排放标准》（GB16297-1996）</w:t>
                  </w:r>
                </w:p>
              </w:tc>
            </w:tr>
          </w:tbl>
          <w:p>
            <w:pPr>
              <w:autoSpaceDE w:val="0"/>
              <w:autoSpaceDN w:val="0"/>
              <w:adjustRightInd w:val="0"/>
              <w:spacing w:line="360" w:lineRule="auto"/>
              <w:jc w:val="left"/>
              <w:rPr>
                <w:b/>
                <w:sz w:val="24"/>
              </w:rPr>
            </w:pPr>
            <w:r>
              <w:rPr>
                <w:b/>
                <w:sz w:val="24"/>
              </w:rPr>
              <w:t>2、废水排放标准</w:t>
            </w:r>
          </w:p>
          <w:p>
            <w:pPr>
              <w:autoSpaceDE w:val="0"/>
              <w:autoSpaceDN w:val="0"/>
              <w:adjustRightInd w:val="0"/>
              <w:spacing w:line="360" w:lineRule="auto"/>
              <w:ind w:firstLine="480" w:firstLineChars="200"/>
              <w:rPr>
                <w:sz w:val="24"/>
              </w:rPr>
            </w:pPr>
            <w:r>
              <w:rPr>
                <w:rFonts w:hint="eastAsia"/>
                <w:sz w:val="24"/>
              </w:rPr>
              <w:t>本项目施工期间的生活污水经临时沉淀池收集后，用于道路降尘。</w:t>
            </w:r>
            <w:r>
              <w:rPr>
                <w:sz w:val="24"/>
              </w:rPr>
              <w:t>施工期间，项目无废水外排，故不设置水污染物排放标准。</w:t>
            </w:r>
          </w:p>
          <w:p>
            <w:pPr>
              <w:autoSpaceDE w:val="0"/>
              <w:autoSpaceDN w:val="0"/>
              <w:adjustRightInd w:val="0"/>
              <w:spacing w:line="360" w:lineRule="auto"/>
              <w:jc w:val="left"/>
              <w:rPr>
                <w:b/>
                <w:sz w:val="24"/>
              </w:rPr>
            </w:pPr>
            <w:r>
              <w:rPr>
                <w:b/>
                <w:sz w:val="24"/>
              </w:rPr>
              <w:t>3、噪声排放标准</w:t>
            </w:r>
          </w:p>
          <w:p>
            <w:pPr>
              <w:autoSpaceDE w:val="0"/>
              <w:autoSpaceDN w:val="0"/>
              <w:adjustRightInd w:val="0"/>
              <w:spacing w:line="360" w:lineRule="auto"/>
              <w:ind w:firstLine="480" w:firstLineChars="200"/>
              <w:rPr>
                <w:sz w:val="24"/>
              </w:rPr>
            </w:pPr>
            <w:r>
              <w:rPr>
                <w:sz w:val="24"/>
              </w:rPr>
              <w:t>项目施工期，噪声排放执行《建筑施工场界环境噪声排放标准》（GB12523-2011），标准限值详见下表。</w:t>
            </w:r>
          </w:p>
          <w:p>
            <w:pPr>
              <w:spacing w:line="360" w:lineRule="auto"/>
              <w:jc w:val="center"/>
              <w:rPr>
                <w:b/>
                <w:szCs w:val="21"/>
              </w:rPr>
            </w:pPr>
            <w:r>
              <w:rPr>
                <w:b/>
                <w:szCs w:val="21"/>
              </w:rPr>
              <w:t>表3-8  建筑施工厂界环境噪声排放限值一览表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1"/>
              <w:gridCol w:w="1764"/>
              <w:gridCol w:w="4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 w:hRule="atLeast"/>
                <w:jc w:val="center"/>
              </w:trPr>
              <w:tc>
                <w:tcPr>
                  <w:tcW w:w="2109" w:type="pct"/>
                  <w:gridSpan w:val="2"/>
                  <w:vAlign w:val="center"/>
                </w:tcPr>
                <w:p>
                  <w:pPr>
                    <w:jc w:val="center"/>
                    <w:rPr>
                      <w:b/>
                      <w:szCs w:val="21"/>
                    </w:rPr>
                  </w:pPr>
                  <w:r>
                    <w:rPr>
                      <w:b/>
                      <w:szCs w:val="21"/>
                    </w:rPr>
                    <w:t>标准限值</w:t>
                  </w:r>
                </w:p>
              </w:tc>
              <w:tc>
                <w:tcPr>
                  <w:tcW w:w="2891" w:type="pct"/>
                  <w:vMerge w:val="restart"/>
                  <w:vAlign w:val="center"/>
                </w:tcPr>
                <w:p>
                  <w:pPr>
                    <w:jc w:val="center"/>
                    <w:rPr>
                      <w:b/>
                      <w:szCs w:val="21"/>
                    </w:rPr>
                  </w:pPr>
                  <w:r>
                    <w:rPr>
                      <w:b/>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980" w:type="pct"/>
                  <w:vAlign w:val="center"/>
                </w:tcPr>
                <w:p>
                  <w:pPr>
                    <w:jc w:val="center"/>
                    <w:rPr>
                      <w:b/>
                      <w:szCs w:val="21"/>
                    </w:rPr>
                  </w:pPr>
                  <w:r>
                    <w:rPr>
                      <w:b/>
                      <w:szCs w:val="21"/>
                    </w:rPr>
                    <w:t>昼间</w:t>
                  </w:r>
                </w:p>
              </w:tc>
              <w:tc>
                <w:tcPr>
                  <w:tcW w:w="1129" w:type="pct"/>
                  <w:vAlign w:val="center"/>
                </w:tcPr>
                <w:p>
                  <w:pPr>
                    <w:jc w:val="center"/>
                    <w:rPr>
                      <w:b/>
                      <w:szCs w:val="21"/>
                    </w:rPr>
                  </w:pPr>
                  <w:r>
                    <w:rPr>
                      <w:b/>
                      <w:szCs w:val="21"/>
                    </w:rPr>
                    <w:t>夜间</w:t>
                  </w:r>
                </w:p>
              </w:tc>
              <w:tc>
                <w:tcPr>
                  <w:tcW w:w="2891" w:type="pct"/>
                  <w:vMerge w:val="continue"/>
                  <w:vAlign w:val="center"/>
                </w:tcPr>
                <w:p>
                  <w:pPr>
                    <w:jc w:val="center"/>
                    <w:rPr>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 w:hRule="atLeast"/>
                <w:jc w:val="center"/>
              </w:trPr>
              <w:tc>
                <w:tcPr>
                  <w:tcW w:w="980" w:type="pct"/>
                  <w:vAlign w:val="center"/>
                </w:tcPr>
                <w:p>
                  <w:pPr>
                    <w:jc w:val="center"/>
                    <w:rPr>
                      <w:szCs w:val="21"/>
                    </w:rPr>
                  </w:pPr>
                  <w:r>
                    <w:rPr>
                      <w:szCs w:val="21"/>
                    </w:rPr>
                    <w:t>70dB(A)</w:t>
                  </w:r>
                </w:p>
              </w:tc>
              <w:tc>
                <w:tcPr>
                  <w:tcW w:w="1129" w:type="pct"/>
                  <w:vAlign w:val="center"/>
                </w:tcPr>
                <w:p>
                  <w:pPr>
                    <w:jc w:val="center"/>
                    <w:rPr>
                      <w:szCs w:val="21"/>
                    </w:rPr>
                  </w:pPr>
                  <w:r>
                    <w:rPr>
                      <w:szCs w:val="21"/>
                    </w:rPr>
                    <w:t>55dB(A)</w:t>
                  </w:r>
                </w:p>
              </w:tc>
              <w:tc>
                <w:tcPr>
                  <w:tcW w:w="2891" w:type="pct"/>
                  <w:vAlign w:val="center"/>
                </w:tcPr>
                <w:p>
                  <w:pPr>
                    <w:jc w:val="center"/>
                    <w:rPr>
                      <w:szCs w:val="21"/>
                    </w:rPr>
                  </w:pPr>
                  <w:r>
                    <w:rPr>
                      <w:szCs w:val="21"/>
                    </w:rPr>
                    <w:t>《建筑施工场界环境噪声排放标准》（GB12523-2011）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 w:hRule="atLeast"/>
                <w:jc w:val="center"/>
              </w:trPr>
              <w:tc>
                <w:tcPr>
                  <w:tcW w:w="5000" w:type="pct"/>
                  <w:gridSpan w:val="3"/>
                  <w:vAlign w:val="center"/>
                </w:tcPr>
                <w:p>
                  <w:pPr>
                    <w:jc w:val="left"/>
                    <w:rPr>
                      <w:szCs w:val="21"/>
                    </w:rPr>
                  </w:pPr>
                  <w:r>
                    <w:rPr>
                      <w:szCs w:val="21"/>
                    </w:rPr>
                    <w:t>注：</w:t>
                  </w:r>
                </w:p>
                <w:p>
                  <w:pPr>
                    <w:ind w:firstLine="420" w:firstLineChars="200"/>
                    <w:rPr>
                      <w:szCs w:val="21"/>
                    </w:rPr>
                  </w:pPr>
                  <w:r>
                    <w:rPr>
                      <w:szCs w:val="21"/>
                    </w:rPr>
                    <w:t>夜间噪声最大声级超过限值的幅度不得高于15dB（A）。</w:t>
                  </w:r>
                </w:p>
              </w:tc>
            </w:tr>
          </w:tbl>
          <w:p>
            <w:pPr>
              <w:spacing w:line="360" w:lineRule="auto"/>
              <w:rPr>
                <w:b/>
                <w:bCs/>
                <w:sz w:val="24"/>
              </w:rPr>
            </w:pPr>
            <w:r>
              <w:rPr>
                <w:rFonts w:hint="eastAsia"/>
                <w:b/>
                <w:bCs/>
                <w:sz w:val="24"/>
              </w:rPr>
              <w:t>二、运营期污染物排放标准</w:t>
            </w:r>
          </w:p>
          <w:p>
            <w:pPr>
              <w:spacing w:line="360" w:lineRule="auto"/>
              <w:rPr>
                <w:b/>
                <w:bCs/>
                <w:sz w:val="24"/>
              </w:rPr>
            </w:pPr>
            <w:r>
              <w:rPr>
                <w:rFonts w:hint="eastAsia"/>
                <w:b/>
                <w:bCs/>
                <w:sz w:val="24"/>
              </w:rPr>
              <w:t>1、大气污染物排放标准</w:t>
            </w:r>
          </w:p>
          <w:p>
            <w:pPr>
              <w:spacing w:line="360" w:lineRule="auto"/>
              <w:ind w:firstLine="480" w:firstLineChars="200"/>
              <w:rPr>
                <w:sz w:val="24"/>
              </w:rPr>
            </w:pPr>
            <w:r>
              <w:rPr>
                <w:rFonts w:hint="eastAsia"/>
                <w:sz w:val="24"/>
              </w:rPr>
              <w:t>运营期粉尘执行《水泥工业大气污染物排放标准》（G</w:t>
            </w:r>
            <w:r>
              <w:rPr>
                <w:sz w:val="24"/>
              </w:rPr>
              <w:t>B4915-2013</w:t>
            </w:r>
            <w:r>
              <w:rPr>
                <w:rFonts w:hint="eastAsia"/>
                <w:sz w:val="24"/>
              </w:rPr>
              <w:t>），有组织粉尘执行《水泥工业大气污染物排放标准》（GB4915-2013）表1现有与新建企业大气污染物排放限值中的“水泥仓及其他通风生产设备颗粒物排放浓度：2</w:t>
            </w:r>
            <w:r>
              <w:rPr>
                <w:sz w:val="24"/>
              </w:rPr>
              <w:t>0</w:t>
            </w:r>
            <w:r>
              <w:rPr>
                <w:rFonts w:hint="eastAsia"/>
                <w:sz w:val="24"/>
              </w:rPr>
              <w:t>mg</w:t>
            </w:r>
            <w:r>
              <w:rPr>
                <w:sz w:val="24"/>
              </w:rPr>
              <w:t>/</w:t>
            </w:r>
            <w:r>
              <w:rPr>
                <w:rFonts w:hint="eastAsia"/>
                <w:sz w:val="24"/>
              </w:rPr>
              <w:t>m³”，无组织粉尘执行《水泥工业大气污染物排放标准》（GB4915-2013）表3大气污染物无组织排放限值中的“水泥制品厂颗粒物无组织排放监控点与参照点总悬浮颗粒物（TSP）1小时浓度值的差值的限值：0</w:t>
            </w:r>
            <w:r>
              <w:rPr>
                <w:sz w:val="24"/>
              </w:rPr>
              <w:t>.5mg/</w:t>
            </w:r>
            <w:r>
              <w:rPr>
                <w:rFonts w:hint="eastAsia"/>
                <w:sz w:val="24"/>
              </w:rPr>
              <w:t>m³”，具体标准限值见表3-</w:t>
            </w:r>
            <w:r>
              <w:rPr>
                <w:sz w:val="24"/>
              </w:rPr>
              <w:t>9</w:t>
            </w:r>
            <w:r>
              <w:rPr>
                <w:rFonts w:hint="eastAsia"/>
                <w:sz w:val="24"/>
              </w:rPr>
              <w:t>。</w:t>
            </w:r>
          </w:p>
          <w:p>
            <w:pPr>
              <w:spacing w:line="360" w:lineRule="auto"/>
              <w:jc w:val="center"/>
              <w:rPr>
                <w:b/>
                <w:bCs/>
                <w:szCs w:val="21"/>
              </w:rPr>
            </w:pPr>
            <w:r>
              <w:rPr>
                <w:rFonts w:hint="eastAsia"/>
                <w:b/>
                <w:bCs/>
                <w:szCs w:val="21"/>
              </w:rPr>
              <w:t>表3-</w:t>
            </w:r>
            <w:r>
              <w:rPr>
                <w:b/>
                <w:bCs/>
                <w:szCs w:val="21"/>
              </w:rPr>
              <w:t xml:space="preserve">9  </w:t>
            </w:r>
            <w:r>
              <w:rPr>
                <w:rFonts w:hint="eastAsia"/>
                <w:b/>
                <w:bCs/>
                <w:szCs w:val="21"/>
              </w:rPr>
              <w:t>水泥工业大气污染物排放标准</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2522"/>
              <w:gridCol w:w="3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4" w:type="dxa"/>
                  <w:vAlign w:val="center"/>
                </w:tcPr>
                <w:p>
                  <w:pPr>
                    <w:jc w:val="center"/>
                    <w:rPr>
                      <w:b/>
                      <w:bCs/>
                      <w:szCs w:val="21"/>
                    </w:rPr>
                  </w:pPr>
                  <w:r>
                    <w:rPr>
                      <w:b/>
                      <w:bCs/>
                      <w:szCs w:val="21"/>
                    </w:rPr>
                    <w:t>排放方式</w:t>
                  </w:r>
                </w:p>
              </w:tc>
              <w:tc>
                <w:tcPr>
                  <w:tcW w:w="3118" w:type="dxa"/>
                  <w:vAlign w:val="center"/>
                </w:tcPr>
                <w:p>
                  <w:pPr>
                    <w:jc w:val="center"/>
                    <w:rPr>
                      <w:b/>
                      <w:bCs/>
                      <w:szCs w:val="21"/>
                    </w:rPr>
                  </w:pPr>
                  <w:r>
                    <w:rPr>
                      <w:b/>
                      <w:bCs/>
                      <w:szCs w:val="21"/>
                    </w:rPr>
                    <w:t>有组织排放</w:t>
                  </w:r>
                </w:p>
              </w:tc>
              <w:tc>
                <w:tcPr>
                  <w:tcW w:w="4635" w:type="dxa"/>
                  <w:vAlign w:val="center"/>
                </w:tcPr>
                <w:p>
                  <w:pPr>
                    <w:jc w:val="center"/>
                    <w:rPr>
                      <w:b/>
                      <w:bCs/>
                      <w:szCs w:val="21"/>
                    </w:rPr>
                  </w:pPr>
                  <w:r>
                    <w:rPr>
                      <w:b/>
                      <w:bCs/>
                      <w:szCs w:val="21"/>
                    </w:rPr>
                    <w:t>厂界外无组织排放监控点浓度限值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4" w:type="dxa"/>
                  <w:vAlign w:val="center"/>
                </w:tcPr>
                <w:p>
                  <w:pPr>
                    <w:jc w:val="center"/>
                    <w:rPr>
                      <w:szCs w:val="21"/>
                    </w:rPr>
                  </w:pPr>
                  <w:r>
                    <w:rPr>
                      <w:szCs w:val="21"/>
                    </w:rPr>
                    <w:t>污染物名称</w:t>
                  </w:r>
                </w:p>
              </w:tc>
              <w:tc>
                <w:tcPr>
                  <w:tcW w:w="3118" w:type="dxa"/>
                  <w:vAlign w:val="center"/>
                </w:tcPr>
                <w:p>
                  <w:pPr>
                    <w:jc w:val="center"/>
                    <w:rPr>
                      <w:szCs w:val="21"/>
                    </w:rPr>
                  </w:pPr>
                  <w:r>
                    <w:rPr>
                      <w:szCs w:val="21"/>
                    </w:rPr>
                    <w:t>水泥仓及其他通风生产设备</w:t>
                  </w:r>
                </w:p>
              </w:tc>
              <w:tc>
                <w:tcPr>
                  <w:tcW w:w="4635" w:type="dxa"/>
                  <w:vAlign w:val="center"/>
                </w:tcPr>
                <w:p>
                  <w:pPr>
                    <w:jc w:val="center"/>
                    <w:rPr>
                      <w:szCs w:val="21"/>
                    </w:rPr>
                  </w:pPr>
                  <w:r>
                    <w:rPr>
                      <w:szCs w:val="21"/>
                    </w:rPr>
                    <w:t>限值含义：监控点与参照点总悬浮颗粒物（TSP）1小时浓度值的差值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64" w:type="dxa"/>
                  <w:vAlign w:val="center"/>
                </w:tcPr>
                <w:p>
                  <w:pPr>
                    <w:jc w:val="center"/>
                    <w:rPr>
                      <w:szCs w:val="21"/>
                    </w:rPr>
                  </w:pPr>
                  <w:r>
                    <w:rPr>
                      <w:szCs w:val="21"/>
                    </w:rPr>
                    <w:t>颗粒物</w:t>
                  </w:r>
                </w:p>
              </w:tc>
              <w:tc>
                <w:tcPr>
                  <w:tcW w:w="3118" w:type="dxa"/>
                  <w:vAlign w:val="center"/>
                </w:tcPr>
                <w:p>
                  <w:pPr>
                    <w:jc w:val="center"/>
                    <w:rPr>
                      <w:szCs w:val="21"/>
                    </w:rPr>
                  </w:pPr>
                  <w:r>
                    <w:rPr>
                      <w:rFonts w:hint="eastAsia"/>
                      <w:szCs w:val="21"/>
                    </w:rPr>
                    <w:t>2</w:t>
                  </w:r>
                  <w:r>
                    <w:rPr>
                      <w:szCs w:val="21"/>
                    </w:rPr>
                    <w:t>0mg/</w:t>
                  </w:r>
                  <w:r>
                    <w:rPr>
                      <w:rFonts w:hint="eastAsia"/>
                      <w:szCs w:val="21"/>
                    </w:rPr>
                    <w:t>m³</w:t>
                  </w:r>
                </w:p>
              </w:tc>
              <w:tc>
                <w:tcPr>
                  <w:tcW w:w="4635" w:type="dxa"/>
                  <w:vAlign w:val="center"/>
                </w:tcPr>
                <w:p>
                  <w:pPr>
                    <w:jc w:val="center"/>
                    <w:rPr>
                      <w:szCs w:val="21"/>
                    </w:rPr>
                  </w:pPr>
                  <w:r>
                    <w:rPr>
                      <w:rFonts w:hint="eastAsia"/>
                      <w:szCs w:val="21"/>
                    </w:rPr>
                    <w:t>0</w:t>
                  </w:r>
                  <w:r>
                    <w:rPr>
                      <w:szCs w:val="21"/>
                    </w:rPr>
                    <w:t>.5</w:t>
                  </w:r>
                  <w:r>
                    <w:rPr>
                      <w:rFonts w:hint="eastAsia"/>
                      <w:szCs w:val="21"/>
                    </w:rPr>
                    <w:t>mg</w:t>
                  </w:r>
                  <w:r>
                    <w:rPr>
                      <w:szCs w:val="21"/>
                    </w:rPr>
                    <w:t>/</w:t>
                  </w:r>
                  <w:r>
                    <w:rPr>
                      <w:rFonts w:hint="eastAsia"/>
                      <w:szCs w:val="21"/>
                    </w:rPr>
                    <w:t>m³</w:t>
                  </w:r>
                </w:p>
              </w:tc>
            </w:tr>
          </w:tbl>
          <w:p>
            <w:pPr>
              <w:spacing w:line="360" w:lineRule="auto"/>
              <w:rPr>
                <w:b/>
                <w:bCs/>
                <w:sz w:val="24"/>
              </w:rPr>
            </w:pPr>
            <w:r>
              <w:rPr>
                <w:rFonts w:hint="eastAsia"/>
                <w:b/>
                <w:bCs/>
                <w:sz w:val="24"/>
              </w:rPr>
              <w:t>2、噪声排放标准</w:t>
            </w:r>
          </w:p>
          <w:p>
            <w:pPr>
              <w:spacing w:line="360" w:lineRule="auto"/>
              <w:ind w:firstLine="480" w:firstLineChars="200"/>
              <w:rPr>
                <w:sz w:val="24"/>
              </w:rPr>
            </w:pPr>
            <w:r>
              <w:rPr>
                <w:rFonts w:hint="eastAsia"/>
                <w:sz w:val="24"/>
              </w:rPr>
              <w:t>项目运营期厂界四周噪声排放执行《工业企业厂界环境噪声排放标准》（G</w:t>
            </w:r>
            <w:r>
              <w:rPr>
                <w:sz w:val="24"/>
              </w:rPr>
              <w:t>B12348</w:t>
            </w:r>
            <w:r>
              <w:rPr>
                <w:rFonts w:hint="eastAsia"/>
                <w:sz w:val="24"/>
              </w:rPr>
              <w:t>-</w:t>
            </w:r>
            <w:r>
              <w:rPr>
                <w:sz w:val="24"/>
              </w:rPr>
              <w:t>2008</w:t>
            </w:r>
            <w:r>
              <w:rPr>
                <w:rFonts w:hint="eastAsia"/>
                <w:sz w:val="24"/>
              </w:rPr>
              <w:t>）2类标准。具体限值见表3-</w:t>
            </w:r>
            <w:r>
              <w:rPr>
                <w:sz w:val="24"/>
              </w:rPr>
              <w:t>10</w:t>
            </w:r>
            <w:r>
              <w:rPr>
                <w:rFonts w:hint="eastAsia"/>
                <w:sz w:val="24"/>
              </w:rPr>
              <w:t>。</w:t>
            </w:r>
          </w:p>
          <w:p>
            <w:pPr>
              <w:spacing w:line="360" w:lineRule="auto"/>
              <w:jc w:val="center"/>
              <w:rPr>
                <w:b/>
                <w:bCs/>
                <w:szCs w:val="21"/>
              </w:rPr>
            </w:pPr>
            <w:r>
              <w:rPr>
                <w:rFonts w:hint="eastAsia"/>
                <w:b/>
                <w:bCs/>
                <w:szCs w:val="21"/>
              </w:rPr>
              <w:t>表3-</w:t>
            </w:r>
            <w:r>
              <w:rPr>
                <w:b/>
                <w:bCs/>
                <w:szCs w:val="21"/>
              </w:rPr>
              <w:t xml:space="preserve">10  </w:t>
            </w:r>
            <w:r>
              <w:rPr>
                <w:rFonts w:hint="eastAsia"/>
                <w:b/>
                <w:bCs/>
                <w:szCs w:val="21"/>
              </w:rPr>
              <w:t xml:space="preserve">工业企业厂界环境噪声排放标准 </w:t>
            </w:r>
            <w:r>
              <w:rPr>
                <w:b/>
                <w:bCs/>
                <w:szCs w:val="21"/>
              </w:rPr>
              <w:t xml:space="preserve"> </w:t>
            </w:r>
            <w:r>
              <w:rPr>
                <w:rFonts w:hint="eastAsia"/>
                <w:b/>
                <w:bCs/>
                <w:szCs w:val="21"/>
              </w:rPr>
              <w:t>单位：d</w:t>
            </w:r>
            <w:r>
              <w:rPr>
                <w:b/>
                <w:bCs/>
                <w:szCs w:val="21"/>
              </w:rPr>
              <w:t>B</w:t>
            </w:r>
            <w:r>
              <w:rPr>
                <w:rFonts w:hint="eastAsia"/>
                <w:b/>
                <w:bCs/>
                <w:szCs w:val="21"/>
              </w:rPr>
              <w:t>（A）</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3"/>
              <w:gridCol w:w="1953"/>
              <w:gridCol w:w="1953"/>
              <w:gridCol w:w="1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953" w:type="dxa"/>
                  <w:vMerge w:val="restart"/>
                  <w:vAlign w:val="center"/>
                </w:tcPr>
                <w:p>
                  <w:pPr>
                    <w:jc w:val="center"/>
                    <w:rPr>
                      <w:rFonts w:ascii="宋体" w:hAnsi="宋体"/>
                      <w:b/>
                      <w:bCs/>
                      <w:szCs w:val="21"/>
                    </w:rPr>
                  </w:pPr>
                  <w:r>
                    <w:rPr>
                      <w:rFonts w:hint="eastAsia" w:ascii="宋体" w:hAnsi="宋体"/>
                      <w:b/>
                      <w:bCs/>
                      <w:szCs w:val="21"/>
                    </w:rPr>
                    <w:t>类别</w:t>
                  </w:r>
                </w:p>
              </w:tc>
              <w:tc>
                <w:tcPr>
                  <w:tcW w:w="1953" w:type="dxa"/>
                  <w:vMerge w:val="restart"/>
                  <w:vAlign w:val="center"/>
                </w:tcPr>
                <w:p>
                  <w:pPr>
                    <w:jc w:val="center"/>
                    <w:rPr>
                      <w:rFonts w:ascii="宋体" w:hAnsi="宋体"/>
                      <w:b/>
                      <w:bCs/>
                      <w:szCs w:val="21"/>
                    </w:rPr>
                  </w:pPr>
                  <w:r>
                    <w:rPr>
                      <w:rFonts w:hint="eastAsia" w:ascii="宋体" w:hAnsi="宋体"/>
                      <w:b/>
                      <w:bCs/>
                      <w:szCs w:val="21"/>
                    </w:rPr>
                    <w:t>适用区域</w:t>
                  </w:r>
                </w:p>
              </w:tc>
              <w:tc>
                <w:tcPr>
                  <w:tcW w:w="3907" w:type="dxa"/>
                  <w:gridSpan w:val="2"/>
                  <w:vAlign w:val="center"/>
                </w:tcPr>
                <w:p>
                  <w:pPr>
                    <w:jc w:val="center"/>
                    <w:rPr>
                      <w:rFonts w:ascii="宋体" w:hAnsi="宋体"/>
                      <w:b/>
                      <w:bCs/>
                      <w:szCs w:val="21"/>
                    </w:rPr>
                  </w:pPr>
                  <w:r>
                    <w:rPr>
                      <w:rFonts w:hint="eastAsia" w:ascii="宋体" w:hAnsi="宋体"/>
                      <w:b/>
                      <w:bCs/>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3" w:type="dxa"/>
                  <w:vMerge w:val="continue"/>
                  <w:vAlign w:val="center"/>
                </w:tcPr>
                <w:p>
                  <w:pPr>
                    <w:jc w:val="center"/>
                    <w:rPr>
                      <w:rFonts w:ascii="宋体" w:hAnsi="宋体"/>
                      <w:b/>
                      <w:bCs/>
                      <w:szCs w:val="21"/>
                    </w:rPr>
                  </w:pPr>
                </w:p>
              </w:tc>
              <w:tc>
                <w:tcPr>
                  <w:tcW w:w="1953" w:type="dxa"/>
                  <w:vMerge w:val="continue"/>
                  <w:vAlign w:val="center"/>
                </w:tcPr>
                <w:p>
                  <w:pPr>
                    <w:jc w:val="center"/>
                    <w:rPr>
                      <w:rFonts w:ascii="宋体" w:hAnsi="宋体"/>
                      <w:b/>
                      <w:bCs/>
                      <w:szCs w:val="21"/>
                    </w:rPr>
                  </w:pPr>
                </w:p>
              </w:tc>
              <w:tc>
                <w:tcPr>
                  <w:tcW w:w="1953" w:type="dxa"/>
                  <w:vAlign w:val="center"/>
                </w:tcPr>
                <w:p>
                  <w:pPr>
                    <w:jc w:val="center"/>
                    <w:rPr>
                      <w:rFonts w:ascii="宋体" w:hAnsi="宋体"/>
                      <w:b/>
                      <w:bCs/>
                      <w:szCs w:val="21"/>
                    </w:rPr>
                  </w:pPr>
                  <w:r>
                    <w:rPr>
                      <w:rFonts w:hint="eastAsia" w:ascii="宋体" w:hAnsi="宋体"/>
                      <w:b/>
                      <w:bCs/>
                      <w:szCs w:val="21"/>
                    </w:rPr>
                    <w:t>昼间</w:t>
                  </w:r>
                </w:p>
              </w:tc>
              <w:tc>
                <w:tcPr>
                  <w:tcW w:w="1954" w:type="dxa"/>
                  <w:vAlign w:val="center"/>
                </w:tcPr>
                <w:p>
                  <w:pPr>
                    <w:jc w:val="center"/>
                    <w:rPr>
                      <w:rFonts w:ascii="宋体" w:hAnsi="宋体"/>
                      <w:b/>
                      <w:bCs/>
                      <w:szCs w:val="21"/>
                    </w:rPr>
                  </w:pPr>
                  <w:r>
                    <w:rPr>
                      <w:rFonts w:hint="eastAsia" w:ascii="宋体" w:hAnsi="宋体"/>
                      <w:b/>
                      <w:bCs/>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953" w:type="dxa"/>
                  <w:vAlign w:val="center"/>
                </w:tcPr>
                <w:p>
                  <w:pPr>
                    <w:jc w:val="center"/>
                    <w:rPr>
                      <w:rFonts w:ascii="宋体" w:hAnsi="宋体"/>
                      <w:szCs w:val="21"/>
                    </w:rPr>
                  </w:pPr>
                  <w:r>
                    <w:rPr>
                      <w:rFonts w:hint="eastAsia" w:ascii="宋体" w:hAnsi="宋体"/>
                      <w:szCs w:val="21"/>
                    </w:rPr>
                    <w:t>2类</w:t>
                  </w:r>
                </w:p>
              </w:tc>
              <w:tc>
                <w:tcPr>
                  <w:tcW w:w="1953" w:type="dxa"/>
                  <w:vAlign w:val="center"/>
                </w:tcPr>
                <w:p>
                  <w:pPr>
                    <w:jc w:val="center"/>
                    <w:rPr>
                      <w:rFonts w:ascii="宋体" w:hAnsi="宋体"/>
                      <w:szCs w:val="21"/>
                    </w:rPr>
                  </w:pPr>
                  <w:r>
                    <w:rPr>
                      <w:rFonts w:hint="eastAsia" w:ascii="宋体" w:hAnsi="宋体"/>
                      <w:szCs w:val="21"/>
                    </w:rPr>
                    <w:t>厂界四周及敏感点</w:t>
                  </w:r>
                </w:p>
              </w:tc>
              <w:tc>
                <w:tcPr>
                  <w:tcW w:w="1953" w:type="dxa"/>
                  <w:vAlign w:val="center"/>
                </w:tcPr>
                <w:p>
                  <w:pPr>
                    <w:jc w:val="center"/>
                    <w:rPr>
                      <w:rFonts w:ascii="宋体" w:hAnsi="宋体"/>
                      <w:szCs w:val="21"/>
                    </w:rPr>
                  </w:pPr>
                  <w:r>
                    <w:rPr>
                      <w:rFonts w:hint="eastAsia" w:ascii="宋体" w:hAnsi="宋体"/>
                      <w:szCs w:val="21"/>
                    </w:rPr>
                    <w:t>6</w:t>
                  </w:r>
                  <w:r>
                    <w:rPr>
                      <w:rFonts w:ascii="宋体" w:hAnsi="宋体"/>
                      <w:szCs w:val="21"/>
                    </w:rPr>
                    <w:t>0</w:t>
                  </w:r>
                </w:p>
              </w:tc>
              <w:tc>
                <w:tcPr>
                  <w:tcW w:w="1954" w:type="dxa"/>
                  <w:vAlign w:val="center"/>
                </w:tcPr>
                <w:p>
                  <w:pPr>
                    <w:jc w:val="center"/>
                    <w:rPr>
                      <w:rFonts w:ascii="宋体" w:hAnsi="宋体"/>
                      <w:szCs w:val="21"/>
                    </w:rPr>
                  </w:pPr>
                  <w:r>
                    <w:rPr>
                      <w:rFonts w:hint="eastAsia" w:ascii="宋体" w:hAnsi="宋体"/>
                      <w:szCs w:val="21"/>
                    </w:rPr>
                    <w:t>5</w:t>
                  </w:r>
                  <w:r>
                    <w:rPr>
                      <w:rFonts w:ascii="宋体" w:hAnsi="宋体"/>
                      <w:szCs w:val="21"/>
                    </w:rPr>
                    <w:t>0</w:t>
                  </w:r>
                </w:p>
              </w:tc>
            </w:tr>
          </w:tbl>
          <w:p>
            <w:pPr>
              <w:spacing w:line="360" w:lineRule="auto"/>
              <w:rPr>
                <w:b/>
                <w:bCs/>
                <w:sz w:val="24"/>
              </w:rPr>
            </w:pPr>
            <w:r>
              <w:rPr>
                <w:rFonts w:hint="eastAsia"/>
                <w:b/>
                <w:bCs/>
                <w:sz w:val="24"/>
              </w:rPr>
              <w:t>3、废水排放标准</w:t>
            </w:r>
          </w:p>
          <w:p>
            <w:pPr>
              <w:spacing w:line="360" w:lineRule="auto"/>
              <w:ind w:firstLine="480" w:firstLineChars="200"/>
              <w:rPr>
                <w:sz w:val="24"/>
              </w:rPr>
            </w:pPr>
            <w:r>
              <w:rPr>
                <w:rFonts w:hint="eastAsia"/>
                <w:sz w:val="24"/>
              </w:rPr>
              <w:t>运营期的生产区域废水经沉淀后回用生产，食堂废水经隔油池处理后同其他生活污水排入化粪池，所有生活污水经化粪池处理后用槽罐车外送污水处理厂处理。项目无废水外排。</w:t>
            </w:r>
          </w:p>
          <w:p>
            <w:pPr>
              <w:spacing w:line="360" w:lineRule="auto"/>
              <w:rPr>
                <w:b/>
                <w:bCs/>
                <w:sz w:val="24"/>
              </w:rPr>
            </w:pPr>
            <w:r>
              <w:rPr>
                <w:rFonts w:hint="eastAsia"/>
                <w:b/>
                <w:bCs/>
                <w:sz w:val="24"/>
              </w:rPr>
              <w:t>4、固废污染控制</w:t>
            </w:r>
          </w:p>
          <w:p>
            <w:pPr>
              <w:spacing w:line="360" w:lineRule="auto"/>
              <w:ind w:firstLine="480" w:firstLineChars="200"/>
              <w:rPr>
                <w:sz w:val="24"/>
              </w:rPr>
            </w:pPr>
            <w:r>
              <w:rPr>
                <w:rFonts w:hint="eastAsia"/>
                <w:sz w:val="24"/>
              </w:rPr>
              <w:t>生活垃圾执行《生活垃圾产生源分类及其排放》（C</w:t>
            </w:r>
            <w:r>
              <w:rPr>
                <w:sz w:val="24"/>
              </w:rPr>
              <w:t>J/T 368-2011</w:t>
            </w:r>
            <w:r>
              <w:rPr>
                <w:rFonts w:hint="eastAsia"/>
                <w:sz w:val="24"/>
              </w:rPr>
              <w:t>）标准，妥善处理，不会形成二次污染。</w:t>
            </w:r>
          </w:p>
          <w:p>
            <w:pPr>
              <w:spacing w:line="360" w:lineRule="auto"/>
              <w:ind w:firstLine="480" w:firstLineChars="200"/>
              <w:rPr>
                <w:sz w:val="24"/>
              </w:rPr>
            </w:pPr>
            <w:r>
              <w:rPr>
                <w:rFonts w:hint="eastAsia"/>
                <w:sz w:val="24"/>
              </w:rPr>
              <w:t>一般固废执行《一般工业固体废物贮存和填埋污染物控制标准》（G</w:t>
            </w:r>
            <w:r>
              <w:rPr>
                <w:sz w:val="24"/>
              </w:rPr>
              <w:t>B18599</w:t>
            </w:r>
            <w:r>
              <w:rPr>
                <w:rFonts w:hint="eastAsia"/>
                <w:sz w:val="24"/>
              </w:rPr>
              <w:t>-</w:t>
            </w:r>
            <w:r>
              <w:rPr>
                <w:sz w:val="24"/>
              </w:rPr>
              <w:t>2020</w:t>
            </w:r>
            <w:r>
              <w:rPr>
                <w:rFonts w:hint="eastAsia"/>
                <w:sz w:val="24"/>
              </w:rPr>
              <w:t>）。</w:t>
            </w:r>
          </w:p>
          <w:p>
            <w:pPr>
              <w:spacing w:line="360" w:lineRule="auto"/>
              <w:ind w:firstLine="480" w:firstLineChars="200"/>
              <w:rPr>
                <w:sz w:val="24"/>
              </w:rPr>
            </w:pPr>
            <w:r>
              <w:rPr>
                <w:rFonts w:hint="eastAsia"/>
                <w:sz w:val="24"/>
              </w:rPr>
              <w:t>危险废弃物执行中华人民共和国《危险废物贮存污染控制标准》（G</w:t>
            </w:r>
            <w:r>
              <w:rPr>
                <w:sz w:val="24"/>
              </w:rPr>
              <w:t>B18597</w:t>
            </w:r>
            <w:r>
              <w:rPr>
                <w:rFonts w:hint="eastAsia"/>
                <w:sz w:val="24"/>
              </w:rPr>
              <w:t>-</w:t>
            </w:r>
            <w:r>
              <w:rPr>
                <w:sz w:val="24"/>
              </w:rPr>
              <w:t>2001</w:t>
            </w:r>
            <w:r>
              <w:rPr>
                <w:rFonts w:hint="eastAsia"/>
                <w:sz w:val="24"/>
              </w:rPr>
              <w:t>）及其修改单（环境保护部公告2</w:t>
            </w:r>
            <w:r>
              <w:rPr>
                <w:sz w:val="24"/>
              </w:rPr>
              <w:t>013</w:t>
            </w:r>
            <w:r>
              <w:rPr>
                <w:rFonts w:hint="eastAsia"/>
                <w:sz w:val="24"/>
              </w:rPr>
              <w:t>年第3</w:t>
            </w:r>
            <w:r>
              <w:rPr>
                <w:sz w:val="24"/>
              </w:rPr>
              <w:t>6</w:t>
            </w:r>
            <w:r>
              <w:rPr>
                <w:rFonts w:hint="eastAsia"/>
                <w:sz w:val="24"/>
              </w:rPr>
              <w:t>号）中相关要求。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jc w:val="center"/>
              <w:rPr>
                <w:sz w:val="24"/>
              </w:rPr>
            </w:pPr>
            <w:r>
              <w:rPr>
                <w:rFonts w:hint="eastAsia"/>
                <w:sz w:val="24"/>
              </w:rPr>
              <w:t>总量控制指标</w:t>
            </w:r>
          </w:p>
        </w:tc>
        <w:tc>
          <w:tcPr>
            <w:tcW w:w="10148" w:type="dxa"/>
          </w:tcPr>
          <w:p>
            <w:pPr>
              <w:spacing w:line="360" w:lineRule="auto"/>
              <w:rPr>
                <w:b/>
                <w:bCs/>
                <w:sz w:val="24"/>
              </w:rPr>
            </w:pPr>
            <w:r>
              <w:rPr>
                <w:rFonts w:hint="eastAsia"/>
                <w:b/>
                <w:bCs/>
                <w:sz w:val="24"/>
              </w:rPr>
              <w:t>建议总量控制指标：</w:t>
            </w:r>
          </w:p>
          <w:p>
            <w:pPr>
              <w:spacing w:line="360" w:lineRule="auto"/>
              <w:ind w:firstLine="480" w:firstLineChars="200"/>
              <w:rPr>
                <w:sz w:val="24"/>
              </w:rPr>
            </w:pPr>
            <w:r>
              <w:rPr>
                <w:rFonts w:hint="eastAsia"/>
                <w:sz w:val="24"/>
              </w:rPr>
              <w:t>根据本项目的具体情况，结合国家污染物排放总量控制原则，建议本项目的总量控制指标如下：</w:t>
            </w:r>
          </w:p>
          <w:p>
            <w:pPr>
              <w:spacing w:line="360" w:lineRule="auto"/>
              <w:ind w:firstLine="480" w:firstLineChars="200"/>
              <w:rPr>
                <w:sz w:val="24"/>
              </w:rPr>
            </w:pPr>
            <w:r>
              <w:rPr>
                <w:rFonts w:hint="eastAsia"/>
                <w:sz w:val="24"/>
              </w:rPr>
              <w:t>（1）废水</w:t>
            </w:r>
          </w:p>
          <w:p>
            <w:pPr>
              <w:spacing w:line="360" w:lineRule="auto"/>
              <w:ind w:firstLine="480" w:firstLineChars="200"/>
              <w:rPr>
                <w:sz w:val="24"/>
              </w:rPr>
            </w:pPr>
            <w:r>
              <w:rPr>
                <w:rFonts w:hint="eastAsia"/>
                <w:sz w:val="24"/>
              </w:rPr>
              <w:t>项目生产废水经沉淀处理后回用于生产，项目食堂废水经隔油池处理后 和生活废水排入化粪池，污水经化粪池处理后用槽罐车外送污水处理厂进行处理，项目废水不外排。故不作总量控制指标。</w:t>
            </w:r>
          </w:p>
          <w:p>
            <w:pPr>
              <w:spacing w:line="360" w:lineRule="auto"/>
              <w:ind w:firstLine="480" w:firstLineChars="200"/>
              <w:rPr>
                <w:sz w:val="24"/>
              </w:rPr>
            </w:pPr>
            <w:r>
              <w:rPr>
                <w:rFonts w:hint="eastAsia"/>
                <w:sz w:val="24"/>
              </w:rPr>
              <w:t>（2）废气</w:t>
            </w:r>
          </w:p>
          <w:p>
            <w:pPr>
              <w:spacing w:line="360" w:lineRule="auto"/>
              <w:ind w:firstLine="480" w:firstLineChars="200"/>
              <w:rPr>
                <w:color w:val="FF0000"/>
                <w:sz w:val="24"/>
              </w:rPr>
            </w:pPr>
            <w:r>
              <w:rPr>
                <w:rFonts w:hint="eastAsia"/>
                <w:sz w:val="24"/>
              </w:rPr>
              <w:t>项目运营过程中大气污染物主要为颗粒物，</w:t>
            </w:r>
            <w:r>
              <w:rPr>
                <w:rFonts w:hint="eastAsia"/>
                <w:color w:val="000000" w:themeColor="text1"/>
                <w:sz w:val="24"/>
                <w14:textFill>
                  <w14:solidFill>
                    <w14:schemeClr w14:val="tx1"/>
                  </w14:solidFill>
                </w14:textFill>
              </w:rPr>
              <w:t>粉尘排放总量为0</w:t>
            </w:r>
            <w:r>
              <w:rPr>
                <w:color w:val="000000" w:themeColor="text1"/>
                <w:sz w:val="24"/>
                <w14:textFill>
                  <w14:solidFill>
                    <w14:schemeClr w14:val="tx1"/>
                  </w14:solidFill>
                </w14:textFill>
              </w:rPr>
              <w:t>.49</w:t>
            </w:r>
            <w:r>
              <w:rPr>
                <w:rFonts w:hint="eastAsia"/>
                <w:color w:val="000000" w:themeColor="text1"/>
                <w:sz w:val="24"/>
                <w14:textFill>
                  <w14:solidFill>
                    <w14:schemeClr w14:val="tx1"/>
                  </w14:solidFill>
                </w14:textFill>
              </w:rPr>
              <w:t>t/a，其中有组织粉尘排放</w:t>
            </w:r>
            <w:r>
              <w:rPr>
                <w:color w:val="000000" w:themeColor="text1"/>
                <w:sz w:val="24"/>
                <w14:textFill>
                  <w14:solidFill>
                    <w14:schemeClr w14:val="tx1"/>
                  </w14:solidFill>
                </w14:textFill>
              </w:rPr>
              <w:t>0.2562</w:t>
            </w:r>
            <w:r>
              <w:rPr>
                <w:rFonts w:hint="eastAsia"/>
                <w:color w:val="000000" w:themeColor="text1"/>
                <w:sz w:val="24"/>
                <w14:textFill>
                  <w14:solidFill>
                    <w14:schemeClr w14:val="tx1"/>
                  </w14:solidFill>
                </w14:textFill>
              </w:rPr>
              <w:t>t/a，无组织粉尘排放</w:t>
            </w:r>
            <w:r>
              <w:rPr>
                <w:color w:val="000000" w:themeColor="text1"/>
                <w:sz w:val="24"/>
                <w14:textFill>
                  <w14:solidFill>
                    <w14:schemeClr w14:val="tx1"/>
                  </w14:solidFill>
                </w14:textFill>
              </w:rPr>
              <w:t>0.2338</w:t>
            </w:r>
            <w:r>
              <w:rPr>
                <w:rFonts w:hint="eastAsia"/>
                <w:color w:val="000000" w:themeColor="text1"/>
                <w:sz w:val="24"/>
                <w14:textFill>
                  <w14:solidFill>
                    <w14:schemeClr w14:val="tx1"/>
                  </w14:solidFill>
                </w14:textFill>
              </w:rPr>
              <w:t>t/a。</w:t>
            </w:r>
          </w:p>
          <w:p>
            <w:pPr>
              <w:spacing w:line="360" w:lineRule="auto"/>
              <w:ind w:firstLine="480" w:firstLineChars="200"/>
              <w:rPr>
                <w:sz w:val="24"/>
              </w:rPr>
            </w:pPr>
            <w:r>
              <w:rPr>
                <w:rFonts w:hint="eastAsia"/>
                <w:sz w:val="24"/>
              </w:rPr>
              <w:t>（3）固体废弃物</w:t>
            </w:r>
          </w:p>
          <w:p>
            <w:pPr>
              <w:spacing w:line="360" w:lineRule="auto"/>
              <w:ind w:firstLine="480" w:firstLineChars="200"/>
              <w:rPr>
                <w:sz w:val="24"/>
              </w:rPr>
            </w:pPr>
            <w:r>
              <w:rPr>
                <w:rFonts w:hint="eastAsia"/>
                <w:sz w:val="24"/>
              </w:rPr>
              <w:t>项目固体废物均得到合理处理，处置率100%。</w:t>
            </w:r>
          </w:p>
        </w:tc>
      </w:tr>
    </w:tbl>
    <w:p>
      <w:pPr>
        <w:jc w:val="center"/>
        <w:rPr>
          <w:b/>
          <w:bCs/>
          <w:sz w:val="30"/>
          <w:szCs w:val="30"/>
        </w:rPr>
      </w:pPr>
    </w:p>
    <w:p>
      <w:pPr>
        <w:jc w:val="center"/>
        <w:rPr>
          <w:b/>
          <w:bCs/>
          <w:sz w:val="30"/>
          <w:szCs w:val="30"/>
        </w:rPr>
        <w:sectPr>
          <w:pgSz w:w="11906" w:h="16838"/>
          <w:pgMar w:top="1440" w:right="1800" w:bottom="1440" w:left="1800" w:header="851" w:footer="992" w:gutter="0"/>
          <w:cols w:space="425" w:num="1"/>
          <w:docGrid w:type="lines" w:linePitch="312" w:charSpace="0"/>
        </w:sectPr>
      </w:pPr>
    </w:p>
    <w:p>
      <w:pPr>
        <w:jc w:val="center"/>
        <w:outlineLvl w:val="0"/>
        <w:rPr>
          <w:b/>
          <w:bCs/>
          <w:sz w:val="30"/>
          <w:szCs w:val="30"/>
        </w:rPr>
      </w:pPr>
      <w:bookmarkStart w:id="31" w:name="_Toc24671"/>
      <w:r>
        <w:rPr>
          <w:rFonts w:hint="eastAsia"/>
          <w:b/>
          <w:bCs/>
          <w:sz w:val="30"/>
          <w:szCs w:val="30"/>
        </w:rPr>
        <w:t>四、主要环境影响和保护措施</w:t>
      </w:r>
      <w:bookmarkEnd w:id="31"/>
    </w:p>
    <w:tbl>
      <w:tblPr>
        <w:tblStyle w:val="8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 w:type="pct"/>
            <w:vAlign w:val="center"/>
          </w:tcPr>
          <w:p>
            <w:pPr>
              <w:spacing w:line="360" w:lineRule="auto"/>
              <w:jc w:val="center"/>
              <w:rPr>
                <w:sz w:val="24"/>
              </w:rPr>
            </w:pPr>
            <w:r>
              <w:rPr>
                <w:sz w:val="24"/>
              </w:rPr>
              <w:t>施工期环境保护措施</w:t>
            </w:r>
          </w:p>
        </w:tc>
        <w:tc>
          <w:tcPr>
            <w:tcW w:w="4817" w:type="pct"/>
          </w:tcPr>
          <w:p>
            <w:pPr>
              <w:spacing w:line="360" w:lineRule="auto"/>
              <w:ind w:firstLine="480" w:firstLineChars="200"/>
              <w:rPr>
                <w:sz w:val="24"/>
              </w:rPr>
            </w:pPr>
            <w:r>
              <w:rPr>
                <w:sz w:val="24"/>
              </w:rPr>
              <w:t>本项目在建设期间，各项施工活动不可避免地将会对周围的</w:t>
            </w:r>
            <w:r>
              <w:rPr>
                <w:rFonts w:hint="eastAsia"/>
                <w:sz w:val="24"/>
              </w:rPr>
              <w:t>环境</w:t>
            </w:r>
            <w:r>
              <w:rPr>
                <w:sz w:val="24"/>
              </w:rPr>
              <w:t>造成破坏和产生影响，主要包括废气、废水、噪声、固体废物等对周围环境的影响。</w:t>
            </w:r>
            <w:r>
              <w:rPr>
                <w:rFonts w:hint="eastAsia"/>
                <w:sz w:val="24"/>
              </w:rPr>
              <w:t>在施工期间需要建设单位施行相应的环境保护措施。</w:t>
            </w:r>
          </w:p>
          <w:p>
            <w:pPr>
              <w:spacing w:line="360" w:lineRule="auto"/>
              <w:rPr>
                <w:b/>
                <w:bCs/>
                <w:sz w:val="24"/>
              </w:rPr>
            </w:pPr>
            <w:r>
              <w:rPr>
                <w:b/>
                <w:bCs/>
                <w:sz w:val="24"/>
              </w:rPr>
              <w:t>1、施工废气污染防治措施</w:t>
            </w:r>
          </w:p>
          <w:p>
            <w:pPr>
              <w:spacing w:line="360" w:lineRule="auto"/>
              <w:ind w:firstLine="480" w:firstLineChars="200"/>
              <w:rPr>
                <w:sz w:val="24"/>
              </w:rPr>
            </w:pPr>
            <w:r>
              <w:rPr>
                <w:rFonts w:hint="eastAsia"/>
                <w:sz w:val="24"/>
              </w:rPr>
              <w:t>施工期产生的废气污染主要是扬尘，针对扬尘提出以下环境保护措施：</w:t>
            </w:r>
          </w:p>
          <w:p>
            <w:pPr>
              <w:spacing w:line="360" w:lineRule="auto"/>
              <w:ind w:firstLine="480" w:firstLineChars="200"/>
              <w:rPr>
                <w:sz w:val="24"/>
              </w:rPr>
            </w:pPr>
            <w:r>
              <w:rPr>
                <w:sz w:val="24"/>
              </w:rPr>
              <w:t>（1）根据《云南省人民政府关于印发云南省打赢蓝天保卫战三年行动实施方案的通知》（云政发﹝2018﹞44号），加强扬尘综合治理，严格施工扬尘监管。建筑施工工地要做到工地周边围挡、物料堆放覆盖、土方开挖湿法作业、路面硬化、出入车辆清洗、渣土车辆密闭运输</w:t>
            </w:r>
            <w:r>
              <w:rPr>
                <w:rFonts w:hint="eastAsia"/>
                <w:sz w:val="24"/>
              </w:rPr>
              <w:t>“</w:t>
            </w:r>
            <w:r>
              <w:rPr>
                <w:sz w:val="24"/>
              </w:rPr>
              <w:t>六个百分之百</w:t>
            </w:r>
            <w:r>
              <w:rPr>
                <w:rFonts w:hint="eastAsia"/>
                <w:sz w:val="24"/>
              </w:rPr>
              <w:t>”。</w:t>
            </w:r>
          </w:p>
          <w:p>
            <w:pPr>
              <w:spacing w:line="360" w:lineRule="auto"/>
              <w:ind w:firstLine="480" w:firstLineChars="200"/>
              <w:rPr>
                <w:sz w:val="24"/>
              </w:rPr>
            </w:pPr>
            <w:r>
              <w:rPr>
                <w:sz w:val="24"/>
              </w:rPr>
              <w:t>（2）施工场地定期洒水，以有效防止扬尘，在风速大于四级风速气象条件下加大洒水量及</w:t>
            </w:r>
            <w:r>
              <w:rPr>
                <w:rFonts w:hint="eastAsia"/>
                <w:sz w:val="24"/>
              </w:rPr>
              <w:t>洒</w:t>
            </w:r>
            <w:r>
              <w:rPr>
                <w:sz w:val="24"/>
              </w:rPr>
              <w:t>水频次</w:t>
            </w:r>
            <w:r>
              <w:rPr>
                <w:rFonts w:hint="eastAsia"/>
                <w:sz w:val="24"/>
              </w:rPr>
              <w:t>。</w:t>
            </w:r>
          </w:p>
          <w:p>
            <w:pPr>
              <w:spacing w:line="360" w:lineRule="auto"/>
              <w:ind w:firstLine="480" w:firstLineChars="200"/>
              <w:rPr>
                <w:sz w:val="24"/>
              </w:rPr>
            </w:pPr>
            <w:r>
              <w:rPr>
                <w:sz w:val="24"/>
              </w:rPr>
              <w:t>（3）施工建筑材料定点堆放，在大风天气对散料堆场采用水喷淋防尘，并用蓬布遮盖建筑材料，尽量按量购进建筑材料，避免在场内长时间堆放</w:t>
            </w:r>
            <w:r>
              <w:rPr>
                <w:rFonts w:hint="eastAsia"/>
                <w:sz w:val="24"/>
              </w:rPr>
              <w:t>。</w:t>
            </w:r>
          </w:p>
          <w:p>
            <w:pPr>
              <w:spacing w:line="360" w:lineRule="auto"/>
              <w:ind w:firstLine="480" w:firstLineChars="200"/>
              <w:rPr>
                <w:sz w:val="24"/>
              </w:rPr>
            </w:pPr>
            <w:r>
              <w:rPr>
                <w:sz w:val="24"/>
              </w:rPr>
              <w:t>（4）施工场地清理阶段做到先洒水，后清扫，施工后期建筑垃圾及时清理</w:t>
            </w:r>
            <w:r>
              <w:rPr>
                <w:rFonts w:hint="eastAsia"/>
                <w:sz w:val="24"/>
              </w:rPr>
              <w:t>。</w:t>
            </w:r>
          </w:p>
          <w:p>
            <w:pPr>
              <w:spacing w:line="360" w:lineRule="auto"/>
              <w:ind w:firstLine="480" w:firstLineChars="200"/>
              <w:rPr>
                <w:sz w:val="24"/>
              </w:rPr>
            </w:pPr>
            <w:r>
              <w:rPr>
                <w:sz w:val="24"/>
              </w:rPr>
              <w:t>（5）加强施工现场运输车辆管理，运输车辆必须车身整洁，装载车厢完好、严密，装载货物堆码整齐，严禁在装运过程中沿途抛、洒、滴、漏，不得污染道路</w:t>
            </w:r>
            <w:r>
              <w:rPr>
                <w:rFonts w:hint="eastAsia"/>
                <w:sz w:val="24"/>
              </w:rPr>
              <w:t>。</w:t>
            </w:r>
          </w:p>
          <w:p>
            <w:pPr>
              <w:spacing w:line="360" w:lineRule="auto"/>
              <w:ind w:firstLine="480" w:firstLineChars="200"/>
              <w:rPr>
                <w:sz w:val="24"/>
              </w:rPr>
            </w:pPr>
            <w:r>
              <w:rPr>
                <w:sz w:val="24"/>
              </w:rPr>
              <w:t>（6）优化施工期间运输车辆的出入场路径</w:t>
            </w:r>
            <w:r>
              <w:rPr>
                <w:rFonts w:hint="eastAsia"/>
                <w:sz w:val="24"/>
              </w:rPr>
              <w:t>。</w:t>
            </w:r>
          </w:p>
          <w:p>
            <w:pPr>
              <w:spacing w:line="360" w:lineRule="auto"/>
              <w:ind w:firstLine="480" w:firstLineChars="200"/>
              <w:rPr>
                <w:sz w:val="24"/>
              </w:rPr>
            </w:pPr>
            <w:r>
              <w:rPr>
                <w:sz w:val="24"/>
              </w:rPr>
              <w:t>（7）运输车辆及机械驶出施工场地前应尽可能清除表面粘附的泥土等</w:t>
            </w:r>
            <w:r>
              <w:rPr>
                <w:rFonts w:hint="eastAsia"/>
                <w:sz w:val="24"/>
              </w:rPr>
              <w:t>。</w:t>
            </w:r>
          </w:p>
          <w:p>
            <w:pPr>
              <w:spacing w:line="360" w:lineRule="auto"/>
              <w:ind w:firstLine="480" w:firstLineChars="200"/>
              <w:rPr>
                <w:sz w:val="24"/>
              </w:rPr>
            </w:pPr>
            <w:r>
              <w:rPr>
                <w:sz w:val="24"/>
              </w:rPr>
              <w:t>（8）在施工中合理组织施工，缩短施工时间，尽量减少施工污染。</w:t>
            </w:r>
          </w:p>
          <w:p>
            <w:pPr>
              <w:spacing w:line="360" w:lineRule="auto"/>
              <w:ind w:firstLine="480" w:firstLineChars="200"/>
              <w:rPr>
                <w:sz w:val="24"/>
              </w:rPr>
            </w:pPr>
            <w:r>
              <w:rPr>
                <w:sz w:val="24"/>
              </w:rPr>
              <w:t>（9）使用</w:t>
            </w:r>
            <w:r>
              <w:rPr>
                <w:rFonts w:hint="eastAsia"/>
                <w:sz w:val="24"/>
              </w:rPr>
              <w:t>其它已建好拌合站的混凝土或</w:t>
            </w:r>
            <w:r>
              <w:rPr>
                <w:sz w:val="24"/>
              </w:rPr>
              <w:t>商品混凝土，禁止在项目期内设置混凝土拌合站。</w:t>
            </w:r>
          </w:p>
          <w:p>
            <w:pPr>
              <w:spacing w:line="360" w:lineRule="auto"/>
              <w:rPr>
                <w:b/>
                <w:bCs/>
                <w:sz w:val="24"/>
              </w:rPr>
            </w:pPr>
            <w:r>
              <w:rPr>
                <w:b/>
                <w:bCs/>
                <w:sz w:val="24"/>
              </w:rPr>
              <w:t>2、施工废水污染防治措施</w:t>
            </w:r>
          </w:p>
          <w:p>
            <w:pPr>
              <w:spacing w:line="360" w:lineRule="auto"/>
              <w:ind w:firstLine="480" w:firstLineChars="200"/>
              <w:rPr>
                <w:sz w:val="24"/>
              </w:rPr>
            </w:pPr>
            <w:r>
              <w:rPr>
                <w:rFonts w:hint="eastAsia"/>
                <w:sz w:val="24"/>
              </w:rPr>
              <w:t>施工期间产生的废水有施工废水、施工人员清洁废水及初期雨水，采取相应的防治措施：</w:t>
            </w:r>
          </w:p>
          <w:p>
            <w:pPr>
              <w:spacing w:line="360" w:lineRule="auto"/>
              <w:ind w:firstLine="480" w:firstLineChars="200"/>
              <w:rPr>
                <w:sz w:val="24"/>
              </w:rPr>
            </w:pPr>
            <w:r>
              <w:rPr>
                <w:sz w:val="24"/>
              </w:rPr>
              <w:t>（1）在施工场地修建临时排水沟收集，收集后的施工废水、施工人员清洁废水及初期雨水，经沉淀处理后回用于项目施工过程及施工场地洒水抑尘。</w:t>
            </w:r>
          </w:p>
          <w:p>
            <w:pPr>
              <w:spacing w:line="360" w:lineRule="auto"/>
              <w:ind w:firstLine="480" w:firstLineChars="200"/>
              <w:rPr>
                <w:sz w:val="24"/>
              </w:rPr>
            </w:pPr>
            <w:r>
              <w:rPr>
                <w:sz w:val="24"/>
              </w:rPr>
              <w:t>（2）合理规划，尽量避开雨季进行施工，在施工前做好相应的水土流失防治工作。</w:t>
            </w:r>
          </w:p>
          <w:p>
            <w:pPr>
              <w:spacing w:line="360" w:lineRule="auto"/>
              <w:rPr>
                <w:b/>
                <w:bCs/>
                <w:sz w:val="24"/>
              </w:rPr>
            </w:pPr>
            <w:r>
              <w:rPr>
                <w:b/>
                <w:bCs/>
                <w:sz w:val="24"/>
              </w:rPr>
              <w:t>3、施工噪声防治措施</w:t>
            </w:r>
          </w:p>
          <w:p>
            <w:pPr>
              <w:spacing w:line="360" w:lineRule="auto"/>
              <w:ind w:firstLine="480" w:firstLineChars="200"/>
              <w:rPr>
                <w:sz w:val="24"/>
              </w:rPr>
            </w:pPr>
            <w:r>
              <w:rPr>
                <w:rFonts w:hint="eastAsia"/>
                <w:sz w:val="24"/>
              </w:rPr>
              <w:t>施工期间的噪声主要有施工机械噪声、车辆运输噪声、搬运物件等噪声，应采取相应的防治措施：</w:t>
            </w:r>
          </w:p>
          <w:p>
            <w:pPr>
              <w:spacing w:line="360" w:lineRule="auto"/>
              <w:ind w:firstLine="480" w:firstLineChars="200"/>
              <w:rPr>
                <w:sz w:val="24"/>
              </w:rPr>
            </w:pPr>
            <w:r>
              <w:rPr>
                <w:sz w:val="24"/>
              </w:rPr>
              <w:t>（1）选用低噪声设备，施工设备定期进行维护保养，避免因设备故障产生高噪声的现象，同时对现场工作人员进行培训，严格按操作规范使用各类机械；</w:t>
            </w:r>
          </w:p>
          <w:p>
            <w:pPr>
              <w:spacing w:line="360" w:lineRule="auto"/>
              <w:ind w:firstLine="480" w:firstLineChars="200"/>
              <w:rPr>
                <w:sz w:val="24"/>
              </w:rPr>
            </w:pPr>
            <w:r>
              <w:rPr>
                <w:sz w:val="24"/>
              </w:rPr>
              <w:t>（2）合理布局施工设备，在不影响施工的情况下将噪声设备尽量不集中安排；固定的机械设备尽量入棚操作，对高噪声且固定设备加装减震垫；</w:t>
            </w:r>
          </w:p>
          <w:p>
            <w:pPr>
              <w:spacing w:line="360" w:lineRule="auto"/>
              <w:ind w:firstLine="480" w:firstLineChars="200"/>
              <w:rPr>
                <w:sz w:val="24"/>
              </w:rPr>
            </w:pPr>
            <w:r>
              <w:rPr>
                <w:sz w:val="24"/>
              </w:rPr>
              <w:t>（3）合理布置施工作业面和安排施工时间，禁止夜间22:00～次日6:00进行施工，因特殊需要必须进行施工的，提前向环保部门提出申请，并在附近受影响区域张贴安民告示；应严格执行建筑施工噪声申报登记制度，要求在工程开工15日内向所在区相关部门提出申报，填写《建筑施工场地噪声管理审批表》经批准后方可开工；</w:t>
            </w:r>
          </w:p>
          <w:p>
            <w:pPr>
              <w:spacing w:line="360" w:lineRule="auto"/>
              <w:ind w:firstLine="480" w:firstLineChars="200"/>
              <w:rPr>
                <w:sz w:val="24"/>
              </w:rPr>
            </w:pPr>
            <w:r>
              <w:rPr>
                <w:sz w:val="24"/>
              </w:rPr>
              <w:t>（4）应强化行车管理制度，运输车辆限速行驶，保证场内运输畅通，减少噪声对周围保护目标的影响；</w:t>
            </w:r>
          </w:p>
          <w:p>
            <w:pPr>
              <w:spacing w:line="360" w:lineRule="auto"/>
              <w:ind w:firstLine="480" w:firstLineChars="200"/>
              <w:rPr>
                <w:sz w:val="24"/>
              </w:rPr>
            </w:pPr>
            <w:r>
              <w:rPr>
                <w:sz w:val="24"/>
              </w:rPr>
              <w:t>（5）加强对施工人员的管理，做到文明施工，施工过程搬运物件，必须轻拿轻放，严禁抛掷物件而造成噪声；</w:t>
            </w:r>
          </w:p>
          <w:p>
            <w:pPr>
              <w:spacing w:line="360" w:lineRule="auto"/>
              <w:ind w:firstLine="480" w:firstLineChars="200"/>
              <w:rPr>
                <w:sz w:val="24"/>
              </w:rPr>
            </w:pPr>
            <w:r>
              <w:rPr>
                <w:sz w:val="24"/>
              </w:rPr>
              <w:t>（6）工过程所需块材等建筑材料尽量采用定尺定料，减少现场切割。</w:t>
            </w:r>
          </w:p>
          <w:p>
            <w:pPr>
              <w:spacing w:line="360" w:lineRule="auto"/>
              <w:rPr>
                <w:b/>
                <w:bCs/>
                <w:sz w:val="24"/>
              </w:rPr>
            </w:pPr>
            <w:r>
              <w:rPr>
                <w:b/>
                <w:bCs/>
                <w:sz w:val="24"/>
              </w:rPr>
              <w:t>4、固体废物防治措施</w:t>
            </w:r>
          </w:p>
          <w:p>
            <w:pPr>
              <w:spacing w:line="360" w:lineRule="auto"/>
              <w:ind w:firstLine="480" w:firstLineChars="200"/>
              <w:rPr>
                <w:sz w:val="24"/>
              </w:rPr>
            </w:pPr>
            <w:r>
              <w:rPr>
                <w:sz w:val="24"/>
              </w:rPr>
              <w:t>（1）项目施工期产生的土石方用于项目区内的场地回填平整以及区域的道路铺设，不外排。</w:t>
            </w:r>
          </w:p>
          <w:p>
            <w:pPr>
              <w:spacing w:line="360" w:lineRule="auto"/>
              <w:ind w:firstLine="480" w:firstLineChars="200"/>
              <w:rPr>
                <w:sz w:val="24"/>
              </w:rPr>
            </w:pPr>
            <w:r>
              <w:rPr>
                <w:sz w:val="24"/>
              </w:rPr>
              <w:t>（2）施工人员产生的生活垃圾收集后委托当地环卫部门定期清运处置。</w:t>
            </w:r>
          </w:p>
          <w:p>
            <w:pPr>
              <w:spacing w:line="360" w:lineRule="auto"/>
              <w:rPr>
                <w:b/>
                <w:bCs/>
                <w:sz w:val="24"/>
              </w:rPr>
            </w:pPr>
            <w:r>
              <w:rPr>
                <w:b/>
                <w:bCs/>
                <w:sz w:val="24"/>
              </w:rPr>
              <w:t>5、生态环境影响防治措施</w:t>
            </w:r>
          </w:p>
          <w:p>
            <w:pPr>
              <w:spacing w:line="360" w:lineRule="auto"/>
              <w:ind w:firstLine="480" w:firstLineChars="200"/>
              <w:rPr>
                <w:sz w:val="24"/>
              </w:rPr>
            </w:pPr>
            <w:r>
              <w:rPr>
                <w:sz w:val="24"/>
              </w:rPr>
              <w:t>（1）施工过程中涉及到土石方开挖和回填的活动，必须做到对管沟区土壤的分层剥离、分层开挖、分层堆放和循序分层回填。尽可能降低对土壤养分的影响，使土壤得以尽快恢复。</w:t>
            </w:r>
          </w:p>
          <w:p>
            <w:pPr>
              <w:spacing w:line="360" w:lineRule="auto"/>
              <w:ind w:firstLine="480" w:firstLineChars="200"/>
              <w:rPr>
                <w:sz w:val="24"/>
              </w:rPr>
            </w:pPr>
            <w:r>
              <w:rPr>
                <w:sz w:val="24"/>
              </w:rPr>
              <w:t>（2）施工人员、施工车辆以及各种设备应按规定的路线行驶、操作，不得随意破坏道路和农田水利设施等农田基础设施。</w:t>
            </w:r>
          </w:p>
          <w:p>
            <w:pPr>
              <w:spacing w:line="360" w:lineRule="auto"/>
              <w:ind w:firstLine="480" w:firstLineChars="200"/>
              <w:rPr>
                <w:sz w:val="24"/>
              </w:rPr>
            </w:pPr>
            <w:r>
              <w:rPr>
                <w:sz w:val="24"/>
              </w:rPr>
              <w:t>（3）合理堆放和处置开挖土石，以减少占地和对环境的影响程度。</w:t>
            </w:r>
          </w:p>
          <w:p>
            <w:pPr>
              <w:spacing w:line="360" w:lineRule="auto"/>
              <w:ind w:firstLine="480" w:firstLineChars="200"/>
              <w:rPr>
                <w:sz w:val="24"/>
              </w:rPr>
            </w:pPr>
            <w:r>
              <w:rPr>
                <w:sz w:val="24"/>
              </w:rPr>
              <w:t>（4）施工期挖沟应尽可能选择在旱季，尽量避开雨季，既可能减小施工难度，又加快施工的进度；减少水土流失。</w:t>
            </w:r>
          </w:p>
          <w:p>
            <w:pPr>
              <w:spacing w:line="360" w:lineRule="auto"/>
              <w:ind w:firstLine="480" w:firstLineChars="200"/>
              <w:rPr>
                <w:sz w:val="24"/>
              </w:rPr>
            </w:pPr>
            <w:r>
              <w:rPr>
                <w:sz w:val="24"/>
              </w:rPr>
              <w:t>（5）施工结束后，临时占地都要进行清理整治，拆除临时建筑，打扫地面，重新疏松被碾压后变得密实的土壤，洼地要覆土填平，并及时进行绿化，把水土流失降低至最低水平。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3" w:type="pct"/>
            <w:vAlign w:val="center"/>
          </w:tcPr>
          <w:p>
            <w:pPr>
              <w:spacing w:line="360" w:lineRule="auto"/>
              <w:jc w:val="center"/>
              <w:rPr>
                <w:sz w:val="24"/>
              </w:rPr>
            </w:pPr>
            <w:r>
              <w:rPr>
                <w:sz w:val="24"/>
              </w:rPr>
              <w:t>运营期环境影响及保护措施</w:t>
            </w:r>
          </w:p>
        </w:tc>
        <w:tc>
          <w:tcPr>
            <w:tcW w:w="4817" w:type="pct"/>
            <w:vAlign w:val="center"/>
          </w:tcPr>
          <w:p>
            <w:pPr>
              <w:spacing w:line="360" w:lineRule="auto"/>
              <w:rPr>
                <w:b/>
                <w:bCs/>
                <w:sz w:val="24"/>
              </w:rPr>
            </w:pPr>
            <w:r>
              <w:rPr>
                <w:b/>
                <w:bCs/>
                <w:sz w:val="24"/>
              </w:rPr>
              <w:t>1、运营期大气环境影响和保护措施</w:t>
            </w:r>
          </w:p>
          <w:p>
            <w:pPr>
              <w:spacing w:line="360" w:lineRule="auto"/>
              <w:ind w:firstLine="480" w:firstLineChars="200"/>
              <w:rPr>
                <w:sz w:val="24"/>
              </w:rPr>
            </w:pPr>
            <w:r>
              <w:rPr>
                <w:sz w:val="24"/>
              </w:rPr>
              <w:t>（1）废气污染物产生及排放情况</w:t>
            </w:r>
          </w:p>
          <w:p>
            <w:pPr>
              <w:spacing w:line="360" w:lineRule="auto"/>
              <w:ind w:firstLine="480" w:firstLineChars="200"/>
              <w:rPr>
                <w:sz w:val="24"/>
              </w:rPr>
            </w:pPr>
            <w:r>
              <w:rPr>
                <w:sz w:val="24"/>
              </w:rPr>
              <w:t>查阅《污染源源强核算技术指南 准则》（HJ884-2018）规定的核算方法：</w:t>
            </w:r>
            <w:r>
              <w:rPr>
                <w:rFonts w:hint="eastAsia"/>
                <w:sz w:val="24"/>
              </w:rPr>
              <w:t>“</w:t>
            </w:r>
            <w:r>
              <w:rPr>
                <w:sz w:val="24"/>
              </w:rPr>
              <w:t>产排污系数法</w:t>
            </w:r>
            <w:r>
              <w:rPr>
                <w:rFonts w:hint="eastAsia"/>
                <w:sz w:val="24"/>
              </w:rPr>
              <w:t>”</w:t>
            </w:r>
            <w:r>
              <w:rPr>
                <w:sz w:val="24"/>
              </w:rPr>
              <w:t>和</w:t>
            </w:r>
            <w:r>
              <w:rPr>
                <w:rFonts w:hint="eastAsia"/>
                <w:sz w:val="24"/>
              </w:rPr>
              <w:t>“</w:t>
            </w:r>
            <w:r>
              <w:rPr>
                <w:sz w:val="24"/>
              </w:rPr>
              <w:t>类比法</w:t>
            </w:r>
            <w:r>
              <w:rPr>
                <w:rFonts w:hint="eastAsia"/>
                <w:sz w:val="24"/>
              </w:rPr>
              <w:t>”</w:t>
            </w:r>
            <w:r>
              <w:rPr>
                <w:sz w:val="24"/>
              </w:rPr>
              <w:t>确定污染物产排量，参照《排污许可证申请与核发技术规范总则》（HJ942-2018）结合项目特点，确定项目废气为粉尘、食堂油烟、汽车尾气等。粉尘主要为有组织粉尘（储罐粉尘）、无组织粉尘（皮带输送粉尘、原料库（原料堆场、装卸粉尘））等。</w:t>
            </w:r>
          </w:p>
          <w:p>
            <w:pPr>
              <w:spacing w:line="360" w:lineRule="auto"/>
              <w:ind w:firstLine="600"/>
              <w:rPr>
                <w:sz w:val="24"/>
              </w:rPr>
            </w:pPr>
            <w:r>
              <w:rPr>
                <w:rFonts w:hint="eastAsia" w:ascii="宋体" w:hAnsi="宋体" w:cs="宋体"/>
                <w:sz w:val="24"/>
              </w:rPr>
              <w:t>①</w:t>
            </w:r>
            <w:r>
              <w:rPr>
                <w:sz w:val="24"/>
              </w:rPr>
              <w:t>有组织粉尘</w:t>
            </w:r>
          </w:p>
          <w:p>
            <w:pPr>
              <w:spacing w:line="360" w:lineRule="auto"/>
              <w:ind w:firstLine="600"/>
              <w:rPr>
                <w:sz w:val="24"/>
              </w:rPr>
            </w:pPr>
            <w:r>
              <w:rPr>
                <w:sz w:val="24"/>
              </w:rPr>
              <w:t>项目粉料均采用储罐储存，共设置1条生产线，共设置</w:t>
            </w:r>
            <w:r>
              <w:rPr>
                <w:rFonts w:hint="eastAsia"/>
                <w:sz w:val="24"/>
              </w:rPr>
              <w:t>6</w:t>
            </w:r>
            <w:r>
              <w:rPr>
                <w:sz w:val="24"/>
              </w:rPr>
              <w:t>个粉料储罐（包括</w:t>
            </w:r>
            <w:r>
              <w:rPr>
                <w:rFonts w:hint="eastAsia"/>
                <w:sz w:val="24"/>
              </w:rPr>
              <w:t>4</w:t>
            </w:r>
            <w:r>
              <w:rPr>
                <w:sz w:val="24"/>
              </w:rPr>
              <w:t>个水泥储罐（150t/个）；2个粉煤灰储罐（150t/个）。粉料（水泥、粉煤灰）卸料通过运输车辆与相应储罐管道封闭直连，启用车辆自带的压缩空气，将其以吹入形式进入相应的粉料储罐。生产过程投料时采取密闭螺旋输送机计量给料。粉料卸料过程储罐顶呼吸口会产生粉尘。根据建设单位提供资料，粉料储罐为全封闭式，且每个储罐顶自带安装有1台风量为2500m</w:t>
            </w:r>
            <w:r>
              <w:rPr>
                <w:sz w:val="24"/>
                <w:vertAlign w:val="superscript"/>
              </w:rPr>
              <w:t>3</w:t>
            </w:r>
            <w:r>
              <w:rPr>
                <w:sz w:val="24"/>
              </w:rPr>
              <w:t>/h的脉冲布袋除尘器，除尘效率为99%，储罐高度为12m，粉料储罐粉尘经除尘后由储罐顶3m的排气</w:t>
            </w:r>
            <w:r>
              <w:rPr>
                <w:rFonts w:hint="eastAsia"/>
                <w:sz w:val="24"/>
              </w:rPr>
              <w:t>筒</w:t>
            </w:r>
            <w:r>
              <w:rPr>
                <w:sz w:val="24"/>
              </w:rPr>
              <w:t>排出</w:t>
            </w:r>
            <w:r>
              <w:rPr>
                <w:rFonts w:hint="eastAsia"/>
                <w:sz w:val="24"/>
              </w:rPr>
              <w:t>，</w:t>
            </w:r>
            <w:r>
              <w:rPr>
                <w:sz w:val="24"/>
              </w:rPr>
              <w:t>排放口</w:t>
            </w:r>
            <w:r>
              <w:rPr>
                <w:rFonts w:hint="eastAsia"/>
                <w:sz w:val="24"/>
              </w:rPr>
              <w:t>有效</w:t>
            </w:r>
            <w:r>
              <w:rPr>
                <w:sz w:val="24"/>
              </w:rPr>
              <w:t>高度为15m。</w:t>
            </w:r>
          </w:p>
          <w:p>
            <w:pPr>
              <w:spacing w:line="360" w:lineRule="auto"/>
              <w:ind w:firstLine="480" w:firstLineChars="200"/>
              <w:rPr>
                <w:sz w:val="24"/>
              </w:rPr>
            </w:pPr>
            <w:r>
              <w:rPr>
                <w:sz w:val="24"/>
              </w:rPr>
              <w:t>水泥储罐储存量为每年1.8万吨，设置</w:t>
            </w:r>
            <w:r>
              <w:rPr>
                <w:rFonts w:hint="eastAsia"/>
                <w:sz w:val="24"/>
              </w:rPr>
              <w:t>4</w:t>
            </w:r>
            <w:r>
              <w:rPr>
                <w:sz w:val="24"/>
              </w:rPr>
              <w:t>个水泥储罐，平均每个储罐年储存量为0.45万吨；粉煤灰储罐储存量为每年</w:t>
            </w:r>
            <w:r>
              <w:rPr>
                <w:rFonts w:hint="eastAsia"/>
                <w:sz w:val="24"/>
              </w:rPr>
              <w:t>0</w:t>
            </w:r>
            <w:r>
              <w:rPr>
                <w:sz w:val="24"/>
              </w:rPr>
              <w:t>.6万吨，设置</w:t>
            </w:r>
            <w:r>
              <w:rPr>
                <w:rFonts w:hint="eastAsia"/>
                <w:sz w:val="24"/>
              </w:rPr>
              <w:t>2</w:t>
            </w:r>
            <w:r>
              <w:rPr>
                <w:sz w:val="24"/>
              </w:rPr>
              <w:t>个粉煤灰储罐，平均每个储罐年储存量为0.3万吨。参照《北京市混凝土搅拌站扬尘排放因子及排放清单》（中国环境科学2017.37（10）：3699～3707）表3混凝土搅拌站各环节无控制措施扬尘排放因子进行核算扬尘产生源强可知：</w:t>
            </w:r>
          </w:p>
          <w:p>
            <w:pPr>
              <w:spacing w:line="360" w:lineRule="auto"/>
              <w:ind w:firstLine="480" w:firstLineChars="200"/>
              <w:rPr>
                <w:sz w:val="24"/>
              </w:rPr>
            </w:pPr>
            <w:r>
              <w:rPr>
                <w:sz w:val="24"/>
              </w:rPr>
              <w:t>散装水泥卸料至储罐扬尘产污系数为：0.36kg/吨-水泥；</w:t>
            </w:r>
          </w:p>
          <w:p>
            <w:pPr>
              <w:spacing w:line="360" w:lineRule="auto"/>
              <w:ind w:firstLine="480" w:firstLineChars="200"/>
              <w:rPr>
                <w:sz w:val="24"/>
              </w:rPr>
            </w:pPr>
            <w:r>
              <w:rPr>
                <w:sz w:val="24"/>
              </w:rPr>
              <w:t>粉煤灰卸料至储罐扬尘产污系数为：1.57kg/吨-粉煤灰。</w:t>
            </w:r>
          </w:p>
          <w:p>
            <w:pPr>
              <w:spacing w:line="360" w:lineRule="auto"/>
              <w:ind w:firstLine="480" w:firstLineChars="200"/>
              <w:rPr>
                <w:sz w:val="24"/>
              </w:rPr>
            </w:pPr>
            <w:r>
              <w:rPr>
                <w:sz w:val="24"/>
              </w:rPr>
              <w:t>项目储罐采用除尘方式如下：储罐底部采用负压吸风收尘装置，与储罐顶部呼吸孔共用脉冲布袋除尘器。项目6个粉料储罐废气产生及排放情况见表4-1。</w:t>
            </w:r>
          </w:p>
          <w:p>
            <w:pPr>
              <w:spacing w:line="360" w:lineRule="auto"/>
              <w:jc w:val="center"/>
              <w:rPr>
                <w:b/>
                <w:bCs/>
                <w:szCs w:val="21"/>
              </w:rPr>
            </w:pPr>
            <w:r>
              <w:rPr>
                <w:b/>
                <w:bCs/>
                <w:szCs w:val="21"/>
              </w:rPr>
              <w:t>表4-1  项目储罐粉尘产生及排放情况</w:t>
            </w:r>
          </w:p>
          <w:tbl>
            <w:tblPr>
              <w:tblStyle w:val="88"/>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4"/>
              <w:gridCol w:w="925"/>
              <w:gridCol w:w="1004"/>
              <w:gridCol w:w="1167"/>
              <w:gridCol w:w="1145"/>
              <w:gridCol w:w="1036"/>
              <w:gridCol w:w="12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13" w:type="pct"/>
                  <w:shd w:val="clear" w:color="auto" w:fill="auto"/>
                  <w:vAlign w:val="center"/>
                </w:tcPr>
                <w:p>
                  <w:pPr>
                    <w:adjustRightInd w:val="0"/>
                    <w:snapToGrid w:val="0"/>
                    <w:jc w:val="center"/>
                    <w:rPr>
                      <w:color w:val="000000"/>
                      <w:szCs w:val="28"/>
                      <w:highlight w:val="yellow"/>
                      <w:lang w:val="zh-CN"/>
                    </w:rPr>
                  </w:pPr>
                  <w:bookmarkStart w:id="32" w:name="_Hlk46715836"/>
                  <w:r>
                    <w:rPr>
                      <w:color w:val="000000"/>
                      <w:szCs w:val="28"/>
                      <w:lang w:val="zh-CN"/>
                    </w:rPr>
                    <w:t>污染源</w:t>
                  </w:r>
                </w:p>
              </w:tc>
              <w:tc>
                <w:tcPr>
                  <w:tcW w:w="590" w:type="pct"/>
                  <w:shd w:val="clear" w:color="auto" w:fill="auto"/>
                  <w:vAlign w:val="center"/>
                </w:tcPr>
                <w:p>
                  <w:pPr>
                    <w:autoSpaceDE w:val="0"/>
                    <w:autoSpaceDN w:val="0"/>
                    <w:adjustRightInd w:val="0"/>
                    <w:snapToGrid w:val="0"/>
                    <w:jc w:val="center"/>
                    <w:rPr>
                      <w:color w:val="000000"/>
                      <w:szCs w:val="28"/>
                      <w:lang w:val="zh-CN"/>
                    </w:rPr>
                  </w:pPr>
                  <w:r>
                    <w:rPr>
                      <w:color w:val="000000"/>
                      <w:szCs w:val="28"/>
                      <w:lang w:val="zh-CN"/>
                    </w:rPr>
                    <w:t>产生量</w:t>
                  </w:r>
                </w:p>
              </w:tc>
              <w:tc>
                <w:tcPr>
                  <w:tcW w:w="640" w:type="pct"/>
                  <w:shd w:val="clear" w:color="auto" w:fill="auto"/>
                  <w:vAlign w:val="center"/>
                </w:tcPr>
                <w:p>
                  <w:pPr>
                    <w:autoSpaceDE w:val="0"/>
                    <w:autoSpaceDN w:val="0"/>
                    <w:adjustRightInd w:val="0"/>
                    <w:snapToGrid w:val="0"/>
                    <w:jc w:val="center"/>
                    <w:rPr>
                      <w:color w:val="000000"/>
                      <w:szCs w:val="28"/>
                      <w:lang w:val="zh-CN"/>
                    </w:rPr>
                  </w:pPr>
                  <w:r>
                    <w:rPr>
                      <w:color w:val="000000"/>
                      <w:szCs w:val="28"/>
                      <w:lang w:val="zh-CN"/>
                    </w:rPr>
                    <w:t>排放量</w:t>
                  </w:r>
                </w:p>
              </w:tc>
              <w:tc>
                <w:tcPr>
                  <w:tcW w:w="744" w:type="pct"/>
                  <w:shd w:val="clear" w:color="auto" w:fill="auto"/>
                  <w:vAlign w:val="center"/>
                </w:tcPr>
                <w:p>
                  <w:pPr>
                    <w:autoSpaceDE w:val="0"/>
                    <w:autoSpaceDN w:val="0"/>
                    <w:adjustRightInd w:val="0"/>
                    <w:snapToGrid w:val="0"/>
                    <w:jc w:val="center"/>
                    <w:rPr>
                      <w:color w:val="000000"/>
                      <w:szCs w:val="28"/>
                      <w:lang w:val="zh-CN"/>
                    </w:rPr>
                  </w:pPr>
                  <w:r>
                    <w:rPr>
                      <w:color w:val="000000"/>
                      <w:szCs w:val="28"/>
                      <w:lang w:val="zh-CN"/>
                    </w:rPr>
                    <w:t>排放</w:t>
                  </w:r>
                </w:p>
                <w:p>
                  <w:pPr>
                    <w:autoSpaceDE w:val="0"/>
                    <w:autoSpaceDN w:val="0"/>
                    <w:adjustRightInd w:val="0"/>
                    <w:snapToGrid w:val="0"/>
                    <w:jc w:val="center"/>
                    <w:rPr>
                      <w:color w:val="000000"/>
                      <w:szCs w:val="28"/>
                      <w:lang w:val="zh-CN"/>
                    </w:rPr>
                  </w:pPr>
                  <w:r>
                    <w:rPr>
                      <w:color w:val="000000"/>
                      <w:szCs w:val="28"/>
                      <w:lang w:val="zh-CN"/>
                    </w:rPr>
                    <w:t>速率</w:t>
                  </w:r>
                </w:p>
              </w:tc>
              <w:tc>
                <w:tcPr>
                  <w:tcW w:w="730" w:type="pct"/>
                  <w:shd w:val="clear" w:color="auto" w:fill="auto"/>
                  <w:vAlign w:val="center"/>
                </w:tcPr>
                <w:p>
                  <w:pPr>
                    <w:autoSpaceDE w:val="0"/>
                    <w:autoSpaceDN w:val="0"/>
                    <w:adjustRightInd w:val="0"/>
                    <w:snapToGrid w:val="0"/>
                    <w:jc w:val="center"/>
                    <w:rPr>
                      <w:color w:val="000000"/>
                      <w:szCs w:val="28"/>
                      <w:lang w:val="zh-CN"/>
                    </w:rPr>
                  </w:pPr>
                  <w:r>
                    <w:rPr>
                      <w:color w:val="000000"/>
                      <w:szCs w:val="28"/>
                      <w:lang w:val="zh-CN"/>
                    </w:rPr>
                    <w:t>排放</w:t>
                  </w:r>
                </w:p>
                <w:p>
                  <w:pPr>
                    <w:autoSpaceDE w:val="0"/>
                    <w:autoSpaceDN w:val="0"/>
                    <w:adjustRightInd w:val="0"/>
                    <w:snapToGrid w:val="0"/>
                    <w:jc w:val="center"/>
                    <w:rPr>
                      <w:color w:val="000000"/>
                      <w:szCs w:val="28"/>
                      <w:lang w:val="zh-CN"/>
                    </w:rPr>
                  </w:pPr>
                  <w:r>
                    <w:rPr>
                      <w:color w:val="000000"/>
                      <w:szCs w:val="28"/>
                      <w:lang w:val="zh-CN"/>
                    </w:rPr>
                    <w:t>浓度</w:t>
                  </w:r>
                </w:p>
              </w:tc>
              <w:tc>
                <w:tcPr>
                  <w:tcW w:w="661" w:type="pct"/>
                  <w:shd w:val="clear" w:color="auto" w:fill="auto"/>
                  <w:vAlign w:val="center"/>
                </w:tcPr>
                <w:p>
                  <w:pPr>
                    <w:autoSpaceDE w:val="0"/>
                    <w:autoSpaceDN w:val="0"/>
                    <w:adjustRightInd w:val="0"/>
                    <w:snapToGrid w:val="0"/>
                    <w:jc w:val="center"/>
                    <w:rPr>
                      <w:color w:val="000000"/>
                      <w:szCs w:val="28"/>
                      <w:lang w:val="zh-CN"/>
                    </w:rPr>
                  </w:pPr>
                  <w:r>
                    <w:rPr>
                      <w:color w:val="000000"/>
                      <w:szCs w:val="28"/>
                      <w:lang w:val="zh-CN"/>
                    </w:rPr>
                    <w:t>处理</w:t>
                  </w:r>
                </w:p>
                <w:p>
                  <w:pPr>
                    <w:autoSpaceDE w:val="0"/>
                    <w:autoSpaceDN w:val="0"/>
                    <w:adjustRightInd w:val="0"/>
                    <w:snapToGrid w:val="0"/>
                    <w:jc w:val="center"/>
                    <w:rPr>
                      <w:color w:val="000000"/>
                      <w:szCs w:val="28"/>
                      <w:lang w:val="zh-CN"/>
                    </w:rPr>
                  </w:pPr>
                  <w:r>
                    <w:rPr>
                      <w:color w:val="000000"/>
                      <w:szCs w:val="28"/>
                      <w:lang w:val="zh-CN"/>
                    </w:rPr>
                    <w:t>效率</w:t>
                  </w:r>
                </w:p>
              </w:tc>
              <w:tc>
                <w:tcPr>
                  <w:tcW w:w="823" w:type="pct"/>
                  <w:shd w:val="clear" w:color="auto" w:fill="auto"/>
                  <w:vAlign w:val="center"/>
                </w:tcPr>
                <w:p>
                  <w:pPr>
                    <w:autoSpaceDE w:val="0"/>
                    <w:autoSpaceDN w:val="0"/>
                    <w:adjustRightInd w:val="0"/>
                    <w:snapToGrid w:val="0"/>
                    <w:jc w:val="center"/>
                    <w:rPr>
                      <w:color w:val="000000"/>
                      <w:szCs w:val="28"/>
                      <w:lang w:val="zh-CN"/>
                    </w:rPr>
                  </w:pPr>
                  <w:r>
                    <w:rPr>
                      <w:color w:val="000000"/>
                      <w:szCs w:val="28"/>
                      <w:lang w:val="zh-CN"/>
                    </w:rPr>
                    <w:t>处理</w:t>
                  </w:r>
                </w:p>
                <w:p>
                  <w:pPr>
                    <w:autoSpaceDE w:val="0"/>
                    <w:autoSpaceDN w:val="0"/>
                    <w:adjustRightInd w:val="0"/>
                    <w:snapToGrid w:val="0"/>
                    <w:jc w:val="center"/>
                    <w:rPr>
                      <w:color w:val="000000"/>
                      <w:szCs w:val="28"/>
                      <w:highlight w:val="yellow"/>
                      <w:lang w:val="zh-CN"/>
                    </w:rPr>
                  </w:pPr>
                  <w:r>
                    <w:rPr>
                      <w:color w:val="000000"/>
                      <w:szCs w:val="28"/>
                      <w:lang w:val="zh-CN"/>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13" w:type="pct"/>
                  <w:shd w:val="clear" w:color="auto" w:fill="auto"/>
                  <w:vAlign w:val="center"/>
                </w:tcPr>
                <w:p>
                  <w:pPr>
                    <w:autoSpaceDE w:val="0"/>
                    <w:autoSpaceDN w:val="0"/>
                    <w:adjustRightInd w:val="0"/>
                    <w:snapToGrid w:val="0"/>
                    <w:jc w:val="center"/>
                    <w:rPr>
                      <w:color w:val="000000"/>
                      <w:szCs w:val="28"/>
                      <w:lang w:val="zh-CN"/>
                    </w:rPr>
                  </w:pPr>
                  <w:r>
                    <w:rPr>
                      <w:color w:val="000000"/>
                      <w:szCs w:val="28"/>
                      <w:lang w:val="zh-CN"/>
                    </w:rPr>
                    <w:t>1#水泥储罐</w:t>
                  </w:r>
                </w:p>
              </w:tc>
              <w:tc>
                <w:tcPr>
                  <w:tcW w:w="590" w:type="pct"/>
                  <w:shd w:val="clear" w:color="auto" w:fill="auto"/>
                  <w:vAlign w:val="center"/>
                </w:tcPr>
                <w:p>
                  <w:pPr>
                    <w:adjustRightInd w:val="0"/>
                    <w:snapToGrid w:val="0"/>
                    <w:jc w:val="center"/>
                    <w:rPr>
                      <w:color w:val="000000"/>
                      <w:szCs w:val="28"/>
                      <w:highlight w:val="yellow"/>
                      <w:lang w:val="zh-CN"/>
                    </w:rPr>
                  </w:pPr>
                  <w:r>
                    <w:rPr>
                      <w:color w:val="000000"/>
                      <w:szCs w:val="28"/>
                      <w:lang w:val="zh-CN"/>
                    </w:rPr>
                    <w:t>4.05t/a</w:t>
                  </w:r>
                </w:p>
              </w:tc>
              <w:tc>
                <w:tcPr>
                  <w:tcW w:w="640" w:type="pct"/>
                  <w:shd w:val="clear" w:color="auto" w:fill="auto"/>
                  <w:vAlign w:val="center"/>
                </w:tcPr>
                <w:p>
                  <w:pPr>
                    <w:adjustRightInd w:val="0"/>
                    <w:snapToGrid w:val="0"/>
                    <w:jc w:val="center"/>
                    <w:rPr>
                      <w:color w:val="000000"/>
                      <w:szCs w:val="28"/>
                      <w:highlight w:val="yellow"/>
                      <w:lang w:val="zh-CN"/>
                    </w:rPr>
                  </w:pPr>
                  <w:r>
                    <w:rPr>
                      <w:color w:val="000000"/>
                      <w:lang w:val="zh-CN"/>
                    </w:rPr>
                    <w:t>0.0405</w:t>
                  </w:r>
                  <w:r>
                    <w:rPr>
                      <w:color w:val="000000"/>
                      <w:szCs w:val="28"/>
                      <w:lang w:val="zh-CN"/>
                    </w:rPr>
                    <w:t>t/a</w:t>
                  </w:r>
                </w:p>
              </w:tc>
              <w:tc>
                <w:tcPr>
                  <w:tcW w:w="744" w:type="pct"/>
                  <w:shd w:val="clear" w:color="auto" w:fill="auto"/>
                  <w:vAlign w:val="center"/>
                </w:tcPr>
                <w:p>
                  <w:pPr>
                    <w:adjustRightInd w:val="0"/>
                    <w:snapToGrid w:val="0"/>
                    <w:jc w:val="center"/>
                    <w:rPr>
                      <w:color w:val="000000"/>
                    </w:rPr>
                  </w:pPr>
                  <w:r>
                    <w:rPr>
                      <w:color w:val="000000"/>
                      <w:szCs w:val="28"/>
                      <w:lang w:val="zh-CN"/>
                    </w:rPr>
                    <w:t>0.0135kg/h</w:t>
                  </w:r>
                </w:p>
              </w:tc>
              <w:tc>
                <w:tcPr>
                  <w:tcW w:w="730" w:type="pct"/>
                  <w:shd w:val="clear" w:color="auto" w:fill="auto"/>
                  <w:vAlign w:val="center"/>
                </w:tcPr>
                <w:p>
                  <w:pPr>
                    <w:adjustRightInd w:val="0"/>
                    <w:snapToGrid w:val="0"/>
                    <w:jc w:val="center"/>
                    <w:rPr>
                      <w:color w:val="000000"/>
                    </w:rPr>
                  </w:pPr>
                  <w:r>
                    <w:rPr>
                      <w:color w:val="000000"/>
                      <w:lang w:val="zh-CN"/>
                    </w:rPr>
                    <w:t>5.4</w:t>
                  </w:r>
                  <w:r>
                    <w:rPr>
                      <w:color w:val="000000"/>
                      <w:szCs w:val="28"/>
                      <w:lang w:val="zh-CN"/>
                    </w:rPr>
                    <w:t>mg/m</w:t>
                  </w:r>
                  <w:r>
                    <w:rPr>
                      <w:color w:val="000000"/>
                      <w:szCs w:val="28"/>
                      <w:vertAlign w:val="superscript"/>
                      <w:lang w:val="zh-CN"/>
                    </w:rPr>
                    <w:t>3</w:t>
                  </w:r>
                </w:p>
              </w:tc>
              <w:tc>
                <w:tcPr>
                  <w:tcW w:w="661" w:type="pct"/>
                  <w:shd w:val="clear" w:color="auto" w:fill="auto"/>
                  <w:vAlign w:val="center"/>
                </w:tcPr>
                <w:p>
                  <w:pPr>
                    <w:adjustRightInd w:val="0"/>
                    <w:snapToGrid w:val="0"/>
                    <w:jc w:val="center"/>
                    <w:rPr>
                      <w:color w:val="000000"/>
                      <w:szCs w:val="28"/>
                      <w:lang w:val="zh-CN"/>
                    </w:rPr>
                  </w:pPr>
                  <w:r>
                    <w:rPr>
                      <w:color w:val="000000"/>
                      <w:szCs w:val="28"/>
                      <w:lang w:val="zh-CN"/>
                    </w:rPr>
                    <w:t>99%</w:t>
                  </w:r>
                </w:p>
              </w:tc>
              <w:tc>
                <w:tcPr>
                  <w:tcW w:w="823" w:type="pct"/>
                  <w:vMerge w:val="restart"/>
                  <w:shd w:val="clear" w:color="auto" w:fill="auto"/>
                  <w:vAlign w:val="center"/>
                </w:tcPr>
                <w:p>
                  <w:pPr>
                    <w:autoSpaceDE w:val="0"/>
                    <w:autoSpaceDN w:val="0"/>
                    <w:adjustRightInd w:val="0"/>
                    <w:jc w:val="center"/>
                    <w:rPr>
                      <w:color w:val="000000"/>
                      <w:szCs w:val="28"/>
                      <w:highlight w:val="yellow"/>
                      <w:lang w:val="zh-CN"/>
                    </w:rPr>
                  </w:pPr>
                  <w:r>
                    <w:rPr>
                      <w:color w:val="000000"/>
                    </w:rPr>
                    <w:t>每个</w:t>
                  </w:r>
                  <w:r>
                    <w:rPr>
                      <w:color w:val="000000"/>
                      <w:szCs w:val="28"/>
                      <w:lang w:val="zh-CN"/>
                    </w:rPr>
                    <w:t>储罐</w:t>
                  </w:r>
                  <w:r>
                    <w:rPr>
                      <w:color w:val="000000"/>
                    </w:rPr>
                    <w:t>自带除尘器（共6套），每套风机风量：2500m</w:t>
                  </w:r>
                  <w:r>
                    <w:rPr>
                      <w:color w:val="000000"/>
                      <w:vertAlign w:val="superscript"/>
                    </w:rPr>
                    <w:t>3</w:t>
                  </w:r>
                  <w:r>
                    <w:rPr>
                      <w:color w:val="000000"/>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13" w:type="pct"/>
                  <w:shd w:val="clear" w:color="auto" w:fill="auto"/>
                  <w:vAlign w:val="center"/>
                </w:tcPr>
                <w:p>
                  <w:pPr>
                    <w:autoSpaceDE w:val="0"/>
                    <w:autoSpaceDN w:val="0"/>
                    <w:adjustRightInd w:val="0"/>
                    <w:snapToGrid w:val="0"/>
                    <w:jc w:val="center"/>
                    <w:rPr>
                      <w:color w:val="000000"/>
                      <w:szCs w:val="28"/>
                    </w:rPr>
                  </w:pPr>
                  <w:r>
                    <w:rPr>
                      <w:color w:val="000000"/>
                      <w:szCs w:val="28"/>
                    </w:rPr>
                    <w:t>2#</w:t>
                  </w:r>
                  <w:r>
                    <w:rPr>
                      <w:color w:val="000000"/>
                      <w:szCs w:val="28"/>
                      <w:lang w:val="zh-CN"/>
                    </w:rPr>
                    <w:t>水泥储罐</w:t>
                  </w:r>
                </w:p>
              </w:tc>
              <w:tc>
                <w:tcPr>
                  <w:tcW w:w="590" w:type="pct"/>
                  <w:shd w:val="clear" w:color="auto" w:fill="auto"/>
                </w:tcPr>
                <w:p>
                  <w:pPr>
                    <w:jc w:val="center"/>
                  </w:pPr>
                  <w:r>
                    <w:rPr>
                      <w:color w:val="000000"/>
                      <w:szCs w:val="28"/>
                    </w:rPr>
                    <w:t>4.05t/a</w:t>
                  </w:r>
                </w:p>
              </w:tc>
              <w:tc>
                <w:tcPr>
                  <w:tcW w:w="640" w:type="pct"/>
                  <w:shd w:val="clear" w:color="auto" w:fill="auto"/>
                  <w:vAlign w:val="center"/>
                </w:tcPr>
                <w:p>
                  <w:pPr>
                    <w:adjustRightInd w:val="0"/>
                    <w:snapToGrid w:val="0"/>
                    <w:jc w:val="center"/>
                    <w:rPr>
                      <w:color w:val="000000"/>
                      <w:szCs w:val="28"/>
                      <w:highlight w:val="yellow"/>
                    </w:rPr>
                  </w:pPr>
                  <w:r>
                    <w:rPr>
                      <w:color w:val="000000"/>
                    </w:rPr>
                    <w:t>0.0405</w:t>
                  </w:r>
                  <w:r>
                    <w:rPr>
                      <w:color w:val="000000"/>
                      <w:szCs w:val="28"/>
                    </w:rPr>
                    <w:t>t/a</w:t>
                  </w:r>
                </w:p>
              </w:tc>
              <w:tc>
                <w:tcPr>
                  <w:tcW w:w="744" w:type="pct"/>
                  <w:shd w:val="clear" w:color="auto" w:fill="auto"/>
                </w:tcPr>
                <w:p>
                  <w:r>
                    <w:rPr>
                      <w:color w:val="000000"/>
                      <w:szCs w:val="28"/>
                    </w:rPr>
                    <w:t>0.0135kg/h</w:t>
                  </w:r>
                </w:p>
              </w:tc>
              <w:tc>
                <w:tcPr>
                  <w:tcW w:w="730" w:type="pct"/>
                  <w:shd w:val="clear" w:color="auto" w:fill="auto"/>
                </w:tcPr>
                <w:p>
                  <w:pPr>
                    <w:jc w:val="center"/>
                  </w:pPr>
                  <w:r>
                    <w:rPr>
                      <w:color w:val="000000"/>
                    </w:rPr>
                    <w:t>5.4</w:t>
                  </w:r>
                  <w:r>
                    <w:rPr>
                      <w:color w:val="000000"/>
                      <w:szCs w:val="28"/>
                    </w:rPr>
                    <w:t>mg/m</w:t>
                  </w:r>
                  <w:r>
                    <w:rPr>
                      <w:color w:val="000000"/>
                      <w:szCs w:val="28"/>
                      <w:vertAlign w:val="superscript"/>
                    </w:rPr>
                    <w:t>3</w:t>
                  </w:r>
                </w:p>
              </w:tc>
              <w:tc>
                <w:tcPr>
                  <w:tcW w:w="661" w:type="pct"/>
                  <w:shd w:val="clear" w:color="auto" w:fill="auto"/>
                </w:tcPr>
                <w:p>
                  <w:pPr>
                    <w:jc w:val="center"/>
                  </w:pPr>
                  <w:r>
                    <w:rPr>
                      <w:color w:val="000000"/>
                      <w:szCs w:val="28"/>
                    </w:rPr>
                    <w:t>99%</w:t>
                  </w:r>
                </w:p>
              </w:tc>
              <w:tc>
                <w:tcPr>
                  <w:tcW w:w="823" w:type="pct"/>
                  <w:vMerge w:val="continue"/>
                  <w:shd w:val="clear" w:color="auto" w:fill="auto"/>
                  <w:vAlign w:val="center"/>
                </w:tcPr>
                <w:p>
                  <w:pPr>
                    <w:adjustRightInd w:val="0"/>
                    <w:snapToGrid w:val="0"/>
                    <w:jc w:val="center"/>
                    <w:rPr>
                      <w:color w:val="000000"/>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13" w:type="pct"/>
                  <w:shd w:val="clear" w:color="auto" w:fill="auto"/>
                  <w:vAlign w:val="center"/>
                </w:tcPr>
                <w:p>
                  <w:pPr>
                    <w:autoSpaceDE w:val="0"/>
                    <w:autoSpaceDN w:val="0"/>
                    <w:adjustRightInd w:val="0"/>
                    <w:snapToGrid w:val="0"/>
                    <w:jc w:val="center"/>
                    <w:rPr>
                      <w:color w:val="000000"/>
                      <w:szCs w:val="28"/>
                    </w:rPr>
                  </w:pPr>
                  <w:r>
                    <w:rPr>
                      <w:color w:val="000000"/>
                      <w:szCs w:val="28"/>
                    </w:rPr>
                    <w:t>3#</w:t>
                  </w:r>
                  <w:r>
                    <w:rPr>
                      <w:color w:val="000000"/>
                      <w:szCs w:val="28"/>
                      <w:lang w:val="zh-CN"/>
                    </w:rPr>
                    <w:t>水泥储罐</w:t>
                  </w:r>
                </w:p>
              </w:tc>
              <w:tc>
                <w:tcPr>
                  <w:tcW w:w="590" w:type="pct"/>
                  <w:shd w:val="clear" w:color="auto" w:fill="auto"/>
                </w:tcPr>
                <w:p>
                  <w:pPr>
                    <w:jc w:val="center"/>
                  </w:pPr>
                  <w:r>
                    <w:rPr>
                      <w:color w:val="000000"/>
                      <w:szCs w:val="28"/>
                    </w:rPr>
                    <w:t>4.05t/a</w:t>
                  </w:r>
                </w:p>
              </w:tc>
              <w:tc>
                <w:tcPr>
                  <w:tcW w:w="640" w:type="pct"/>
                  <w:shd w:val="clear" w:color="auto" w:fill="auto"/>
                  <w:vAlign w:val="center"/>
                </w:tcPr>
                <w:p>
                  <w:pPr>
                    <w:adjustRightInd w:val="0"/>
                    <w:snapToGrid w:val="0"/>
                    <w:jc w:val="center"/>
                    <w:rPr>
                      <w:color w:val="000000"/>
                      <w:szCs w:val="28"/>
                      <w:highlight w:val="yellow"/>
                    </w:rPr>
                  </w:pPr>
                  <w:r>
                    <w:rPr>
                      <w:color w:val="000000"/>
                    </w:rPr>
                    <w:t>0.0405</w:t>
                  </w:r>
                  <w:r>
                    <w:rPr>
                      <w:color w:val="000000"/>
                      <w:szCs w:val="28"/>
                    </w:rPr>
                    <w:t>t/a</w:t>
                  </w:r>
                </w:p>
              </w:tc>
              <w:tc>
                <w:tcPr>
                  <w:tcW w:w="744" w:type="pct"/>
                  <w:shd w:val="clear" w:color="auto" w:fill="auto"/>
                </w:tcPr>
                <w:p>
                  <w:r>
                    <w:rPr>
                      <w:color w:val="000000"/>
                      <w:szCs w:val="28"/>
                    </w:rPr>
                    <w:t>0.0135kg/h</w:t>
                  </w:r>
                </w:p>
              </w:tc>
              <w:tc>
                <w:tcPr>
                  <w:tcW w:w="730" w:type="pct"/>
                  <w:shd w:val="clear" w:color="auto" w:fill="auto"/>
                </w:tcPr>
                <w:p>
                  <w:pPr>
                    <w:jc w:val="center"/>
                  </w:pPr>
                  <w:r>
                    <w:rPr>
                      <w:color w:val="000000"/>
                    </w:rPr>
                    <w:t>5.4</w:t>
                  </w:r>
                  <w:r>
                    <w:rPr>
                      <w:color w:val="000000"/>
                      <w:szCs w:val="28"/>
                    </w:rPr>
                    <w:t>mg/m</w:t>
                  </w:r>
                  <w:r>
                    <w:rPr>
                      <w:color w:val="000000"/>
                      <w:szCs w:val="28"/>
                      <w:vertAlign w:val="superscript"/>
                    </w:rPr>
                    <w:t>3</w:t>
                  </w:r>
                </w:p>
              </w:tc>
              <w:tc>
                <w:tcPr>
                  <w:tcW w:w="661" w:type="pct"/>
                  <w:shd w:val="clear" w:color="auto" w:fill="auto"/>
                </w:tcPr>
                <w:p>
                  <w:pPr>
                    <w:jc w:val="center"/>
                  </w:pPr>
                  <w:r>
                    <w:rPr>
                      <w:color w:val="000000"/>
                      <w:szCs w:val="28"/>
                    </w:rPr>
                    <w:t>99%</w:t>
                  </w:r>
                </w:p>
              </w:tc>
              <w:tc>
                <w:tcPr>
                  <w:tcW w:w="823" w:type="pct"/>
                  <w:vMerge w:val="continue"/>
                  <w:shd w:val="clear" w:color="auto" w:fill="auto"/>
                  <w:vAlign w:val="center"/>
                </w:tcPr>
                <w:p>
                  <w:pPr>
                    <w:adjustRightInd w:val="0"/>
                    <w:snapToGrid w:val="0"/>
                    <w:jc w:val="center"/>
                    <w:rPr>
                      <w:color w:val="000000"/>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13" w:type="pct"/>
                  <w:shd w:val="clear" w:color="auto" w:fill="auto"/>
                  <w:vAlign w:val="center"/>
                </w:tcPr>
                <w:p>
                  <w:pPr>
                    <w:autoSpaceDE w:val="0"/>
                    <w:autoSpaceDN w:val="0"/>
                    <w:adjustRightInd w:val="0"/>
                    <w:snapToGrid w:val="0"/>
                    <w:jc w:val="center"/>
                    <w:rPr>
                      <w:color w:val="000000"/>
                      <w:szCs w:val="28"/>
                    </w:rPr>
                  </w:pPr>
                  <w:r>
                    <w:rPr>
                      <w:color w:val="000000"/>
                      <w:szCs w:val="28"/>
                    </w:rPr>
                    <w:t>4#</w:t>
                  </w:r>
                  <w:r>
                    <w:rPr>
                      <w:color w:val="000000"/>
                      <w:szCs w:val="28"/>
                      <w:lang w:val="zh-CN"/>
                    </w:rPr>
                    <w:t>水泥储罐</w:t>
                  </w:r>
                </w:p>
              </w:tc>
              <w:tc>
                <w:tcPr>
                  <w:tcW w:w="590" w:type="pct"/>
                  <w:shd w:val="clear" w:color="auto" w:fill="auto"/>
                </w:tcPr>
                <w:p>
                  <w:pPr>
                    <w:jc w:val="center"/>
                  </w:pPr>
                  <w:r>
                    <w:rPr>
                      <w:color w:val="000000"/>
                      <w:szCs w:val="28"/>
                    </w:rPr>
                    <w:t>4.05t/a</w:t>
                  </w:r>
                </w:p>
              </w:tc>
              <w:tc>
                <w:tcPr>
                  <w:tcW w:w="640" w:type="pct"/>
                  <w:shd w:val="clear" w:color="auto" w:fill="auto"/>
                  <w:vAlign w:val="center"/>
                </w:tcPr>
                <w:p>
                  <w:pPr>
                    <w:adjustRightInd w:val="0"/>
                    <w:snapToGrid w:val="0"/>
                    <w:jc w:val="center"/>
                    <w:rPr>
                      <w:color w:val="000000"/>
                      <w:szCs w:val="28"/>
                      <w:highlight w:val="yellow"/>
                    </w:rPr>
                  </w:pPr>
                  <w:r>
                    <w:rPr>
                      <w:color w:val="000000"/>
                    </w:rPr>
                    <w:t>0.0405</w:t>
                  </w:r>
                  <w:r>
                    <w:rPr>
                      <w:color w:val="000000"/>
                      <w:szCs w:val="28"/>
                    </w:rPr>
                    <w:t>t/a</w:t>
                  </w:r>
                </w:p>
              </w:tc>
              <w:tc>
                <w:tcPr>
                  <w:tcW w:w="744" w:type="pct"/>
                  <w:shd w:val="clear" w:color="auto" w:fill="auto"/>
                </w:tcPr>
                <w:p>
                  <w:r>
                    <w:rPr>
                      <w:color w:val="000000"/>
                      <w:szCs w:val="28"/>
                    </w:rPr>
                    <w:t>0.0135kg/h</w:t>
                  </w:r>
                </w:p>
              </w:tc>
              <w:tc>
                <w:tcPr>
                  <w:tcW w:w="730" w:type="pct"/>
                  <w:shd w:val="clear" w:color="auto" w:fill="auto"/>
                </w:tcPr>
                <w:p>
                  <w:pPr>
                    <w:jc w:val="center"/>
                  </w:pPr>
                  <w:r>
                    <w:rPr>
                      <w:color w:val="000000"/>
                    </w:rPr>
                    <w:t>5.4</w:t>
                  </w:r>
                  <w:r>
                    <w:rPr>
                      <w:color w:val="000000"/>
                      <w:szCs w:val="28"/>
                    </w:rPr>
                    <w:t>mg/m</w:t>
                  </w:r>
                  <w:r>
                    <w:rPr>
                      <w:color w:val="000000"/>
                      <w:szCs w:val="28"/>
                      <w:vertAlign w:val="superscript"/>
                    </w:rPr>
                    <w:t>3</w:t>
                  </w:r>
                </w:p>
              </w:tc>
              <w:tc>
                <w:tcPr>
                  <w:tcW w:w="661" w:type="pct"/>
                  <w:shd w:val="clear" w:color="auto" w:fill="auto"/>
                </w:tcPr>
                <w:p>
                  <w:pPr>
                    <w:jc w:val="center"/>
                  </w:pPr>
                  <w:r>
                    <w:rPr>
                      <w:color w:val="000000"/>
                      <w:szCs w:val="28"/>
                    </w:rPr>
                    <w:t>99%</w:t>
                  </w:r>
                </w:p>
              </w:tc>
              <w:tc>
                <w:tcPr>
                  <w:tcW w:w="823" w:type="pct"/>
                  <w:vMerge w:val="continue"/>
                  <w:shd w:val="clear" w:color="auto" w:fill="auto"/>
                  <w:vAlign w:val="center"/>
                </w:tcPr>
                <w:p>
                  <w:pPr>
                    <w:adjustRightInd w:val="0"/>
                    <w:snapToGrid w:val="0"/>
                    <w:jc w:val="center"/>
                    <w:rPr>
                      <w:color w:val="000000"/>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13" w:type="pct"/>
                  <w:shd w:val="clear" w:color="auto" w:fill="auto"/>
                  <w:vAlign w:val="center"/>
                </w:tcPr>
                <w:p>
                  <w:pPr>
                    <w:autoSpaceDE w:val="0"/>
                    <w:autoSpaceDN w:val="0"/>
                    <w:adjustRightInd w:val="0"/>
                    <w:snapToGrid w:val="0"/>
                    <w:jc w:val="center"/>
                    <w:rPr>
                      <w:color w:val="000000"/>
                      <w:szCs w:val="28"/>
                    </w:rPr>
                  </w:pPr>
                  <w:r>
                    <w:rPr>
                      <w:color w:val="000000"/>
                      <w:szCs w:val="28"/>
                    </w:rPr>
                    <w:t>5#</w:t>
                  </w:r>
                  <w:r>
                    <w:rPr>
                      <w:color w:val="000000"/>
                      <w:szCs w:val="28"/>
                      <w:lang w:val="zh-CN"/>
                    </w:rPr>
                    <w:t>粉煤灰储罐</w:t>
                  </w:r>
                </w:p>
              </w:tc>
              <w:tc>
                <w:tcPr>
                  <w:tcW w:w="590" w:type="pct"/>
                  <w:shd w:val="clear" w:color="auto" w:fill="auto"/>
                  <w:vAlign w:val="center"/>
                </w:tcPr>
                <w:p>
                  <w:pPr>
                    <w:adjustRightInd w:val="0"/>
                    <w:snapToGrid w:val="0"/>
                    <w:jc w:val="center"/>
                    <w:rPr>
                      <w:color w:val="000000"/>
                      <w:szCs w:val="28"/>
                      <w:highlight w:val="yellow"/>
                    </w:rPr>
                  </w:pPr>
                  <w:r>
                    <w:rPr>
                      <w:color w:val="000000"/>
                      <w:szCs w:val="28"/>
                    </w:rPr>
                    <w:t>4.71t/a</w:t>
                  </w:r>
                </w:p>
              </w:tc>
              <w:tc>
                <w:tcPr>
                  <w:tcW w:w="640" w:type="pct"/>
                  <w:shd w:val="clear" w:color="auto" w:fill="auto"/>
                  <w:vAlign w:val="center"/>
                </w:tcPr>
                <w:p>
                  <w:pPr>
                    <w:adjustRightInd w:val="0"/>
                    <w:snapToGrid w:val="0"/>
                    <w:jc w:val="center"/>
                    <w:rPr>
                      <w:color w:val="000000"/>
                      <w:szCs w:val="28"/>
                      <w:highlight w:val="yellow"/>
                    </w:rPr>
                  </w:pPr>
                  <w:r>
                    <w:rPr>
                      <w:color w:val="000000"/>
                    </w:rPr>
                    <w:t>0.0471</w:t>
                  </w:r>
                  <w:r>
                    <w:rPr>
                      <w:color w:val="000000"/>
                      <w:szCs w:val="28"/>
                    </w:rPr>
                    <w:t>t/a</w:t>
                  </w:r>
                </w:p>
              </w:tc>
              <w:tc>
                <w:tcPr>
                  <w:tcW w:w="744" w:type="pct"/>
                  <w:shd w:val="clear" w:color="auto" w:fill="auto"/>
                  <w:vAlign w:val="center"/>
                </w:tcPr>
                <w:p>
                  <w:pPr>
                    <w:adjustRightInd w:val="0"/>
                    <w:snapToGrid w:val="0"/>
                    <w:jc w:val="center"/>
                    <w:rPr>
                      <w:color w:val="000000"/>
                    </w:rPr>
                  </w:pPr>
                  <w:r>
                    <w:rPr>
                      <w:color w:val="000000"/>
                    </w:rPr>
                    <w:t>0.0157</w:t>
                  </w:r>
                  <w:r>
                    <w:rPr>
                      <w:color w:val="000000"/>
                      <w:szCs w:val="28"/>
                    </w:rPr>
                    <w:t>kg/h</w:t>
                  </w:r>
                </w:p>
              </w:tc>
              <w:tc>
                <w:tcPr>
                  <w:tcW w:w="730" w:type="pct"/>
                  <w:shd w:val="clear" w:color="auto" w:fill="auto"/>
                  <w:vAlign w:val="center"/>
                </w:tcPr>
                <w:p>
                  <w:pPr>
                    <w:adjustRightInd w:val="0"/>
                    <w:snapToGrid w:val="0"/>
                    <w:jc w:val="center"/>
                    <w:rPr>
                      <w:color w:val="000000"/>
                    </w:rPr>
                  </w:pPr>
                  <w:r>
                    <w:rPr>
                      <w:color w:val="000000"/>
                    </w:rPr>
                    <w:t>10</w:t>
                  </w:r>
                  <w:r>
                    <w:rPr>
                      <w:color w:val="000000"/>
                      <w:szCs w:val="28"/>
                    </w:rPr>
                    <w:t xml:space="preserve"> mg/m</w:t>
                  </w:r>
                  <w:r>
                    <w:rPr>
                      <w:color w:val="000000"/>
                      <w:szCs w:val="28"/>
                      <w:vertAlign w:val="superscript"/>
                    </w:rPr>
                    <w:t>3</w:t>
                  </w:r>
                </w:p>
              </w:tc>
              <w:tc>
                <w:tcPr>
                  <w:tcW w:w="661" w:type="pct"/>
                  <w:shd w:val="clear" w:color="auto" w:fill="auto"/>
                </w:tcPr>
                <w:p>
                  <w:pPr>
                    <w:jc w:val="center"/>
                  </w:pPr>
                  <w:r>
                    <w:rPr>
                      <w:color w:val="000000"/>
                      <w:szCs w:val="28"/>
                    </w:rPr>
                    <w:t>99%</w:t>
                  </w:r>
                </w:p>
              </w:tc>
              <w:tc>
                <w:tcPr>
                  <w:tcW w:w="823" w:type="pct"/>
                  <w:vMerge w:val="continue"/>
                  <w:shd w:val="clear" w:color="auto" w:fill="auto"/>
                  <w:vAlign w:val="center"/>
                </w:tcPr>
                <w:p>
                  <w:pPr>
                    <w:adjustRightInd w:val="0"/>
                    <w:snapToGrid w:val="0"/>
                    <w:jc w:val="center"/>
                    <w:rPr>
                      <w:color w:val="000000"/>
                      <w:szCs w:val="28"/>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right"/>
              </w:trPr>
              <w:tc>
                <w:tcPr>
                  <w:tcW w:w="813" w:type="pct"/>
                  <w:shd w:val="clear" w:color="auto" w:fill="auto"/>
                  <w:vAlign w:val="center"/>
                </w:tcPr>
                <w:p>
                  <w:pPr>
                    <w:adjustRightInd w:val="0"/>
                    <w:snapToGrid w:val="0"/>
                    <w:jc w:val="center"/>
                    <w:rPr>
                      <w:color w:val="000000"/>
                      <w:szCs w:val="28"/>
                    </w:rPr>
                  </w:pPr>
                  <w:r>
                    <w:rPr>
                      <w:color w:val="000000"/>
                      <w:szCs w:val="28"/>
                    </w:rPr>
                    <w:t>6#</w:t>
                  </w:r>
                  <w:r>
                    <w:rPr>
                      <w:color w:val="000000"/>
                      <w:szCs w:val="28"/>
                      <w:lang w:val="zh-CN"/>
                    </w:rPr>
                    <w:t>粉煤灰储罐</w:t>
                  </w:r>
                </w:p>
              </w:tc>
              <w:tc>
                <w:tcPr>
                  <w:tcW w:w="590" w:type="pct"/>
                  <w:shd w:val="clear" w:color="auto" w:fill="auto"/>
                  <w:vAlign w:val="center"/>
                </w:tcPr>
                <w:p>
                  <w:pPr>
                    <w:adjustRightInd w:val="0"/>
                    <w:snapToGrid w:val="0"/>
                    <w:jc w:val="center"/>
                    <w:rPr>
                      <w:color w:val="000000"/>
                      <w:szCs w:val="28"/>
                      <w:highlight w:val="yellow"/>
                    </w:rPr>
                  </w:pPr>
                  <w:r>
                    <w:rPr>
                      <w:color w:val="000000"/>
                      <w:szCs w:val="28"/>
                    </w:rPr>
                    <w:t>4.71t/a</w:t>
                  </w:r>
                </w:p>
              </w:tc>
              <w:tc>
                <w:tcPr>
                  <w:tcW w:w="640" w:type="pct"/>
                  <w:shd w:val="clear" w:color="auto" w:fill="auto"/>
                  <w:vAlign w:val="center"/>
                </w:tcPr>
                <w:p>
                  <w:pPr>
                    <w:adjustRightInd w:val="0"/>
                    <w:snapToGrid w:val="0"/>
                    <w:jc w:val="center"/>
                    <w:rPr>
                      <w:color w:val="000000"/>
                      <w:szCs w:val="28"/>
                      <w:highlight w:val="yellow"/>
                    </w:rPr>
                  </w:pPr>
                  <w:r>
                    <w:rPr>
                      <w:color w:val="000000"/>
                    </w:rPr>
                    <w:t>0.0471</w:t>
                  </w:r>
                  <w:r>
                    <w:rPr>
                      <w:color w:val="000000"/>
                      <w:szCs w:val="28"/>
                    </w:rPr>
                    <w:t>t/a</w:t>
                  </w:r>
                </w:p>
              </w:tc>
              <w:tc>
                <w:tcPr>
                  <w:tcW w:w="744" w:type="pct"/>
                  <w:shd w:val="clear" w:color="auto" w:fill="auto"/>
                  <w:vAlign w:val="center"/>
                </w:tcPr>
                <w:p>
                  <w:pPr>
                    <w:adjustRightInd w:val="0"/>
                    <w:snapToGrid w:val="0"/>
                    <w:jc w:val="center"/>
                    <w:rPr>
                      <w:color w:val="000000"/>
                    </w:rPr>
                  </w:pPr>
                  <w:r>
                    <w:rPr>
                      <w:color w:val="000000"/>
                    </w:rPr>
                    <w:t>0.0157</w:t>
                  </w:r>
                  <w:r>
                    <w:rPr>
                      <w:color w:val="000000"/>
                      <w:szCs w:val="28"/>
                    </w:rPr>
                    <w:t>kg/h</w:t>
                  </w:r>
                </w:p>
              </w:tc>
              <w:tc>
                <w:tcPr>
                  <w:tcW w:w="730" w:type="pct"/>
                  <w:shd w:val="clear" w:color="auto" w:fill="auto"/>
                  <w:vAlign w:val="center"/>
                </w:tcPr>
                <w:p>
                  <w:pPr>
                    <w:adjustRightInd w:val="0"/>
                    <w:snapToGrid w:val="0"/>
                    <w:jc w:val="center"/>
                    <w:rPr>
                      <w:color w:val="000000"/>
                    </w:rPr>
                  </w:pPr>
                  <w:r>
                    <w:rPr>
                      <w:color w:val="000000"/>
                    </w:rPr>
                    <w:t>10</w:t>
                  </w:r>
                  <w:r>
                    <w:rPr>
                      <w:color w:val="000000"/>
                      <w:szCs w:val="28"/>
                    </w:rPr>
                    <w:t xml:space="preserve"> mg/m</w:t>
                  </w:r>
                  <w:r>
                    <w:rPr>
                      <w:color w:val="000000"/>
                      <w:szCs w:val="28"/>
                      <w:vertAlign w:val="superscript"/>
                    </w:rPr>
                    <w:t>3</w:t>
                  </w:r>
                </w:p>
              </w:tc>
              <w:tc>
                <w:tcPr>
                  <w:tcW w:w="661" w:type="pct"/>
                  <w:shd w:val="clear" w:color="auto" w:fill="auto"/>
                </w:tcPr>
                <w:p>
                  <w:pPr>
                    <w:jc w:val="center"/>
                  </w:pPr>
                  <w:r>
                    <w:rPr>
                      <w:color w:val="000000"/>
                      <w:szCs w:val="28"/>
                    </w:rPr>
                    <w:t>99%</w:t>
                  </w:r>
                </w:p>
              </w:tc>
              <w:tc>
                <w:tcPr>
                  <w:tcW w:w="823" w:type="pct"/>
                  <w:vMerge w:val="continue"/>
                  <w:shd w:val="clear" w:color="auto" w:fill="auto"/>
                  <w:vAlign w:val="center"/>
                </w:tcPr>
                <w:p>
                  <w:pPr>
                    <w:adjustRightInd w:val="0"/>
                    <w:snapToGrid w:val="0"/>
                    <w:jc w:val="center"/>
                    <w:rPr>
                      <w:color w:val="000000"/>
                      <w:szCs w:val="28"/>
                      <w:highlight w:val="yellow"/>
                    </w:rPr>
                  </w:pPr>
                </w:p>
              </w:tc>
            </w:tr>
            <w:bookmarkEnd w:id="32"/>
          </w:tbl>
          <w:p>
            <w:pPr>
              <w:spacing w:line="360" w:lineRule="auto"/>
              <w:ind w:firstLine="480" w:firstLineChars="200"/>
              <w:rPr>
                <w:sz w:val="24"/>
              </w:rPr>
            </w:pPr>
            <w:r>
              <w:rPr>
                <w:sz w:val="24"/>
              </w:rPr>
              <w:t>由表4-1可知，粉料储罐粉尘产生总量为25.62t/a，总排放量为</w:t>
            </w:r>
            <w:r>
              <w:rPr>
                <w:rFonts w:hint="eastAsia"/>
                <w:sz w:val="24"/>
              </w:rPr>
              <w:t>0</w:t>
            </w:r>
            <w:r>
              <w:rPr>
                <w:sz w:val="24"/>
              </w:rPr>
              <w:t>.2562t/a。每个水泥储罐的排放浓度为5.4mg/m</w:t>
            </w:r>
            <w:r>
              <w:rPr>
                <w:sz w:val="24"/>
                <w:vertAlign w:val="superscript"/>
              </w:rPr>
              <w:t>3</w:t>
            </w:r>
            <w:r>
              <w:rPr>
                <w:sz w:val="24"/>
              </w:rPr>
              <w:t>、每个粉煤灰储罐的排放浓度为</w:t>
            </w:r>
            <w:r>
              <w:rPr>
                <w:rFonts w:hint="eastAsia"/>
                <w:sz w:val="24"/>
              </w:rPr>
              <w:t>6</w:t>
            </w:r>
            <w:r>
              <w:rPr>
                <w:sz w:val="24"/>
              </w:rPr>
              <w:t>.28mg/m</w:t>
            </w:r>
            <w:r>
              <w:rPr>
                <w:sz w:val="24"/>
                <w:vertAlign w:val="superscript"/>
              </w:rPr>
              <w:t>3</w:t>
            </w:r>
            <w:r>
              <w:rPr>
                <w:sz w:val="24"/>
              </w:rPr>
              <w:t>，均可达《水泥工业大气污染物排放标准》（GB4915-2013）表1中的最高允许排放浓度限值。</w:t>
            </w:r>
          </w:p>
          <w:p>
            <w:pPr>
              <w:spacing w:line="360" w:lineRule="auto"/>
              <w:rPr>
                <w:b/>
                <w:bCs/>
                <w:sz w:val="24"/>
              </w:rPr>
            </w:pPr>
            <w:r>
              <w:rPr>
                <w:b/>
                <w:bCs/>
                <w:sz w:val="24"/>
              </w:rPr>
              <w:t>非正常排放：</w:t>
            </w:r>
            <w:r>
              <w:rPr>
                <w:sz w:val="24"/>
              </w:rPr>
              <w:t>项目粉尘非正常排放的因素和环节较多，主要与治理设施不能正常运转有关。项目所有排放源同时出现非正常排放的可能性极小，本次评价非正常排放情况取除尘设备</w:t>
            </w:r>
            <w:r>
              <w:rPr>
                <w:rFonts w:hint="eastAsia"/>
                <w:sz w:val="24"/>
              </w:rPr>
              <w:t>完全失效</w:t>
            </w:r>
            <w:r>
              <w:rPr>
                <w:sz w:val="24"/>
              </w:rPr>
              <w:t>情况下，粉尘排放的情景。项目非正常排放条件下的废气排放情况详见表4-2。</w:t>
            </w:r>
          </w:p>
          <w:p>
            <w:pPr>
              <w:spacing w:line="360" w:lineRule="auto"/>
              <w:jc w:val="center"/>
              <w:rPr>
                <w:b/>
                <w:bCs/>
                <w:szCs w:val="21"/>
              </w:rPr>
            </w:pPr>
            <w:r>
              <w:rPr>
                <w:b/>
                <w:bCs/>
                <w:szCs w:val="21"/>
              </w:rPr>
              <w:t>表4-2  项目非正常排放条件下的废气排放情况一览表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0"/>
              <w:gridCol w:w="1606"/>
              <w:gridCol w:w="1788"/>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97" w:type="pct"/>
                  <w:shd w:val="clear" w:color="auto" w:fill="auto"/>
                  <w:vAlign w:val="center"/>
                </w:tcPr>
                <w:p>
                  <w:pPr>
                    <w:adjustRightInd w:val="0"/>
                    <w:snapToGrid w:val="0"/>
                    <w:jc w:val="center"/>
                    <w:rPr>
                      <w:color w:val="000000"/>
                      <w:szCs w:val="28"/>
                      <w:lang w:val="zh-CN"/>
                    </w:rPr>
                  </w:pPr>
                  <w:r>
                    <w:rPr>
                      <w:color w:val="000000"/>
                      <w:szCs w:val="28"/>
                      <w:lang w:val="zh-CN"/>
                    </w:rPr>
                    <w:t>污染源</w:t>
                  </w:r>
                </w:p>
              </w:tc>
              <w:tc>
                <w:tcPr>
                  <w:tcW w:w="1024" w:type="pct"/>
                  <w:shd w:val="clear" w:color="auto" w:fill="auto"/>
                  <w:vAlign w:val="center"/>
                </w:tcPr>
                <w:p>
                  <w:pPr>
                    <w:adjustRightInd w:val="0"/>
                    <w:snapToGrid w:val="0"/>
                    <w:jc w:val="center"/>
                    <w:rPr>
                      <w:color w:val="000000"/>
                      <w:szCs w:val="28"/>
                      <w:lang w:val="zh-CN"/>
                    </w:rPr>
                  </w:pPr>
                  <w:r>
                    <w:rPr>
                      <w:color w:val="000000"/>
                      <w:szCs w:val="28"/>
                      <w:lang w:val="zh-CN"/>
                    </w:rPr>
                    <w:t>产生量</w:t>
                  </w:r>
                </w:p>
                <w:p>
                  <w:pPr>
                    <w:adjustRightInd w:val="0"/>
                    <w:snapToGrid w:val="0"/>
                    <w:jc w:val="center"/>
                    <w:rPr>
                      <w:color w:val="000000"/>
                      <w:szCs w:val="28"/>
                      <w:lang w:val="zh-CN"/>
                    </w:rPr>
                  </w:pPr>
                  <w:r>
                    <w:rPr>
                      <w:color w:val="000000"/>
                      <w:szCs w:val="28"/>
                      <w:lang w:val="zh-CN"/>
                    </w:rPr>
                    <w:t>（kg/h）</w:t>
                  </w:r>
                </w:p>
              </w:tc>
              <w:tc>
                <w:tcPr>
                  <w:tcW w:w="1140" w:type="pct"/>
                  <w:shd w:val="clear" w:color="auto" w:fill="auto"/>
                  <w:vAlign w:val="center"/>
                </w:tcPr>
                <w:p>
                  <w:pPr>
                    <w:adjustRightInd w:val="0"/>
                    <w:snapToGrid w:val="0"/>
                    <w:jc w:val="center"/>
                    <w:rPr>
                      <w:color w:val="000000"/>
                      <w:szCs w:val="28"/>
                      <w:lang w:val="zh-CN"/>
                    </w:rPr>
                  </w:pPr>
                  <w:r>
                    <w:rPr>
                      <w:color w:val="000000"/>
                      <w:szCs w:val="28"/>
                      <w:lang w:val="zh-CN"/>
                    </w:rPr>
                    <w:t>排放速率（kg/h）</w:t>
                  </w:r>
                </w:p>
              </w:tc>
              <w:tc>
                <w:tcPr>
                  <w:tcW w:w="1139" w:type="pct"/>
                  <w:shd w:val="clear" w:color="auto" w:fill="auto"/>
                  <w:vAlign w:val="center"/>
                </w:tcPr>
                <w:p>
                  <w:pPr>
                    <w:adjustRightInd w:val="0"/>
                    <w:snapToGrid w:val="0"/>
                    <w:jc w:val="center"/>
                    <w:rPr>
                      <w:color w:val="000000"/>
                      <w:szCs w:val="28"/>
                      <w:lang w:val="zh-CN"/>
                    </w:rPr>
                  </w:pPr>
                  <w:r>
                    <w:rPr>
                      <w:color w:val="000000"/>
                      <w:szCs w:val="28"/>
                      <w:lang w:val="zh-CN"/>
                    </w:rPr>
                    <w:t>排放浓度（mg/m</w:t>
                  </w:r>
                  <w:r>
                    <w:rPr>
                      <w:color w:val="000000"/>
                      <w:szCs w:val="28"/>
                      <w:vertAlign w:val="superscript"/>
                      <w:lang w:val="zh-CN"/>
                    </w:rPr>
                    <w:t>3</w:t>
                  </w:r>
                  <w:r>
                    <w:rPr>
                      <w:color w:val="000000"/>
                      <w:szCs w:val="28"/>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97" w:type="pct"/>
                  <w:shd w:val="clear" w:color="auto" w:fill="auto"/>
                </w:tcPr>
                <w:p>
                  <w:pPr>
                    <w:adjustRightInd w:val="0"/>
                    <w:snapToGrid w:val="0"/>
                    <w:jc w:val="center"/>
                    <w:rPr>
                      <w:color w:val="000000"/>
                    </w:rPr>
                  </w:pPr>
                  <w:r>
                    <w:rPr>
                      <w:color w:val="000000"/>
                    </w:rPr>
                    <w:t>单个水泥</w:t>
                  </w:r>
                </w:p>
                <w:p>
                  <w:pPr>
                    <w:adjustRightInd w:val="0"/>
                    <w:snapToGrid w:val="0"/>
                    <w:jc w:val="center"/>
                    <w:rPr>
                      <w:color w:val="000000"/>
                      <w:szCs w:val="28"/>
                      <w:lang w:val="zh-CN"/>
                    </w:rPr>
                  </w:pPr>
                  <w:r>
                    <w:rPr>
                      <w:color w:val="000000"/>
                    </w:rPr>
                    <w:t>储罐除尘器</w:t>
                  </w:r>
                </w:p>
              </w:tc>
              <w:tc>
                <w:tcPr>
                  <w:tcW w:w="1024" w:type="pct"/>
                  <w:shd w:val="clear" w:color="auto" w:fill="auto"/>
                  <w:vAlign w:val="center"/>
                </w:tcPr>
                <w:p>
                  <w:pPr>
                    <w:adjustRightInd w:val="0"/>
                    <w:snapToGrid w:val="0"/>
                    <w:jc w:val="center"/>
                    <w:rPr>
                      <w:color w:val="FF0000"/>
                    </w:rPr>
                  </w:pPr>
                  <w:r>
                    <w:rPr>
                      <w:color w:val="000000" w:themeColor="text1"/>
                      <w14:textFill>
                        <w14:solidFill>
                          <w14:schemeClr w14:val="tx1"/>
                        </w14:solidFill>
                      </w14:textFill>
                    </w:rPr>
                    <w:t>1.35</w:t>
                  </w:r>
                </w:p>
              </w:tc>
              <w:tc>
                <w:tcPr>
                  <w:tcW w:w="1140" w:type="pct"/>
                  <w:shd w:val="clear" w:color="auto" w:fill="auto"/>
                  <w:vAlign w:val="center"/>
                </w:tcPr>
                <w:p>
                  <w:pPr>
                    <w:adjustRightInd w:val="0"/>
                    <w:snapToGrid w:val="0"/>
                    <w:jc w:val="center"/>
                    <w:rPr>
                      <w:color w:val="FF0000"/>
                    </w:rPr>
                  </w:pPr>
                  <w:r>
                    <w:rPr>
                      <w:color w:val="000000" w:themeColor="text1"/>
                      <w14:textFill>
                        <w14:solidFill>
                          <w14:schemeClr w14:val="tx1"/>
                        </w14:solidFill>
                      </w14:textFill>
                    </w:rPr>
                    <w:t>1.35</w:t>
                  </w:r>
                </w:p>
              </w:tc>
              <w:tc>
                <w:tcPr>
                  <w:tcW w:w="1139" w:type="pct"/>
                  <w:shd w:val="clear" w:color="auto" w:fill="auto"/>
                  <w:vAlign w:val="center"/>
                </w:tcPr>
                <w:p>
                  <w:pPr>
                    <w:adjustRightInd w:val="0"/>
                    <w:snapToGrid w:val="0"/>
                    <w:jc w:val="center"/>
                    <w:rPr>
                      <w:color w:val="FF0000"/>
                      <w:szCs w:val="28"/>
                      <w:lang w:val="zh-CN"/>
                    </w:rPr>
                  </w:pPr>
                  <w:r>
                    <w:rPr>
                      <w:color w:val="000000" w:themeColor="text1"/>
                      <w14:textFill>
                        <w14:solidFill>
                          <w14:schemeClr w14:val="tx1"/>
                        </w14:solidFill>
                      </w14:textFill>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97" w:type="pct"/>
                  <w:shd w:val="clear" w:color="auto" w:fill="auto"/>
                </w:tcPr>
                <w:p>
                  <w:pPr>
                    <w:adjustRightInd w:val="0"/>
                    <w:snapToGrid w:val="0"/>
                    <w:jc w:val="center"/>
                    <w:rPr>
                      <w:color w:val="000000"/>
                    </w:rPr>
                  </w:pPr>
                  <w:r>
                    <w:rPr>
                      <w:color w:val="000000"/>
                    </w:rPr>
                    <w:t>单个粉煤灰</w:t>
                  </w:r>
                </w:p>
                <w:p>
                  <w:pPr>
                    <w:adjustRightInd w:val="0"/>
                    <w:snapToGrid w:val="0"/>
                    <w:jc w:val="center"/>
                    <w:rPr>
                      <w:color w:val="000000"/>
                      <w:szCs w:val="28"/>
                      <w:lang w:val="zh-CN"/>
                    </w:rPr>
                  </w:pPr>
                  <w:r>
                    <w:rPr>
                      <w:color w:val="000000"/>
                    </w:rPr>
                    <w:t>储罐除尘器</w:t>
                  </w:r>
                </w:p>
              </w:tc>
              <w:tc>
                <w:tcPr>
                  <w:tcW w:w="1024" w:type="pct"/>
                  <w:shd w:val="clear" w:color="auto" w:fill="auto"/>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1.57</w:t>
                  </w:r>
                </w:p>
              </w:tc>
              <w:tc>
                <w:tcPr>
                  <w:tcW w:w="1140" w:type="pct"/>
                  <w:shd w:val="clear" w:color="auto" w:fill="auto"/>
                  <w:vAlign w:val="center"/>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1.57</w:t>
                  </w:r>
                </w:p>
              </w:tc>
              <w:tc>
                <w:tcPr>
                  <w:tcW w:w="1139" w:type="pct"/>
                  <w:shd w:val="clear" w:color="auto" w:fill="auto"/>
                  <w:vAlign w:val="center"/>
                </w:tcPr>
                <w:p>
                  <w:pPr>
                    <w:adjustRightInd w:val="0"/>
                    <w:snapToGrid w:val="0"/>
                    <w:jc w:val="center"/>
                    <w:rPr>
                      <w:color w:val="000000" w:themeColor="text1"/>
                      <w:szCs w:val="28"/>
                      <w:lang w:val="zh-CN"/>
                      <w14:textFill>
                        <w14:solidFill>
                          <w14:schemeClr w14:val="tx1"/>
                        </w14:solidFill>
                      </w14:textFill>
                    </w:rPr>
                  </w:pPr>
                  <w:r>
                    <w:rPr>
                      <w:color w:val="000000" w:themeColor="text1"/>
                      <w14:textFill>
                        <w14:solidFill>
                          <w14:schemeClr w14:val="tx1"/>
                        </w14:solidFill>
                      </w14:textFill>
                    </w:rPr>
                    <w:t>628</w:t>
                  </w:r>
                </w:p>
              </w:tc>
            </w:tr>
          </w:tbl>
          <w:p>
            <w:pPr>
              <w:spacing w:line="360" w:lineRule="auto"/>
              <w:ind w:firstLine="480" w:firstLineChars="200"/>
              <w:rPr>
                <w:sz w:val="24"/>
              </w:rPr>
            </w:pPr>
            <w:r>
              <w:rPr>
                <w:sz w:val="24"/>
              </w:rPr>
              <w:t>由表4-2可知，非正常情况下（即除尘设备完全失效情况），粉尘排放浓度不满足《水泥工业大气污染物排放标准》（GB4915-2013）中的相关规定。为了避免非正常排放情况发生，污染环境，对除尘器配置一定量的易损备件及维护保养专用工具，并设专门技术人员对除尘器进行管理及维修。出现非正常排放时，应停止生产，尽快检修设备，待收尘设施恢复正常后方可投入生产。</w:t>
            </w:r>
          </w:p>
          <w:p>
            <w:pPr>
              <w:spacing w:line="360" w:lineRule="auto"/>
              <w:rPr>
                <w:sz w:val="24"/>
              </w:rPr>
            </w:pPr>
            <w:r>
              <w:rPr>
                <w:rFonts w:hint="eastAsia" w:ascii="宋体" w:hAnsi="宋体" w:cs="宋体"/>
                <w:sz w:val="24"/>
              </w:rPr>
              <w:t>②</w:t>
            </w:r>
            <w:r>
              <w:rPr>
                <w:sz w:val="24"/>
              </w:rPr>
              <w:t>无组织粉尘</w:t>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a.砂石料输送粉尘</w:t>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项目年使用机制砂量约5万t，公分石量约10万t，机制砂、公分石在进入拌合楼搅拌前采用皮带输送机输送供料。皮带输送机为全封闭式，皮带输送机廊道上部拟加盖侧面密封，下部设置收料盘，进行封闭处理，机制砂、公分石在输送过程中产生的粉尘大部分沉降在皮带输送机内。参照《北京市混凝土搅拌站扬尘排放因子及排放清单》（中国环境科学2017.37（10）：3699~3707）表3混凝土搅拌站各环节无控制措施扬尘排放因子：公分石经皮带输送机时，扬尘产生系数为0.0035kg/t；机制砂经皮带输送机时，扬尘产生系数为0.0011kg/t；则皮带输送机扬尘产生量为0.405t/a。皮带输送机为全封闭式，皮带输送机廊道上部拟加盖侧面密封，下部设置收料盘，同时在配料区、</w:t>
            </w:r>
            <w:r>
              <w:rPr>
                <w:rFonts w:hint="eastAsia"/>
                <w:color w:val="000000"/>
                <w:kern w:val="0"/>
                <w:sz w:val="24"/>
                <w:lang w:bidi="ar"/>
              </w:rPr>
              <w:t>搅拌楼周围</w:t>
            </w:r>
            <w:r>
              <w:rPr>
                <w:color w:val="000000"/>
                <w:kern w:val="0"/>
                <w:sz w:val="24"/>
                <w:lang w:bidi="ar"/>
              </w:rPr>
              <w:t>设置喷雾桩进行降尘，抑尘效率为</w:t>
            </w:r>
            <w:r>
              <w:rPr>
                <w:rFonts w:hint="eastAsia"/>
                <w:color w:val="000000"/>
                <w:kern w:val="0"/>
                <w:sz w:val="24"/>
                <w:lang w:bidi="ar"/>
              </w:rPr>
              <w:t>8</w:t>
            </w:r>
            <w:r>
              <w:rPr>
                <w:color w:val="000000"/>
                <w:kern w:val="0"/>
                <w:sz w:val="24"/>
                <w:lang w:bidi="ar"/>
              </w:rPr>
              <w:t>5%，则粉尘排放量为</w:t>
            </w:r>
            <w:r>
              <w:rPr>
                <w:rFonts w:hint="eastAsia"/>
                <w:color w:val="000000"/>
                <w:kern w:val="0"/>
                <w:sz w:val="24"/>
                <w:lang w:bidi="ar"/>
              </w:rPr>
              <w:t>0</w:t>
            </w:r>
            <w:r>
              <w:rPr>
                <w:color w:val="000000"/>
                <w:kern w:val="0"/>
                <w:sz w:val="24"/>
                <w:lang w:bidi="ar"/>
              </w:rPr>
              <w:t>.061t/a。</w:t>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b.砂石料装卸、堆存粉尘</w:t>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原料堆场产生的粉尘主要为装卸粉尘、堆场粉尘。项目年使用机制砂量约5万t，公分石量约15万t，均使用全覆盖厢式汽车运至原料库砂石料堆放场。在砂石料装卸及堆存过程中有少量粉尘产生。机制砂、公分石在生产时由装载机、铲车将原料由堆放区运至配料区中，配料区设有料斗和计量装置，原料在投料时，会产生一定量的粉尘。</w:t>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经建设单位提供资料，原料库拟采用彩钢瓦进行半封闭，仅将进出物料口设置为敞开式，且对地面进行硬化；原料库设置喷淋设施，砂石料堆存、卸料、进料时均开启喷淋设施进行喷淋降尘，粉尘大部分沉降在原料库内，预计有15%的粉尘通过出入口、原料库缝隙等以无组织形式排放。</w:t>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项目混凝土生产过程各环节产生的扬尘参考《北京市混凝土搅拌站扬尘排放因子及排放清单》（中国环境科学2017.37（10）：3699~3707）表3混凝土搅拌站各环节无控制措施扬尘排放因子进行核算扬尘产生源强，具体见表4-3。</w:t>
            </w:r>
          </w:p>
          <w:p>
            <w:pPr>
              <w:autoSpaceDE w:val="0"/>
              <w:autoSpaceDN w:val="0"/>
              <w:adjustRightInd w:val="0"/>
              <w:snapToGrid w:val="0"/>
              <w:spacing w:line="360" w:lineRule="auto"/>
              <w:jc w:val="center"/>
              <w:rPr>
                <w:b/>
                <w:color w:val="000000"/>
              </w:rPr>
            </w:pPr>
            <w:r>
              <w:rPr>
                <w:b/>
                <w:color w:val="000000"/>
              </w:rPr>
              <w:t>表4-3  混凝土搅拌站各环节扬尘产生系数</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4"/>
              <w:gridCol w:w="818"/>
              <w:gridCol w:w="963"/>
              <w:gridCol w:w="868"/>
              <w:gridCol w:w="846"/>
              <w:gridCol w:w="2019"/>
              <w:gridCol w:w="899"/>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04" w:type="pct"/>
                  <w:gridSpan w:val="2"/>
                  <w:shd w:val="clear" w:color="auto" w:fill="auto"/>
                  <w:vAlign w:val="center"/>
                </w:tcPr>
                <w:p>
                  <w:pPr>
                    <w:adjustRightInd w:val="0"/>
                    <w:snapToGrid w:val="0"/>
                    <w:jc w:val="center"/>
                    <w:rPr>
                      <w:color w:val="000000"/>
                      <w:kern w:val="0"/>
                      <w:szCs w:val="21"/>
                    </w:rPr>
                  </w:pPr>
                  <w:r>
                    <w:rPr>
                      <w:color w:val="000000"/>
                      <w:kern w:val="0"/>
                      <w:szCs w:val="21"/>
                    </w:rPr>
                    <w:t>污染源</w:t>
                  </w:r>
                </w:p>
              </w:tc>
              <w:tc>
                <w:tcPr>
                  <w:tcW w:w="621" w:type="pct"/>
                  <w:shd w:val="clear" w:color="auto" w:fill="auto"/>
                  <w:vAlign w:val="center"/>
                </w:tcPr>
                <w:p>
                  <w:pPr>
                    <w:adjustRightInd w:val="0"/>
                    <w:snapToGrid w:val="0"/>
                    <w:jc w:val="center"/>
                    <w:rPr>
                      <w:color w:val="000000"/>
                      <w:kern w:val="0"/>
                      <w:szCs w:val="21"/>
                    </w:rPr>
                  </w:pPr>
                  <w:r>
                    <w:rPr>
                      <w:color w:val="000000"/>
                      <w:kern w:val="0"/>
                      <w:szCs w:val="21"/>
                    </w:rPr>
                    <w:t>产生系数（kg/t）</w:t>
                  </w:r>
                </w:p>
              </w:tc>
              <w:tc>
                <w:tcPr>
                  <w:tcW w:w="552" w:type="pct"/>
                  <w:shd w:val="clear" w:color="auto" w:fill="auto"/>
                  <w:vAlign w:val="center"/>
                </w:tcPr>
                <w:p>
                  <w:pPr>
                    <w:adjustRightInd w:val="0"/>
                    <w:snapToGrid w:val="0"/>
                    <w:jc w:val="center"/>
                    <w:rPr>
                      <w:color w:val="000000"/>
                      <w:kern w:val="0"/>
                      <w:szCs w:val="21"/>
                    </w:rPr>
                  </w:pPr>
                  <w:r>
                    <w:rPr>
                      <w:color w:val="000000"/>
                      <w:kern w:val="0"/>
                      <w:szCs w:val="21"/>
                    </w:rPr>
                    <w:t>使用量</w:t>
                  </w:r>
                </w:p>
              </w:tc>
              <w:tc>
                <w:tcPr>
                  <w:tcW w:w="532" w:type="pct"/>
                  <w:shd w:val="clear" w:color="auto" w:fill="auto"/>
                  <w:vAlign w:val="center"/>
                </w:tcPr>
                <w:p>
                  <w:pPr>
                    <w:adjustRightInd w:val="0"/>
                    <w:snapToGrid w:val="0"/>
                    <w:jc w:val="center"/>
                    <w:rPr>
                      <w:color w:val="000000"/>
                      <w:kern w:val="0"/>
                      <w:szCs w:val="21"/>
                    </w:rPr>
                  </w:pPr>
                  <w:r>
                    <w:rPr>
                      <w:color w:val="000000"/>
                      <w:kern w:val="0"/>
                      <w:szCs w:val="21"/>
                    </w:rPr>
                    <w:t>产生量（t/a）</w:t>
                  </w:r>
                </w:p>
              </w:tc>
              <w:tc>
                <w:tcPr>
                  <w:tcW w:w="1301" w:type="pct"/>
                  <w:shd w:val="clear" w:color="auto" w:fill="auto"/>
                  <w:vAlign w:val="center"/>
                </w:tcPr>
                <w:p>
                  <w:pPr>
                    <w:adjustRightInd w:val="0"/>
                    <w:snapToGrid w:val="0"/>
                    <w:jc w:val="center"/>
                    <w:rPr>
                      <w:color w:val="000000"/>
                      <w:kern w:val="0"/>
                      <w:szCs w:val="21"/>
                    </w:rPr>
                  </w:pPr>
                  <w:r>
                    <w:rPr>
                      <w:color w:val="000000"/>
                      <w:kern w:val="0"/>
                      <w:szCs w:val="21"/>
                    </w:rPr>
                    <w:t>处理措施</w:t>
                  </w:r>
                </w:p>
              </w:tc>
              <w:tc>
                <w:tcPr>
                  <w:tcW w:w="532" w:type="pct"/>
                  <w:shd w:val="clear" w:color="auto" w:fill="auto"/>
                  <w:vAlign w:val="center"/>
                </w:tcPr>
                <w:p>
                  <w:pPr>
                    <w:adjustRightInd w:val="0"/>
                    <w:snapToGrid w:val="0"/>
                    <w:jc w:val="center"/>
                    <w:rPr>
                      <w:color w:val="000000"/>
                      <w:kern w:val="0"/>
                      <w:szCs w:val="21"/>
                    </w:rPr>
                  </w:pPr>
                  <w:r>
                    <w:rPr>
                      <w:color w:val="000000"/>
                      <w:kern w:val="0"/>
                      <w:szCs w:val="21"/>
                    </w:rPr>
                    <w:t>排放量</w:t>
                  </w:r>
                </w:p>
                <w:p>
                  <w:pPr>
                    <w:adjustRightInd w:val="0"/>
                    <w:snapToGrid w:val="0"/>
                    <w:jc w:val="center"/>
                    <w:rPr>
                      <w:color w:val="000000"/>
                      <w:kern w:val="0"/>
                      <w:szCs w:val="21"/>
                    </w:rPr>
                  </w:pPr>
                  <w:r>
                    <w:rPr>
                      <w:color w:val="000000"/>
                      <w:kern w:val="0"/>
                      <w:szCs w:val="21"/>
                    </w:rPr>
                    <w:t>（t/a）</w:t>
                  </w:r>
                </w:p>
              </w:tc>
              <w:tc>
                <w:tcPr>
                  <w:tcW w:w="459" w:type="pct"/>
                  <w:shd w:val="clear" w:color="auto" w:fill="auto"/>
                  <w:vAlign w:val="center"/>
                </w:tcPr>
                <w:p>
                  <w:pPr>
                    <w:autoSpaceDE w:val="0"/>
                    <w:autoSpaceDN w:val="0"/>
                    <w:adjustRightInd w:val="0"/>
                    <w:snapToGrid w:val="0"/>
                    <w:jc w:val="center"/>
                    <w:rPr>
                      <w:color w:val="000000"/>
                      <w:kern w:val="0"/>
                      <w:szCs w:val="21"/>
                    </w:rPr>
                  </w:pPr>
                  <w:r>
                    <w:rPr>
                      <w:color w:val="000000"/>
                      <w:kern w:val="0"/>
                      <w:szCs w:val="21"/>
                    </w:rPr>
                    <w:t>排放</w:t>
                  </w:r>
                </w:p>
                <w:p>
                  <w:pPr>
                    <w:adjustRightInd w:val="0"/>
                    <w:snapToGrid w:val="0"/>
                    <w:jc w:val="center"/>
                    <w:rPr>
                      <w:color w:val="000000"/>
                      <w:kern w:val="0"/>
                      <w:szCs w:val="21"/>
                    </w:rPr>
                  </w:pPr>
                  <w:r>
                    <w:rPr>
                      <w:color w:val="000000"/>
                      <w:kern w:val="0"/>
                      <w:szCs w:val="21"/>
                    </w:rPr>
                    <w:t>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2" w:type="pct"/>
                  <w:shd w:val="clear" w:color="auto" w:fill="auto"/>
                  <w:vAlign w:val="center"/>
                </w:tcPr>
                <w:p>
                  <w:pPr>
                    <w:adjustRightInd w:val="0"/>
                    <w:snapToGrid w:val="0"/>
                    <w:jc w:val="center"/>
                    <w:rPr>
                      <w:color w:val="000000"/>
                      <w:kern w:val="0"/>
                      <w:szCs w:val="21"/>
                    </w:rPr>
                  </w:pPr>
                  <w:r>
                    <w:rPr>
                      <w:color w:val="000000"/>
                      <w:kern w:val="0"/>
                      <w:szCs w:val="21"/>
                    </w:rPr>
                    <w:t>公分石</w:t>
                  </w:r>
                </w:p>
              </w:tc>
              <w:tc>
                <w:tcPr>
                  <w:tcW w:w="532" w:type="pct"/>
                  <w:shd w:val="clear" w:color="auto" w:fill="auto"/>
                  <w:vAlign w:val="center"/>
                </w:tcPr>
                <w:p>
                  <w:pPr>
                    <w:adjustRightInd w:val="0"/>
                    <w:snapToGrid w:val="0"/>
                    <w:jc w:val="center"/>
                    <w:rPr>
                      <w:color w:val="000000"/>
                      <w:kern w:val="0"/>
                      <w:szCs w:val="21"/>
                    </w:rPr>
                  </w:pPr>
                  <w:r>
                    <w:rPr>
                      <w:color w:val="000000"/>
                      <w:kern w:val="0"/>
                      <w:szCs w:val="21"/>
                    </w:rPr>
                    <w:t>装卸、配料</w:t>
                  </w:r>
                </w:p>
              </w:tc>
              <w:tc>
                <w:tcPr>
                  <w:tcW w:w="621" w:type="pct"/>
                  <w:shd w:val="clear" w:color="auto" w:fill="auto"/>
                  <w:vAlign w:val="center"/>
                </w:tcPr>
                <w:p>
                  <w:pPr>
                    <w:autoSpaceDE w:val="0"/>
                    <w:autoSpaceDN w:val="0"/>
                    <w:adjustRightInd w:val="0"/>
                    <w:snapToGrid w:val="0"/>
                    <w:jc w:val="center"/>
                    <w:rPr>
                      <w:color w:val="000000"/>
                      <w:kern w:val="0"/>
                      <w:szCs w:val="21"/>
                    </w:rPr>
                  </w:pPr>
                  <w:r>
                    <w:rPr>
                      <w:color w:val="000000"/>
                      <w:kern w:val="0"/>
                      <w:szCs w:val="21"/>
                    </w:rPr>
                    <w:t>0.0035</w:t>
                  </w:r>
                </w:p>
              </w:tc>
              <w:tc>
                <w:tcPr>
                  <w:tcW w:w="552" w:type="pct"/>
                  <w:shd w:val="clear" w:color="auto" w:fill="auto"/>
                  <w:vAlign w:val="center"/>
                </w:tcPr>
                <w:p>
                  <w:pPr>
                    <w:autoSpaceDE w:val="0"/>
                    <w:autoSpaceDN w:val="0"/>
                    <w:adjustRightInd w:val="0"/>
                    <w:snapToGrid w:val="0"/>
                    <w:jc w:val="center"/>
                    <w:rPr>
                      <w:color w:val="000000"/>
                      <w:kern w:val="0"/>
                      <w:szCs w:val="21"/>
                    </w:rPr>
                  </w:pPr>
                  <w:r>
                    <w:rPr>
                      <w:color w:val="000000"/>
                      <w:spacing w:val="20"/>
                      <w:szCs w:val="21"/>
                    </w:rPr>
                    <w:t>10</w:t>
                  </w:r>
                  <w:r>
                    <w:rPr>
                      <w:color w:val="000000"/>
                      <w:kern w:val="0"/>
                      <w:szCs w:val="21"/>
                    </w:rPr>
                    <w:t>万t/a</w:t>
                  </w:r>
                </w:p>
              </w:tc>
              <w:tc>
                <w:tcPr>
                  <w:tcW w:w="532" w:type="pct"/>
                  <w:shd w:val="clear" w:color="auto" w:fill="auto"/>
                  <w:vAlign w:val="center"/>
                </w:tcPr>
                <w:p>
                  <w:pPr>
                    <w:autoSpaceDE w:val="0"/>
                    <w:autoSpaceDN w:val="0"/>
                    <w:adjustRightInd w:val="0"/>
                    <w:jc w:val="center"/>
                    <w:rPr>
                      <w:color w:val="000000"/>
                      <w:kern w:val="0"/>
                      <w:szCs w:val="21"/>
                    </w:rPr>
                  </w:pPr>
                  <w:r>
                    <w:rPr>
                      <w:color w:val="000000"/>
                      <w:kern w:val="0"/>
                      <w:szCs w:val="21"/>
                    </w:rPr>
                    <w:t>0.35</w:t>
                  </w:r>
                </w:p>
              </w:tc>
              <w:tc>
                <w:tcPr>
                  <w:tcW w:w="1301" w:type="pct"/>
                  <w:vMerge w:val="restart"/>
                  <w:shd w:val="clear" w:color="auto" w:fill="auto"/>
                  <w:vAlign w:val="center"/>
                </w:tcPr>
                <w:p>
                  <w:pPr>
                    <w:autoSpaceDE w:val="0"/>
                    <w:autoSpaceDN w:val="0"/>
                    <w:adjustRightInd w:val="0"/>
                    <w:jc w:val="left"/>
                    <w:rPr>
                      <w:color w:val="000000"/>
                      <w:kern w:val="0"/>
                      <w:szCs w:val="21"/>
                    </w:rPr>
                  </w:pPr>
                  <w:r>
                    <w:rPr>
                      <w:color w:val="000000"/>
                      <w:kern w:val="0"/>
                      <w:szCs w:val="21"/>
                    </w:rPr>
                    <w:t>原料库带顶棚的彩钢瓦进行半封闭遮挡降尘，地面进行硬化，并配套设置喷淋降尘系统（处理效率85%），粉尘通过出入口、原料库缝隙排放</w:t>
                  </w:r>
                </w:p>
              </w:tc>
              <w:tc>
                <w:tcPr>
                  <w:tcW w:w="532" w:type="pct"/>
                  <w:shd w:val="clear" w:color="auto" w:fill="auto"/>
                  <w:vAlign w:val="center"/>
                </w:tcPr>
                <w:p>
                  <w:pPr>
                    <w:adjustRightInd w:val="0"/>
                    <w:snapToGrid w:val="0"/>
                    <w:jc w:val="center"/>
                    <w:rPr>
                      <w:color w:val="000000"/>
                      <w:kern w:val="0"/>
                      <w:szCs w:val="21"/>
                    </w:rPr>
                  </w:pPr>
                  <w:r>
                    <w:rPr>
                      <w:rFonts w:hint="eastAsia"/>
                      <w:color w:val="000000"/>
                      <w:kern w:val="0"/>
                      <w:szCs w:val="21"/>
                    </w:rPr>
                    <w:t>0</w:t>
                  </w:r>
                  <w:r>
                    <w:rPr>
                      <w:color w:val="000000"/>
                      <w:kern w:val="0"/>
                      <w:szCs w:val="21"/>
                    </w:rPr>
                    <w:t>.0525</w:t>
                  </w:r>
                </w:p>
              </w:tc>
              <w:tc>
                <w:tcPr>
                  <w:tcW w:w="459" w:type="pct"/>
                  <w:vMerge w:val="restart"/>
                  <w:shd w:val="clear" w:color="auto" w:fill="auto"/>
                  <w:vAlign w:val="center"/>
                </w:tcPr>
                <w:p>
                  <w:pPr>
                    <w:adjustRightInd w:val="0"/>
                    <w:snapToGrid w:val="0"/>
                    <w:jc w:val="center"/>
                    <w:rPr>
                      <w:color w:val="000000"/>
                      <w:kern w:val="0"/>
                      <w:szCs w:val="21"/>
                    </w:rPr>
                  </w:pPr>
                  <w:r>
                    <w:rPr>
                      <w:color w:val="000000"/>
                      <w:kern w:val="0"/>
                      <w:szCs w:val="21"/>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2" w:type="pct"/>
                  <w:shd w:val="clear" w:color="auto" w:fill="auto"/>
                  <w:vAlign w:val="center"/>
                </w:tcPr>
                <w:p>
                  <w:pPr>
                    <w:autoSpaceDE w:val="0"/>
                    <w:autoSpaceDN w:val="0"/>
                    <w:adjustRightInd w:val="0"/>
                    <w:snapToGrid w:val="0"/>
                    <w:jc w:val="center"/>
                    <w:rPr>
                      <w:color w:val="000000"/>
                      <w:kern w:val="0"/>
                      <w:szCs w:val="21"/>
                    </w:rPr>
                  </w:pPr>
                  <w:r>
                    <w:rPr>
                      <w:color w:val="000000"/>
                      <w:kern w:val="0"/>
                      <w:szCs w:val="21"/>
                    </w:rPr>
                    <w:t>机制砂</w:t>
                  </w:r>
                </w:p>
              </w:tc>
              <w:tc>
                <w:tcPr>
                  <w:tcW w:w="532" w:type="pct"/>
                  <w:shd w:val="clear" w:color="auto" w:fill="auto"/>
                  <w:vAlign w:val="center"/>
                </w:tcPr>
                <w:p>
                  <w:pPr>
                    <w:adjustRightInd w:val="0"/>
                    <w:snapToGrid w:val="0"/>
                    <w:jc w:val="center"/>
                    <w:rPr>
                      <w:color w:val="000000"/>
                      <w:kern w:val="0"/>
                      <w:szCs w:val="21"/>
                    </w:rPr>
                  </w:pPr>
                  <w:r>
                    <w:rPr>
                      <w:color w:val="000000"/>
                    </w:rPr>
                    <w:t>装卸、配料</w:t>
                  </w:r>
                </w:p>
              </w:tc>
              <w:tc>
                <w:tcPr>
                  <w:tcW w:w="621" w:type="pct"/>
                  <w:shd w:val="clear" w:color="auto" w:fill="auto"/>
                  <w:vAlign w:val="center"/>
                </w:tcPr>
                <w:p>
                  <w:pPr>
                    <w:autoSpaceDE w:val="0"/>
                    <w:autoSpaceDN w:val="0"/>
                    <w:adjustRightInd w:val="0"/>
                    <w:jc w:val="center"/>
                    <w:rPr>
                      <w:color w:val="000000"/>
                      <w:kern w:val="0"/>
                      <w:szCs w:val="21"/>
                    </w:rPr>
                  </w:pPr>
                  <w:r>
                    <w:rPr>
                      <w:color w:val="000000"/>
                      <w:kern w:val="0"/>
                      <w:szCs w:val="21"/>
                    </w:rPr>
                    <w:t>0.0011</w:t>
                  </w:r>
                </w:p>
              </w:tc>
              <w:tc>
                <w:tcPr>
                  <w:tcW w:w="552" w:type="pct"/>
                  <w:shd w:val="clear" w:color="auto" w:fill="auto"/>
                  <w:vAlign w:val="center"/>
                </w:tcPr>
                <w:p>
                  <w:pPr>
                    <w:autoSpaceDE w:val="0"/>
                    <w:autoSpaceDN w:val="0"/>
                    <w:adjustRightInd w:val="0"/>
                    <w:jc w:val="center"/>
                    <w:rPr>
                      <w:color w:val="000000"/>
                      <w:kern w:val="0"/>
                      <w:szCs w:val="21"/>
                    </w:rPr>
                  </w:pPr>
                  <w:r>
                    <w:rPr>
                      <w:color w:val="000000"/>
                      <w:kern w:val="0"/>
                      <w:szCs w:val="21"/>
                    </w:rPr>
                    <w:t>5万t/a</w:t>
                  </w:r>
                </w:p>
              </w:tc>
              <w:tc>
                <w:tcPr>
                  <w:tcW w:w="532" w:type="pct"/>
                  <w:shd w:val="clear" w:color="auto" w:fill="auto"/>
                  <w:vAlign w:val="center"/>
                </w:tcPr>
                <w:p>
                  <w:pPr>
                    <w:autoSpaceDE w:val="0"/>
                    <w:autoSpaceDN w:val="0"/>
                    <w:adjustRightInd w:val="0"/>
                    <w:jc w:val="center"/>
                    <w:rPr>
                      <w:color w:val="000000"/>
                      <w:kern w:val="0"/>
                      <w:szCs w:val="21"/>
                    </w:rPr>
                  </w:pPr>
                  <w:r>
                    <w:rPr>
                      <w:color w:val="000000"/>
                      <w:kern w:val="0"/>
                      <w:szCs w:val="21"/>
                    </w:rPr>
                    <w:t>0.055</w:t>
                  </w:r>
                </w:p>
              </w:tc>
              <w:tc>
                <w:tcPr>
                  <w:tcW w:w="1301" w:type="pct"/>
                  <w:vMerge w:val="continue"/>
                  <w:shd w:val="clear" w:color="auto" w:fill="auto"/>
                  <w:vAlign w:val="center"/>
                </w:tcPr>
                <w:p>
                  <w:pPr>
                    <w:adjustRightInd w:val="0"/>
                    <w:snapToGrid w:val="0"/>
                    <w:jc w:val="center"/>
                    <w:rPr>
                      <w:color w:val="000000"/>
                      <w:kern w:val="0"/>
                      <w:szCs w:val="21"/>
                    </w:rPr>
                  </w:pPr>
                </w:p>
              </w:tc>
              <w:tc>
                <w:tcPr>
                  <w:tcW w:w="532" w:type="pct"/>
                  <w:shd w:val="clear" w:color="auto" w:fill="auto"/>
                  <w:vAlign w:val="center"/>
                </w:tcPr>
                <w:p>
                  <w:pPr>
                    <w:adjustRightInd w:val="0"/>
                    <w:snapToGrid w:val="0"/>
                    <w:jc w:val="center"/>
                    <w:rPr>
                      <w:color w:val="000000"/>
                      <w:kern w:val="0"/>
                      <w:szCs w:val="21"/>
                    </w:rPr>
                  </w:pPr>
                  <w:r>
                    <w:rPr>
                      <w:rFonts w:hint="eastAsia"/>
                      <w:color w:val="000000"/>
                      <w:kern w:val="0"/>
                      <w:szCs w:val="21"/>
                    </w:rPr>
                    <w:t>0</w:t>
                  </w:r>
                  <w:r>
                    <w:rPr>
                      <w:color w:val="000000"/>
                      <w:kern w:val="0"/>
                      <w:szCs w:val="21"/>
                    </w:rPr>
                    <w:t>.00825</w:t>
                  </w:r>
                </w:p>
              </w:tc>
              <w:tc>
                <w:tcPr>
                  <w:tcW w:w="459" w:type="pct"/>
                  <w:vMerge w:val="continue"/>
                  <w:shd w:val="clear" w:color="auto" w:fill="auto"/>
                  <w:vAlign w:val="center"/>
                </w:tcPr>
                <w:p>
                  <w:pPr>
                    <w:adjustRightInd w:val="0"/>
                    <w:snapToGrid w:val="0"/>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72" w:type="pct"/>
                  <w:shd w:val="clear" w:color="auto" w:fill="auto"/>
                  <w:vAlign w:val="center"/>
                </w:tcPr>
                <w:p>
                  <w:pPr>
                    <w:adjustRightInd w:val="0"/>
                    <w:snapToGrid w:val="0"/>
                    <w:jc w:val="center"/>
                    <w:rPr>
                      <w:color w:val="000000"/>
                      <w:kern w:val="0"/>
                      <w:szCs w:val="21"/>
                    </w:rPr>
                  </w:pPr>
                  <w:r>
                    <w:rPr>
                      <w:color w:val="000000"/>
                      <w:kern w:val="0"/>
                      <w:szCs w:val="21"/>
                    </w:rPr>
                    <w:t>原料库</w:t>
                  </w:r>
                </w:p>
              </w:tc>
              <w:tc>
                <w:tcPr>
                  <w:tcW w:w="532" w:type="pct"/>
                  <w:shd w:val="clear" w:color="auto" w:fill="auto"/>
                  <w:vAlign w:val="center"/>
                </w:tcPr>
                <w:p>
                  <w:pPr>
                    <w:adjustRightInd w:val="0"/>
                    <w:snapToGrid w:val="0"/>
                    <w:jc w:val="center"/>
                    <w:rPr>
                      <w:color w:val="000000"/>
                      <w:kern w:val="0"/>
                      <w:szCs w:val="21"/>
                    </w:rPr>
                  </w:pPr>
                  <w:r>
                    <w:rPr>
                      <w:color w:val="000000"/>
                      <w:kern w:val="0"/>
                      <w:szCs w:val="21"/>
                    </w:rPr>
                    <w:t>砂石料堆存</w:t>
                  </w:r>
                </w:p>
              </w:tc>
              <w:tc>
                <w:tcPr>
                  <w:tcW w:w="621" w:type="pct"/>
                  <w:shd w:val="clear" w:color="auto" w:fill="auto"/>
                  <w:vAlign w:val="center"/>
                </w:tcPr>
                <w:p>
                  <w:pPr>
                    <w:autoSpaceDE w:val="0"/>
                    <w:autoSpaceDN w:val="0"/>
                    <w:adjustRightInd w:val="0"/>
                    <w:snapToGrid w:val="0"/>
                    <w:jc w:val="center"/>
                    <w:rPr>
                      <w:color w:val="000000"/>
                      <w:kern w:val="0"/>
                      <w:szCs w:val="21"/>
                    </w:rPr>
                  </w:pPr>
                  <w:r>
                    <w:rPr>
                      <w:color w:val="000000"/>
                      <w:kern w:val="0"/>
                      <w:szCs w:val="21"/>
                    </w:rPr>
                    <w:t>3.9kg/万m</w:t>
                  </w:r>
                  <w:r>
                    <w:rPr>
                      <w:color w:val="000000"/>
                      <w:kern w:val="0"/>
                      <w:szCs w:val="21"/>
                      <w:vertAlign w:val="superscript"/>
                    </w:rPr>
                    <w:t>2</w:t>
                  </w:r>
                  <w:r>
                    <w:rPr>
                      <w:color w:val="000000"/>
                      <w:kern w:val="0"/>
                      <w:szCs w:val="21"/>
                    </w:rPr>
                    <w:t>·d</w:t>
                  </w:r>
                </w:p>
              </w:tc>
              <w:tc>
                <w:tcPr>
                  <w:tcW w:w="552" w:type="pct"/>
                  <w:shd w:val="clear" w:color="auto" w:fill="auto"/>
                  <w:vAlign w:val="center"/>
                </w:tcPr>
                <w:p>
                  <w:pPr>
                    <w:autoSpaceDE w:val="0"/>
                    <w:autoSpaceDN w:val="0"/>
                    <w:adjustRightInd w:val="0"/>
                    <w:jc w:val="center"/>
                    <w:rPr>
                      <w:color w:val="000000"/>
                      <w:kern w:val="0"/>
                      <w:szCs w:val="21"/>
                    </w:rPr>
                  </w:pPr>
                  <w:r>
                    <w:rPr>
                      <w:color w:val="000000"/>
                      <w:kern w:val="0"/>
                      <w:szCs w:val="21"/>
                    </w:rPr>
                    <w:t>2070m</w:t>
                  </w:r>
                  <w:r>
                    <w:rPr>
                      <w:color w:val="000000"/>
                      <w:kern w:val="0"/>
                      <w:szCs w:val="21"/>
                      <w:vertAlign w:val="superscript"/>
                    </w:rPr>
                    <w:t>2</w:t>
                  </w:r>
                </w:p>
              </w:tc>
              <w:tc>
                <w:tcPr>
                  <w:tcW w:w="532" w:type="pct"/>
                  <w:shd w:val="clear" w:color="auto" w:fill="auto"/>
                  <w:vAlign w:val="center"/>
                </w:tcPr>
                <w:p>
                  <w:pPr>
                    <w:autoSpaceDE w:val="0"/>
                    <w:autoSpaceDN w:val="0"/>
                    <w:adjustRightInd w:val="0"/>
                    <w:jc w:val="center"/>
                    <w:rPr>
                      <w:color w:val="000000"/>
                      <w:kern w:val="0"/>
                      <w:szCs w:val="21"/>
                    </w:rPr>
                  </w:pPr>
                  <w:r>
                    <w:rPr>
                      <w:rFonts w:hint="eastAsia"/>
                      <w:color w:val="000000"/>
                      <w:kern w:val="0"/>
                      <w:szCs w:val="21"/>
                    </w:rPr>
                    <w:t>0</w:t>
                  </w:r>
                  <w:r>
                    <w:rPr>
                      <w:color w:val="000000"/>
                      <w:kern w:val="0"/>
                      <w:szCs w:val="21"/>
                    </w:rPr>
                    <w:t>.285</w:t>
                  </w:r>
                </w:p>
              </w:tc>
              <w:tc>
                <w:tcPr>
                  <w:tcW w:w="1301" w:type="pct"/>
                  <w:vMerge w:val="continue"/>
                  <w:shd w:val="clear" w:color="auto" w:fill="auto"/>
                  <w:vAlign w:val="center"/>
                </w:tcPr>
                <w:p>
                  <w:pPr>
                    <w:adjustRightInd w:val="0"/>
                    <w:snapToGrid w:val="0"/>
                    <w:jc w:val="center"/>
                    <w:rPr>
                      <w:color w:val="000000"/>
                      <w:kern w:val="0"/>
                      <w:szCs w:val="21"/>
                    </w:rPr>
                  </w:pPr>
                </w:p>
              </w:tc>
              <w:tc>
                <w:tcPr>
                  <w:tcW w:w="532" w:type="pct"/>
                  <w:shd w:val="clear" w:color="auto" w:fill="auto"/>
                  <w:vAlign w:val="center"/>
                </w:tcPr>
                <w:p>
                  <w:pPr>
                    <w:adjustRightInd w:val="0"/>
                    <w:snapToGrid w:val="0"/>
                    <w:jc w:val="center"/>
                    <w:rPr>
                      <w:color w:val="000000"/>
                      <w:kern w:val="0"/>
                      <w:szCs w:val="21"/>
                    </w:rPr>
                  </w:pPr>
                  <w:r>
                    <w:rPr>
                      <w:rFonts w:hint="eastAsia"/>
                      <w:color w:val="000000"/>
                      <w:kern w:val="0"/>
                      <w:szCs w:val="21"/>
                    </w:rPr>
                    <w:t>0</w:t>
                  </w:r>
                  <w:r>
                    <w:rPr>
                      <w:color w:val="000000"/>
                      <w:kern w:val="0"/>
                      <w:szCs w:val="21"/>
                    </w:rPr>
                    <w:t>.0428</w:t>
                  </w:r>
                </w:p>
              </w:tc>
              <w:tc>
                <w:tcPr>
                  <w:tcW w:w="459" w:type="pct"/>
                  <w:vMerge w:val="continue"/>
                  <w:shd w:val="clear" w:color="auto" w:fill="auto"/>
                  <w:vAlign w:val="center"/>
                </w:tcPr>
                <w:p>
                  <w:pPr>
                    <w:adjustRightInd w:val="0"/>
                    <w:snapToGrid w:val="0"/>
                    <w:jc w:val="center"/>
                    <w:rPr>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jc w:val="center"/>
              </w:trPr>
              <w:tc>
                <w:tcPr>
                  <w:tcW w:w="2177" w:type="pct"/>
                  <w:gridSpan w:val="4"/>
                  <w:shd w:val="clear" w:color="auto" w:fill="auto"/>
                  <w:vAlign w:val="center"/>
                </w:tcPr>
                <w:p>
                  <w:pPr>
                    <w:autoSpaceDE w:val="0"/>
                    <w:autoSpaceDN w:val="0"/>
                    <w:adjustRightInd w:val="0"/>
                    <w:jc w:val="center"/>
                    <w:rPr>
                      <w:color w:val="000000"/>
                      <w:kern w:val="0"/>
                      <w:szCs w:val="21"/>
                    </w:rPr>
                  </w:pPr>
                  <w:r>
                    <w:rPr>
                      <w:color w:val="000000"/>
                      <w:kern w:val="0"/>
                      <w:szCs w:val="21"/>
                    </w:rPr>
                    <w:t>合计</w:t>
                  </w:r>
                </w:p>
              </w:tc>
              <w:tc>
                <w:tcPr>
                  <w:tcW w:w="532" w:type="pct"/>
                  <w:shd w:val="clear" w:color="auto" w:fill="auto"/>
                  <w:vAlign w:val="center"/>
                </w:tcPr>
                <w:p>
                  <w:pPr>
                    <w:autoSpaceDE w:val="0"/>
                    <w:autoSpaceDN w:val="0"/>
                    <w:adjustRightInd w:val="0"/>
                    <w:jc w:val="center"/>
                    <w:rPr>
                      <w:color w:val="000000"/>
                      <w:kern w:val="0"/>
                      <w:szCs w:val="21"/>
                    </w:rPr>
                  </w:pPr>
                  <w:r>
                    <w:rPr>
                      <w:color w:val="000000"/>
                      <w:kern w:val="0"/>
                      <w:szCs w:val="21"/>
                    </w:rPr>
                    <w:t>0.69</w:t>
                  </w:r>
                </w:p>
              </w:tc>
              <w:tc>
                <w:tcPr>
                  <w:tcW w:w="1301" w:type="pct"/>
                  <w:vMerge w:val="continue"/>
                  <w:shd w:val="clear" w:color="auto" w:fill="auto"/>
                  <w:vAlign w:val="center"/>
                </w:tcPr>
                <w:p>
                  <w:pPr>
                    <w:adjustRightInd w:val="0"/>
                    <w:snapToGrid w:val="0"/>
                    <w:jc w:val="center"/>
                    <w:rPr>
                      <w:color w:val="000000"/>
                      <w:kern w:val="0"/>
                      <w:szCs w:val="21"/>
                    </w:rPr>
                  </w:pPr>
                </w:p>
              </w:tc>
              <w:tc>
                <w:tcPr>
                  <w:tcW w:w="532" w:type="pct"/>
                  <w:shd w:val="clear" w:color="auto" w:fill="auto"/>
                  <w:vAlign w:val="center"/>
                </w:tcPr>
                <w:p>
                  <w:pPr>
                    <w:adjustRightInd w:val="0"/>
                    <w:snapToGrid w:val="0"/>
                    <w:rPr>
                      <w:color w:val="000000"/>
                      <w:kern w:val="0"/>
                      <w:szCs w:val="21"/>
                    </w:rPr>
                  </w:pPr>
                  <w:r>
                    <w:rPr>
                      <w:rFonts w:hint="eastAsia"/>
                      <w:color w:val="000000"/>
                      <w:kern w:val="0"/>
                      <w:szCs w:val="21"/>
                    </w:rPr>
                    <w:t>0</w:t>
                  </w:r>
                  <w:r>
                    <w:rPr>
                      <w:color w:val="000000"/>
                      <w:kern w:val="0"/>
                      <w:szCs w:val="21"/>
                    </w:rPr>
                    <w:t>.1035</w:t>
                  </w:r>
                </w:p>
              </w:tc>
              <w:tc>
                <w:tcPr>
                  <w:tcW w:w="459" w:type="pct"/>
                  <w:vMerge w:val="continue"/>
                  <w:shd w:val="clear" w:color="auto" w:fill="auto"/>
                  <w:vAlign w:val="center"/>
                </w:tcPr>
                <w:p>
                  <w:pPr>
                    <w:adjustRightInd w:val="0"/>
                    <w:snapToGrid w:val="0"/>
                    <w:jc w:val="center"/>
                    <w:rPr>
                      <w:color w:val="000000"/>
                      <w:kern w:val="0"/>
                      <w:szCs w:val="21"/>
                    </w:rPr>
                  </w:pPr>
                </w:p>
              </w:tc>
            </w:tr>
          </w:tbl>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由表4-3可知，原料库内物料装卸料、堆存粉尘产生量为0.69t/a，排放量为0.1035t/a，呈无组织排放。</w:t>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c.内部原料运输粉尘</w:t>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项目原料库设置装卸车辆对机制砂、公分石等进行转移，</w:t>
            </w:r>
            <w:r>
              <w:rPr>
                <w:rFonts w:hint="eastAsia"/>
                <w:color w:val="000000"/>
                <w:kern w:val="0"/>
                <w:sz w:val="24"/>
                <w:lang w:bidi="ar"/>
              </w:rPr>
              <w:t>铲车</w:t>
            </w:r>
            <w:r>
              <w:rPr>
                <w:color w:val="000000"/>
                <w:kern w:val="0"/>
                <w:sz w:val="24"/>
                <w:lang w:bidi="ar"/>
              </w:rPr>
              <w:t>行驶产生的扬尘，可按下列经验公式计算：</w:t>
            </w:r>
          </w:p>
          <w:p>
            <w:pPr>
              <w:autoSpaceDE w:val="0"/>
              <w:autoSpaceDN w:val="0"/>
              <w:adjustRightInd w:val="0"/>
              <w:snapToGrid w:val="0"/>
              <w:jc w:val="center"/>
              <w:rPr>
                <w:color w:val="000000"/>
                <w:kern w:val="0"/>
                <w:sz w:val="24"/>
                <w:lang w:bidi="ar"/>
              </w:rPr>
            </w:pPr>
            <w:r>
              <w:rPr>
                <w:color w:val="000000"/>
              </w:rPr>
              <w:drawing>
                <wp:inline distT="0" distB="0" distL="0" distR="0">
                  <wp:extent cx="2562225" cy="6286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562225" cy="628650"/>
                          </a:xfrm>
                          <a:prstGeom prst="rect">
                            <a:avLst/>
                          </a:prstGeom>
                          <a:noFill/>
                          <a:ln>
                            <a:noFill/>
                          </a:ln>
                        </pic:spPr>
                      </pic:pic>
                    </a:graphicData>
                  </a:graphic>
                </wp:inline>
              </w:drawing>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式中：Qp—道路扬尘量（kg/km·辆）；</w:t>
            </w:r>
          </w:p>
          <w:p>
            <w:pPr>
              <w:autoSpaceDE w:val="0"/>
              <w:autoSpaceDN w:val="0"/>
              <w:adjustRightInd w:val="0"/>
              <w:snapToGrid w:val="0"/>
              <w:spacing w:line="360" w:lineRule="auto"/>
              <w:ind w:firstLine="1200" w:firstLineChars="500"/>
              <w:jc w:val="left"/>
              <w:rPr>
                <w:color w:val="000000"/>
                <w:kern w:val="0"/>
                <w:sz w:val="24"/>
                <w:lang w:bidi="ar"/>
              </w:rPr>
            </w:pPr>
            <w:r>
              <w:rPr>
                <w:color w:val="000000"/>
                <w:kern w:val="0"/>
                <w:sz w:val="24"/>
                <w:lang w:bidi="ar"/>
              </w:rPr>
              <w:t>Qp1—总扬尘量（kg/a）；</w:t>
            </w:r>
          </w:p>
          <w:p>
            <w:pPr>
              <w:autoSpaceDE w:val="0"/>
              <w:autoSpaceDN w:val="0"/>
              <w:adjustRightInd w:val="0"/>
              <w:snapToGrid w:val="0"/>
              <w:spacing w:line="360" w:lineRule="auto"/>
              <w:ind w:firstLine="1200" w:firstLineChars="500"/>
              <w:jc w:val="left"/>
              <w:rPr>
                <w:color w:val="000000"/>
                <w:kern w:val="0"/>
                <w:sz w:val="24"/>
                <w:lang w:bidi="ar"/>
              </w:rPr>
            </w:pPr>
            <w:r>
              <w:rPr>
                <w:color w:val="000000"/>
                <w:kern w:val="0"/>
                <w:sz w:val="24"/>
                <w:lang w:bidi="ar"/>
              </w:rPr>
              <w:t>V—车辆速度（km/h），本项目按5km/h 计；</w:t>
            </w:r>
          </w:p>
          <w:p>
            <w:pPr>
              <w:autoSpaceDE w:val="0"/>
              <w:autoSpaceDN w:val="0"/>
              <w:adjustRightInd w:val="0"/>
              <w:snapToGrid w:val="0"/>
              <w:spacing w:line="360" w:lineRule="auto"/>
              <w:ind w:firstLine="1200" w:firstLineChars="500"/>
              <w:jc w:val="left"/>
              <w:rPr>
                <w:color w:val="000000"/>
                <w:kern w:val="0"/>
                <w:sz w:val="24"/>
                <w:lang w:bidi="ar"/>
              </w:rPr>
            </w:pPr>
            <w:r>
              <w:rPr>
                <w:color w:val="000000"/>
                <w:kern w:val="0"/>
                <w:sz w:val="24"/>
                <w:lang w:bidi="ar"/>
              </w:rPr>
              <w:t>M—</w:t>
            </w:r>
            <w:r>
              <w:rPr>
                <w:rFonts w:hint="eastAsia"/>
                <w:color w:val="000000"/>
                <w:kern w:val="0"/>
                <w:sz w:val="24"/>
                <w:lang w:bidi="ar"/>
              </w:rPr>
              <w:t>铲车</w:t>
            </w:r>
            <w:r>
              <w:rPr>
                <w:color w:val="000000"/>
                <w:kern w:val="0"/>
                <w:sz w:val="24"/>
                <w:lang w:bidi="ar"/>
              </w:rPr>
              <w:t>载重（t/辆），本项目按10t计；</w:t>
            </w:r>
          </w:p>
          <w:p>
            <w:pPr>
              <w:autoSpaceDE w:val="0"/>
              <w:autoSpaceDN w:val="0"/>
              <w:adjustRightInd w:val="0"/>
              <w:snapToGrid w:val="0"/>
              <w:spacing w:line="360" w:lineRule="auto"/>
              <w:ind w:firstLine="1200" w:firstLineChars="500"/>
              <w:jc w:val="left"/>
              <w:rPr>
                <w:color w:val="000000"/>
                <w:kern w:val="0"/>
                <w:sz w:val="24"/>
                <w:lang w:bidi="ar"/>
              </w:rPr>
            </w:pPr>
            <w:r>
              <w:rPr>
                <w:color w:val="000000"/>
                <w:kern w:val="0"/>
                <w:sz w:val="24"/>
                <w:lang w:bidi="ar"/>
              </w:rPr>
              <w:t>P—道路灰尘覆盖量（kg/m</w:t>
            </w:r>
            <w:r>
              <w:rPr>
                <w:color w:val="000000"/>
                <w:kern w:val="0"/>
                <w:sz w:val="24"/>
                <w:vertAlign w:val="superscript"/>
                <w:lang w:bidi="ar"/>
              </w:rPr>
              <w:t>2</w:t>
            </w:r>
            <w:r>
              <w:rPr>
                <w:color w:val="000000"/>
                <w:kern w:val="0"/>
                <w:sz w:val="24"/>
                <w:lang w:bidi="ar"/>
              </w:rPr>
              <w:t>），本项目按0.1kg/m</w:t>
            </w:r>
            <w:r>
              <w:rPr>
                <w:color w:val="000000"/>
                <w:kern w:val="0"/>
                <w:sz w:val="24"/>
                <w:vertAlign w:val="superscript"/>
                <w:lang w:bidi="ar"/>
              </w:rPr>
              <w:t>2</w:t>
            </w:r>
            <w:r>
              <w:rPr>
                <w:color w:val="000000"/>
                <w:kern w:val="0"/>
                <w:sz w:val="24"/>
                <w:lang w:bidi="ar"/>
              </w:rPr>
              <w:t>计；</w:t>
            </w:r>
          </w:p>
          <w:p>
            <w:pPr>
              <w:autoSpaceDE w:val="0"/>
              <w:autoSpaceDN w:val="0"/>
              <w:adjustRightInd w:val="0"/>
              <w:snapToGrid w:val="0"/>
              <w:spacing w:line="360" w:lineRule="auto"/>
              <w:ind w:firstLine="1200" w:firstLineChars="500"/>
              <w:jc w:val="left"/>
              <w:rPr>
                <w:color w:val="000000"/>
                <w:kern w:val="0"/>
                <w:sz w:val="24"/>
                <w:lang w:bidi="ar"/>
              </w:rPr>
            </w:pPr>
            <w:r>
              <w:rPr>
                <w:color w:val="000000"/>
                <w:kern w:val="0"/>
                <w:sz w:val="24"/>
                <w:lang w:bidi="ar"/>
              </w:rPr>
              <w:t>L—运输距离（km），本项目按0.1km；</w:t>
            </w:r>
          </w:p>
          <w:p>
            <w:pPr>
              <w:autoSpaceDE w:val="0"/>
              <w:autoSpaceDN w:val="0"/>
              <w:adjustRightInd w:val="0"/>
              <w:snapToGrid w:val="0"/>
              <w:spacing w:line="360" w:lineRule="auto"/>
              <w:ind w:firstLine="1200" w:firstLineChars="500"/>
              <w:jc w:val="left"/>
              <w:rPr>
                <w:color w:val="000000"/>
                <w:kern w:val="0"/>
                <w:sz w:val="24"/>
                <w:lang w:bidi="ar"/>
              </w:rPr>
            </w:pPr>
            <w:r>
              <w:rPr>
                <w:color w:val="000000"/>
                <w:kern w:val="0"/>
                <w:sz w:val="24"/>
                <w:lang w:bidi="ar"/>
              </w:rPr>
              <w:t>Q—运输量（t/a）</w:t>
            </w:r>
            <w:r>
              <w:rPr>
                <w:rFonts w:hint="eastAsia"/>
                <w:color w:val="000000"/>
                <w:kern w:val="0"/>
                <w:sz w:val="24"/>
                <w:lang w:bidi="ar"/>
              </w:rPr>
              <w:t>，本项目年使用骨料总量约</w:t>
            </w:r>
            <w:r>
              <w:rPr>
                <w:color w:val="000000"/>
                <w:kern w:val="0"/>
                <w:sz w:val="24"/>
                <w:lang w:bidi="ar"/>
              </w:rPr>
              <w:t>15</w:t>
            </w:r>
            <w:r>
              <w:rPr>
                <w:rFonts w:hint="eastAsia"/>
                <w:color w:val="000000"/>
                <w:kern w:val="0"/>
                <w:sz w:val="24"/>
                <w:lang w:bidi="ar"/>
              </w:rPr>
              <w:t>万t</w:t>
            </w:r>
            <w:r>
              <w:rPr>
                <w:color w:val="000000"/>
                <w:kern w:val="0"/>
                <w:sz w:val="24"/>
                <w:lang w:bidi="ar"/>
              </w:rPr>
              <w:t>。</w:t>
            </w:r>
          </w:p>
          <w:p>
            <w:pPr>
              <w:autoSpaceDE w:val="0"/>
              <w:autoSpaceDN w:val="0"/>
              <w:adjustRightInd w:val="0"/>
              <w:snapToGrid w:val="0"/>
              <w:spacing w:line="360" w:lineRule="auto"/>
              <w:ind w:firstLine="480" w:firstLineChars="200"/>
              <w:jc w:val="left"/>
              <w:rPr>
                <w:color w:val="000000"/>
                <w:kern w:val="0"/>
                <w:sz w:val="24"/>
                <w:lang w:bidi="ar"/>
              </w:rPr>
            </w:pPr>
            <w:r>
              <w:rPr>
                <w:rFonts w:hint="eastAsia"/>
                <w:color w:val="000000"/>
                <w:kern w:val="0"/>
                <w:sz w:val="24"/>
                <w:lang w:bidi="ar"/>
              </w:rPr>
              <w:t>根据计算，骨料料仓内物料运输扬尘产生量为0.</w:t>
            </w:r>
            <w:r>
              <w:rPr>
                <w:color w:val="000000"/>
                <w:kern w:val="0"/>
                <w:sz w:val="24"/>
                <w:lang w:bidi="ar"/>
              </w:rPr>
              <w:t>081</w:t>
            </w:r>
            <w:r>
              <w:rPr>
                <w:rFonts w:hint="eastAsia"/>
                <w:color w:val="000000"/>
                <w:kern w:val="0"/>
                <w:sz w:val="24"/>
                <w:lang w:bidi="ar"/>
              </w:rPr>
              <w:t>t/a。项目骨料仓库设置在密闭车间内，仅留设物料进出口，骨料仓库内顶部安装全自动喷淋抑尘装置，骨料装卸处配有喷淋装置，骨料仓库内部原料运输粉尘大部分将沉降在料仓内，少量粉尘主要通过车辆进出口处排放。通过采取措施后，无组织粉尘排放量约占产生量的</w:t>
            </w:r>
            <w:r>
              <w:rPr>
                <w:color w:val="000000"/>
                <w:kern w:val="0"/>
                <w:sz w:val="24"/>
                <w:lang w:bidi="ar"/>
              </w:rPr>
              <w:t>3</w:t>
            </w:r>
            <w:r>
              <w:rPr>
                <w:rFonts w:hint="eastAsia"/>
                <w:color w:val="000000"/>
                <w:kern w:val="0"/>
                <w:sz w:val="24"/>
                <w:lang w:bidi="ar"/>
              </w:rPr>
              <w:t>0%，则粉尘排放量为0.0</w:t>
            </w:r>
            <w:r>
              <w:rPr>
                <w:color w:val="000000"/>
                <w:kern w:val="0"/>
                <w:sz w:val="24"/>
                <w:lang w:bidi="ar"/>
              </w:rPr>
              <w:t>243</w:t>
            </w:r>
            <w:r>
              <w:rPr>
                <w:rFonts w:hint="eastAsia"/>
                <w:color w:val="000000"/>
                <w:kern w:val="0"/>
                <w:sz w:val="24"/>
                <w:lang w:bidi="ar"/>
              </w:rPr>
              <w:t>t/a</w:t>
            </w:r>
            <w:r>
              <w:rPr>
                <w:color w:val="000000"/>
                <w:kern w:val="0"/>
                <w:sz w:val="24"/>
                <w:lang w:bidi="ar"/>
              </w:rPr>
              <w:t>。</w:t>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d.厂区物料运输粉尘</w:t>
            </w:r>
          </w:p>
          <w:p>
            <w:pPr>
              <w:autoSpaceDE w:val="0"/>
              <w:autoSpaceDN w:val="0"/>
              <w:adjustRightInd w:val="0"/>
              <w:snapToGrid w:val="0"/>
              <w:spacing w:line="360" w:lineRule="auto"/>
              <w:ind w:firstLine="480" w:firstLineChars="200"/>
              <w:jc w:val="left"/>
              <w:rPr>
                <w:color w:val="000000"/>
                <w:kern w:val="0"/>
                <w:sz w:val="24"/>
                <w:lang w:bidi="ar"/>
              </w:rPr>
            </w:pPr>
            <w:r>
              <w:rPr>
                <w:rFonts w:eastAsiaTheme="minorEastAsia"/>
                <w:sz w:val="24"/>
              </w:rPr>
              <w:t>本项目原料（骨料、粉料）使用量为17.4万</w:t>
            </w:r>
            <w:r>
              <w:rPr>
                <w:rFonts w:eastAsiaTheme="minorEastAsia"/>
                <w:sz w:val="24"/>
                <w:lang w:val="zh-CN"/>
              </w:rPr>
              <w:t>t/a；</w:t>
            </w:r>
            <w:r>
              <w:rPr>
                <w:color w:val="000000"/>
                <w:kern w:val="0"/>
                <w:sz w:val="24"/>
                <w:lang w:bidi="ar"/>
              </w:rPr>
              <w:t>年产混凝土6万m</w:t>
            </w:r>
            <w:r>
              <w:rPr>
                <w:color w:val="000000"/>
                <w:kern w:val="0"/>
                <w:sz w:val="24"/>
                <w:vertAlign w:val="superscript"/>
                <w:lang w:bidi="ar"/>
              </w:rPr>
              <w:t>3</w:t>
            </w:r>
            <w:r>
              <w:rPr>
                <w:color w:val="000000"/>
                <w:kern w:val="0"/>
                <w:sz w:val="24"/>
                <w:lang w:bidi="ar"/>
              </w:rPr>
              <w:t>，</w:t>
            </w:r>
            <w:r>
              <w:rPr>
                <w:rFonts w:hint="eastAsia"/>
                <w:color w:val="000000"/>
                <w:kern w:val="0"/>
                <w:sz w:val="24"/>
                <w:lang w:bidi="ar"/>
              </w:rPr>
              <w:t>约为</w:t>
            </w:r>
            <w:r>
              <w:rPr>
                <w:color w:val="000000"/>
                <w:kern w:val="0"/>
                <w:sz w:val="24"/>
                <w:lang w:bidi="ar"/>
              </w:rPr>
              <w:t>15</w:t>
            </w:r>
            <w:r>
              <w:rPr>
                <w:rFonts w:hint="eastAsia"/>
                <w:color w:val="000000"/>
                <w:kern w:val="0"/>
                <w:sz w:val="24"/>
                <w:lang w:bidi="ar"/>
              </w:rPr>
              <w:t>万t</w:t>
            </w:r>
            <w:r>
              <w:rPr>
                <w:color w:val="000000"/>
                <w:kern w:val="0"/>
                <w:sz w:val="24"/>
                <w:lang w:bidi="ar"/>
              </w:rPr>
              <w:t>，</w:t>
            </w:r>
            <w:r>
              <w:rPr>
                <w:rFonts w:hint="eastAsia"/>
                <w:color w:val="000000"/>
                <w:kern w:val="0"/>
                <w:sz w:val="24"/>
                <w:lang w:bidi="ar"/>
              </w:rPr>
              <w:t>原材料及成品均按每辆车每次运输</w:t>
            </w:r>
            <w:r>
              <w:rPr>
                <w:color w:val="000000"/>
                <w:kern w:val="0"/>
                <w:sz w:val="24"/>
                <w:lang w:bidi="ar"/>
              </w:rPr>
              <w:t>30</w:t>
            </w:r>
            <w:r>
              <w:rPr>
                <w:rFonts w:hint="eastAsia"/>
                <w:color w:val="000000"/>
                <w:kern w:val="0"/>
                <w:sz w:val="24"/>
                <w:lang w:bidi="ar"/>
              </w:rPr>
              <w:t>t计，则原料、产品等物料共需运输1</w:t>
            </w:r>
            <w:r>
              <w:rPr>
                <w:color w:val="000000"/>
                <w:kern w:val="0"/>
                <w:sz w:val="24"/>
                <w:lang w:bidi="ar"/>
              </w:rPr>
              <w:t>.08</w:t>
            </w:r>
            <w:r>
              <w:rPr>
                <w:rFonts w:hint="eastAsia"/>
                <w:color w:val="000000"/>
                <w:kern w:val="0"/>
                <w:sz w:val="24"/>
                <w:lang w:bidi="ar"/>
              </w:rPr>
              <w:t>万次/a。</w:t>
            </w:r>
            <w:r>
              <w:rPr>
                <w:color w:val="000000"/>
                <w:kern w:val="0"/>
                <w:sz w:val="24"/>
                <w:lang w:bidi="ar"/>
              </w:rPr>
              <w:t>本项目车辆运输距离按100m计，根据前文道路扬尘量Qp计算，车辆运输扬尘量按0.14kg/km</w:t>
            </w:r>
            <w:r>
              <w:rPr>
                <w:rFonts w:hint="eastAsia" w:ascii="宋体" w:hAnsi="宋体"/>
                <w:color w:val="000000"/>
                <w:kern w:val="0"/>
                <w:sz w:val="24"/>
                <w:lang w:bidi="ar"/>
              </w:rPr>
              <w:t>﹒</w:t>
            </w:r>
            <w:r>
              <w:rPr>
                <w:color w:val="000000"/>
                <w:kern w:val="0"/>
                <w:sz w:val="24"/>
                <w:lang w:bidi="ar"/>
              </w:rPr>
              <w:t>车计算，则厂区物料运输扬尘产生量为0.15t/a。设置</w:t>
            </w:r>
            <w:r>
              <w:rPr>
                <w:rFonts w:hint="eastAsia"/>
                <w:color w:val="000000"/>
                <w:kern w:val="0"/>
                <w:sz w:val="24"/>
                <w:lang w:bidi="ar"/>
              </w:rPr>
              <w:t>炮雾机及洒水车</w:t>
            </w:r>
            <w:r>
              <w:rPr>
                <w:color w:val="000000"/>
                <w:kern w:val="0"/>
                <w:sz w:val="24"/>
                <w:lang w:bidi="ar"/>
              </w:rPr>
              <w:t>进行降尘，对</w:t>
            </w:r>
            <w:r>
              <w:rPr>
                <w:rFonts w:hint="eastAsia"/>
                <w:color w:val="000000"/>
                <w:kern w:val="0"/>
                <w:sz w:val="24"/>
                <w:lang w:bidi="ar"/>
              </w:rPr>
              <w:t>料仓进出口道路</w:t>
            </w:r>
            <w:r>
              <w:rPr>
                <w:color w:val="000000"/>
                <w:kern w:val="0"/>
                <w:sz w:val="24"/>
                <w:lang w:bidi="ar"/>
              </w:rPr>
              <w:t>及场地硬化区域洒水</w:t>
            </w:r>
            <w:r>
              <w:rPr>
                <w:rFonts w:hint="eastAsia"/>
                <w:color w:val="000000"/>
                <w:kern w:val="0"/>
                <w:sz w:val="24"/>
                <w:lang w:bidi="ar"/>
              </w:rPr>
              <w:t>降尘</w:t>
            </w:r>
            <w:r>
              <w:rPr>
                <w:color w:val="000000"/>
                <w:kern w:val="0"/>
                <w:sz w:val="24"/>
                <w:lang w:bidi="ar"/>
              </w:rPr>
              <w:t>；通过采取上述措施，可抑尘70%，运输道路扬尘排放量为0.045t/a。</w:t>
            </w:r>
          </w:p>
          <w:p>
            <w:pPr>
              <w:autoSpaceDE w:val="0"/>
              <w:autoSpaceDN w:val="0"/>
              <w:adjustRightInd w:val="0"/>
              <w:snapToGrid w:val="0"/>
              <w:spacing w:line="360" w:lineRule="auto"/>
              <w:ind w:firstLine="480" w:firstLineChars="200"/>
              <w:jc w:val="left"/>
              <w:rPr>
                <w:color w:val="000000"/>
                <w:kern w:val="0"/>
                <w:sz w:val="24"/>
                <w:lang w:bidi="ar"/>
              </w:rPr>
            </w:pPr>
            <w:r>
              <w:rPr>
                <w:rFonts w:hint="eastAsia" w:ascii="宋体" w:hAnsi="宋体" w:cs="宋体"/>
                <w:color w:val="000000"/>
                <w:kern w:val="0"/>
                <w:sz w:val="24"/>
                <w:lang w:bidi="ar"/>
              </w:rPr>
              <w:t>③</w:t>
            </w:r>
            <w:r>
              <w:rPr>
                <w:color w:val="000000"/>
                <w:kern w:val="0"/>
                <w:sz w:val="24"/>
                <w:lang w:bidi="ar"/>
              </w:rPr>
              <w:t>食堂油烟</w:t>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根据建设单位提供资料，项目共有32名员工在项目食堂内就餐，食堂主要提供员工一日三餐。厨房每天炒制运行时间约为3h/d，服务天数300天/</w:t>
            </w:r>
            <w:r>
              <w:rPr>
                <w:rFonts w:hint="eastAsia"/>
                <w:color w:val="000000"/>
                <w:kern w:val="0"/>
                <w:sz w:val="24"/>
                <w:lang w:bidi="ar"/>
              </w:rPr>
              <w:t>年。</w:t>
            </w:r>
            <w:r>
              <w:rPr>
                <w:color w:val="000000"/>
                <w:kern w:val="0"/>
                <w:sz w:val="24"/>
                <w:lang w:bidi="ar"/>
              </w:rPr>
              <w:t>根据类比调查，人均食用油消耗量以30g/人计，则本项目食用油总消耗量</w:t>
            </w:r>
            <w:r>
              <w:rPr>
                <w:rFonts w:hint="eastAsia"/>
                <w:color w:val="000000"/>
                <w:kern w:val="0"/>
                <w:sz w:val="24"/>
                <w:lang w:bidi="ar"/>
              </w:rPr>
              <w:t>0</w:t>
            </w:r>
            <w:r>
              <w:rPr>
                <w:color w:val="000000"/>
                <w:kern w:val="0"/>
                <w:sz w:val="24"/>
                <w:lang w:bidi="ar"/>
              </w:rPr>
              <w:t>.96kg/d，由于烹饪时会有少量油类分解、挥发，据类比估计，分解、挥发量按3%计算，则食堂油烟产生量0.0288kg/d（0.009t/a）。油烟经油烟净化器处理后通过油烟管道排放，风机风量为4000m</w:t>
            </w:r>
            <w:r>
              <w:rPr>
                <w:color w:val="000000"/>
                <w:kern w:val="0"/>
                <w:sz w:val="24"/>
                <w:vertAlign w:val="superscript"/>
                <w:lang w:bidi="ar"/>
              </w:rPr>
              <w:t>3</w:t>
            </w:r>
            <w:r>
              <w:rPr>
                <w:color w:val="000000"/>
                <w:kern w:val="0"/>
                <w:sz w:val="24"/>
                <w:lang w:bidi="ar"/>
              </w:rPr>
              <w:t>/h，处理效率为60%，则油烟排放量为0.0054t/a。项目食堂油烟废气产生及排放情况见表4-5。</w:t>
            </w:r>
          </w:p>
          <w:p>
            <w:pPr>
              <w:tabs>
                <w:tab w:val="left" w:pos="3045"/>
              </w:tabs>
              <w:snapToGrid w:val="0"/>
              <w:spacing w:line="360" w:lineRule="auto"/>
              <w:jc w:val="center"/>
              <w:rPr>
                <w:b/>
                <w:color w:val="000000"/>
                <w:kern w:val="0"/>
                <w:lang w:val="zh-CN"/>
              </w:rPr>
            </w:pPr>
            <w:r>
              <w:rPr>
                <w:b/>
                <w:color w:val="000000"/>
                <w:kern w:val="0"/>
                <w:lang w:val="zh-CN"/>
              </w:rPr>
              <w:t>表4-4  食堂油烟废气产生及排放情况一览表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5"/>
              <w:gridCol w:w="1014"/>
              <w:gridCol w:w="1375"/>
              <w:gridCol w:w="1000"/>
              <w:gridCol w:w="1061"/>
              <w:gridCol w:w="1375"/>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86" w:type="pct"/>
                  <w:shd w:val="clear" w:color="auto" w:fill="auto"/>
                  <w:vAlign w:val="center"/>
                </w:tcPr>
                <w:p>
                  <w:pPr>
                    <w:adjustRightInd w:val="0"/>
                    <w:snapToGrid w:val="0"/>
                    <w:jc w:val="center"/>
                    <w:rPr>
                      <w:color w:val="000000"/>
                      <w:spacing w:val="20"/>
                      <w:szCs w:val="21"/>
                    </w:rPr>
                  </w:pPr>
                  <w:r>
                    <w:rPr>
                      <w:color w:val="000000"/>
                      <w:spacing w:val="20"/>
                      <w:szCs w:val="21"/>
                    </w:rPr>
                    <w:t>排放源</w:t>
                  </w:r>
                </w:p>
              </w:tc>
              <w:tc>
                <w:tcPr>
                  <w:tcW w:w="649" w:type="pct"/>
                  <w:shd w:val="clear" w:color="auto" w:fill="auto"/>
                  <w:vAlign w:val="center"/>
                </w:tcPr>
                <w:p>
                  <w:pPr>
                    <w:adjustRightInd w:val="0"/>
                    <w:snapToGrid w:val="0"/>
                    <w:jc w:val="center"/>
                    <w:rPr>
                      <w:color w:val="000000"/>
                      <w:spacing w:val="20"/>
                      <w:szCs w:val="21"/>
                    </w:rPr>
                  </w:pPr>
                  <w:r>
                    <w:rPr>
                      <w:color w:val="000000"/>
                      <w:spacing w:val="20"/>
                      <w:szCs w:val="21"/>
                    </w:rPr>
                    <w:t>废气量</w:t>
                  </w:r>
                </w:p>
                <w:p>
                  <w:pPr>
                    <w:adjustRightInd w:val="0"/>
                    <w:snapToGrid w:val="0"/>
                    <w:jc w:val="center"/>
                    <w:rPr>
                      <w:color w:val="000000"/>
                      <w:spacing w:val="20"/>
                      <w:szCs w:val="21"/>
                    </w:rPr>
                  </w:pPr>
                  <w:r>
                    <w:rPr>
                      <w:color w:val="000000"/>
                      <w:spacing w:val="20"/>
                      <w:szCs w:val="21"/>
                    </w:rPr>
                    <w:t>(m</w:t>
                  </w:r>
                  <w:r>
                    <w:rPr>
                      <w:color w:val="000000"/>
                      <w:spacing w:val="20"/>
                      <w:szCs w:val="21"/>
                      <w:vertAlign w:val="superscript"/>
                    </w:rPr>
                    <w:t>3</w:t>
                  </w:r>
                  <w:r>
                    <w:rPr>
                      <w:color w:val="000000"/>
                      <w:spacing w:val="20"/>
                      <w:szCs w:val="21"/>
                    </w:rPr>
                    <w:t>/h)</w:t>
                  </w:r>
                </w:p>
              </w:tc>
              <w:tc>
                <w:tcPr>
                  <w:tcW w:w="871" w:type="pct"/>
                  <w:shd w:val="clear" w:color="auto" w:fill="auto"/>
                  <w:vAlign w:val="center"/>
                </w:tcPr>
                <w:p>
                  <w:pPr>
                    <w:adjustRightInd w:val="0"/>
                    <w:snapToGrid w:val="0"/>
                    <w:jc w:val="center"/>
                    <w:rPr>
                      <w:color w:val="000000"/>
                      <w:spacing w:val="20"/>
                      <w:szCs w:val="21"/>
                    </w:rPr>
                  </w:pPr>
                  <w:r>
                    <w:rPr>
                      <w:color w:val="000000"/>
                      <w:spacing w:val="20"/>
                      <w:szCs w:val="21"/>
                    </w:rPr>
                    <w:t>产生浓度</w:t>
                  </w:r>
                </w:p>
                <w:p>
                  <w:pPr>
                    <w:adjustRightInd w:val="0"/>
                    <w:snapToGrid w:val="0"/>
                    <w:jc w:val="center"/>
                    <w:rPr>
                      <w:color w:val="000000"/>
                      <w:spacing w:val="20"/>
                      <w:szCs w:val="21"/>
                    </w:rPr>
                  </w:pPr>
                  <w:r>
                    <w:rPr>
                      <w:color w:val="000000"/>
                      <w:spacing w:val="20"/>
                      <w:szCs w:val="21"/>
                    </w:rPr>
                    <w:t>（mg/m</w:t>
                  </w:r>
                  <w:r>
                    <w:rPr>
                      <w:color w:val="000000"/>
                      <w:spacing w:val="20"/>
                      <w:szCs w:val="21"/>
                      <w:vertAlign w:val="superscript"/>
                    </w:rPr>
                    <w:t>3</w:t>
                  </w:r>
                  <w:r>
                    <w:rPr>
                      <w:color w:val="000000"/>
                      <w:spacing w:val="20"/>
                      <w:szCs w:val="21"/>
                    </w:rPr>
                    <w:t>）</w:t>
                  </w:r>
                </w:p>
              </w:tc>
              <w:tc>
                <w:tcPr>
                  <w:tcW w:w="640" w:type="pct"/>
                  <w:shd w:val="clear" w:color="auto" w:fill="auto"/>
                  <w:vAlign w:val="center"/>
                </w:tcPr>
                <w:p>
                  <w:pPr>
                    <w:adjustRightInd w:val="0"/>
                    <w:snapToGrid w:val="0"/>
                    <w:jc w:val="center"/>
                    <w:rPr>
                      <w:color w:val="000000"/>
                      <w:spacing w:val="20"/>
                      <w:szCs w:val="21"/>
                    </w:rPr>
                  </w:pPr>
                  <w:r>
                    <w:rPr>
                      <w:color w:val="000000"/>
                      <w:spacing w:val="20"/>
                      <w:szCs w:val="21"/>
                    </w:rPr>
                    <w:t>产生量</w:t>
                  </w:r>
                </w:p>
                <w:p>
                  <w:pPr>
                    <w:adjustRightInd w:val="0"/>
                    <w:snapToGrid w:val="0"/>
                    <w:jc w:val="center"/>
                    <w:rPr>
                      <w:color w:val="000000"/>
                      <w:spacing w:val="20"/>
                      <w:szCs w:val="21"/>
                    </w:rPr>
                  </w:pPr>
                  <w:r>
                    <w:rPr>
                      <w:color w:val="000000"/>
                      <w:spacing w:val="20"/>
                      <w:szCs w:val="21"/>
                    </w:rPr>
                    <w:t>（t/a）</w:t>
                  </w:r>
                </w:p>
              </w:tc>
              <w:tc>
                <w:tcPr>
                  <w:tcW w:w="679" w:type="pct"/>
                  <w:shd w:val="clear" w:color="auto" w:fill="auto"/>
                  <w:vAlign w:val="center"/>
                </w:tcPr>
                <w:p>
                  <w:pPr>
                    <w:adjustRightInd w:val="0"/>
                    <w:snapToGrid w:val="0"/>
                    <w:jc w:val="center"/>
                    <w:rPr>
                      <w:color w:val="000000"/>
                      <w:spacing w:val="20"/>
                      <w:szCs w:val="21"/>
                    </w:rPr>
                  </w:pPr>
                  <w:r>
                    <w:rPr>
                      <w:color w:val="000000"/>
                      <w:spacing w:val="20"/>
                      <w:szCs w:val="21"/>
                    </w:rPr>
                    <w:t>处理</w:t>
                  </w:r>
                </w:p>
                <w:p>
                  <w:pPr>
                    <w:adjustRightInd w:val="0"/>
                    <w:snapToGrid w:val="0"/>
                    <w:jc w:val="center"/>
                    <w:rPr>
                      <w:color w:val="000000"/>
                      <w:spacing w:val="20"/>
                      <w:szCs w:val="21"/>
                    </w:rPr>
                  </w:pPr>
                  <w:r>
                    <w:rPr>
                      <w:color w:val="000000"/>
                      <w:spacing w:val="20"/>
                      <w:szCs w:val="21"/>
                    </w:rPr>
                    <w:t>效率</w:t>
                  </w:r>
                </w:p>
              </w:tc>
              <w:tc>
                <w:tcPr>
                  <w:tcW w:w="871" w:type="pct"/>
                  <w:shd w:val="clear" w:color="auto" w:fill="auto"/>
                  <w:vAlign w:val="center"/>
                </w:tcPr>
                <w:p>
                  <w:pPr>
                    <w:adjustRightInd w:val="0"/>
                    <w:snapToGrid w:val="0"/>
                    <w:jc w:val="center"/>
                    <w:rPr>
                      <w:color w:val="000000"/>
                      <w:spacing w:val="20"/>
                      <w:szCs w:val="21"/>
                    </w:rPr>
                  </w:pPr>
                  <w:r>
                    <w:rPr>
                      <w:color w:val="000000"/>
                      <w:spacing w:val="20"/>
                      <w:szCs w:val="21"/>
                    </w:rPr>
                    <w:t>排放浓度</w:t>
                  </w:r>
                </w:p>
                <w:p>
                  <w:pPr>
                    <w:adjustRightInd w:val="0"/>
                    <w:snapToGrid w:val="0"/>
                    <w:jc w:val="center"/>
                    <w:rPr>
                      <w:color w:val="000000"/>
                      <w:spacing w:val="20"/>
                      <w:szCs w:val="21"/>
                    </w:rPr>
                  </w:pPr>
                  <w:r>
                    <w:rPr>
                      <w:color w:val="000000"/>
                      <w:spacing w:val="20"/>
                      <w:szCs w:val="21"/>
                    </w:rPr>
                    <w:t>（mg/m</w:t>
                  </w:r>
                  <w:r>
                    <w:rPr>
                      <w:color w:val="000000"/>
                      <w:spacing w:val="20"/>
                      <w:szCs w:val="21"/>
                      <w:vertAlign w:val="superscript"/>
                    </w:rPr>
                    <w:t>3</w:t>
                  </w:r>
                  <w:r>
                    <w:rPr>
                      <w:color w:val="000000"/>
                      <w:spacing w:val="20"/>
                      <w:szCs w:val="21"/>
                    </w:rPr>
                    <w:t>）</w:t>
                  </w:r>
                </w:p>
              </w:tc>
              <w:tc>
                <w:tcPr>
                  <w:tcW w:w="705" w:type="pct"/>
                  <w:shd w:val="clear" w:color="auto" w:fill="auto"/>
                  <w:vAlign w:val="center"/>
                </w:tcPr>
                <w:p>
                  <w:pPr>
                    <w:adjustRightInd w:val="0"/>
                    <w:snapToGrid w:val="0"/>
                    <w:jc w:val="center"/>
                    <w:rPr>
                      <w:color w:val="000000"/>
                      <w:spacing w:val="20"/>
                      <w:szCs w:val="21"/>
                    </w:rPr>
                  </w:pPr>
                  <w:r>
                    <w:rPr>
                      <w:color w:val="000000"/>
                      <w:spacing w:val="20"/>
                      <w:szCs w:val="21"/>
                    </w:rPr>
                    <w:t>排放量</w:t>
                  </w:r>
                </w:p>
                <w:p>
                  <w:pPr>
                    <w:adjustRightInd w:val="0"/>
                    <w:snapToGrid w:val="0"/>
                    <w:jc w:val="center"/>
                    <w:rPr>
                      <w:color w:val="000000"/>
                      <w:spacing w:val="20"/>
                      <w:szCs w:val="21"/>
                    </w:rPr>
                  </w:pPr>
                  <w:r>
                    <w:rPr>
                      <w:color w:val="000000"/>
                      <w:spacing w:val="20"/>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jc w:val="center"/>
              </w:trPr>
              <w:tc>
                <w:tcPr>
                  <w:tcW w:w="586" w:type="pct"/>
                  <w:shd w:val="clear" w:color="auto" w:fill="auto"/>
                  <w:vAlign w:val="center"/>
                </w:tcPr>
                <w:p>
                  <w:pPr>
                    <w:adjustRightInd w:val="0"/>
                    <w:snapToGrid w:val="0"/>
                    <w:jc w:val="center"/>
                    <w:rPr>
                      <w:color w:val="000000"/>
                      <w:spacing w:val="20"/>
                      <w:szCs w:val="21"/>
                    </w:rPr>
                  </w:pPr>
                  <w:r>
                    <w:rPr>
                      <w:color w:val="000000"/>
                      <w:spacing w:val="20"/>
                      <w:szCs w:val="21"/>
                    </w:rPr>
                    <w:t>食堂</w:t>
                  </w:r>
                </w:p>
              </w:tc>
              <w:tc>
                <w:tcPr>
                  <w:tcW w:w="649" w:type="pct"/>
                  <w:shd w:val="clear" w:color="auto" w:fill="auto"/>
                  <w:vAlign w:val="center"/>
                </w:tcPr>
                <w:p>
                  <w:pPr>
                    <w:adjustRightInd w:val="0"/>
                    <w:snapToGrid w:val="0"/>
                    <w:jc w:val="center"/>
                    <w:rPr>
                      <w:color w:val="000000"/>
                      <w:spacing w:val="20"/>
                      <w:szCs w:val="21"/>
                    </w:rPr>
                  </w:pPr>
                  <w:r>
                    <w:rPr>
                      <w:color w:val="000000"/>
                      <w:spacing w:val="20"/>
                      <w:szCs w:val="21"/>
                    </w:rPr>
                    <w:t>4000</w:t>
                  </w:r>
                </w:p>
              </w:tc>
              <w:tc>
                <w:tcPr>
                  <w:tcW w:w="871" w:type="pct"/>
                  <w:shd w:val="clear" w:color="auto" w:fill="auto"/>
                  <w:vAlign w:val="center"/>
                </w:tcPr>
                <w:p>
                  <w:pPr>
                    <w:adjustRightInd w:val="0"/>
                    <w:snapToGrid w:val="0"/>
                    <w:jc w:val="center"/>
                    <w:rPr>
                      <w:color w:val="000000"/>
                      <w:spacing w:val="20"/>
                      <w:szCs w:val="21"/>
                    </w:rPr>
                  </w:pPr>
                  <w:r>
                    <w:rPr>
                      <w:color w:val="000000"/>
                      <w:spacing w:val="20"/>
                      <w:szCs w:val="21"/>
                    </w:rPr>
                    <w:t>2.4</w:t>
                  </w:r>
                </w:p>
              </w:tc>
              <w:tc>
                <w:tcPr>
                  <w:tcW w:w="640" w:type="pct"/>
                  <w:shd w:val="clear" w:color="auto" w:fill="auto"/>
                  <w:vAlign w:val="center"/>
                </w:tcPr>
                <w:p>
                  <w:pPr>
                    <w:adjustRightInd w:val="0"/>
                    <w:snapToGrid w:val="0"/>
                    <w:jc w:val="center"/>
                    <w:rPr>
                      <w:color w:val="000000"/>
                      <w:spacing w:val="20"/>
                      <w:szCs w:val="21"/>
                    </w:rPr>
                  </w:pPr>
                  <w:r>
                    <w:rPr>
                      <w:color w:val="000000"/>
                      <w:spacing w:val="20"/>
                      <w:szCs w:val="21"/>
                    </w:rPr>
                    <w:t>0.0288</w:t>
                  </w:r>
                </w:p>
              </w:tc>
              <w:tc>
                <w:tcPr>
                  <w:tcW w:w="679" w:type="pct"/>
                  <w:shd w:val="clear" w:color="auto" w:fill="auto"/>
                  <w:vAlign w:val="center"/>
                </w:tcPr>
                <w:p>
                  <w:pPr>
                    <w:adjustRightInd w:val="0"/>
                    <w:snapToGrid w:val="0"/>
                    <w:jc w:val="center"/>
                    <w:rPr>
                      <w:color w:val="000000"/>
                      <w:spacing w:val="20"/>
                      <w:szCs w:val="21"/>
                    </w:rPr>
                  </w:pPr>
                  <w:r>
                    <w:rPr>
                      <w:color w:val="000000"/>
                      <w:spacing w:val="20"/>
                      <w:szCs w:val="21"/>
                    </w:rPr>
                    <w:t>60%</w:t>
                  </w:r>
                </w:p>
              </w:tc>
              <w:tc>
                <w:tcPr>
                  <w:tcW w:w="871" w:type="pct"/>
                  <w:shd w:val="clear" w:color="auto" w:fill="auto"/>
                  <w:vAlign w:val="center"/>
                </w:tcPr>
                <w:p>
                  <w:pPr>
                    <w:adjustRightInd w:val="0"/>
                    <w:snapToGrid w:val="0"/>
                    <w:jc w:val="center"/>
                    <w:rPr>
                      <w:color w:val="000000"/>
                      <w:spacing w:val="20"/>
                      <w:szCs w:val="21"/>
                    </w:rPr>
                  </w:pPr>
                  <w:r>
                    <w:rPr>
                      <w:color w:val="000000"/>
                      <w:spacing w:val="20"/>
                      <w:szCs w:val="21"/>
                    </w:rPr>
                    <w:t>0.96</w:t>
                  </w:r>
                </w:p>
              </w:tc>
              <w:tc>
                <w:tcPr>
                  <w:tcW w:w="705" w:type="pct"/>
                  <w:shd w:val="clear" w:color="auto" w:fill="auto"/>
                  <w:vAlign w:val="center"/>
                </w:tcPr>
                <w:p>
                  <w:pPr>
                    <w:adjustRightInd w:val="0"/>
                    <w:snapToGrid w:val="0"/>
                    <w:jc w:val="center"/>
                    <w:rPr>
                      <w:color w:val="000000"/>
                      <w:spacing w:val="20"/>
                      <w:szCs w:val="21"/>
                    </w:rPr>
                  </w:pPr>
                  <w:r>
                    <w:rPr>
                      <w:color w:val="000000"/>
                      <w:spacing w:val="20"/>
                      <w:szCs w:val="21"/>
                    </w:rPr>
                    <w:t>0.0054</w:t>
                  </w:r>
                </w:p>
              </w:tc>
            </w:tr>
          </w:tbl>
          <w:p>
            <w:pPr>
              <w:autoSpaceDE w:val="0"/>
              <w:autoSpaceDN w:val="0"/>
              <w:adjustRightInd w:val="0"/>
              <w:snapToGrid w:val="0"/>
              <w:spacing w:line="360" w:lineRule="auto"/>
              <w:ind w:firstLine="480" w:firstLineChars="200"/>
              <w:rPr>
                <w:color w:val="000000"/>
                <w:kern w:val="0"/>
                <w:sz w:val="24"/>
                <w:lang w:bidi="ar"/>
              </w:rPr>
            </w:pPr>
            <w:r>
              <w:rPr>
                <w:color w:val="000000"/>
                <w:kern w:val="0"/>
                <w:sz w:val="24"/>
                <w:lang w:bidi="ar"/>
              </w:rPr>
              <w:t>由表4-4可知，食堂油烟废气排放浓度为0.96mg/m</w:t>
            </w:r>
            <w:r>
              <w:rPr>
                <w:color w:val="000000"/>
                <w:kern w:val="0"/>
                <w:sz w:val="24"/>
                <w:vertAlign w:val="superscript"/>
                <w:lang w:bidi="ar"/>
              </w:rPr>
              <w:t>3</w:t>
            </w:r>
            <w:r>
              <w:rPr>
                <w:color w:val="000000"/>
                <w:kern w:val="0"/>
                <w:sz w:val="24"/>
                <w:lang w:bidi="ar"/>
              </w:rPr>
              <w:t>，可达《饮食业油烟排放标准（试行）》（GB18483-2001）小型规模标准要求。</w:t>
            </w:r>
          </w:p>
          <w:p>
            <w:pPr>
              <w:autoSpaceDE w:val="0"/>
              <w:autoSpaceDN w:val="0"/>
              <w:adjustRightInd w:val="0"/>
              <w:snapToGrid w:val="0"/>
              <w:spacing w:line="360" w:lineRule="auto"/>
              <w:ind w:firstLine="480" w:firstLineChars="200"/>
              <w:rPr>
                <w:color w:val="000000"/>
                <w:kern w:val="0"/>
                <w:sz w:val="24"/>
                <w:lang w:bidi="ar"/>
              </w:rPr>
            </w:pPr>
            <w:r>
              <w:rPr>
                <w:rFonts w:hint="eastAsia" w:ascii="宋体" w:hAnsi="宋体" w:cs="宋体"/>
                <w:color w:val="000000"/>
                <w:kern w:val="0"/>
                <w:sz w:val="24"/>
                <w:lang w:bidi="ar"/>
              </w:rPr>
              <w:t>④</w:t>
            </w:r>
            <w:r>
              <w:rPr>
                <w:color w:val="000000"/>
                <w:kern w:val="0"/>
                <w:sz w:val="24"/>
                <w:lang w:bidi="ar"/>
              </w:rPr>
              <w:t>汽车尾气</w:t>
            </w:r>
          </w:p>
          <w:p>
            <w:pPr>
              <w:autoSpaceDE w:val="0"/>
              <w:autoSpaceDN w:val="0"/>
              <w:adjustRightInd w:val="0"/>
              <w:snapToGrid w:val="0"/>
              <w:spacing w:line="360" w:lineRule="auto"/>
              <w:ind w:firstLine="480" w:firstLineChars="200"/>
              <w:rPr>
                <w:color w:val="000000"/>
                <w:kern w:val="0"/>
                <w:sz w:val="24"/>
                <w:lang w:bidi="ar"/>
              </w:rPr>
            </w:pPr>
            <w:r>
              <w:rPr>
                <w:color w:val="000000"/>
                <w:kern w:val="0"/>
                <w:sz w:val="24"/>
                <w:lang w:bidi="ar"/>
              </w:rPr>
              <w:t>项目运营期主要机械设备为混凝土罐车、原料运输车辆和装载机，车辆驶入、驶出时会排放少量尾气，其中含TCH、NOx、CO等污染物，呈无组织排放，通过大气扩散和被植物吸收。</w:t>
            </w:r>
          </w:p>
          <w:p>
            <w:pPr>
              <w:autoSpaceDE w:val="0"/>
              <w:autoSpaceDN w:val="0"/>
              <w:adjustRightInd w:val="0"/>
              <w:snapToGrid w:val="0"/>
              <w:spacing w:line="360" w:lineRule="auto"/>
              <w:ind w:firstLine="480" w:firstLineChars="200"/>
              <w:rPr>
                <w:rFonts w:ascii="宋体" w:hAnsi="宋体"/>
                <w:color w:val="000000"/>
                <w:kern w:val="0"/>
                <w:sz w:val="24"/>
                <w:lang w:bidi="ar"/>
              </w:rPr>
            </w:pPr>
            <w:r>
              <w:rPr>
                <w:rFonts w:hint="eastAsia" w:ascii="宋体" w:hAnsi="宋体"/>
                <w:color w:val="000000"/>
                <w:kern w:val="0"/>
                <w:sz w:val="24"/>
                <w:lang w:bidi="ar"/>
              </w:rPr>
              <w:t>⑤备用柴油发电机尾气</w:t>
            </w:r>
          </w:p>
          <w:p>
            <w:pPr>
              <w:autoSpaceDE w:val="0"/>
              <w:autoSpaceDN w:val="0"/>
              <w:adjustRightInd w:val="0"/>
              <w:snapToGrid w:val="0"/>
              <w:spacing w:line="360" w:lineRule="auto"/>
              <w:ind w:firstLine="480" w:firstLineChars="200"/>
              <w:rPr>
                <w:color w:val="000000"/>
                <w:kern w:val="0"/>
                <w:sz w:val="24"/>
                <w:lang w:bidi="ar"/>
              </w:rPr>
            </w:pPr>
            <w:r>
              <w:rPr>
                <w:rFonts w:hint="eastAsia" w:ascii="宋体" w:hAnsi="宋体"/>
                <w:color w:val="000000"/>
                <w:kern w:val="0"/>
                <w:sz w:val="24"/>
                <w:lang w:bidi="ar"/>
              </w:rPr>
              <w:t>项目运营期间，生产时遇到突发停电等情况，需要启用备用柴油发电机，则会产生尾气，成无组织排放。每年预计会用到两三次，产生尾气的量特别少，对环境基本无影响。</w:t>
            </w:r>
          </w:p>
          <w:p>
            <w:pPr>
              <w:snapToGrid w:val="0"/>
              <w:spacing w:line="360" w:lineRule="auto"/>
              <w:ind w:firstLine="480" w:firstLineChars="200"/>
              <w:rPr>
                <w:color w:val="000000"/>
                <w:kern w:val="24"/>
                <w:sz w:val="24"/>
                <w:szCs w:val="28"/>
              </w:rPr>
            </w:pPr>
            <w:r>
              <w:rPr>
                <w:color w:val="000000"/>
                <w:kern w:val="24"/>
                <w:sz w:val="24"/>
                <w:szCs w:val="28"/>
              </w:rPr>
              <w:t>项目废气产排情况见表4-6。</w:t>
            </w:r>
          </w:p>
          <w:p>
            <w:pPr>
              <w:snapToGrid w:val="0"/>
              <w:spacing w:line="360" w:lineRule="auto"/>
              <w:jc w:val="center"/>
              <w:rPr>
                <w:b/>
                <w:color w:val="000000"/>
                <w:kern w:val="24"/>
                <w:szCs w:val="20"/>
              </w:rPr>
            </w:pPr>
            <w:bookmarkStart w:id="33" w:name="_Hlk131772610"/>
            <w:r>
              <w:rPr>
                <w:b/>
                <w:color w:val="000000"/>
                <w:kern w:val="24"/>
                <w:szCs w:val="20"/>
              </w:rPr>
              <w:t>表4-5  项目废气产排情况一览表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1339"/>
              <w:gridCol w:w="946"/>
              <w:gridCol w:w="3967"/>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4" w:type="pct"/>
                  <w:gridSpan w:val="2"/>
                  <w:shd w:val="clear" w:color="auto" w:fill="auto"/>
                  <w:vAlign w:val="center"/>
                </w:tcPr>
                <w:p>
                  <w:pPr>
                    <w:snapToGrid w:val="0"/>
                    <w:jc w:val="center"/>
                    <w:rPr>
                      <w:b/>
                      <w:color w:val="000000"/>
                      <w:kern w:val="24"/>
                      <w:szCs w:val="20"/>
                    </w:rPr>
                  </w:pPr>
                  <w:r>
                    <w:rPr>
                      <w:b/>
                      <w:color w:val="000000"/>
                      <w:kern w:val="24"/>
                      <w:szCs w:val="20"/>
                    </w:rPr>
                    <w:t>废气名称</w:t>
                  </w:r>
                </w:p>
              </w:tc>
              <w:tc>
                <w:tcPr>
                  <w:tcW w:w="559" w:type="pct"/>
                  <w:shd w:val="clear" w:color="auto" w:fill="auto"/>
                  <w:vAlign w:val="center"/>
                </w:tcPr>
                <w:p>
                  <w:pPr>
                    <w:snapToGrid w:val="0"/>
                    <w:jc w:val="center"/>
                    <w:rPr>
                      <w:b/>
                      <w:color w:val="000000"/>
                      <w:kern w:val="24"/>
                      <w:szCs w:val="20"/>
                    </w:rPr>
                  </w:pPr>
                  <w:r>
                    <w:rPr>
                      <w:b/>
                      <w:color w:val="000000"/>
                      <w:kern w:val="24"/>
                      <w:szCs w:val="20"/>
                    </w:rPr>
                    <w:t>产生量（t/a）</w:t>
                  </w:r>
                </w:p>
              </w:tc>
              <w:tc>
                <w:tcPr>
                  <w:tcW w:w="2541" w:type="pct"/>
                  <w:shd w:val="clear" w:color="auto" w:fill="auto"/>
                  <w:vAlign w:val="center"/>
                </w:tcPr>
                <w:p>
                  <w:pPr>
                    <w:snapToGrid w:val="0"/>
                    <w:jc w:val="center"/>
                    <w:rPr>
                      <w:b/>
                      <w:color w:val="000000"/>
                      <w:kern w:val="24"/>
                      <w:szCs w:val="20"/>
                    </w:rPr>
                  </w:pPr>
                  <w:r>
                    <w:rPr>
                      <w:b/>
                      <w:color w:val="000000"/>
                      <w:kern w:val="24"/>
                      <w:szCs w:val="20"/>
                    </w:rPr>
                    <w:t>处理措施</w:t>
                  </w:r>
                </w:p>
              </w:tc>
              <w:tc>
                <w:tcPr>
                  <w:tcW w:w="596" w:type="pct"/>
                  <w:shd w:val="clear" w:color="auto" w:fill="auto"/>
                  <w:vAlign w:val="center"/>
                </w:tcPr>
                <w:p>
                  <w:pPr>
                    <w:snapToGrid w:val="0"/>
                    <w:jc w:val="center"/>
                    <w:rPr>
                      <w:b/>
                      <w:color w:val="000000"/>
                      <w:kern w:val="24"/>
                      <w:szCs w:val="20"/>
                    </w:rPr>
                  </w:pPr>
                  <w:r>
                    <w:rPr>
                      <w:b/>
                      <w:color w:val="000000"/>
                      <w:kern w:val="24"/>
                      <w:szCs w:val="20"/>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9" w:type="pct"/>
                  <w:vMerge w:val="restart"/>
                  <w:shd w:val="clear" w:color="auto" w:fill="auto"/>
                  <w:vAlign w:val="center"/>
                </w:tcPr>
                <w:p>
                  <w:pPr>
                    <w:snapToGrid w:val="0"/>
                    <w:jc w:val="center"/>
                    <w:rPr>
                      <w:b/>
                      <w:color w:val="000000"/>
                      <w:kern w:val="44"/>
                    </w:rPr>
                  </w:pPr>
                  <w:r>
                    <w:rPr>
                      <w:b/>
                      <w:color w:val="000000"/>
                      <w:kern w:val="44"/>
                    </w:rPr>
                    <w:t>无组织排放</w:t>
                  </w:r>
                </w:p>
              </w:tc>
              <w:tc>
                <w:tcPr>
                  <w:tcW w:w="865" w:type="pct"/>
                  <w:shd w:val="clear" w:color="auto" w:fill="auto"/>
                  <w:vAlign w:val="center"/>
                </w:tcPr>
                <w:p>
                  <w:pPr>
                    <w:snapToGrid w:val="0"/>
                    <w:jc w:val="center"/>
                    <w:rPr>
                      <w:color w:val="000000"/>
                      <w:kern w:val="24"/>
                    </w:rPr>
                  </w:pPr>
                  <w:r>
                    <w:rPr>
                      <w:color w:val="000000"/>
                      <w:kern w:val="24"/>
                    </w:rPr>
                    <w:t>砂石料输送粉尘</w:t>
                  </w:r>
                </w:p>
              </w:tc>
              <w:tc>
                <w:tcPr>
                  <w:tcW w:w="559" w:type="pct"/>
                  <w:shd w:val="clear" w:color="auto" w:fill="auto"/>
                  <w:vAlign w:val="center"/>
                </w:tcPr>
                <w:p>
                  <w:pPr>
                    <w:snapToGrid w:val="0"/>
                    <w:jc w:val="center"/>
                    <w:rPr>
                      <w:color w:val="000000"/>
                      <w:kern w:val="24"/>
                    </w:rPr>
                  </w:pPr>
                  <w:r>
                    <w:rPr>
                      <w:color w:val="000000"/>
                      <w:kern w:val="24"/>
                    </w:rPr>
                    <w:t>0.405</w:t>
                  </w:r>
                </w:p>
              </w:tc>
              <w:tc>
                <w:tcPr>
                  <w:tcW w:w="2541" w:type="pct"/>
                  <w:shd w:val="clear" w:color="auto" w:fill="auto"/>
                  <w:vAlign w:val="center"/>
                </w:tcPr>
                <w:p>
                  <w:pPr>
                    <w:snapToGrid w:val="0"/>
                    <w:jc w:val="center"/>
                    <w:rPr>
                      <w:color w:val="000000"/>
                      <w:kern w:val="24"/>
                    </w:rPr>
                  </w:pPr>
                  <w:r>
                    <w:rPr>
                      <w:color w:val="000000"/>
                      <w:kern w:val="24"/>
                    </w:rPr>
                    <w:t>皮带输送机为全封闭式，廊道上部拟加盖侧面密封，下部设置收料盘，配料区、输送机廊道四周设置喷雾桩进行降尘。</w:t>
                  </w:r>
                </w:p>
              </w:tc>
              <w:tc>
                <w:tcPr>
                  <w:tcW w:w="596" w:type="pct"/>
                  <w:shd w:val="clear" w:color="auto" w:fill="auto"/>
                  <w:vAlign w:val="center"/>
                </w:tcPr>
                <w:p>
                  <w:pPr>
                    <w:snapToGrid w:val="0"/>
                    <w:jc w:val="center"/>
                    <w:rPr>
                      <w:bCs/>
                      <w:color w:val="000000"/>
                      <w:kern w:val="24"/>
                      <w:szCs w:val="20"/>
                    </w:rPr>
                  </w:pPr>
                  <w:r>
                    <w:rPr>
                      <w:bCs/>
                      <w:color w:val="000000"/>
                      <w:kern w:val="24"/>
                      <w:szCs w:val="20"/>
                    </w:rPr>
                    <w:t>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9" w:type="pct"/>
                  <w:vMerge w:val="continue"/>
                  <w:shd w:val="clear" w:color="auto" w:fill="auto"/>
                  <w:vAlign w:val="center"/>
                </w:tcPr>
                <w:p>
                  <w:pPr>
                    <w:snapToGrid w:val="0"/>
                    <w:jc w:val="center"/>
                    <w:rPr>
                      <w:b/>
                      <w:color w:val="000000"/>
                      <w:kern w:val="44"/>
                    </w:rPr>
                  </w:pPr>
                </w:p>
              </w:tc>
              <w:tc>
                <w:tcPr>
                  <w:tcW w:w="865" w:type="pct"/>
                  <w:shd w:val="clear" w:color="auto" w:fill="auto"/>
                  <w:vAlign w:val="center"/>
                </w:tcPr>
                <w:p>
                  <w:pPr>
                    <w:snapToGrid w:val="0"/>
                    <w:jc w:val="center"/>
                    <w:rPr>
                      <w:bCs/>
                      <w:color w:val="000000"/>
                      <w:kern w:val="24"/>
                      <w:szCs w:val="20"/>
                    </w:rPr>
                  </w:pPr>
                  <w:r>
                    <w:rPr>
                      <w:bCs/>
                      <w:color w:val="000000"/>
                      <w:kern w:val="24"/>
                      <w:szCs w:val="20"/>
                    </w:rPr>
                    <w:t>装卸、堆存粉尘</w:t>
                  </w:r>
                </w:p>
              </w:tc>
              <w:tc>
                <w:tcPr>
                  <w:tcW w:w="559" w:type="pct"/>
                  <w:shd w:val="clear" w:color="auto" w:fill="auto"/>
                  <w:vAlign w:val="center"/>
                </w:tcPr>
                <w:p>
                  <w:pPr>
                    <w:snapToGrid w:val="0"/>
                    <w:jc w:val="center"/>
                    <w:rPr>
                      <w:bCs/>
                      <w:color w:val="000000"/>
                      <w:kern w:val="24"/>
                      <w:szCs w:val="20"/>
                    </w:rPr>
                  </w:pPr>
                  <w:r>
                    <w:rPr>
                      <w:bCs/>
                      <w:color w:val="000000"/>
                      <w:kern w:val="24"/>
                      <w:szCs w:val="20"/>
                    </w:rPr>
                    <w:t>0.69</w:t>
                  </w:r>
                </w:p>
              </w:tc>
              <w:tc>
                <w:tcPr>
                  <w:tcW w:w="2541" w:type="pct"/>
                  <w:shd w:val="clear" w:color="auto" w:fill="auto"/>
                  <w:vAlign w:val="center"/>
                </w:tcPr>
                <w:p>
                  <w:pPr>
                    <w:snapToGrid w:val="0"/>
                    <w:jc w:val="center"/>
                    <w:rPr>
                      <w:bCs/>
                      <w:color w:val="000000"/>
                      <w:kern w:val="24"/>
                      <w:szCs w:val="20"/>
                    </w:rPr>
                  </w:pPr>
                  <w:r>
                    <w:rPr>
                      <w:color w:val="000000"/>
                      <w:kern w:val="24"/>
                    </w:rPr>
                    <w:t>原料库带顶棚的彩钢瓦进行半封闭遮挡降尘，地面硬化，并配套设置喷淋降尘系统</w:t>
                  </w:r>
                </w:p>
              </w:tc>
              <w:tc>
                <w:tcPr>
                  <w:tcW w:w="596" w:type="pct"/>
                  <w:shd w:val="clear" w:color="auto" w:fill="auto"/>
                  <w:vAlign w:val="center"/>
                </w:tcPr>
                <w:p>
                  <w:pPr>
                    <w:snapToGrid w:val="0"/>
                    <w:jc w:val="center"/>
                    <w:rPr>
                      <w:bCs/>
                      <w:color w:val="000000"/>
                      <w:kern w:val="24"/>
                      <w:szCs w:val="20"/>
                      <w:highlight w:val="yellow"/>
                    </w:rPr>
                  </w:pPr>
                  <w:r>
                    <w:rPr>
                      <w:bCs/>
                      <w:color w:val="000000"/>
                      <w:kern w:val="24"/>
                      <w:szCs w:val="20"/>
                    </w:rPr>
                    <w:t>0.1035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39" w:type="pct"/>
                  <w:vMerge w:val="continue"/>
                  <w:shd w:val="clear" w:color="auto" w:fill="auto"/>
                  <w:vAlign w:val="center"/>
                </w:tcPr>
                <w:p>
                  <w:pPr>
                    <w:snapToGrid w:val="0"/>
                    <w:jc w:val="center"/>
                    <w:rPr>
                      <w:b/>
                      <w:color w:val="000000"/>
                      <w:kern w:val="44"/>
                    </w:rPr>
                  </w:pPr>
                </w:p>
              </w:tc>
              <w:tc>
                <w:tcPr>
                  <w:tcW w:w="865" w:type="pct"/>
                  <w:shd w:val="clear" w:color="auto" w:fill="auto"/>
                  <w:vAlign w:val="center"/>
                </w:tcPr>
                <w:p>
                  <w:pPr>
                    <w:snapToGrid w:val="0"/>
                    <w:jc w:val="center"/>
                    <w:rPr>
                      <w:bCs/>
                      <w:color w:val="000000"/>
                      <w:kern w:val="24"/>
                      <w:szCs w:val="20"/>
                    </w:rPr>
                  </w:pPr>
                  <w:r>
                    <w:rPr>
                      <w:bCs/>
                      <w:color w:val="000000"/>
                      <w:kern w:val="24"/>
                      <w:szCs w:val="20"/>
                    </w:rPr>
                    <w:t>内运输粉尘</w:t>
                  </w:r>
                </w:p>
              </w:tc>
              <w:tc>
                <w:tcPr>
                  <w:tcW w:w="559" w:type="pct"/>
                  <w:shd w:val="clear" w:color="auto" w:fill="auto"/>
                  <w:vAlign w:val="center"/>
                </w:tcPr>
                <w:p>
                  <w:pPr>
                    <w:snapToGrid w:val="0"/>
                    <w:jc w:val="center"/>
                    <w:rPr>
                      <w:bCs/>
                      <w:color w:val="000000"/>
                      <w:kern w:val="24"/>
                      <w:szCs w:val="20"/>
                    </w:rPr>
                  </w:pPr>
                  <w:r>
                    <w:rPr>
                      <w:bCs/>
                      <w:color w:val="000000"/>
                      <w:kern w:val="24"/>
                      <w:szCs w:val="20"/>
                    </w:rPr>
                    <w:t>0.081</w:t>
                  </w:r>
                </w:p>
              </w:tc>
              <w:tc>
                <w:tcPr>
                  <w:tcW w:w="2541" w:type="pct"/>
                  <w:shd w:val="clear" w:color="auto" w:fill="auto"/>
                  <w:vAlign w:val="center"/>
                </w:tcPr>
                <w:p>
                  <w:pPr>
                    <w:snapToGrid w:val="0"/>
                    <w:jc w:val="center"/>
                    <w:rPr>
                      <w:color w:val="000000"/>
                      <w:kern w:val="24"/>
                    </w:rPr>
                  </w:pPr>
                  <w:r>
                    <w:rPr>
                      <w:color w:val="000000"/>
                      <w:kern w:val="24"/>
                    </w:rPr>
                    <w:t>全封闭遮挡降尘，并采用喷淋设施进行降尘</w:t>
                  </w:r>
                </w:p>
              </w:tc>
              <w:tc>
                <w:tcPr>
                  <w:tcW w:w="596" w:type="pct"/>
                  <w:shd w:val="clear" w:color="auto" w:fill="auto"/>
                  <w:vAlign w:val="center"/>
                </w:tcPr>
                <w:p>
                  <w:pPr>
                    <w:snapToGrid w:val="0"/>
                    <w:jc w:val="center"/>
                    <w:rPr>
                      <w:color w:val="000000"/>
                      <w:kern w:val="24"/>
                      <w:highlight w:val="yellow"/>
                    </w:rPr>
                  </w:pPr>
                  <w:r>
                    <w:rPr>
                      <w:color w:val="000000"/>
                      <w:kern w:val="24"/>
                    </w:rPr>
                    <w:t>0.0243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39" w:type="pct"/>
                  <w:vMerge w:val="continue"/>
                  <w:shd w:val="clear" w:color="auto" w:fill="auto"/>
                  <w:vAlign w:val="center"/>
                </w:tcPr>
                <w:p>
                  <w:pPr>
                    <w:snapToGrid w:val="0"/>
                    <w:jc w:val="center"/>
                    <w:rPr>
                      <w:b/>
                      <w:color w:val="000000"/>
                      <w:kern w:val="44"/>
                    </w:rPr>
                  </w:pPr>
                </w:p>
              </w:tc>
              <w:tc>
                <w:tcPr>
                  <w:tcW w:w="865" w:type="pct"/>
                  <w:shd w:val="clear" w:color="auto" w:fill="auto"/>
                  <w:vAlign w:val="center"/>
                </w:tcPr>
                <w:p>
                  <w:pPr>
                    <w:snapToGrid w:val="0"/>
                    <w:jc w:val="center"/>
                    <w:rPr>
                      <w:bCs/>
                      <w:color w:val="000000"/>
                      <w:kern w:val="24"/>
                      <w:szCs w:val="20"/>
                    </w:rPr>
                  </w:pPr>
                  <w:r>
                    <w:rPr>
                      <w:bCs/>
                      <w:color w:val="000000"/>
                      <w:kern w:val="24"/>
                      <w:szCs w:val="20"/>
                    </w:rPr>
                    <w:t>厂区</w:t>
                  </w:r>
                </w:p>
                <w:p>
                  <w:pPr>
                    <w:snapToGrid w:val="0"/>
                    <w:jc w:val="center"/>
                    <w:rPr>
                      <w:bCs/>
                      <w:color w:val="000000"/>
                      <w:kern w:val="24"/>
                      <w:szCs w:val="20"/>
                    </w:rPr>
                  </w:pPr>
                  <w:r>
                    <w:rPr>
                      <w:bCs/>
                      <w:color w:val="000000"/>
                      <w:kern w:val="24"/>
                      <w:szCs w:val="20"/>
                    </w:rPr>
                    <w:t>运输粉尘</w:t>
                  </w:r>
                </w:p>
              </w:tc>
              <w:tc>
                <w:tcPr>
                  <w:tcW w:w="559" w:type="pct"/>
                  <w:shd w:val="clear" w:color="auto" w:fill="auto"/>
                  <w:vAlign w:val="center"/>
                </w:tcPr>
                <w:p>
                  <w:pPr>
                    <w:snapToGrid w:val="0"/>
                    <w:jc w:val="center"/>
                    <w:rPr>
                      <w:bCs/>
                      <w:color w:val="000000"/>
                      <w:kern w:val="24"/>
                      <w:szCs w:val="20"/>
                    </w:rPr>
                  </w:pPr>
                  <w:r>
                    <w:rPr>
                      <w:bCs/>
                      <w:color w:val="000000"/>
                      <w:kern w:val="24"/>
                      <w:szCs w:val="20"/>
                    </w:rPr>
                    <w:t>0.15</w:t>
                  </w:r>
                </w:p>
              </w:tc>
              <w:tc>
                <w:tcPr>
                  <w:tcW w:w="2541" w:type="pct"/>
                  <w:shd w:val="clear" w:color="auto" w:fill="auto"/>
                  <w:vAlign w:val="center"/>
                </w:tcPr>
                <w:p>
                  <w:pPr>
                    <w:snapToGrid w:val="0"/>
                    <w:jc w:val="center"/>
                    <w:rPr>
                      <w:color w:val="000000"/>
                      <w:kern w:val="24"/>
                    </w:rPr>
                  </w:pPr>
                  <w:r>
                    <w:rPr>
                      <w:color w:val="000000"/>
                      <w:kern w:val="24"/>
                    </w:rPr>
                    <w:t>设置喷淋设施和喷雾桩进行降尘</w:t>
                  </w:r>
                </w:p>
              </w:tc>
              <w:tc>
                <w:tcPr>
                  <w:tcW w:w="596" w:type="pct"/>
                  <w:shd w:val="clear" w:color="auto" w:fill="auto"/>
                  <w:vAlign w:val="center"/>
                </w:tcPr>
                <w:p>
                  <w:pPr>
                    <w:snapToGrid w:val="0"/>
                    <w:jc w:val="center"/>
                    <w:rPr>
                      <w:color w:val="000000"/>
                      <w:kern w:val="24"/>
                      <w:highlight w:val="yellow"/>
                    </w:rPr>
                  </w:pPr>
                  <w:r>
                    <w:rPr>
                      <w:color w:val="000000"/>
                      <w:kern w:val="24"/>
                    </w:rPr>
                    <w:t>0.045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39" w:type="pct"/>
                  <w:vMerge w:val="restart"/>
                  <w:shd w:val="clear" w:color="auto" w:fill="auto"/>
                  <w:vAlign w:val="center"/>
                </w:tcPr>
                <w:p>
                  <w:pPr>
                    <w:snapToGrid w:val="0"/>
                    <w:jc w:val="center"/>
                    <w:rPr>
                      <w:b/>
                      <w:color w:val="000000"/>
                      <w:kern w:val="44"/>
                    </w:rPr>
                  </w:pPr>
                  <w:r>
                    <w:rPr>
                      <w:b/>
                      <w:color w:val="000000"/>
                      <w:kern w:val="24"/>
                      <w:szCs w:val="20"/>
                    </w:rPr>
                    <w:t>有组织排放</w:t>
                  </w:r>
                </w:p>
              </w:tc>
              <w:tc>
                <w:tcPr>
                  <w:tcW w:w="865" w:type="pct"/>
                  <w:shd w:val="clear" w:color="auto" w:fill="auto"/>
                  <w:vAlign w:val="center"/>
                </w:tcPr>
                <w:p>
                  <w:pPr>
                    <w:snapToGrid w:val="0"/>
                    <w:jc w:val="center"/>
                    <w:rPr>
                      <w:bCs/>
                      <w:color w:val="000000"/>
                      <w:kern w:val="24"/>
                      <w:szCs w:val="20"/>
                    </w:rPr>
                  </w:pPr>
                  <w:r>
                    <w:rPr>
                      <w:color w:val="000000"/>
                    </w:rPr>
                    <w:t>混凝土生产线</w:t>
                  </w:r>
                  <w:r>
                    <w:rPr>
                      <w:bCs/>
                      <w:color w:val="000000"/>
                      <w:kern w:val="24"/>
                      <w:szCs w:val="20"/>
                    </w:rPr>
                    <w:t>储罐粉尘</w:t>
                  </w:r>
                </w:p>
              </w:tc>
              <w:tc>
                <w:tcPr>
                  <w:tcW w:w="559" w:type="pct"/>
                  <w:shd w:val="clear" w:color="auto" w:fill="auto"/>
                  <w:vAlign w:val="center"/>
                </w:tcPr>
                <w:p>
                  <w:pPr>
                    <w:snapToGrid w:val="0"/>
                    <w:jc w:val="center"/>
                    <w:rPr>
                      <w:bCs/>
                      <w:color w:val="000000"/>
                      <w:kern w:val="24"/>
                      <w:szCs w:val="20"/>
                    </w:rPr>
                  </w:pPr>
                  <w:r>
                    <w:rPr>
                      <w:bCs/>
                      <w:color w:val="000000"/>
                      <w:kern w:val="24"/>
                      <w:szCs w:val="20"/>
                    </w:rPr>
                    <w:t>25.62</w:t>
                  </w:r>
                </w:p>
              </w:tc>
              <w:tc>
                <w:tcPr>
                  <w:tcW w:w="2541" w:type="pct"/>
                  <w:shd w:val="clear" w:color="auto" w:fill="auto"/>
                  <w:vAlign w:val="center"/>
                </w:tcPr>
                <w:p>
                  <w:pPr>
                    <w:snapToGrid w:val="0"/>
                    <w:jc w:val="center"/>
                    <w:rPr>
                      <w:bCs/>
                      <w:color w:val="000000"/>
                      <w:kern w:val="24"/>
                      <w:szCs w:val="20"/>
                    </w:rPr>
                  </w:pPr>
                  <w:r>
                    <w:rPr>
                      <w:color w:val="000000"/>
                      <w:kern w:val="24"/>
                    </w:rPr>
                    <w:t>各储罐顶部自带有1台脉冲布袋除尘器（12台），每个储罐排气筒有效高度达15m</w:t>
                  </w:r>
                </w:p>
              </w:tc>
              <w:tc>
                <w:tcPr>
                  <w:tcW w:w="596" w:type="pct"/>
                  <w:shd w:val="clear" w:color="auto" w:fill="auto"/>
                  <w:vAlign w:val="center"/>
                </w:tcPr>
                <w:p>
                  <w:pPr>
                    <w:snapToGrid w:val="0"/>
                    <w:jc w:val="center"/>
                    <w:rPr>
                      <w:bCs/>
                      <w:color w:val="000000"/>
                      <w:kern w:val="24"/>
                      <w:szCs w:val="20"/>
                    </w:rPr>
                  </w:pPr>
                  <w:r>
                    <w:rPr>
                      <w:bCs/>
                      <w:color w:val="000000"/>
                      <w:kern w:val="24"/>
                      <w:szCs w:val="20"/>
                    </w:rPr>
                    <w:t>0.2562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39" w:type="pct"/>
                  <w:vMerge w:val="continue"/>
                  <w:shd w:val="clear" w:color="auto" w:fill="auto"/>
                  <w:vAlign w:val="center"/>
                </w:tcPr>
                <w:p>
                  <w:pPr>
                    <w:snapToGrid w:val="0"/>
                    <w:jc w:val="center"/>
                    <w:rPr>
                      <w:b/>
                      <w:color w:val="000000"/>
                      <w:kern w:val="24"/>
                      <w:szCs w:val="20"/>
                    </w:rPr>
                  </w:pPr>
                </w:p>
              </w:tc>
              <w:tc>
                <w:tcPr>
                  <w:tcW w:w="865" w:type="pct"/>
                  <w:shd w:val="clear" w:color="auto" w:fill="auto"/>
                  <w:vAlign w:val="center"/>
                </w:tcPr>
                <w:p>
                  <w:pPr>
                    <w:snapToGrid w:val="0"/>
                    <w:jc w:val="center"/>
                    <w:rPr>
                      <w:bCs/>
                      <w:color w:val="000000"/>
                      <w:kern w:val="24"/>
                      <w:szCs w:val="20"/>
                    </w:rPr>
                  </w:pPr>
                  <w:r>
                    <w:rPr>
                      <w:bCs/>
                      <w:color w:val="000000"/>
                      <w:kern w:val="24"/>
                      <w:szCs w:val="20"/>
                    </w:rPr>
                    <w:t>食堂油烟</w:t>
                  </w:r>
                </w:p>
              </w:tc>
              <w:tc>
                <w:tcPr>
                  <w:tcW w:w="559" w:type="pct"/>
                  <w:shd w:val="clear" w:color="auto" w:fill="auto"/>
                  <w:vAlign w:val="center"/>
                </w:tcPr>
                <w:p>
                  <w:pPr>
                    <w:snapToGrid w:val="0"/>
                    <w:jc w:val="center"/>
                    <w:rPr>
                      <w:bCs/>
                      <w:color w:val="000000"/>
                      <w:kern w:val="24"/>
                      <w:szCs w:val="20"/>
                    </w:rPr>
                  </w:pPr>
                  <w:r>
                    <w:rPr>
                      <w:color w:val="000000"/>
                      <w:szCs w:val="21"/>
                    </w:rPr>
                    <w:t>28.8kg/a</w:t>
                  </w:r>
                </w:p>
              </w:tc>
              <w:tc>
                <w:tcPr>
                  <w:tcW w:w="2541" w:type="pct"/>
                  <w:shd w:val="clear" w:color="auto" w:fill="auto"/>
                  <w:vAlign w:val="center"/>
                </w:tcPr>
                <w:p>
                  <w:pPr>
                    <w:snapToGrid w:val="0"/>
                    <w:jc w:val="center"/>
                    <w:rPr>
                      <w:bCs/>
                      <w:color w:val="000000"/>
                      <w:kern w:val="24"/>
                      <w:szCs w:val="20"/>
                    </w:rPr>
                  </w:pPr>
                  <w:r>
                    <w:rPr>
                      <w:color w:val="000000"/>
                      <w:kern w:val="0"/>
                    </w:rPr>
                    <w:t>经净化效率≥60%油烟机处理后，通过管道输送到高于宿舍楼顶1.5m的排气筒排放</w:t>
                  </w:r>
                </w:p>
              </w:tc>
              <w:tc>
                <w:tcPr>
                  <w:tcW w:w="596" w:type="pct"/>
                  <w:shd w:val="clear" w:color="auto" w:fill="auto"/>
                  <w:vAlign w:val="center"/>
                </w:tcPr>
                <w:p>
                  <w:pPr>
                    <w:snapToGrid w:val="0"/>
                    <w:jc w:val="center"/>
                    <w:rPr>
                      <w:bCs/>
                      <w:color w:val="000000"/>
                      <w:kern w:val="24"/>
                      <w:szCs w:val="20"/>
                    </w:rPr>
                  </w:pPr>
                  <w:r>
                    <w:rPr>
                      <w:color w:val="000000"/>
                      <w:szCs w:val="21"/>
                    </w:rPr>
                    <w:t>5.4kg/a</w:t>
                  </w:r>
                </w:p>
              </w:tc>
            </w:tr>
            <w:bookmarkEnd w:id="33"/>
          </w:tbl>
          <w:p>
            <w:pPr>
              <w:pStyle w:val="45"/>
              <w:snapToGrid w:val="0"/>
              <w:ind w:firstLine="0" w:firstLineChars="0"/>
              <w:rPr>
                <w:rFonts w:ascii="Times New Roman" w:hAnsi="Times New Roman" w:cs="Times New Roman"/>
                <w:bCs/>
                <w:snapToGrid w:val="0"/>
                <w:color w:val="000000"/>
                <w:szCs w:val="28"/>
              </w:rPr>
            </w:pPr>
            <w:r>
              <w:rPr>
                <w:rFonts w:ascii="Times New Roman" w:hAnsi="Times New Roman" w:cs="Times New Roman"/>
                <w:bCs/>
                <w:snapToGrid w:val="0"/>
                <w:color w:val="000000"/>
                <w:szCs w:val="28"/>
              </w:rPr>
              <w:t>（2）大气环境影响分析</w:t>
            </w:r>
          </w:p>
          <w:p>
            <w:pPr>
              <w:snapToGrid w:val="0"/>
              <w:spacing w:line="360" w:lineRule="auto"/>
              <w:ind w:firstLine="480" w:firstLineChars="200"/>
              <w:rPr>
                <w:color w:val="000000"/>
                <w:kern w:val="0"/>
                <w:sz w:val="24"/>
                <w:lang w:bidi="ar"/>
              </w:rPr>
            </w:pPr>
            <w:r>
              <w:rPr>
                <w:rFonts w:hint="eastAsia" w:ascii="宋体" w:hAnsi="宋体" w:cs="宋体"/>
                <w:color w:val="000000"/>
                <w:kern w:val="0"/>
                <w:sz w:val="24"/>
                <w:lang w:bidi="ar"/>
              </w:rPr>
              <w:t>①</w:t>
            </w:r>
            <w:r>
              <w:rPr>
                <w:color w:val="000000"/>
                <w:kern w:val="0"/>
                <w:sz w:val="24"/>
                <w:lang w:bidi="ar"/>
              </w:rPr>
              <w:t>有组织排放废气影响分析</w:t>
            </w:r>
          </w:p>
          <w:p>
            <w:pPr>
              <w:snapToGrid w:val="0"/>
              <w:spacing w:line="360" w:lineRule="auto"/>
              <w:ind w:firstLine="480" w:firstLineChars="200"/>
              <w:rPr>
                <w:color w:val="000000"/>
                <w:kern w:val="0"/>
                <w:sz w:val="24"/>
                <w:highlight w:val="yellow"/>
                <w:lang w:bidi="ar"/>
              </w:rPr>
            </w:pPr>
            <w:r>
              <w:rPr>
                <w:rFonts w:hint="eastAsia"/>
                <w:color w:val="000000"/>
                <w:kern w:val="0"/>
                <w:sz w:val="24"/>
                <w:lang w:bidi="ar"/>
              </w:rPr>
              <w:t>项目</w:t>
            </w:r>
            <w:r>
              <w:rPr>
                <w:color w:val="000000"/>
                <w:kern w:val="0"/>
                <w:sz w:val="24"/>
                <w:lang w:bidi="ar"/>
              </w:rPr>
              <w:t>粉料储罐为全封闭式，每个储罐顶自带安装有1台风量为2500m</w:t>
            </w:r>
            <w:r>
              <w:rPr>
                <w:color w:val="000000"/>
                <w:kern w:val="0"/>
                <w:sz w:val="24"/>
                <w:vertAlign w:val="superscript"/>
                <w:lang w:bidi="ar"/>
              </w:rPr>
              <w:t>3</w:t>
            </w:r>
            <w:r>
              <w:rPr>
                <w:color w:val="000000"/>
                <w:kern w:val="0"/>
                <w:sz w:val="24"/>
                <w:lang w:bidi="ar"/>
              </w:rPr>
              <w:t>/h的脉冲布袋除尘器，除尘效率为99%，粉料储罐粉尘经除尘后由储罐顶3m的排气</w:t>
            </w:r>
            <w:r>
              <w:rPr>
                <w:rFonts w:hint="eastAsia"/>
                <w:color w:val="000000"/>
                <w:kern w:val="0"/>
                <w:sz w:val="24"/>
                <w:lang w:bidi="ar"/>
              </w:rPr>
              <w:t>筒</w:t>
            </w:r>
            <w:r>
              <w:rPr>
                <w:color w:val="000000"/>
                <w:kern w:val="0"/>
                <w:sz w:val="24"/>
                <w:lang w:bidi="ar"/>
              </w:rPr>
              <w:t>排出</w:t>
            </w:r>
            <w:r>
              <w:rPr>
                <w:rFonts w:hint="eastAsia"/>
                <w:color w:val="000000"/>
                <w:kern w:val="0"/>
                <w:sz w:val="24"/>
                <w:lang w:bidi="ar"/>
              </w:rPr>
              <w:t>，</w:t>
            </w:r>
            <w:r>
              <w:rPr>
                <w:color w:val="000000"/>
                <w:kern w:val="0"/>
                <w:sz w:val="24"/>
                <w:lang w:bidi="ar"/>
              </w:rPr>
              <w:t>排放口</w:t>
            </w:r>
            <w:r>
              <w:rPr>
                <w:rFonts w:hint="eastAsia"/>
                <w:color w:val="000000"/>
                <w:kern w:val="0"/>
                <w:sz w:val="24"/>
                <w:lang w:bidi="ar"/>
              </w:rPr>
              <w:t>有效</w:t>
            </w:r>
            <w:r>
              <w:rPr>
                <w:color w:val="000000"/>
                <w:kern w:val="0"/>
                <w:sz w:val="24"/>
                <w:lang w:bidi="ar"/>
              </w:rPr>
              <w:t>高度为15m，储罐粉尘排放可满足《水泥工业大气污染物排放标准》（GB4915-2013）表1中的最高允许排放浓度限值。</w:t>
            </w:r>
          </w:p>
          <w:p>
            <w:pPr>
              <w:snapToGrid w:val="0"/>
              <w:spacing w:line="360" w:lineRule="auto"/>
              <w:ind w:firstLine="480" w:firstLineChars="200"/>
              <w:rPr>
                <w:color w:val="000000"/>
                <w:kern w:val="0"/>
                <w:sz w:val="24"/>
                <w:lang w:bidi="ar"/>
              </w:rPr>
            </w:pPr>
            <w:r>
              <w:rPr>
                <w:rFonts w:hint="eastAsia" w:ascii="宋体" w:hAnsi="宋体" w:cs="宋体"/>
                <w:color w:val="000000"/>
                <w:kern w:val="0"/>
                <w:sz w:val="24"/>
                <w:lang w:bidi="ar"/>
              </w:rPr>
              <w:t>②</w:t>
            </w:r>
            <w:r>
              <w:rPr>
                <w:color w:val="000000"/>
                <w:kern w:val="0"/>
                <w:sz w:val="24"/>
                <w:lang w:bidi="ar"/>
              </w:rPr>
              <w:t>无组织排放废气影响分析</w:t>
            </w:r>
          </w:p>
          <w:p>
            <w:pPr>
              <w:snapToGrid w:val="0"/>
              <w:spacing w:line="360" w:lineRule="auto"/>
              <w:ind w:firstLine="480" w:firstLineChars="200"/>
              <w:rPr>
                <w:color w:val="000000"/>
                <w:kern w:val="0"/>
                <w:sz w:val="24"/>
                <w:highlight w:val="yellow"/>
                <w:lang w:bidi="ar"/>
              </w:rPr>
            </w:pPr>
            <w:r>
              <w:rPr>
                <w:color w:val="000000"/>
                <w:kern w:val="0"/>
                <w:sz w:val="24"/>
                <w:lang w:bidi="ar"/>
              </w:rPr>
              <w:t>项目皮带输送机为全封闭式，皮带输送机廊道上部拟加盖侧面密封，下部设置收料盘，同时在配料区、输送机廊道四周设置喷雾桩进行降尘；原料库拟采用彩钢瓦进行半封闭，仅将进出物料口设置为敞开式，且对地面进行硬化；原料库设置喷淋设施，砂石料堆存、卸料、进料时均开启喷淋设施进行喷淋降尘，可确保厂界无组织粉尘排放满足《水泥工业大气污染物排放标准》（GB4915-2013）</w:t>
            </w:r>
            <w:r>
              <w:rPr>
                <w:color w:val="000000"/>
                <w:sz w:val="24"/>
              </w:rPr>
              <w:t>表3大气污染物无组织排放限值</w:t>
            </w:r>
            <w:r>
              <w:rPr>
                <w:color w:val="000000"/>
                <w:kern w:val="0"/>
                <w:sz w:val="24"/>
                <w:lang w:bidi="ar"/>
              </w:rPr>
              <w:t>要求。</w:t>
            </w:r>
          </w:p>
          <w:p>
            <w:pPr>
              <w:snapToGrid w:val="0"/>
              <w:spacing w:line="360" w:lineRule="auto"/>
              <w:ind w:firstLine="480" w:firstLineChars="200"/>
              <w:jc w:val="left"/>
              <w:rPr>
                <w:color w:val="000000"/>
                <w:sz w:val="24"/>
              </w:rPr>
            </w:pPr>
            <w:r>
              <w:rPr>
                <w:color w:val="000000"/>
                <w:sz w:val="24"/>
              </w:rPr>
              <w:t>项目所在区域属于环境空气质量达标区，厂界外500m范围分布环境保护目标</w:t>
            </w:r>
            <w:r>
              <w:rPr>
                <w:color w:val="000000" w:themeColor="text1"/>
                <w:sz w:val="24"/>
                <w14:textFill>
                  <w14:solidFill>
                    <w14:schemeClr w14:val="tx1"/>
                  </w14:solidFill>
                </w14:textFill>
              </w:rPr>
              <w:t>为</w:t>
            </w:r>
            <w:r>
              <w:rPr>
                <w:rFonts w:hint="eastAsia"/>
                <w:color w:val="000000" w:themeColor="text1"/>
                <w:sz w:val="24"/>
                <w14:textFill>
                  <w14:solidFill>
                    <w14:schemeClr w14:val="tx1"/>
                  </w14:solidFill>
                </w14:textFill>
              </w:rPr>
              <w:t>项目东侧格勒村小坡组散户</w:t>
            </w:r>
            <w:r>
              <w:rPr>
                <w:color w:val="000000"/>
                <w:sz w:val="24"/>
              </w:rPr>
              <w:t>，</w:t>
            </w:r>
            <w:r>
              <w:rPr>
                <w:rFonts w:hint="eastAsia"/>
                <w:color w:val="000000"/>
                <w:sz w:val="24"/>
              </w:rPr>
              <w:t>项目所在地主要风向为西南风，敏感目标所在位置属于上向一侧，</w:t>
            </w:r>
            <w:r>
              <w:rPr>
                <w:color w:val="000000"/>
                <w:sz w:val="24"/>
              </w:rPr>
              <w:t>项目废气对周边环境空气保护目标的影响</w:t>
            </w:r>
            <w:r>
              <w:rPr>
                <w:rFonts w:hint="eastAsia"/>
                <w:color w:val="000000"/>
                <w:sz w:val="24"/>
              </w:rPr>
              <w:t>较小，且</w:t>
            </w:r>
            <w:r>
              <w:rPr>
                <w:color w:val="000000"/>
                <w:sz w:val="24"/>
              </w:rPr>
              <w:t>项目废气源强均满足达标排放，对区域环境影响空气影响不大。</w:t>
            </w:r>
          </w:p>
          <w:p>
            <w:pPr>
              <w:pStyle w:val="149"/>
              <w:ind w:firstLine="0" w:firstLineChars="0"/>
              <w:jc w:val="both"/>
              <w:rPr>
                <w:rFonts w:ascii="Times New Roman" w:hAnsi="Times New Roman" w:cs="Times New Roman"/>
                <w:bCs/>
                <w:snapToGrid w:val="0"/>
                <w:color w:val="000000"/>
                <w:szCs w:val="28"/>
              </w:rPr>
            </w:pPr>
            <w:r>
              <w:rPr>
                <w:rFonts w:ascii="Times New Roman" w:hAnsi="Times New Roman" w:cs="Times New Roman"/>
                <w:bCs/>
                <w:snapToGrid w:val="0"/>
                <w:color w:val="000000"/>
                <w:szCs w:val="28"/>
              </w:rPr>
              <w:t>（3）监测要求</w:t>
            </w:r>
          </w:p>
          <w:p>
            <w:pPr>
              <w:pStyle w:val="149"/>
              <w:snapToGrid w:val="0"/>
              <w:ind w:firstLine="480"/>
              <w:rPr>
                <w:rFonts w:ascii="Times New Roman" w:hAnsi="Times New Roman" w:cs="Times New Roman"/>
                <w:color w:val="000000"/>
                <w:kern w:val="0"/>
                <w:lang w:bidi="ar"/>
              </w:rPr>
            </w:pPr>
            <w:r>
              <w:rPr>
                <w:rFonts w:ascii="Times New Roman" w:hAnsi="Times New Roman" w:cs="Times New Roman"/>
                <w:color w:val="000000"/>
                <w:kern w:val="0"/>
                <w:lang w:bidi="ar"/>
              </w:rPr>
              <w:t>根据《排污单位自行监测技术指南</w:t>
            </w:r>
            <w:r>
              <w:rPr>
                <w:rFonts w:hint="eastAsia" w:ascii="Times New Roman" w:hAnsi="Times New Roman" w:cs="Times New Roman"/>
                <w:color w:val="000000"/>
                <w:kern w:val="0"/>
                <w:lang w:bidi="ar"/>
              </w:rPr>
              <w:t xml:space="preserve"> </w:t>
            </w:r>
            <w:r>
              <w:rPr>
                <w:rFonts w:ascii="Times New Roman" w:hAnsi="Times New Roman" w:cs="Times New Roman"/>
                <w:color w:val="000000"/>
                <w:kern w:val="0"/>
                <w:lang w:bidi="ar"/>
              </w:rPr>
              <w:t>总则》（HJ819-2017）、《排污许可证申请与核发技术规范 总则》（HJ942-2018），结合项目情况，</w:t>
            </w:r>
            <w:r>
              <w:rPr>
                <w:rFonts w:hint="eastAsia" w:ascii="Times New Roman" w:hAnsi="Times New Roman" w:cs="Times New Roman"/>
                <w:color w:val="000000"/>
                <w:kern w:val="0"/>
                <w:lang w:bidi="ar"/>
              </w:rPr>
              <w:t>项目废气有组织排放口共</w:t>
            </w:r>
            <w:r>
              <w:rPr>
                <w:rFonts w:ascii="Times New Roman" w:hAnsi="Times New Roman" w:cs="Times New Roman"/>
                <w:color w:val="000000"/>
                <w:kern w:val="0"/>
                <w:lang w:bidi="ar"/>
              </w:rPr>
              <w:t>6</w:t>
            </w:r>
            <w:r>
              <w:rPr>
                <w:rFonts w:hint="eastAsia" w:ascii="Times New Roman" w:hAnsi="Times New Roman" w:cs="Times New Roman"/>
                <w:color w:val="000000"/>
                <w:kern w:val="0"/>
                <w:lang w:bidi="ar"/>
              </w:rPr>
              <w:t>个（每个储罐顶自带1除尘器，同时有1个排放口），每个排气筒设一监测孔，并配套建设监测平台，</w:t>
            </w:r>
            <w:r>
              <w:rPr>
                <w:rFonts w:ascii="Times New Roman" w:hAnsi="Times New Roman" w:cs="Times New Roman"/>
                <w:color w:val="000000"/>
                <w:kern w:val="0"/>
                <w:lang w:bidi="ar"/>
              </w:rPr>
              <w:t>提出大气环境监测计划见表4-6。</w:t>
            </w:r>
          </w:p>
          <w:p>
            <w:pPr>
              <w:snapToGrid w:val="0"/>
              <w:spacing w:line="360" w:lineRule="auto"/>
              <w:jc w:val="center"/>
              <w:rPr>
                <w:b/>
                <w:color w:val="000000"/>
                <w:szCs w:val="21"/>
              </w:rPr>
            </w:pPr>
            <w:r>
              <w:rPr>
                <w:b/>
                <w:color w:val="000000"/>
                <w:szCs w:val="21"/>
              </w:rPr>
              <w:t>表4-6  废气监测计划一览表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1400"/>
              <w:gridCol w:w="853"/>
              <w:gridCol w:w="2626"/>
              <w:gridCol w:w="21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87" w:type="pct"/>
                  <w:vAlign w:val="center"/>
                </w:tcPr>
                <w:p>
                  <w:pPr>
                    <w:snapToGrid w:val="0"/>
                    <w:jc w:val="center"/>
                    <w:rPr>
                      <w:color w:val="000000"/>
                      <w:kern w:val="24"/>
                      <w:szCs w:val="20"/>
                    </w:rPr>
                  </w:pPr>
                  <w:r>
                    <w:rPr>
                      <w:color w:val="000000"/>
                      <w:kern w:val="24"/>
                      <w:szCs w:val="20"/>
                    </w:rPr>
                    <w:t>监测</w:t>
                  </w:r>
                </w:p>
                <w:p>
                  <w:pPr>
                    <w:snapToGrid w:val="0"/>
                    <w:jc w:val="center"/>
                    <w:rPr>
                      <w:color w:val="000000"/>
                      <w:kern w:val="24"/>
                      <w:szCs w:val="20"/>
                    </w:rPr>
                  </w:pPr>
                  <w:r>
                    <w:rPr>
                      <w:color w:val="000000"/>
                      <w:kern w:val="24"/>
                      <w:szCs w:val="20"/>
                    </w:rPr>
                    <w:t>项目</w:t>
                  </w:r>
                </w:p>
              </w:tc>
              <w:tc>
                <w:tcPr>
                  <w:tcW w:w="893" w:type="pct"/>
                  <w:vAlign w:val="center"/>
                </w:tcPr>
                <w:p>
                  <w:pPr>
                    <w:snapToGrid w:val="0"/>
                    <w:jc w:val="center"/>
                    <w:rPr>
                      <w:color w:val="000000"/>
                      <w:kern w:val="24"/>
                      <w:szCs w:val="20"/>
                    </w:rPr>
                  </w:pPr>
                  <w:r>
                    <w:rPr>
                      <w:color w:val="000000"/>
                      <w:kern w:val="24"/>
                      <w:szCs w:val="20"/>
                    </w:rPr>
                    <w:t>点位</w:t>
                  </w:r>
                </w:p>
              </w:tc>
              <w:tc>
                <w:tcPr>
                  <w:tcW w:w="544" w:type="pct"/>
                  <w:vAlign w:val="center"/>
                </w:tcPr>
                <w:p>
                  <w:pPr>
                    <w:snapToGrid w:val="0"/>
                    <w:jc w:val="center"/>
                    <w:rPr>
                      <w:color w:val="000000"/>
                      <w:kern w:val="24"/>
                      <w:szCs w:val="20"/>
                    </w:rPr>
                  </w:pPr>
                  <w:r>
                    <w:rPr>
                      <w:color w:val="000000"/>
                      <w:kern w:val="24"/>
                      <w:szCs w:val="20"/>
                    </w:rPr>
                    <w:t>监测</w:t>
                  </w:r>
                </w:p>
                <w:p>
                  <w:pPr>
                    <w:snapToGrid w:val="0"/>
                    <w:jc w:val="center"/>
                    <w:rPr>
                      <w:color w:val="000000"/>
                      <w:kern w:val="24"/>
                      <w:szCs w:val="20"/>
                    </w:rPr>
                  </w:pPr>
                  <w:r>
                    <w:rPr>
                      <w:color w:val="000000"/>
                      <w:kern w:val="24"/>
                      <w:szCs w:val="20"/>
                    </w:rPr>
                    <w:t>参数</w:t>
                  </w:r>
                </w:p>
              </w:tc>
              <w:tc>
                <w:tcPr>
                  <w:tcW w:w="1675" w:type="pct"/>
                  <w:vAlign w:val="center"/>
                </w:tcPr>
                <w:p>
                  <w:pPr>
                    <w:snapToGrid w:val="0"/>
                    <w:jc w:val="center"/>
                    <w:rPr>
                      <w:color w:val="000000"/>
                      <w:kern w:val="24"/>
                      <w:szCs w:val="20"/>
                    </w:rPr>
                  </w:pPr>
                  <w:r>
                    <w:rPr>
                      <w:color w:val="000000"/>
                      <w:kern w:val="24"/>
                      <w:szCs w:val="20"/>
                    </w:rPr>
                    <w:t>监测频率</w:t>
                  </w:r>
                </w:p>
              </w:tc>
              <w:tc>
                <w:tcPr>
                  <w:tcW w:w="1401" w:type="pct"/>
                  <w:vAlign w:val="center"/>
                </w:tcPr>
                <w:p>
                  <w:pPr>
                    <w:snapToGrid w:val="0"/>
                    <w:jc w:val="center"/>
                    <w:rPr>
                      <w:color w:val="000000"/>
                      <w:kern w:val="24"/>
                      <w:szCs w:val="20"/>
                    </w:rPr>
                  </w:pPr>
                  <w:r>
                    <w:rPr>
                      <w:color w:val="000000"/>
                      <w:kern w:val="24"/>
                      <w:szCs w:val="20"/>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2" w:hRule="atLeast"/>
                <w:jc w:val="center"/>
              </w:trPr>
              <w:tc>
                <w:tcPr>
                  <w:tcW w:w="487" w:type="pct"/>
                  <w:vMerge w:val="restart"/>
                  <w:vAlign w:val="center"/>
                </w:tcPr>
                <w:p>
                  <w:pPr>
                    <w:snapToGrid w:val="0"/>
                    <w:jc w:val="center"/>
                    <w:rPr>
                      <w:color w:val="000000"/>
                      <w:kern w:val="24"/>
                      <w:szCs w:val="20"/>
                    </w:rPr>
                  </w:pPr>
                  <w:r>
                    <w:rPr>
                      <w:color w:val="000000"/>
                      <w:kern w:val="24"/>
                      <w:szCs w:val="20"/>
                    </w:rPr>
                    <w:t>废气</w:t>
                  </w:r>
                </w:p>
              </w:tc>
              <w:tc>
                <w:tcPr>
                  <w:tcW w:w="893" w:type="pct"/>
                  <w:vAlign w:val="center"/>
                </w:tcPr>
                <w:p>
                  <w:pPr>
                    <w:snapToGrid w:val="0"/>
                    <w:jc w:val="center"/>
                    <w:rPr>
                      <w:color w:val="000000"/>
                      <w:kern w:val="24"/>
                      <w:szCs w:val="20"/>
                    </w:rPr>
                  </w:pPr>
                  <w:r>
                    <w:rPr>
                      <w:color w:val="000000"/>
                      <w:kern w:val="24"/>
                      <w:szCs w:val="20"/>
                    </w:rPr>
                    <w:t>粉料储罐除尘器排</w:t>
                  </w:r>
                  <w:r>
                    <w:rPr>
                      <w:rFonts w:hint="eastAsia"/>
                      <w:color w:val="000000"/>
                      <w:kern w:val="24"/>
                      <w:szCs w:val="20"/>
                    </w:rPr>
                    <w:t>放</w:t>
                  </w:r>
                  <w:r>
                    <w:rPr>
                      <w:color w:val="000000"/>
                      <w:kern w:val="24"/>
                      <w:szCs w:val="20"/>
                    </w:rPr>
                    <w:t>口</w:t>
                  </w:r>
                </w:p>
              </w:tc>
              <w:tc>
                <w:tcPr>
                  <w:tcW w:w="544" w:type="pct"/>
                  <w:vAlign w:val="center"/>
                </w:tcPr>
                <w:p>
                  <w:pPr>
                    <w:snapToGrid w:val="0"/>
                    <w:jc w:val="center"/>
                    <w:rPr>
                      <w:color w:val="000000"/>
                      <w:kern w:val="24"/>
                      <w:szCs w:val="20"/>
                    </w:rPr>
                  </w:pPr>
                  <w:r>
                    <w:rPr>
                      <w:color w:val="000000"/>
                      <w:kern w:val="24"/>
                      <w:szCs w:val="20"/>
                    </w:rPr>
                    <w:t>有组织粉尘</w:t>
                  </w:r>
                </w:p>
              </w:tc>
              <w:tc>
                <w:tcPr>
                  <w:tcW w:w="1675" w:type="pct"/>
                  <w:vAlign w:val="center"/>
                </w:tcPr>
                <w:p>
                  <w:pPr>
                    <w:snapToGrid w:val="0"/>
                    <w:rPr>
                      <w:color w:val="000000"/>
                      <w:kern w:val="24"/>
                      <w:szCs w:val="20"/>
                    </w:rPr>
                  </w:pPr>
                  <w:r>
                    <w:rPr>
                      <w:color w:val="000000"/>
                      <w:kern w:val="24"/>
                      <w:szCs w:val="20"/>
                    </w:rPr>
                    <w:t>验收时监测1次，每次连续监测2天，每天采样3次；验收后纳入当地环境保护局的正常监测管理，每年监测1次，每次连续监测2天，每天采样3次</w:t>
                  </w:r>
                  <w:r>
                    <w:rPr>
                      <w:rFonts w:hint="eastAsia"/>
                      <w:color w:val="000000"/>
                      <w:kern w:val="24"/>
                      <w:szCs w:val="20"/>
                    </w:rPr>
                    <w:t>。</w:t>
                  </w:r>
                </w:p>
              </w:tc>
              <w:tc>
                <w:tcPr>
                  <w:tcW w:w="1401" w:type="pct"/>
                  <w:vAlign w:val="center"/>
                </w:tcPr>
                <w:p>
                  <w:pPr>
                    <w:snapToGrid w:val="0"/>
                    <w:rPr>
                      <w:color w:val="000000"/>
                      <w:kern w:val="24"/>
                      <w:szCs w:val="20"/>
                    </w:rPr>
                  </w:pPr>
                  <w:r>
                    <w:rPr>
                      <w:color w:val="000000"/>
                      <w:kern w:val="24"/>
                      <w:szCs w:val="20"/>
                    </w:rPr>
                    <w:t>达《水泥工业大气污染物排放标准》（GB4915-2013）表1大气污染物排放限值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487" w:type="pct"/>
                  <w:vMerge w:val="continue"/>
                  <w:tcBorders>
                    <w:bottom w:val="single" w:color="auto" w:sz="4" w:space="0"/>
                  </w:tcBorders>
                  <w:vAlign w:val="center"/>
                </w:tcPr>
                <w:p>
                  <w:pPr>
                    <w:snapToGrid w:val="0"/>
                    <w:jc w:val="center"/>
                    <w:rPr>
                      <w:color w:val="000000"/>
                      <w:kern w:val="24"/>
                      <w:szCs w:val="20"/>
                    </w:rPr>
                  </w:pPr>
                </w:p>
              </w:tc>
              <w:tc>
                <w:tcPr>
                  <w:tcW w:w="893" w:type="pct"/>
                  <w:tcBorders>
                    <w:bottom w:val="single" w:color="auto" w:sz="4" w:space="0"/>
                  </w:tcBorders>
                  <w:vAlign w:val="center"/>
                </w:tcPr>
                <w:p>
                  <w:pPr>
                    <w:snapToGrid w:val="0"/>
                    <w:rPr>
                      <w:color w:val="000000"/>
                      <w:kern w:val="24"/>
                      <w:szCs w:val="20"/>
                      <w:highlight w:val="yellow"/>
                    </w:rPr>
                  </w:pPr>
                  <w:r>
                    <w:rPr>
                      <w:color w:val="000000"/>
                      <w:kern w:val="24"/>
                      <w:szCs w:val="20"/>
                    </w:rPr>
                    <w:t>在厂址上风向设1个参照点，厂址下风向20m处设3个监控点</w:t>
                  </w:r>
                </w:p>
              </w:tc>
              <w:tc>
                <w:tcPr>
                  <w:tcW w:w="544" w:type="pct"/>
                  <w:vAlign w:val="center"/>
                </w:tcPr>
                <w:p>
                  <w:pPr>
                    <w:snapToGrid w:val="0"/>
                    <w:jc w:val="center"/>
                    <w:rPr>
                      <w:color w:val="000000"/>
                      <w:kern w:val="24"/>
                      <w:szCs w:val="20"/>
                    </w:rPr>
                  </w:pPr>
                  <w:r>
                    <w:rPr>
                      <w:color w:val="000000"/>
                      <w:kern w:val="24"/>
                      <w:szCs w:val="20"/>
                    </w:rPr>
                    <w:t>无组织粉尘</w:t>
                  </w:r>
                </w:p>
              </w:tc>
              <w:tc>
                <w:tcPr>
                  <w:tcW w:w="1675" w:type="pct"/>
                  <w:tcBorders>
                    <w:bottom w:val="single" w:color="auto" w:sz="4" w:space="0"/>
                  </w:tcBorders>
                  <w:vAlign w:val="center"/>
                </w:tcPr>
                <w:p>
                  <w:pPr>
                    <w:snapToGrid w:val="0"/>
                    <w:rPr>
                      <w:color w:val="000000"/>
                      <w:kern w:val="24"/>
                      <w:szCs w:val="20"/>
                    </w:rPr>
                  </w:pPr>
                  <w:r>
                    <w:rPr>
                      <w:color w:val="000000"/>
                      <w:kern w:val="24"/>
                      <w:szCs w:val="20"/>
                    </w:rPr>
                    <w:t>验收时监测1次，每次连续监测2天，每天采样3次；验收后纳入当地环境保护局的正常监测管理，每</w:t>
                  </w:r>
                  <w:r>
                    <w:rPr>
                      <w:rFonts w:hint="eastAsia"/>
                      <w:color w:val="000000"/>
                      <w:kern w:val="24"/>
                      <w:szCs w:val="20"/>
                    </w:rPr>
                    <w:t>季度</w:t>
                  </w:r>
                  <w:r>
                    <w:rPr>
                      <w:color w:val="000000"/>
                      <w:kern w:val="24"/>
                      <w:szCs w:val="20"/>
                    </w:rPr>
                    <w:t>监测1次，每次连续监测2天，每天采样3次</w:t>
                  </w:r>
                  <w:r>
                    <w:rPr>
                      <w:rFonts w:hint="eastAsia"/>
                      <w:color w:val="000000"/>
                      <w:kern w:val="24"/>
                      <w:szCs w:val="20"/>
                    </w:rPr>
                    <w:t>。</w:t>
                  </w:r>
                </w:p>
              </w:tc>
              <w:tc>
                <w:tcPr>
                  <w:tcW w:w="1401" w:type="pct"/>
                  <w:vAlign w:val="center"/>
                </w:tcPr>
                <w:p>
                  <w:pPr>
                    <w:snapToGrid w:val="0"/>
                    <w:rPr>
                      <w:color w:val="000000"/>
                      <w:kern w:val="24"/>
                      <w:szCs w:val="20"/>
                    </w:rPr>
                  </w:pPr>
                  <w:r>
                    <w:rPr>
                      <w:color w:val="000000"/>
                      <w:kern w:val="24"/>
                      <w:szCs w:val="20"/>
                    </w:rPr>
                    <w:t>达《水泥工业大气污染物排放标准》（GB4915-2013）表3中大气污染物无组织排放限值</w:t>
                  </w:r>
                </w:p>
              </w:tc>
            </w:tr>
          </w:tbl>
          <w:p>
            <w:pPr>
              <w:spacing w:line="360" w:lineRule="auto"/>
              <w:rPr>
                <w:b/>
                <w:bCs/>
                <w:sz w:val="24"/>
              </w:rPr>
            </w:pPr>
            <w:r>
              <w:rPr>
                <w:b/>
                <w:bCs/>
                <w:sz w:val="24"/>
              </w:rPr>
              <w:t>2、运营期水环境影响与保护措施</w:t>
            </w:r>
          </w:p>
          <w:p>
            <w:pPr>
              <w:spacing w:line="360" w:lineRule="auto"/>
              <w:ind w:firstLine="480" w:firstLineChars="200"/>
              <w:rPr>
                <w:sz w:val="24"/>
              </w:rPr>
            </w:pPr>
            <w:r>
              <w:rPr>
                <w:sz w:val="24"/>
              </w:rPr>
              <w:t>（1）废水产生及排放情况</w:t>
            </w:r>
          </w:p>
          <w:p>
            <w:pPr>
              <w:spacing w:line="360" w:lineRule="auto"/>
              <w:ind w:firstLine="480" w:firstLineChars="200"/>
              <w:rPr>
                <w:sz w:val="24"/>
              </w:rPr>
            </w:pPr>
            <w:r>
              <w:rPr>
                <w:sz w:val="24"/>
              </w:rPr>
              <w:t>项目运营期期间用水主要包括：生产用水、生活用水。生产用水包括搅拌工艺用水、搅拌机清洗水、混凝土运输车辆清洗用水、降尘用水等。项目生产时进行物料搅拌使用的水均由混凝土带走，项目定期对搅拌主机及运输车辆内部及外部进行清洗，因此，运营期废水主要为：搅拌机清洗废水、混凝土运输罐车清洗废水、试验废水（不涉及化学实验）及生活污水（主要为工作人员盥洗废水及餐饮废水）。</w:t>
            </w:r>
          </w:p>
          <w:p>
            <w:pPr>
              <w:spacing w:line="360" w:lineRule="auto"/>
              <w:ind w:firstLine="480" w:firstLineChars="200"/>
              <w:rPr>
                <w:sz w:val="24"/>
              </w:rPr>
            </w:pPr>
            <w:r>
              <w:rPr>
                <w:sz w:val="24"/>
              </w:rPr>
              <w:t>1）生产用水</w:t>
            </w:r>
          </w:p>
          <w:p>
            <w:pPr>
              <w:spacing w:line="360" w:lineRule="auto"/>
              <w:ind w:firstLine="480" w:firstLineChars="200"/>
              <w:rPr>
                <w:sz w:val="24"/>
              </w:rPr>
            </w:pPr>
            <w:r>
              <w:rPr>
                <w:rFonts w:hint="eastAsia" w:ascii="宋体" w:hAnsi="宋体" w:cs="宋体"/>
                <w:sz w:val="24"/>
              </w:rPr>
              <w:t>①</w:t>
            </w:r>
            <w:r>
              <w:rPr>
                <w:sz w:val="24"/>
              </w:rPr>
              <w:t>混凝土生产用水</w:t>
            </w:r>
          </w:p>
          <w:p>
            <w:pPr>
              <w:spacing w:line="360" w:lineRule="auto"/>
              <w:ind w:firstLine="480" w:firstLineChars="200"/>
              <w:rPr>
                <w:sz w:val="24"/>
              </w:rPr>
            </w:pPr>
            <w:r>
              <w:rPr>
                <w:sz w:val="24"/>
              </w:rPr>
              <w:t>混凝土生产过程中，搅拌工段需加入一定比例的水，根据建设单位提供的资料，平均每立方混凝土用水量约0.15m</w:t>
            </w:r>
            <w:r>
              <w:rPr>
                <w:sz w:val="24"/>
                <w:vertAlign w:val="superscript"/>
              </w:rPr>
              <w:t>3</w:t>
            </w:r>
            <w:r>
              <w:rPr>
                <w:sz w:val="24"/>
              </w:rPr>
              <w:t>，在搅拌过程中约有10%的水量自然蒸发损失，项目年产混凝土6万m</w:t>
            </w:r>
            <w:r>
              <w:rPr>
                <w:sz w:val="24"/>
                <w:vertAlign w:val="superscript"/>
              </w:rPr>
              <w:t>3</w:t>
            </w:r>
            <w:r>
              <w:rPr>
                <w:sz w:val="24"/>
              </w:rPr>
              <w:t>，则项目生产工艺用水量为30m</w:t>
            </w:r>
            <w:r>
              <w:rPr>
                <w:sz w:val="24"/>
                <w:vertAlign w:val="superscript"/>
              </w:rPr>
              <w:t>3</w:t>
            </w:r>
            <w:r>
              <w:rPr>
                <w:sz w:val="24"/>
              </w:rPr>
              <w:t>/d（</w:t>
            </w:r>
            <w:r>
              <w:rPr>
                <w:rFonts w:hint="eastAsia"/>
                <w:sz w:val="24"/>
              </w:rPr>
              <w:t>9</w:t>
            </w:r>
            <w:r>
              <w:rPr>
                <w:sz w:val="24"/>
              </w:rPr>
              <w:t>000m</w:t>
            </w:r>
            <w:r>
              <w:rPr>
                <w:sz w:val="24"/>
                <w:vertAlign w:val="superscript"/>
              </w:rPr>
              <w:t>3</w:t>
            </w:r>
            <w:r>
              <w:rPr>
                <w:sz w:val="24"/>
              </w:rPr>
              <w:t>/a），该部分用水作为成品的有效成分运出厂外用于建筑工程建设使用，无废水外排。</w:t>
            </w:r>
          </w:p>
          <w:p>
            <w:pPr>
              <w:spacing w:line="360" w:lineRule="auto"/>
              <w:ind w:firstLine="480" w:firstLineChars="200"/>
              <w:rPr>
                <w:sz w:val="24"/>
              </w:rPr>
            </w:pPr>
            <w:r>
              <w:rPr>
                <w:rFonts w:hint="eastAsia" w:ascii="宋体" w:hAnsi="宋体" w:cs="宋体"/>
                <w:sz w:val="24"/>
              </w:rPr>
              <w:t>②</w:t>
            </w:r>
            <w:r>
              <w:rPr>
                <w:sz w:val="24"/>
              </w:rPr>
              <w:t>清洗用水</w:t>
            </w:r>
          </w:p>
          <w:p>
            <w:pPr>
              <w:spacing w:line="360" w:lineRule="auto"/>
              <w:ind w:firstLine="480" w:firstLineChars="200"/>
              <w:rPr>
                <w:sz w:val="24"/>
              </w:rPr>
            </w:pPr>
            <w:r>
              <w:rPr>
                <w:sz w:val="24"/>
              </w:rPr>
              <w:t>a.搅拌机清洗用水</w:t>
            </w:r>
          </w:p>
          <w:p>
            <w:pPr>
              <w:spacing w:line="360" w:lineRule="auto"/>
              <w:ind w:firstLine="480" w:firstLineChars="200"/>
              <w:rPr>
                <w:sz w:val="24"/>
              </w:rPr>
            </w:pPr>
            <w:r>
              <w:rPr>
                <w:sz w:val="24"/>
              </w:rPr>
              <w:t>根据建设单位提供资料，搅拌机主机每天冲洗1次，搅拌机清洗用水量为1m</w:t>
            </w:r>
            <w:r>
              <w:rPr>
                <w:sz w:val="24"/>
                <w:vertAlign w:val="superscript"/>
              </w:rPr>
              <w:t>3</w:t>
            </w:r>
            <w:r>
              <w:rPr>
                <w:sz w:val="24"/>
              </w:rPr>
              <w:t>/d（300m</w:t>
            </w:r>
            <w:r>
              <w:rPr>
                <w:sz w:val="24"/>
                <w:vertAlign w:val="superscript"/>
              </w:rPr>
              <w:t>3/</w:t>
            </w:r>
            <w:r>
              <w:rPr>
                <w:sz w:val="24"/>
              </w:rPr>
              <w:t>a），产污系数为0.9，则搅拌机清洗废水产生量为0.9m</w:t>
            </w:r>
            <w:r>
              <w:rPr>
                <w:sz w:val="24"/>
                <w:vertAlign w:val="superscript"/>
              </w:rPr>
              <w:t>3</w:t>
            </w:r>
            <w:r>
              <w:rPr>
                <w:sz w:val="24"/>
              </w:rPr>
              <w:t>/d（270m</w:t>
            </w:r>
            <w:r>
              <w:rPr>
                <w:sz w:val="24"/>
                <w:vertAlign w:val="superscript"/>
              </w:rPr>
              <w:t>3</w:t>
            </w:r>
            <w:r>
              <w:rPr>
                <w:sz w:val="24"/>
              </w:rPr>
              <w:t>/a），其主要水质污染因子为SS，根据对同类型企业的类比调查，SS的浓度约为3000mg/L。</w:t>
            </w:r>
          </w:p>
          <w:p>
            <w:pPr>
              <w:spacing w:line="360" w:lineRule="auto"/>
              <w:ind w:firstLine="480" w:firstLineChars="200"/>
              <w:rPr>
                <w:sz w:val="24"/>
              </w:rPr>
            </w:pPr>
            <w:r>
              <w:rPr>
                <w:sz w:val="24"/>
              </w:rPr>
              <w:t>b.混凝土运输车辆清洗废水</w:t>
            </w:r>
          </w:p>
          <w:p>
            <w:pPr>
              <w:spacing w:line="360" w:lineRule="auto"/>
              <w:ind w:firstLine="480" w:firstLineChars="200"/>
              <w:rPr>
                <w:sz w:val="24"/>
              </w:rPr>
            </w:pPr>
            <w:r>
              <w:rPr>
                <w:sz w:val="24"/>
              </w:rPr>
              <w:t>混凝土运输车辆清洗废水分为罐体清洗废水和车辆外部清洗废水两部分。</w:t>
            </w:r>
          </w:p>
          <w:p>
            <w:pPr>
              <w:spacing w:line="360" w:lineRule="auto"/>
              <w:ind w:firstLine="480" w:firstLineChars="200"/>
              <w:rPr>
                <w:sz w:val="24"/>
              </w:rPr>
            </w:pPr>
            <w:r>
              <w:rPr>
                <w:sz w:val="24"/>
              </w:rPr>
              <w:t>罐体清洗废水：项目混凝土生产规模为6万m</w:t>
            </w:r>
            <w:r>
              <w:rPr>
                <w:sz w:val="24"/>
                <w:vertAlign w:val="superscript"/>
              </w:rPr>
              <w:t>3</w:t>
            </w:r>
            <w:r>
              <w:rPr>
                <w:sz w:val="24"/>
              </w:rPr>
              <w:t>/a，按每辆车每次运输10m</w:t>
            </w:r>
            <w:r>
              <w:rPr>
                <w:sz w:val="24"/>
                <w:vertAlign w:val="superscript"/>
              </w:rPr>
              <w:t>3</w:t>
            </w:r>
            <w:r>
              <w:rPr>
                <w:sz w:val="24"/>
              </w:rPr>
              <w:t>计，需0.6万辆次/a（20辆次/d）。根据建设单位提供的资料，每辆车罐清洗体用水量为0.15m</w:t>
            </w:r>
            <w:r>
              <w:rPr>
                <w:sz w:val="24"/>
                <w:vertAlign w:val="superscript"/>
              </w:rPr>
              <w:t>3</w:t>
            </w:r>
            <w:r>
              <w:rPr>
                <w:sz w:val="24"/>
              </w:rPr>
              <w:t>/（d•辆），则项目罐体清洗用水量为</w:t>
            </w:r>
            <w:r>
              <w:rPr>
                <w:rFonts w:hint="eastAsia"/>
                <w:sz w:val="24"/>
              </w:rPr>
              <w:t>3</w:t>
            </w:r>
            <w:r>
              <w:rPr>
                <w:sz w:val="24"/>
              </w:rPr>
              <w:t>m</w:t>
            </w:r>
            <w:r>
              <w:rPr>
                <w:sz w:val="24"/>
                <w:vertAlign w:val="superscript"/>
              </w:rPr>
              <w:t>3</w:t>
            </w:r>
            <w:r>
              <w:rPr>
                <w:sz w:val="24"/>
              </w:rPr>
              <w:t>/d（900m</w:t>
            </w:r>
            <w:r>
              <w:rPr>
                <w:sz w:val="24"/>
                <w:vertAlign w:val="superscript"/>
              </w:rPr>
              <w:t>3</w:t>
            </w:r>
            <w:r>
              <w:rPr>
                <w:sz w:val="24"/>
              </w:rPr>
              <w:t>/a），产污系数为0.9，则罐体清洗废水产生量为</w:t>
            </w:r>
            <w:r>
              <w:rPr>
                <w:rFonts w:hint="eastAsia"/>
                <w:sz w:val="24"/>
              </w:rPr>
              <w:t>2</w:t>
            </w:r>
            <w:r>
              <w:rPr>
                <w:sz w:val="24"/>
              </w:rPr>
              <w:t>.7m</w:t>
            </w:r>
            <w:r>
              <w:rPr>
                <w:sz w:val="24"/>
                <w:vertAlign w:val="superscript"/>
              </w:rPr>
              <w:t>3</w:t>
            </w:r>
            <w:r>
              <w:rPr>
                <w:sz w:val="24"/>
              </w:rPr>
              <w:t>/d（810m</w:t>
            </w:r>
            <w:r>
              <w:rPr>
                <w:sz w:val="24"/>
                <w:vertAlign w:val="superscript"/>
              </w:rPr>
              <w:t>3</w:t>
            </w:r>
            <w:r>
              <w:rPr>
                <w:sz w:val="24"/>
              </w:rPr>
              <w:t>/a）。废水汇入洗车平台旁的</w:t>
            </w:r>
            <w:r>
              <w:rPr>
                <w:rFonts w:hint="eastAsia"/>
                <w:sz w:val="24"/>
              </w:rPr>
              <w:t>三级</w:t>
            </w:r>
            <w:r>
              <w:rPr>
                <w:sz w:val="24"/>
              </w:rPr>
              <w:t>沉淀池处理。建设单东侧设置洗车区域，1个三级沉淀池（105m</w:t>
            </w:r>
            <w:r>
              <w:rPr>
                <w:sz w:val="24"/>
                <w:vertAlign w:val="superscript"/>
              </w:rPr>
              <w:t>3</w:t>
            </w:r>
            <w:r>
              <w:rPr>
                <w:sz w:val="24"/>
              </w:rPr>
              <w:t>），具体清洗方式为：混凝土罐车返回厂区后，在洗车区进行罐体清洗，先在罐内注入少量水，并让搅拌桶慢速转动，同时采用高压水枪清洗内壁，避免残余料渣附在桶壁和搅拌叶上，清洗结束后，通过导料槽将清洗废水及残留混凝土进行收集，清洗废水经收集后通过集水沟排至沉淀池处理。</w:t>
            </w:r>
          </w:p>
          <w:p>
            <w:pPr>
              <w:spacing w:line="360" w:lineRule="auto"/>
              <w:ind w:firstLine="480" w:firstLineChars="200"/>
              <w:rPr>
                <w:sz w:val="24"/>
              </w:rPr>
            </w:pPr>
            <w:r>
              <w:rPr>
                <w:sz w:val="24"/>
              </w:rPr>
              <w:t>车辆外部清洗废水：混凝土运输车辆每次装料后需要对其表面进行冲洗，避免装料过程逸散出来的料渣附在外部，混凝土运输车在门式洗车区进行清洗。根据建设单位介绍，混凝土运输车辆外部清洗用水量约0.05m</w:t>
            </w:r>
            <w:r>
              <w:rPr>
                <w:sz w:val="24"/>
                <w:vertAlign w:val="superscript"/>
              </w:rPr>
              <w:t>3</w:t>
            </w:r>
            <w:r>
              <w:rPr>
                <w:sz w:val="24"/>
              </w:rPr>
              <w:t>/（d•辆），混凝土需运输罐车0.6万辆次/a（20辆次/d），即清洗用水量约1m</w:t>
            </w:r>
            <w:r>
              <w:rPr>
                <w:sz w:val="24"/>
                <w:vertAlign w:val="superscript"/>
              </w:rPr>
              <w:t>3</w:t>
            </w:r>
            <w:r>
              <w:rPr>
                <w:sz w:val="24"/>
              </w:rPr>
              <w:t>/d（</w:t>
            </w:r>
            <w:r>
              <w:rPr>
                <w:rFonts w:hint="eastAsia"/>
                <w:sz w:val="24"/>
              </w:rPr>
              <w:t>3</w:t>
            </w:r>
            <w:r>
              <w:rPr>
                <w:sz w:val="24"/>
              </w:rPr>
              <w:t>00m</w:t>
            </w:r>
            <w:r>
              <w:rPr>
                <w:sz w:val="24"/>
                <w:vertAlign w:val="superscript"/>
              </w:rPr>
              <w:t>3</w:t>
            </w:r>
            <w:r>
              <w:rPr>
                <w:sz w:val="24"/>
              </w:rPr>
              <w:t>/a），产污系数为0.9，则混凝土运输车辆外部清洗废水产生量为</w:t>
            </w:r>
            <w:r>
              <w:rPr>
                <w:rFonts w:hint="eastAsia"/>
                <w:sz w:val="24"/>
              </w:rPr>
              <w:t>0</w:t>
            </w:r>
            <w:r>
              <w:rPr>
                <w:sz w:val="24"/>
              </w:rPr>
              <w:t>.9m</w:t>
            </w:r>
            <w:r>
              <w:rPr>
                <w:sz w:val="24"/>
                <w:vertAlign w:val="superscript"/>
              </w:rPr>
              <w:t>3</w:t>
            </w:r>
            <w:r>
              <w:rPr>
                <w:sz w:val="24"/>
              </w:rPr>
              <w:t>/d（270m</w:t>
            </w:r>
            <w:r>
              <w:rPr>
                <w:sz w:val="24"/>
                <w:vertAlign w:val="superscript"/>
              </w:rPr>
              <w:t>3</w:t>
            </w:r>
            <w:r>
              <w:rPr>
                <w:sz w:val="24"/>
              </w:rPr>
              <w:t>/a），车辆外部清洗废水汇入沉淀池处理。</w:t>
            </w:r>
          </w:p>
          <w:p>
            <w:pPr>
              <w:spacing w:line="360" w:lineRule="auto"/>
              <w:ind w:firstLine="480" w:firstLineChars="200"/>
              <w:rPr>
                <w:sz w:val="24"/>
              </w:rPr>
            </w:pPr>
            <w:r>
              <w:rPr>
                <w:rFonts w:hint="eastAsia" w:ascii="宋体" w:hAnsi="宋体" w:cs="宋体"/>
                <w:sz w:val="24"/>
              </w:rPr>
              <w:t>③</w:t>
            </w:r>
            <w:r>
              <w:rPr>
                <w:sz w:val="24"/>
              </w:rPr>
              <w:t>降尘用水</w:t>
            </w:r>
          </w:p>
          <w:p>
            <w:pPr>
              <w:spacing w:line="360" w:lineRule="auto"/>
              <w:ind w:firstLine="480" w:firstLineChars="200"/>
              <w:rPr>
                <w:sz w:val="24"/>
              </w:rPr>
            </w:pPr>
            <w:r>
              <w:rPr>
                <w:sz w:val="24"/>
              </w:rPr>
              <w:t>项目降尘用水主要用于原料库喷雾降尘用水、厂区炮雾机、洒水车降尘用水。</w:t>
            </w:r>
          </w:p>
          <w:p>
            <w:pPr>
              <w:spacing w:line="360" w:lineRule="auto"/>
              <w:ind w:firstLine="480" w:firstLineChars="200"/>
              <w:rPr>
                <w:sz w:val="24"/>
              </w:rPr>
            </w:pPr>
            <w:r>
              <w:rPr>
                <w:sz w:val="24"/>
              </w:rPr>
              <w:t>原料库喷雾降尘用水：项目在原料库设置自动喷淋设施，适时对原料库无组织粉尘进行喷雾降尘，喷雾用水量按1.5L/m</w:t>
            </w:r>
            <w:r>
              <w:rPr>
                <w:sz w:val="24"/>
                <w:vertAlign w:val="superscript"/>
              </w:rPr>
              <w:t>2</w:t>
            </w:r>
            <w:r>
              <w:rPr>
                <w:sz w:val="24"/>
              </w:rPr>
              <w:t>•天计，原料库面积约为2070m</w:t>
            </w:r>
            <w:r>
              <w:rPr>
                <w:sz w:val="24"/>
                <w:vertAlign w:val="superscript"/>
              </w:rPr>
              <w:t>2</w:t>
            </w:r>
            <w:r>
              <w:rPr>
                <w:sz w:val="24"/>
              </w:rPr>
              <w:t>，则用水量为</w:t>
            </w:r>
            <w:r>
              <w:rPr>
                <w:rFonts w:hint="eastAsia"/>
                <w:sz w:val="24"/>
              </w:rPr>
              <w:t>3</w:t>
            </w:r>
            <w:r>
              <w:rPr>
                <w:sz w:val="24"/>
              </w:rPr>
              <w:t>.1m</w:t>
            </w:r>
            <w:r>
              <w:rPr>
                <w:sz w:val="24"/>
                <w:vertAlign w:val="superscript"/>
              </w:rPr>
              <w:t>3</w:t>
            </w:r>
            <w:r>
              <w:rPr>
                <w:sz w:val="24"/>
              </w:rPr>
              <w:t>/d（</w:t>
            </w:r>
            <w:r>
              <w:rPr>
                <w:rFonts w:hint="eastAsia"/>
                <w:sz w:val="24"/>
              </w:rPr>
              <w:t>9</w:t>
            </w:r>
            <w:r>
              <w:rPr>
                <w:sz w:val="24"/>
              </w:rPr>
              <w:t>30m</w:t>
            </w:r>
            <w:r>
              <w:rPr>
                <w:sz w:val="24"/>
                <w:vertAlign w:val="superscript"/>
              </w:rPr>
              <w:t>3</w:t>
            </w:r>
            <w:r>
              <w:rPr>
                <w:sz w:val="24"/>
              </w:rPr>
              <w:t>/a），该部分水均自然蒸发，无废水产生。</w:t>
            </w:r>
          </w:p>
          <w:p>
            <w:pPr>
              <w:spacing w:line="360" w:lineRule="auto"/>
              <w:ind w:firstLine="480" w:firstLineChars="200"/>
              <w:rPr>
                <w:sz w:val="24"/>
              </w:rPr>
            </w:pPr>
            <w:r>
              <w:rPr>
                <w:sz w:val="24"/>
              </w:rPr>
              <w:t>厂区炮雾机及洒水车降尘用水：</w:t>
            </w:r>
            <w:r>
              <w:rPr>
                <w:rFonts w:hint="eastAsia"/>
                <w:sz w:val="24"/>
              </w:rPr>
              <w:t>在车辆行驶频繁的运输处分别设两台炮雾机，生活区域面向生产区域设两台炮雾机，进行不定期降尘，该部分用水平均为2m³/</w:t>
            </w:r>
            <w:r>
              <w:rPr>
                <w:sz w:val="24"/>
              </w:rPr>
              <w:t>d</w:t>
            </w:r>
            <w:r>
              <w:rPr>
                <w:rFonts w:hint="eastAsia"/>
                <w:sz w:val="24"/>
              </w:rPr>
              <w:t>，设一洒水车对项目区域内硬化地区进行</w:t>
            </w:r>
            <w:r>
              <w:rPr>
                <w:sz w:val="24"/>
              </w:rPr>
              <w:t>进行</w:t>
            </w:r>
            <w:r>
              <w:rPr>
                <w:rFonts w:hint="eastAsia"/>
                <w:sz w:val="24"/>
              </w:rPr>
              <w:t>每天两次</w:t>
            </w:r>
            <w:r>
              <w:rPr>
                <w:sz w:val="24"/>
              </w:rPr>
              <w:t>洒水降尘，</w:t>
            </w:r>
            <w:r>
              <w:rPr>
                <w:rFonts w:hint="eastAsia"/>
                <w:sz w:val="24"/>
              </w:rPr>
              <w:t>用水量为3m³/</w:t>
            </w:r>
            <w:r>
              <w:rPr>
                <w:sz w:val="24"/>
              </w:rPr>
              <w:t>d</w:t>
            </w:r>
            <w:r>
              <w:rPr>
                <w:rFonts w:hint="eastAsia"/>
                <w:sz w:val="24"/>
              </w:rPr>
              <w:t>，合计5m³/</w:t>
            </w:r>
            <w:r>
              <w:rPr>
                <w:sz w:val="24"/>
              </w:rPr>
              <w:t>d</w:t>
            </w:r>
            <w:r>
              <w:rPr>
                <w:rFonts w:hint="eastAsia"/>
                <w:sz w:val="24"/>
              </w:rPr>
              <w:t>，用水时间以每年非雨天2</w:t>
            </w:r>
            <w:r>
              <w:rPr>
                <w:sz w:val="24"/>
              </w:rPr>
              <w:t>00</w:t>
            </w:r>
            <w:r>
              <w:rPr>
                <w:rFonts w:hint="eastAsia"/>
                <w:sz w:val="24"/>
              </w:rPr>
              <w:t>天计，则每年用水量为1</w:t>
            </w:r>
            <w:r>
              <w:rPr>
                <w:sz w:val="24"/>
              </w:rPr>
              <w:t>000</w:t>
            </w:r>
            <w:r>
              <w:rPr>
                <w:rFonts w:hint="eastAsia"/>
                <w:sz w:val="24"/>
              </w:rPr>
              <w:t>m³</w:t>
            </w:r>
            <w:r>
              <w:rPr>
                <w:sz w:val="24"/>
              </w:rPr>
              <w:t>/a</w:t>
            </w:r>
            <w:r>
              <w:rPr>
                <w:rFonts w:hint="eastAsia"/>
                <w:sz w:val="24"/>
              </w:rPr>
              <w:t>。</w:t>
            </w:r>
            <w:r>
              <w:rPr>
                <w:sz w:val="24"/>
              </w:rPr>
              <w:t>该部分水均自然蒸发，无废水产生。</w:t>
            </w:r>
          </w:p>
          <w:p>
            <w:pPr>
              <w:spacing w:line="360" w:lineRule="auto"/>
              <w:ind w:firstLine="480" w:firstLineChars="200"/>
              <w:rPr>
                <w:sz w:val="24"/>
              </w:rPr>
            </w:pPr>
            <w:r>
              <w:rPr>
                <w:rFonts w:hint="eastAsia" w:ascii="宋体" w:hAnsi="宋体" w:cs="宋体"/>
                <w:sz w:val="24"/>
              </w:rPr>
              <w:t>③</w:t>
            </w:r>
            <w:r>
              <w:rPr>
                <w:sz w:val="24"/>
              </w:rPr>
              <w:t>试验设备清洗废水</w:t>
            </w:r>
          </w:p>
          <w:p>
            <w:pPr>
              <w:spacing w:line="360" w:lineRule="auto"/>
              <w:ind w:firstLine="480" w:firstLineChars="200"/>
              <w:rPr>
                <w:sz w:val="24"/>
              </w:rPr>
            </w:pPr>
            <w:r>
              <w:rPr>
                <w:sz w:val="24"/>
              </w:rPr>
              <w:t>项目设置1个试验室，对混凝土进行强度等物理检测，不涉及化学实验。根据建设单位提供资料，试验设备清洗用水量为0.1m</w:t>
            </w:r>
            <w:r>
              <w:rPr>
                <w:sz w:val="24"/>
                <w:vertAlign w:val="superscript"/>
              </w:rPr>
              <w:t>3</w:t>
            </w:r>
            <w:r>
              <w:rPr>
                <w:sz w:val="24"/>
              </w:rPr>
              <w:t>/d，排水量按80%计，故排水量为0.08m</w:t>
            </w:r>
            <w:r>
              <w:rPr>
                <w:sz w:val="24"/>
                <w:vertAlign w:val="superscript"/>
              </w:rPr>
              <w:t>3</w:t>
            </w:r>
            <w:r>
              <w:rPr>
                <w:sz w:val="24"/>
              </w:rPr>
              <w:t>/d。</w:t>
            </w:r>
          </w:p>
          <w:p>
            <w:pPr>
              <w:spacing w:line="360" w:lineRule="auto"/>
              <w:ind w:firstLine="480" w:firstLineChars="200"/>
              <w:rPr>
                <w:sz w:val="24"/>
              </w:rPr>
            </w:pPr>
            <w:r>
              <w:rPr>
                <w:sz w:val="24"/>
              </w:rPr>
              <w:t>2）生活用水</w:t>
            </w:r>
          </w:p>
          <w:p>
            <w:pPr>
              <w:spacing w:line="360" w:lineRule="auto"/>
              <w:ind w:firstLine="480" w:firstLineChars="200"/>
              <w:rPr>
                <w:sz w:val="24"/>
              </w:rPr>
            </w:pPr>
            <w:r>
              <w:rPr>
                <w:sz w:val="24"/>
              </w:rPr>
              <w:t>运营期间工作人员共32人，年工作300天，均在项目内食宿，员工生活用水主要为食堂餐饮用水和盥洗用水。</w:t>
            </w:r>
          </w:p>
          <w:p>
            <w:pPr>
              <w:spacing w:line="360" w:lineRule="auto"/>
              <w:ind w:firstLine="480" w:firstLineChars="200"/>
              <w:rPr>
                <w:sz w:val="24"/>
              </w:rPr>
            </w:pPr>
            <w:r>
              <w:rPr>
                <w:sz w:val="24"/>
              </w:rPr>
              <w:t>根据《云南省地方标准用水定额》（DB53/T168-2019），本项目住宿员工32人，生活用水量按100L/（人·d）计，其中餐饮用水为20L/（人·d），则住宿员工生活盥洗用水量3.2m</w:t>
            </w:r>
            <w:r>
              <w:rPr>
                <w:sz w:val="24"/>
                <w:vertAlign w:val="superscript"/>
              </w:rPr>
              <w:t>3</w:t>
            </w:r>
            <w:r>
              <w:rPr>
                <w:sz w:val="24"/>
              </w:rPr>
              <w:t>/d、960m</w:t>
            </w:r>
            <w:r>
              <w:rPr>
                <w:sz w:val="24"/>
                <w:vertAlign w:val="superscript"/>
              </w:rPr>
              <w:t>3</w:t>
            </w:r>
            <w:r>
              <w:rPr>
                <w:sz w:val="24"/>
              </w:rPr>
              <w:t>/a，其中餐饮用水量为0.64m</w:t>
            </w:r>
            <w:r>
              <w:rPr>
                <w:sz w:val="24"/>
                <w:vertAlign w:val="superscript"/>
              </w:rPr>
              <w:t>3</w:t>
            </w:r>
            <w:r>
              <w:rPr>
                <w:sz w:val="24"/>
              </w:rPr>
              <w:t>/d，192m</w:t>
            </w:r>
            <w:r>
              <w:rPr>
                <w:sz w:val="24"/>
                <w:vertAlign w:val="superscript"/>
              </w:rPr>
              <w:t>3</w:t>
            </w:r>
            <w:r>
              <w:rPr>
                <w:sz w:val="24"/>
              </w:rPr>
              <w:t>/a，废水按用水量为80%计，则住宿员工废水量约为2.56m</w:t>
            </w:r>
            <w:r>
              <w:rPr>
                <w:sz w:val="24"/>
                <w:vertAlign w:val="superscript"/>
              </w:rPr>
              <w:t>3</w:t>
            </w:r>
            <w:r>
              <w:rPr>
                <w:sz w:val="24"/>
              </w:rPr>
              <w:t>/d，768m</w:t>
            </w:r>
            <w:r>
              <w:rPr>
                <w:sz w:val="24"/>
                <w:vertAlign w:val="superscript"/>
              </w:rPr>
              <w:t>3</w:t>
            </w:r>
            <w:r>
              <w:rPr>
                <w:sz w:val="24"/>
              </w:rPr>
              <w:t>/a，其中餐饮废水量为0.512m</w:t>
            </w:r>
            <w:r>
              <w:rPr>
                <w:sz w:val="24"/>
                <w:vertAlign w:val="superscript"/>
              </w:rPr>
              <w:t>3</w:t>
            </w:r>
            <w:r>
              <w:rPr>
                <w:sz w:val="24"/>
              </w:rPr>
              <w:t>/d，153.6m</w:t>
            </w:r>
            <w:r>
              <w:rPr>
                <w:sz w:val="24"/>
                <w:vertAlign w:val="superscript"/>
              </w:rPr>
              <w:t>3</w:t>
            </w:r>
            <w:r>
              <w:rPr>
                <w:sz w:val="24"/>
              </w:rPr>
              <w:t>/a。</w:t>
            </w:r>
          </w:p>
          <w:p>
            <w:pPr>
              <w:spacing w:line="360" w:lineRule="auto"/>
              <w:ind w:firstLine="480" w:firstLineChars="200"/>
              <w:rPr>
                <w:sz w:val="24"/>
              </w:rPr>
            </w:pPr>
            <w:r>
              <w:rPr>
                <w:sz w:val="24"/>
              </w:rPr>
              <w:t>生活废水中污染物浓度约为CODcr350mg/L、BOD250mg/L、SS200mg/L、氨氮30mg/L、动植物油25mg/L、磷酸盐8mg/L。项目食堂废水先经隔油池处理后，再同生活污水排入办公区域的化粪池，经化粪池处理后</w:t>
            </w:r>
            <w:r>
              <w:rPr>
                <w:rFonts w:hint="eastAsia"/>
                <w:sz w:val="24"/>
              </w:rPr>
              <w:t>用槽罐车外送污水处理厂处理</w:t>
            </w:r>
            <w:r>
              <w:rPr>
                <w:sz w:val="24"/>
              </w:rPr>
              <w:t>。</w:t>
            </w:r>
          </w:p>
          <w:p>
            <w:pPr>
              <w:autoSpaceDE w:val="0"/>
              <w:autoSpaceDN w:val="0"/>
              <w:adjustRightInd w:val="0"/>
              <w:snapToGrid w:val="0"/>
              <w:spacing w:line="360" w:lineRule="auto"/>
              <w:ind w:firstLine="480" w:firstLineChars="200"/>
              <w:rPr>
                <w:color w:val="000000"/>
                <w:kern w:val="0"/>
                <w:sz w:val="24"/>
                <w:lang w:bidi="ar"/>
              </w:rPr>
            </w:pPr>
            <w:r>
              <w:rPr>
                <w:color w:val="000000"/>
                <w:kern w:val="0"/>
                <w:sz w:val="24"/>
                <w:lang w:bidi="ar"/>
              </w:rPr>
              <w:t>3）初期雨水</w:t>
            </w:r>
          </w:p>
          <w:p>
            <w:pPr>
              <w:autoSpaceDE w:val="0"/>
              <w:autoSpaceDN w:val="0"/>
              <w:adjustRightInd w:val="0"/>
              <w:snapToGrid w:val="0"/>
              <w:spacing w:line="360" w:lineRule="auto"/>
              <w:ind w:firstLine="480" w:firstLineChars="200"/>
              <w:rPr>
                <w:color w:val="000000"/>
                <w:kern w:val="0"/>
                <w:sz w:val="24"/>
                <w:lang w:bidi="ar"/>
              </w:rPr>
            </w:pPr>
            <w:r>
              <w:rPr>
                <w:color w:val="000000"/>
                <w:kern w:val="0"/>
                <w:sz w:val="24"/>
                <w:lang w:bidi="ar"/>
              </w:rPr>
              <w:t>项目生活区域实行雨污分流制，生活区域雨水采用屋檐下排水沟排水，雨水最终进入小江。生产区域废水主要为清洗废水，因此不进行分流。生产区域散落有砂石粉尘等，需将雨水进行收集沉淀，设置雨水收集沟道，将雨水进行收集后引入三级沉淀池进行沉淀处理后作为生产使用或用于洒水降尘。项目初期雨水按照以下公式进行计算：</w:t>
            </w:r>
          </w:p>
          <w:p>
            <w:pPr>
              <w:autoSpaceDE w:val="0"/>
              <w:autoSpaceDN w:val="0"/>
              <w:adjustRightInd w:val="0"/>
              <w:snapToGrid w:val="0"/>
              <w:spacing w:line="360" w:lineRule="auto"/>
              <w:jc w:val="center"/>
              <w:rPr>
                <w:color w:val="000000"/>
                <w:kern w:val="0"/>
                <w:sz w:val="24"/>
              </w:rPr>
            </w:pPr>
            <w:r>
              <w:rPr>
                <w:color w:val="000000"/>
                <w:kern w:val="0"/>
                <w:sz w:val="24"/>
              </w:rPr>
              <w:t>Q=Ψ×q×F</w:t>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式中：Q——雨水流量（L/s）；</w:t>
            </w:r>
          </w:p>
          <w:p>
            <w:pPr>
              <w:autoSpaceDE w:val="0"/>
              <w:autoSpaceDN w:val="0"/>
              <w:adjustRightInd w:val="0"/>
              <w:snapToGrid w:val="0"/>
              <w:spacing w:line="360" w:lineRule="auto"/>
              <w:ind w:firstLine="1200" w:firstLineChars="500"/>
              <w:jc w:val="left"/>
              <w:rPr>
                <w:color w:val="000000"/>
                <w:kern w:val="0"/>
                <w:sz w:val="24"/>
                <w:lang w:bidi="ar"/>
              </w:rPr>
            </w:pPr>
            <w:r>
              <w:rPr>
                <w:color w:val="000000"/>
                <w:kern w:val="0"/>
                <w:sz w:val="24"/>
                <w:lang w:bidi="ar"/>
              </w:rPr>
              <w:t>Ψ——径流系数（混凝土和沥青路面取0.9）；</w:t>
            </w:r>
          </w:p>
          <w:p>
            <w:pPr>
              <w:autoSpaceDE w:val="0"/>
              <w:autoSpaceDN w:val="0"/>
              <w:adjustRightInd w:val="0"/>
              <w:snapToGrid w:val="0"/>
              <w:spacing w:line="360" w:lineRule="auto"/>
              <w:ind w:firstLine="1200" w:firstLineChars="500"/>
              <w:jc w:val="left"/>
              <w:rPr>
                <w:color w:val="000000"/>
                <w:kern w:val="0"/>
                <w:sz w:val="24"/>
                <w:lang w:bidi="ar"/>
              </w:rPr>
            </w:pPr>
            <w:r>
              <w:rPr>
                <w:color w:val="000000"/>
                <w:kern w:val="0"/>
                <w:sz w:val="24"/>
                <w:lang w:bidi="ar"/>
              </w:rPr>
              <w:t>q——设计暴雨强度（L/s·hm</w:t>
            </w:r>
            <w:r>
              <w:rPr>
                <w:color w:val="000000"/>
                <w:kern w:val="0"/>
                <w:sz w:val="24"/>
                <w:vertAlign w:val="superscript"/>
                <w:lang w:bidi="ar"/>
              </w:rPr>
              <w:t>2</w:t>
            </w:r>
            <w:r>
              <w:rPr>
                <w:color w:val="000000"/>
                <w:kern w:val="0"/>
                <w:sz w:val="24"/>
                <w:lang w:bidi="ar"/>
              </w:rPr>
              <w:t>）</w:t>
            </w:r>
          </w:p>
          <w:p>
            <w:pPr>
              <w:autoSpaceDE w:val="0"/>
              <w:autoSpaceDN w:val="0"/>
              <w:adjustRightInd w:val="0"/>
              <w:snapToGrid w:val="0"/>
              <w:spacing w:line="360" w:lineRule="auto"/>
              <w:ind w:firstLine="1200" w:firstLineChars="500"/>
              <w:jc w:val="left"/>
              <w:rPr>
                <w:color w:val="000000"/>
                <w:kern w:val="0"/>
                <w:sz w:val="24"/>
                <w:lang w:bidi="ar"/>
              </w:rPr>
            </w:pPr>
            <w:r>
              <w:rPr>
                <w:color w:val="000000"/>
                <w:kern w:val="0"/>
                <w:sz w:val="24"/>
                <w:lang w:bidi="ar"/>
              </w:rPr>
              <w:t>F——汇水面积（hm</w:t>
            </w:r>
            <w:r>
              <w:rPr>
                <w:color w:val="000000"/>
                <w:kern w:val="0"/>
                <w:sz w:val="24"/>
                <w:vertAlign w:val="superscript"/>
                <w:lang w:bidi="ar"/>
              </w:rPr>
              <w:t>2</w:t>
            </w:r>
            <w:r>
              <w:rPr>
                <w:color w:val="000000"/>
                <w:kern w:val="0"/>
                <w:sz w:val="24"/>
                <w:lang w:bidi="ar"/>
              </w:rPr>
              <w:t>，项目生产区面积0.1hm</w:t>
            </w:r>
            <w:r>
              <w:rPr>
                <w:color w:val="000000"/>
                <w:kern w:val="0"/>
                <w:sz w:val="24"/>
                <w:vertAlign w:val="superscript"/>
                <w:lang w:bidi="ar"/>
              </w:rPr>
              <w:t>2</w:t>
            </w:r>
            <w:r>
              <w:rPr>
                <w:color w:val="000000"/>
                <w:kern w:val="0"/>
                <w:sz w:val="24"/>
                <w:lang w:bidi="ar"/>
              </w:rPr>
              <w:t>）。</w:t>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降雨强度按昆明市暴雨强度公式计算：</w:t>
            </w:r>
          </w:p>
          <w:p>
            <w:pPr>
              <w:autoSpaceDE w:val="0"/>
              <w:autoSpaceDN w:val="0"/>
              <w:adjustRightInd w:val="0"/>
              <w:snapToGrid w:val="0"/>
              <w:spacing w:line="360" w:lineRule="auto"/>
              <w:jc w:val="center"/>
              <w:rPr>
                <w:color w:val="000000"/>
                <w:kern w:val="0"/>
                <w:sz w:val="24"/>
                <w:lang w:bidi="ar"/>
              </w:rPr>
            </w:pPr>
            <w:r>
              <w:rPr>
                <w:color w:val="000000"/>
                <w:kern w:val="0"/>
                <w:sz w:val="24"/>
                <w:lang w:bidi="ar"/>
              </w:rPr>
              <w:t>q=700（1+0.775lgP）/（t</w:t>
            </w:r>
            <w:r>
              <w:rPr>
                <w:color w:val="000000"/>
                <w:kern w:val="0"/>
                <w:sz w:val="24"/>
                <w:vertAlign w:val="superscript"/>
                <w:lang w:bidi="ar"/>
              </w:rPr>
              <w:t>0.496</w:t>
            </w:r>
            <w:r>
              <w:rPr>
                <w:color w:val="000000"/>
                <w:kern w:val="0"/>
                <w:sz w:val="24"/>
                <w:lang w:bidi="ar"/>
              </w:rPr>
              <w:t>）</w:t>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式中：P——设计降雨重现期2</w:t>
            </w:r>
            <w:r>
              <w:rPr>
                <w:rFonts w:hint="eastAsia"/>
                <w:color w:val="000000"/>
                <w:kern w:val="0"/>
                <w:sz w:val="24"/>
                <w:lang w:bidi="ar"/>
              </w:rPr>
              <w:t>年</w:t>
            </w:r>
            <w:r>
              <w:rPr>
                <w:color w:val="000000"/>
                <w:kern w:val="0"/>
                <w:sz w:val="24"/>
                <w:lang w:bidi="ar"/>
              </w:rPr>
              <w:t>；</w:t>
            </w:r>
          </w:p>
          <w:p>
            <w:pPr>
              <w:autoSpaceDE w:val="0"/>
              <w:autoSpaceDN w:val="0"/>
              <w:adjustRightInd w:val="0"/>
              <w:snapToGrid w:val="0"/>
              <w:spacing w:line="360" w:lineRule="auto"/>
              <w:ind w:firstLine="1200" w:firstLineChars="500"/>
              <w:jc w:val="left"/>
              <w:rPr>
                <w:color w:val="000000"/>
                <w:kern w:val="0"/>
                <w:sz w:val="24"/>
                <w:lang w:bidi="ar"/>
              </w:rPr>
            </w:pPr>
            <w:r>
              <w:rPr>
                <w:color w:val="000000"/>
                <w:kern w:val="0"/>
                <w:sz w:val="24"/>
                <w:lang w:bidi="ar"/>
              </w:rPr>
              <w:t>t——降雨历时（min）；本次核算取降雨前15min；</w:t>
            </w:r>
          </w:p>
          <w:p>
            <w:pPr>
              <w:autoSpaceDE w:val="0"/>
              <w:autoSpaceDN w:val="0"/>
              <w:adjustRightInd w:val="0"/>
              <w:snapToGrid w:val="0"/>
              <w:spacing w:line="360" w:lineRule="auto"/>
              <w:ind w:firstLine="480" w:firstLineChars="200"/>
              <w:jc w:val="left"/>
              <w:rPr>
                <w:color w:val="000000"/>
                <w:kern w:val="0"/>
                <w:sz w:val="24"/>
                <w:lang w:bidi="ar"/>
              </w:rPr>
            </w:pPr>
            <w:r>
              <w:rPr>
                <w:color w:val="000000"/>
                <w:kern w:val="0"/>
                <w:sz w:val="24"/>
                <w:lang w:bidi="ar"/>
              </w:rPr>
              <w:t>按照上述公式进行计算，项目暴雨天气时设计暴雨强度225.33L/s·hm</w:t>
            </w:r>
            <w:r>
              <w:rPr>
                <w:color w:val="000000"/>
                <w:kern w:val="0"/>
                <w:sz w:val="24"/>
                <w:vertAlign w:val="superscript"/>
                <w:lang w:bidi="ar"/>
              </w:rPr>
              <w:t>2</w:t>
            </w:r>
            <w:r>
              <w:rPr>
                <w:color w:val="000000"/>
                <w:kern w:val="0"/>
                <w:sz w:val="24"/>
                <w:lang w:bidi="ar"/>
              </w:rPr>
              <w:t>，即初期降雨15min汇水量为20.28m</w:t>
            </w:r>
            <w:r>
              <w:rPr>
                <w:color w:val="000000"/>
                <w:kern w:val="0"/>
                <w:sz w:val="24"/>
                <w:vertAlign w:val="superscript"/>
                <w:lang w:bidi="ar"/>
              </w:rPr>
              <w:t>3</w:t>
            </w:r>
            <w:r>
              <w:rPr>
                <w:color w:val="000000"/>
                <w:kern w:val="0"/>
                <w:sz w:val="24"/>
                <w:lang w:bidi="ar"/>
              </w:rPr>
              <w:t>/次。</w:t>
            </w:r>
          </w:p>
          <w:p>
            <w:pPr>
              <w:spacing w:line="360" w:lineRule="auto"/>
              <w:ind w:firstLine="480" w:firstLineChars="200"/>
              <w:rPr>
                <w:color w:val="000000"/>
                <w:kern w:val="0"/>
                <w:sz w:val="24"/>
                <w:lang w:bidi="ar"/>
              </w:rPr>
            </w:pPr>
            <w:r>
              <w:rPr>
                <w:color w:val="000000"/>
                <w:kern w:val="0"/>
                <w:sz w:val="24"/>
                <w:lang w:bidi="ar"/>
              </w:rPr>
              <w:t>经过计算，项目初期雨水量为20.28m</w:t>
            </w:r>
            <w:r>
              <w:rPr>
                <w:color w:val="000000"/>
                <w:kern w:val="0"/>
                <w:sz w:val="24"/>
                <w:vertAlign w:val="superscript"/>
                <w:lang w:bidi="ar"/>
              </w:rPr>
              <w:t>3</w:t>
            </w:r>
            <w:r>
              <w:rPr>
                <w:color w:val="000000"/>
                <w:kern w:val="0"/>
                <w:sz w:val="24"/>
                <w:lang w:bidi="ar"/>
              </w:rPr>
              <w:t>/次，初期雨水经过沉淀处理后可优先回用于生产过程或用于洒水降尘。</w:t>
            </w:r>
          </w:p>
          <w:p>
            <w:pPr>
              <w:spacing w:line="360" w:lineRule="auto"/>
              <w:ind w:firstLine="480" w:firstLineChars="200"/>
              <w:rPr>
                <w:color w:val="000000"/>
                <w:kern w:val="0"/>
                <w:sz w:val="24"/>
                <w:lang w:bidi="ar"/>
              </w:rPr>
            </w:pPr>
            <w:r>
              <w:rPr>
                <w:color w:val="000000"/>
                <w:kern w:val="0"/>
                <w:sz w:val="24"/>
                <w:lang w:bidi="ar"/>
              </w:rPr>
              <w:t>4）废水产排情况</w:t>
            </w:r>
          </w:p>
          <w:p>
            <w:pPr>
              <w:spacing w:line="360" w:lineRule="auto"/>
              <w:ind w:firstLine="480" w:firstLineChars="200"/>
              <w:rPr>
                <w:sz w:val="24"/>
              </w:rPr>
            </w:pPr>
            <w:r>
              <w:rPr>
                <w:sz w:val="24"/>
              </w:rPr>
              <w:t>项目用水及废水产生情况见表4-8。</w:t>
            </w:r>
          </w:p>
          <w:p>
            <w:pPr>
              <w:spacing w:line="360" w:lineRule="auto"/>
              <w:ind w:firstLine="422" w:firstLineChars="200"/>
              <w:jc w:val="center"/>
              <w:rPr>
                <w:b/>
                <w:bCs/>
              </w:rPr>
            </w:pPr>
            <w:r>
              <w:rPr>
                <w:b/>
                <w:bCs/>
              </w:rPr>
              <w:t>表4-7  项目用水及废水产生情况统计表</w:t>
            </w:r>
          </w:p>
          <w:tbl>
            <w:tblPr>
              <w:tblStyle w:val="88"/>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372"/>
              <w:gridCol w:w="1073"/>
              <w:gridCol w:w="1332"/>
              <w:gridCol w:w="1311"/>
              <w:gridCol w:w="1145"/>
              <w:gridCol w:w="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4" w:hRule="atLeast"/>
                <w:jc w:val="right"/>
              </w:trPr>
              <w:tc>
                <w:tcPr>
                  <w:tcW w:w="455" w:type="pct"/>
                  <w:shd w:val="clear" w:color="auto" w:fill="auto"/>
                  <w:vAlign w:val="center"/>
                </w:tcPr>
                <w:p>
                  <w:pPr>
                    <w:autoSpaceDE w:val="0"/>
                    <w:autoSpaceDN w:val="0"/>
                    <w:adjustRightInd w:val="0"/>
                    <w:snapToGrid w:val="0"/>
                    <w:jc w:val="center"/>
                    <w:rPr>
                      <w:color w:val="000000"/>
                      <w:kern w:val="0"/>
                      <w:szCs w:val="21"/>
                    </w:rPr>
                  </w:pPr>
                  <w:r>
                    <w:rPr>
                      <w:color w:val="000000"/>
                      <w:kern w:val="0"/>
                      <w:szCs w:val="21"/>
                    </w:rPr>
                    <w:t>用水</w:t>
                  </w:r>
                </w:p>
                <w:p>
                  <w:pPr>
                    <w:autoSpaceDE w:val="0"/>
                    <w:autoSpaceDN w:val="0"/>
                    <w:adjustRightInd w:val="0"/>
                    <w:snapToGrid w:val="0"/>
                    <w:jc w:val="center"/>
                    <w:rPr>
                      <w:color w:val="000000"/>
                      <w:spacing w:val="20"/>
                      <w:szCs w:val="21"/>
                    </w:rPr>
                  </w:pPr>
                  <w:r>
                    <w:rPr>
                      <w:color w:val="000000"/>
                      <w:kern w:val="0"/>
                      <w:szCs w:val="21"/>
                    </w:rPr>
                    <w:t>类别</w:t>
                  </w:r>
                </w:p>
              </w:tc>
              <w:tc>
                <w:tcPr>
                  <w:tcW w:w="875" w:type="pct"/>
                  <w:shd w:val="clear" w:color="auto" w:fill="auto"/>
                  <w:vAlign w:val="center"/>
                </w:tcPr>
                <w:p>
                  <w:pPr>
                    <w:adjustRightInd w:val="0"/>
                    <w:snapToGrid w:val="0"/>
                    <w:jc w:val="center"/>
                    <w:rPr>
                      <w:color w:val="000000"/>
                      <w:spacing w:val="20"/>
                      <w:szCs w:val="21"/>
                    </w:rPr>
                  </w:pPr>
                  <w:r>
                    <w:rPr>
                      <w:color w:val="000000"/>
                      <w:spacing w:val="20"/>
                      <w:szCs w:val="21"/>
                    </w:rPr>
                    <w:t>用水单位</w:t>
                  </w:r>
                </w:p>
              </w:tc>
              <w:tc>
                <w:tcPr>
                  <w:tcW w:w="684" w:type="pct"/>
                  <w:shd w:val="clear" w:color="auto" w:fill="auto"/>
                  <w:vAlign w:val="center"/>
                </w:tcPr>
                <w:p>
                  <w:pPr>
                    <w:adjustRightInd w:val="0"/>
                    <w:snapToGrid w:val="0"/>
                    <w:jc w:val="center"/>
                    <w:rPr>
                      <w:color w:val="000000"/>
                      <w:spacing w:val="20"/>
                      <w:szCs w:val="21"/>
                    </w:rPr>
                  </w:pPr>
                  <w:r>
                    <w:rPr>
                      <w:color w:val="000000"/>
                      <w:spacing w:val="20"/>
                      <w:szCs w:val="21"/>
                    </w:rPr>
                    <w:t>规模</w:t>
                  </w:r>
                </w:p>
              </w:tc>
              <w:tc>
                <w:tcPr>
                  <w:tcW w:w="849" w:type="pct"/>
                  <w:shd w:val="clear" w:color="auto" w:fill="auto"/>
                  <w:vAlign w:val="center"/>
                </w:tcPr>
                <w:p>
                  <w:pPr>
                    <w:adjustRightInd w:val="0"/>
                    <w:snapToGrid w:val="0"/>
                    <w:jc w:val="center"/>
                    <w:rPr>
                      <w:color w:val="000000"/>
                      <w:spacing w:val="20"/>
                      <w:szCs w:val="21"/>
                    </w:rPr>
                  </w:pPr>
                  <w:r>
                    <w:rPr>
                      <w:color w:val="000000"/>
                      <w:spacing w:val="20"/>
                      <w:szCs w:val="21"/>
                    </w:rPr>
                    <w:t>用水标准</w:t>
                  </w:r>
                </w:p>
              </w:tc>
              <w:tc>
                <w:tcPr>
                  <w:tcW w:w="836" w:type="pct"/>
                  <w:shd w:val="clear" w:color="auto" w:fill="auto"/>
                  <w:vAlign w:val="center"/>
                </w:tcPr>
                <w:p>
                  <w:pPr>
                    <w:adjustRightInd w:val="0"/>
                    <w:snapToGrid w:val="0"/>
                    <w:jc w:val="center"/>
                    <w:rPr>
                      <w:color w:val="000000"/>
                      <w:spacing w:val="20"/>
                      <w:szCs w:val="21"/>
                    </w:rPr>
                  </w:pPr>
                  <w:r>
                    <w:rPr>
                      <w:color w:val="000000"/>
                      <w:spacing w:val="20"/>
                      <w:szCs w:val="21"/>
                    </w:rPr>
                    <w:t>用水量</w:t>
                  </w:r>
                </w:p>
                <w:p>
                  <w:pPr>
                    <w:adjustRightInd w:val="0"/>
                    <w:snapToGrid w:val="0"/>
                    <w:jc w:val="center"/>
                    <w:rPr>
                      <w:color w:val="000000"/>
                      <w:spacing w:val="20"/>
                      <w:szCs w:val="21"/>
                    </w:rPr>
                  </w:pPr>
                  <w:r>
                    <w:rPr>
                      <w:color w:val="000000"/>
                      <w:spacing w:val="20"/>
                      <w:szCs w:val="21"/>
                    </w:rPr>
                    <w:t>m</w:t>
                  </w:r>
                  <w:r>
                    <w:rPr>
                      <w:color w:val="000000"/>
                      <w:spacing w:val="20"/>
                      <w:szCs w:val="21"/>
                      <w:vertAlign w:val="superscript"/>
                    </w:rPr>
                    <w:t>3</w:t>
                  </w:r>
                  <w:r>
                    <w:rPr>
                      <w:color w:val="000000"/>
                      <w:spacing w:val="20"/>
                      <w:szCs w:val="21"/>
                    </w:rPr>
                    <w:t>/d</w:t>
                  </w:r>
                </w:p>
              </w:tc>
              <w:tc>
                <w:tcPr>
                  <w:tcW w:w="730" w:type="pct"/>
                  <w:shd w:val="clear" w:color="auto" w:fill="auto"/>
                  <w:vAlign w:val="center"/>
                </w:tcPr>
                <w:p>
                  <w:pPr>
                    <w:adjustRightInd w:val="0"/>
                    <w:snapToGrid w:val="0"/>
                    <w:jc w:val="center"/>
                    <w:rPr>
                      <w:color w:val="000000"/>
                      <w:spacing w:val="20"/>
                      <w:szCs w:val="21"/>
                    </w:rPr>
                  </w:pPr>
                  <w:r>
                    <w:rPr>
                      <w:color w:val="000000"/>
                      <w:spacing w:val="20"/>
                      <w:szCs w:val="21"/>
                    </w:rPr>
                    <w:t>废水量</w:t>
                  </w:r>
                </w:p>
                <w:p>
                  <w:pPr>
                    <w:adjustRightInd w:val="0"/>
                    <w:snapToGrid w:val="0"/>
                    <w:jc w:val="center"/>
                    <w:rPr>
                      <w:color w:val="000000"/>
                      <w:spacing w:val="20"/>
                      <w:szCs w:val="21"/>
                    </w:rPr>
                  </w:pPr>
                  <w:r>
                    <w:rPr>
                      <w:color w:val="000000"/>
                      <w:spacing w:val="20"/>
                      <w:szCs w:val="21"/>
                    </w:rPr>
                    <w:t>m</w:t>
                  </w:r>
                  <w:r>
                    <w:rPr>
                      <w:color w:val="000000"/>
                      <w:spacing w:val="20"/>
                      <w:szCs w:val="21"/>
                      <w:vertAlign w:val="superscript"/>
                    </w:rPr>
                    <w:t>3</w:t>
                  </w:r>
                  <w:r>
                    <w:rPr>
                      <w:color w:val="000000"/>
                      <w:spacing w:val="20"/>
                      <w:szCs w:val="21"/>
                    </w:rPr>
                    <w:t>/d</w:t>
                  </w:r>
                </w:p>
              </w:tc>
              <w:tc>
                <w:tcPr>
                  <w:tcW w:w="570" w:type="pct"/>
                  <w:shd w:val="clear" w:color="auto" w:fill="auto"/>
                  <w:vAlign w:val="center"/>
                </w:tcPr>
                <w:p>
                  <w:pPr>
                    <w:adjustRightInd w:val="0"/>
                    <w:snapToGrid w:val="0"/>
                    <w:jc w:val="center"/>
                    <w:rPr>
                      <w:color w:val="000000"/>
                      <w:spacing w:val="20"/>
                      <w:szCs w:val="21"/>
                    </w:rPr>
                  </w:pPr>
                  <w:r>
                    <w:rPr>
                      <w:color w:val="000000"/>
                      <w:spacing w:val="2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455" w:type="pct"/>
                  <w:vMerge w:val="restart"/>
                  <w:shd w:val="clear" w:color="auto" w:fill="auto"/>
                  <w:vAlign w:val="center"/>
                </w:tcPr>
                <w:p>
                  <w:pPr>
                    <w:autoSpaceDE w:val="0"/>
                    <w:autoSpaceDN w:val="0"/>
                    <w:adjustRightInd w:val="0"/>
                    <w:jc w:val="center"/>
                    <w:rPr>
                      <w:color w:val="000000"/>
                      <w:kern w:val="0"/>
                      <w:szCs w:val="21"/>
                    </w:rPr>
                  </w:pPr>
                  <w:bookmarkStart w:id="34" w:name="_Hlk113279032"/>
                  <w:r>
                    <w:rPr>
                      <w:color w:val="000000"/>
                      <w:kern w:val="0"/>
                      <w:szCs w:val="21"/>
                    </w:rPr>
                    <w:t>生产</w:t>
                  </w:r>
                </w:p>
                <w:p>
                  <w:pPr>
                    <w:autoSpaceDE w:val="0"/>
                    <w:autoSpaceDN w:val="0"/>
                    <w:adjustRightInd w:val="0"/>
                    <w:jc w:val="center"/>
                    <w:rPr>
                      <w:snapToGrid w:val="0"/>
                      <w:color w:val="000000"/>
                      <w:kern w:val="21"/>
                      <w:sz w:val="24"/>
                    </w:rPr>
                  </w:pPr>
                  <w:r>
                    <w:rPr>
                      <w:color w:val="000000"/>
                      <w:kern w:val="0"/>
                      <w:szCs w:val="21"/>
                    </w:rPr>
                    <w:t>用水</w:t>
                  </w:r>
                </w:p>
              </w:tc>
              <w:tc>
                <w:tcPr>
                  <w:tcW w:w="875" w:type="pct"/>
                  <w:shd w:val="clear" w:color="auto" w:fill="auto"/>
                  <w:vAlign w:val="center"/>
                </w:tcPr>
                <w:p>
                  <w:pPr>
                    <w:adjustRightInd w:val="0"/>
                    <w:snapToGrid w:val="0"/>
                    <w:jc w:val="center"/>
                    <w:rPr>
                      <w:color w:val="000000"/>
                      <w:spacing w:val="20"/>
                      <w:szCs w:val="21"/>
                    </w:rPr>
                  </w:pPr>
                  <w:r>
                    <w:rPr>
                      <w:color w:val="000000"/>
                      <w:spacing w:val="20"/>
                      <w:szCs w:val="21"/>
                    </w:rPr>
                    <w:t>搅拌工艺用水</w:t>
                  </w:r>
                </w:p>
              </w:tc>
              <w:tc>
                <w:tcPr>
                  <w:tcW w:w="684" w:type="pct"/>
                  <w:shd w:val="clear" w:color="auto" w:fill="auto"/>
                  <w:vAlign w:val="center"/>
                </w:tcPr>
                <w:p>
                  <w:pPr>
                    <w:adjustRightInd w:val="0"/>
                    <w:snapToGrid w:val="0"/>
                    <w:jc w:val="center"/>
                    <w:rPr>
                      <w:snapToGrid w:val="0"/>
                      <w:color w:val="000000"/>
                      <w:kern w:val="21"/>
                      <w:sz w:val="24"/>
                    </w:rPr>
                  </w:pPr>
                  <w:r>
                    <w:rPr>
                      <w:color w:val="000000"/>
                      <w:spacing w:val="20"/>
                      <w:szCs w:val="21"/>
                    </w:rPr>
                    <w:t>6万m</w:t>
                  </w:r>
                  <w:r>
                    <w:rPr>
                      <w:color w:val="000000"/>
                      <w:spacing w:val="20"/>
                      <w:szCs w:val="21"/>
                      <w:vertAlign w:val="superscript"/>
                    </w:rPr>
                    <w:t>3</w:t>
                  </w:r>
                  <w:r>
                    <w:rPr>
                      <w:color w:val="000000"/>
                      <w:spacing w:val="20"/>
                      <w:szCs w:val="21"/>
                    </w:rPr>
                    <w:t>/a</w:t>
                  </w:r>
                </w:p>
              </w:tc>
              <w:tc>
                <w:tcPr>
                  <w:tcW w:w="849" w:type="pct"/>
                  <w:shd w:val="clear" w:color="auto" w:fill="auto"/>
                  <w:vAlign w:val="center"/>
                </w:tcPr>
                <w:p>
                  <w:pPr>
                    <w:adjustRightInd w:val="0"/>
                    <w:snapToGrid w:val="0"/>
                    <w:jc w:val="center"/>
                    <w:rPr>
                      <w:color w:val="000000"/>
                      <w:spacing w:val="20"/>
                      <w:szCs w:val="21"/>
                    </w:rPr>
                  </w:pPr>
                  <w:r>
                    <w:rPr>
                      <w:color w:val="000000"/>
                      <w:spacing w:val="20"/>
                      <w:szCs w:val="21"/>
                    </w:rPr>
                    <w:t>0.15m</w:t>
                  </w:r>
                  <w:r>
                    <w:rPr>
                      <w:color w:val="000000"/>
                      <w:spacing w:val="20"/>
                      <w:szCs w:val="21"/>
                      <w:vertAlign w:val="superscript"/>
                    </w:rPr>
                    <w:t>3</w:t>
                  </w:r>
                  <w:r>
                    <w:rPr>
                      <w:color w:val="000000"/>
                      <w:spacing w:val="20"/>
                      <w:szCs w:val="21"/>
                    </w:rPr>
                    <w:t>/m</w:t>
                  </w:r>
                  <w:r>
                    <w:rPr>
                      <w:color w:val="000000"/>
                      <w:spacing w:val="20"/>
                      <w:szCs w:val="21"/>
                      <w:vertAlign w:val="superscript"/>
                    </w:rPr>
                    <w:t>3</w:t>
                  </w:r>
                </w:p>
              </w:tc>
              <w:tc>
                <w:tcPr>
                  <w:tcW w:w="836" w:type="pct"/>
                  <w:shd w:val="clear" w:color="auto" w:fill="auto"/>
                  <w:vAlign w:val="center"/>
                </w:tcPr>
                <w:p>
                  <w:pPr>
                    <w:adjustRightInd w:val="0"/>
                    <w:snapToGrid w:val="0"/>
                    <w:jc w:val="center"/>
                    <w:rPr>
                      <w:color w:val="000000"/>
                      <w:spacing w:val="20"/>
                      <w:szCs w:val="21"/>
                    </w:rPr>
                  </w:pPr>
                  <w:r>
                    <w:rPr>
                      <w:color w:val="000000"/>
                      <w:spacing w:val="20"/>
                      <w:szCs w:val="21"/>
                    </w:rPr>
                    <w:t>30</w:t>
                  </w:r>
                </w:p>
              </w:tc>
              <w:tc>
                <w:tcPr>
                  <w:tcW w:w="730" w:type="pct"/>
                  <w:shd w:val="clear" w:color="auto" w:fill="auto"/>
                  <w:vAlign w:val="center"/>
                </w:tcPr>
                <w:p>
                  <w:pPr>
                    <w:adjustRightInd w:val="0"/>
                    <w:snapToGrid w:val="0"/>
                    <w:jc w:val="center"/>
                    <w:rPr>
                      <w:color w:val="000000"/>
                      <w:spacing w:val="20"/>
                      <w:szCs w:val="21"/>
                    </w:rPr>
                  </w:pPr>
                  <w:r>
                    <w:rPr>
                      <w:color w:val="000000"/>
                      <w:spacing w:val="20"/>
                      <w:szCs w:val="21"/>
                    </w:rPr>
                    <w:t>0</w:t>
                  </w:r>
                </w:p>
              </w:tc>
              <w:tc>
                <w:tcPr>
                  <w:tcW w:w="570" w:type="pct"/>
                  <w:shd w:val="clear" w:color="auto" w:fill="auto"/>
                  <w:vAlign w:val="center"/>
                </w:tcPr>
                <w:p>
                  <w:pPr>
                    <w:adjustRightInd w:val="0"/>
                    <w:snapToGrid w:val="0"/>
                    <w:jc w:val="center"/>
                    <w:rPr>
                      <w:snapToGrid w:val="0"/>
                      <w:color w:val="000000"/>
                      <w:kern w:val="21"/>
                      <w:sz w:val="24"/>
                    </w:rPr>
                  </w:pPr>
                  <w:r>
                    <w:rPr>
                      <w:color w:val="000000"/>
                      <w:spacing w:val="20"/>
                      <w:szCs w:val="21"/>
                    </w:rPr>
                    <w:t>产品带走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455" w:type="pct"/>
                  <w:vMerge w:val="continue"/>
                  <w:shd w:val="clear" w:color="auto" w:fill="auto"/>
                </w:tcPr>
                <w:p>
                  <w:pPr>
                    <w:autoSpaceDE w:val="0"/>
                    <w:autoSpaceDN w:val="0"/>
                    <w:adjustRightInd w:val="0"/>
                    <w:jc w:val="center"/>
                    <w:rPr>
                      <w:color w:val="000000"/>
                      <w:kern w:val="0"/>
                      <w:szCs w:val="21"/>
                    </w:rPr>
                  </w:pPr>
                </w:p>
              </w:tc>
              <w:tc>
                <w:tcPr>
                  <w:tcW w:w="875" w:type="pct"/>
                  <w:shd w:val="clear" w:color="auto" w:fill="auto"/>
                  <w:vAlign w:val="center"/>
                </w:tcPr>
                <w:p>
                  <w:pPr>
                    <w:adjustRightInd w:val="0"/>
                    <w:snapToGrid w:val="0"/>
                    <w:jc w:val="center"/>
                    <w:rPr>
                      <w:color w:val="000000"/>
                      <w:spacing w:val="20"/>
                      <w:szCs w:val="21"/>
                    </w:rPr>
                  </w:pPr>
                  <w:r>
                    <w:rPr>
                      <w:color w:val="000000"/>
                      <w:spacing w:val="20"/>
                      <w:szCs w:val="21"/>
                    </w:rPr>
                    <w:t>搅拌机清洗用水</w:t>
                  </w:r>
                </w:p>
              </w:tc>
              <w:tc>
                <w:tcPr>
                  <w:tcW w:w="684" w:type="pct"/>
                  <w:shd w:val="clear" w:color="auto" w:fill="auto"/>
                  <w:vAlign w:val="center"/>
                </w:tcPr>
                <w:p>
                  <w:pPr>
                    <w:adjustRightInd w:val="0"/>
                    <w:snapToGrid w:val="0"/>
                    <w:jc w:val="center"/>
                    <w:rPr>
                      <w:color w:val="000000"/>
                      <w:spacing w:val="20"/>
                      <w:szCs w:val="21"/>
                    </w:rPr>
                  </w:pPr>
                  <w:r>
                    <w:rPr>
                      <w:color w:val="000000"/>
                      <w:spacing w:val="20"/>
                      <w:szCs w:val="21"/>
                    </w:rPr>
                    <w:t>1台搅拌机</w:t>
                  </w:r>
                </w:p>
              </w:tc>
              <w:tc>
                <w:tcPr>
                  <w:tcW w:w="849" w:type="pct"/>
                  <w:shd w:val="clear" w:color="auto" w:fill="auto"/>
                  <w:vAlign w:val="center"/>
                </w:tcPr>
                <w:p>
                  <w:pPr>
                    <w:autoSpaceDE w:val="0"/>
                    <w:autoSpaceDN w:val="0"/>
                    <w:adjustRightInd w:val="0"/>
                    <w:jc w:val="center"/>
                    <w:rPr>
                      <w:color w:val="000000"/>
                      <w:spacing w:val="20"/>
                      <w:szCs w:val="21"/>
                    </w:rPr>
                  </w:pPr>
                  <w:r>
                    <w:rPr>
                      <w:color w:val="000000"/>
                      <w:spacing w:val="20"/>
                      <w:szCs w:val="21"/>
                    </w:rPr>
                    <w:t>1m</w:t>
                  </w:r>
                  <w:r>
                    <w:rPr>
                      <w:color w:val="000000"/>
                      <w:spacing w:val="20"/>
                      <w:szCs w:val="21"/>
                      <w:vertAlign w:val="superscript"/>
                    </w:rPr>
                    <w:t>3</w:t>
                  </w:r>
                  <w:r>
                    <w:rPr>
                      <w:color w:val="000000"/>
                      <w:spacing w:val="20"/>
                      <w:szCs w:val="21"/>
                    </w:rPr>
                    <w:t>/次•d</w:t>
                  </w:r>
                </w:p>
                <w:p>
                  <w:pPr>
                    <w:adjustRightInd w:val="0"/>
                    <w:snapToGrid w:val="0"/>
                    <w:jc w:val="center"/>
                    <w:rPr>
                      <w:color w:val="000000"/>
                      <w:spacing w:val="20"/>
                      <w:szCs w:val="21"/>
                    </w:rPr>
                  </w:pPr>
                  <w:r>
                    <w:rPr>
                      <w:color w:val="000000"/>
                      <w:spacing w:val="20"/>
                      <w:szCs w:val="21"/>
                    </w:rPr>
                    <w:t>每天1次</w:t>
                  </w:r>
                </w:p>
              </w:tc>
              <w:tc>
                <w:tcPr>
                  <w:tcW w:w="836" w:type="pct"/>
                  <w:shd w:val="clear" w:color="auto" w:fill="auto"/>
                  <w:vAlign w:val="center"/>
                </w:tcPr>
                <w:p>
                  <w:pPr>
                    <w:adjustRightInd w:val="0"/>
                    <w:snapToGrid w:val="0"/>
                    <w:jc w:val="center"/>
                    <w:rPr>
                      <w:color w:val="000000"/>
                      <w:spacing w:val="20"/>
                      <w:szCs w:val="21"/>
                    </w:rPr>
                  </w:pPr>
                  <w:r>
                    <w:rPr>
                      <w:color w:val="000000"/>
                      <w:spacing w:val="20"/>
                      <w:szCs w:val="21"/>
                    </w:rPr>
                    <w:t>1</w:t>
                  </w:r>
                </w:p>
              </w:tc>
              <w:tc>
                <w:tcPr>
                  <w:tcW w:w="730" w:type="pct"/>
                  <w:shd w:val="clear" w:color="auto" w:fill="auto"/>
                  <w:vAlign w:val="center"/>
                </w:tcPr>
                <w:p>
                  <w:pPr>
                    <w:adjustRightInd w:val="0"/>
                    <w:snapToGrid w:val="0"/>
                    <w:jc w:val="center"/>
                    <w:rPr>
                      <w:color w:val="000000"/>
                      <w:spacing w:val="20"/>
                      <w:szCs w:val="21"/>
                    </w:rPr>
                  </w:pPr>
                  <w:r>
                    <w:rPr>
                      <w:color w:val="000000"/>
                      <w:spacing w:val="20"/>
                      <w:szCs w:val="21"/>
                    </w:rPr>
                    <w:t>0.9</w:t>
                  </w:r>
                </w:p>
              </w:tc>
              <w:tc>
                <w:tcPr>
                  <w:tcW w:w="570" w:type="pct"/>
                  <w:vMerge w:val="restart"/>
                  <w:shd w:val="clear" w:color="auto" w:fill="auto"/>
                  <w:vAlign w:val="center"/>
                </w:tcPr>
                <w:p>
                  <w:pPr>
                    <w:autoSpaceDE w:val="0"/>
                    <w:autoSpaceDN w:val="0"/>
                    <w:adjustRightInd w:val="0"/>
                    <w:jc w:val="left"/>
                    <w:rPr>
                      <w:color w:val="000000"/>
                      <w:spacing w:val="20"/>
                      <w:szCs w:val="21"/>
                    </w:rPr>
                  </w:pPr>
                  <w:r>
                    <w:rPr>
                      <w:color w:val="000000"/>
                      <w:kern w:val="0"/>
                      <w:szCs w:val="21"/>
                    </w:rPr>
                    <w:t>处理后回用于生产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455" w:type="pct"/>
                  <w:vMerge w:val="continue"/>
                  <w:shd w:val="clear" w:color="auto" w:fill="auto"/>
                </w:tcPr>
                <w:p>
                  <w:pPr>
                    <w:autoSpaceDE w:val="0"/>
                    <w:autoSpaceDN w:val="0"/>
                    <w:adjustRightInd w:val="0"/>
                    <w:jc w:val="center"/>
                    <w:rPr>
                      <w:color w:val="000000"/>
                      <w:kern w:val="0"/>
                      <w:szCs w:val="21"/>
                    </w:rPr>
                  </w:pPr>
                </w:p>
              </w:tc>
              <w:tc>
                <w:tcPr>
                  <w:tcW w:w="875" w:type="pct"/>
                  <w:shd w:val="clear" w:color="auto" w:fill="auto"/>
                  <w:vAlign w:val="center"/>
                </w:tcPr>
                <w:p>
                  <w:pPr>
                    <w:adjustRightInd w:val="0"/>
                    <w:snapToGrid w:val="0"/>
                    <w:jc w:val="center"/>
                    <w:rPr>
                      <w:color w:val="000000"/>
                      <w:spacing w:val="20"/>
                      <w:szCs w:val="21"/>
                    </w:rPr>
                  </w:pPr>
                  <w:r>
                    <w:rPr>
                      <w:color w:val="000000"/>
                      <w:spacing w:val="20"/>
                      <w:szCs w:val="21"/>
                    </w:rPr>
                    <w:t>罐体清洗用水</w:t>
                  </w:r>
                </w:p>
              </w:tc>
              <w:tc>
                <w:tcPr>
                  <w:tcW w:w="684" w:type="pct"/>
                  <w:shd w:val="clear" w:color="auto" w:fill="auto"/>
                  <w:vAlign w:val="center"/>
                </w:tcPr>
                <w:p>
                  <w:pPr>
                    <w:adjustRightInd w:val="0"/>
                    <w:snapToGrid w:val="0"/>
                    <w:jc w:val="center"/>
                    <w:rPr>
                      <w:color w:val="000000"/>
                      <w:spacing w:val="20"/>
                      <w:szCs w:val="21"/>
                    </w:rPr>
                  </w:pPr>
                  <w:r>
                    <w:rPr>
                      <w:color w:val="000000"/>
                      <w:spacing w:val="20"/>
                      <w:szCs w:val="21"/>
                    </w:rPr>
                    <w:t>20辆次/d</w:t>
                  </w:r>
                </w:p>
              </w:tc>
              <w:tc>
                <w:tcPr>
                  <w:tcW w:w="849" w:type="pct"/>
                  <w:shd w:val="clear" w:color="auto" w:fill="auto"/>
                  <w:vAlign w:val="center"/>
                </w:tcPr>
                <w:p>
                  <w:pPr>
                    <w:adjustRightInd w:val="0"/>
                    <w:snapToGrid w:val="0"/>
                    <w:jc w:val="center"/>
                    <w:rPr>
                      <w:color w:val="000000"/>
                      <w:spacing w:val="20"/>
                      <w:szCs w:val="21"/>
                    </w:rPr>
                  </w:pPr>
                  <w:r>
                    <w:rPr>
                      <w:color w:val="000000"/>
                      <w:spacing w:val="20"/>
                      <w:szCs w:val="21"/>
                    </w:rPr>
                    <w:t>0.15m</w:t>
                  </w:r>
                  <w:r>
                    <w:rPr>
                      <w:color w:val="000000"/>
                      <w:spacing w:val="20"/>
                      <w:szCs w:val="21"/>
                      <w:vertAlign w:val="superscript"/>
                    </w:rPr>
                    <w:t>3</w:t>
                  </w:r>
                  <w:r>
                    <w:rPr>
                      <w:color w:val="000000"/>
                      <w:spacing w:val="20"/>
                      <w:szCs w:val="21"/>
                    </w:rPr>
                    <w:t>/d•辆</w:t>
                  </w:r>
                </w:p>
              </w:tc>
              <w:tc>
                <w:tcPr>
                  <w:tcW w:w="836" w:type="pct"/>
                  <w:shd w:val="clear" w:color="auto" w:fill="auto"/>
                  <w:vAlign w:val="center"/>
                </w:tcPr>
                <w:p>
                  <w:pPr>
                    <w:adjustRightInd w:val="0"/>
                    <w:snapToGrid w:val="0"/>
                    <w:jc w:val="center"/>
                    <w:rPr>
                      <w:color w:val="000000"/>
                      <w:spacing w:val="20"/>
                      <w:szCs w:val="21"/>
                    </w:rPr>
                  </w:pPr>
                  <w:r>
                    <w:rPr>
                      <w:color w:val="000000"/>
                      <w:spacing w:val="20"/>
                      <w:szCs w:val="21"/>
                    </w:rPr>
                    <w:t>3</w:t>
                  </w:r>
                </w:p>
              </w:tc>
              <w:tc>
                <w:tcPr>
                  <w:tcW w:w="730" w:type="pct"/>
                  <w:shd w:val="clear" w:color="auto" w:fill="auto"/>
                  <w:vAlign w:val="center"/>
                </w:tcPr>
                <w:p>
                  <w:pPr>
                    <w:adjustRightInd w:val="0"/>
                    <w:snapToGrid w:val="0"/>
                    <w:jc w:val="center"/>
                    <w:rPr>
                      <w:color w:val="000000"/>
                      <w:spacing w:val="20"/>
                      <w:szCs w:val="21"/>
                    </w:rPr>
                  </w:pPr>
                  <w:r>
                    <w:rPr>
                      <w:color w:val="000000"/>
                      <w:spacing w:val="20"/>
                      <w:szCs w:val="21"/>
                    </w:rPr>
                    <w:t>2.7</w:t>
                  </w:r>
                </w:p>
              </w:tc>
              <w:tc>
                <w:tcPr>
                  <w:tcW w:w="570" w:type="pct"/>
                  <w:vMerge w:val="continue"/>
                  <w:shd w:val="clear" w:color="auto" w:fill="auto"/>
                  <w:vAlign w:val="center"/>
                </w:tcPr>
                <w:p>
                  <w:pPr>
                    <w:adjustRightInd w:val="0"/>
                    <w:snapToGrid w:val="0"/>
                    <w:jc w:val="center"/>
                    <w:rPr>
                      <w:snapToGrid w:val="0"/>
                      <w:color w:val="000000"/>
                      <w:kern w:val="2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455" w:type="pct"/>
                  <w:vMerge w:val="continue"/>
                  <w:shd w:val="clear" w:color="auto" w:fill="auto"/>
                </w:tcPr>
                <w:p>
                  <w:pPr>
                    <w:autoSpaceDE w:val="0"/>
                    <w:autoSpaceDN w:val="0"/>
                    <w:adjustRightInd w:val="0"/>
                    <w:jc w:val="center"/>
                    <w:rPr>
                      <w:color w:val="000000"/>
                      <w:kern w:val="0"/>
                      <w:szCs w:val="21"/>
                    </w:rPr>
                  </w:pPr>
                </w:p>
              </w:tc>
              <w:tc>
                <w:tcPr>
                  <w:tcW w:w="875" w:type="pct"/>
                  <w:shd w:val="clear" w:color="auto" w:fill="auto"/>
                  <w:vAlign w:val="center"/>
                </w:tcPr>
                <w:p>
                  <w:pPr>
                    <w:autoSpaceDE w:val="0"/>
                    <w:autoSpaceDN w:val="0"/>
                    <w:adjustRightInd w:val="0"/>
                    <w:snapToGrid w:val="0"/>
                    <w:jc w:val="center"/>
                    <w:rPr>
                      <w:color w:val="000000"/>
                      <w:spacing w:val="20"/>
                      <w:szCs w:val="21"/>
                    </w:rPr>
                  </w:pPr>
                  <w:r>
                    <w:rPr>
                      <w:color w:val="000000"/>
                      <w:spacing w:val="20"/>
                      <w:szCs w:val="21"/>
                    </w:rPr>
                    <w:t>车辆外部清洗用水</w:t>
                  </w:r>
                </w:p>
              </w:tc>
              <w:tc>
                <w:tcPr>
                  <w:tcW w:w="684" w:type="pct"/>
                  <w:shd w:val="clear" w:color="auto" w:fill="auto"/>
                  <w:vAlign w:val="center"/>
                </w:tcPr>
                <w:p>
                  <w:pPr>
                    <w:adjustRightInd w:val="0"/>
                    <w:snapToGrid w:val="0"/>
                    <w:jc w:val="center"/>
                    <w:rPr>
                      <w:color w:val="000000"/>
                      <w:spacing w:val="20"/>
                      <w:szCs w:val="21"/>
                    </w:rPr>
                  </w:pPr>
                  <w:r>
                    <w:rPr>
                      <w:color w:val="000000"/>
                      <w:spacing w:val="20"/>
                      <w:szCs w:val="21"/>
                    </w:rPr>
                    <w:t>20辆次/d</w:t>
                  </w:r>
                </w:p>
              </w:tc>
              <w:tc>
                <w:tcPr>
                  <w:tcW w:w="849" w:type="pct"/>
                  <w:shd w:val="clear" w:color="auto" w:fill="auto"/>
                  <w:vAlign w:val="center"/>
                </w:tcPr>
                <w:p>
                  <w:pPr>
                    <w:adjustRightInd w:val="0"/>
                    <w:snapToGrid w:val="0"/>
                    <w:jc w:val="center"/>
                    <w:rPr>
                      <w:color w:val="000000"/>
                      <w:spacing w:val="20"/>
                      <w:szCs w:val="21"/>
                    </w:rPr>
                  </w:pPr>
                  <w:r>
                    <w:rPr>
                      <w:color w:val="000000"/>
                      <w:spacing w:val="20"/>
                      <w:szCs w:val="21"/>
                    </w:rPr>
                    <w:t>0.05m</w:t>
                  </w:r>
                  <w:r>
                    <w:rPr>
                      <w:color w:val="000000"/>
                      <w:spacing w:val="20"/>
                      <w:szCs w:val="21"/>
                      <w:vertAlign w:val="superscript"/>
                    </w:rPr>
                    <w:t>3</w:t>
                  </w:r>
                  <w:r>
                    <w:rPr>
                      <w:color w:val="000000"/>
                      <w:spacing w:val="20"/>
                      <w:szCs w:val="21"/>
                    </w:rPr>
                    <w:t>/d•辆</w:t>
                  </w:r>
                </w:p>
              </w:tc>
              <w:tc>
                <w:tcPr>
                  <w:tcW w:w="836" w:type="pct"/>
                  <w:shd w:val="clear" w:color="auto" w:fill="auto"/>
                  <w:vAlign w:val="center"/>
                </w:tcPr>
                <w:p>
                  <w:pPr>
                    <w:adjustRightInd w:val="0"/>
                    <w:snapToGrid w:val="0"/>
                    <w:jc w:val="center"/>
                    <w:rPr>
                      <w:color w:val="000000"/>
                      <w:spacing w:val="20"/>
                      <w:szCs w:val="21"/>
                    </w:rPr>
                  </w:pPr>
                  <w:r>
                    <w:rPr>
                      <w:color w:val="000000"/>
                      <w:spacing w:val="20"/>
                      <w:szCs w:val="21"/>
                    </w:rPr>
                    <w:t>1</w:t>
                  </w:r>
                </w:p>
              </w:tc>
              <w:tc>
                <w:tcPr>
                  <w:tcW w:w="730" w:type="pct"/>
                  <w:shd w:val="clear" w:color="auto" w:fill="auto"/>
                  <w:vAlign w:val="center"/>
                </w:tcPr>
                <w:p>
                  <w:pPr>
                    <w:adjustRightInd w:val="0"/>
                    <w:snapToGrid w:val="0"/>
                    <w:jc w:val="center"/>
                    <w:rPr>
                      <w:color w:val="000000"/>
                      <w:spacing w:val="20"/>
                      <w:szCs w:val="21"/>
                    </w:rPr>
                  </w:pPr>
                  <w:r>
                    <w:rPr>
                      <w:color w:val="000000"/>
                      <w:spacing w:val="20"/>
                      <w:szCs w:val="21"/>
                    </w:rPr>
                    <w:t>0.9</w:t>
                  </w:r>
                </w:p>
              </w:tc>
              <w:tc>
                <w:tcPr>
                  <w:tcW w:w="570" w:type="pct"/>
                  <w:vMerge w:val="continue"/>
                  <w:shd w:val="clear" w:color="auto" w:fill="auto"/>
                  <w:vAlign w:val="center"/>
                </w:tcPr>
                <w:p>
                  <w:pPr>
                    <w:adjustRightInd w:val="0"/>
                    <w:snapToGrid w:val="0"/>
                    <w:jc w:val="center"/>
                    <w:rPr>
                      <w:snapToGrid w:val="0"/>
                      <w:color w:val="000000"/>
                      <w:kern w:val="2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455" w:type="pct"/>
                  <w:vMerge w:val="continue"/>
                  <w:shd w:val="clear" w:color="auto" w:fill="auto"/>
                </w:tcPr>
                <w:p>
                  <w:pPr>
                    <w:autoSpaceDE w:val="0"/>
                    <w:autoSpaceDN w:val="0"/>
                    <w:adjustRightInd w:val="0"/>
                    <w:jc w:val="center"/>
                    <w:rPr>
                      <w:color w:val="000000"/>
                      <w:kern w:val="0"/>
                      <w:szCs w:val="21"/>
                    </w:rPr>
                  </w:pPr>
                </w:p>
              </w:tc>
              <w:tc>
                <w:tcPr>
                  <w:tcW w:w="875" w:type="pct"/>
                  <w:shd w:val="clear" w:color="auto" w:fill="auto"/>
                  <w:vAlign w:val="center"/>
                </w:tcPr>
                <w:p>
                  <w:pPr>
                    <w:adjustRightInd w:val="0"/>
                    <w:snapToGrid w:val="0"/>
                    <w:jc w:val="center"/>
                    <w:rPr>
                      <w:color w:val="000000"/>
                      <w:spacing w:val="20"/>
                      <w:szCs w:val="21"/>
                    </w:rPr>
                  </w:pPr>
                  <w:r>
                    <w:rPr>
                      <w:color w:val="000000"/>
                      <w:spacing w:val="20"/>
                      <w:szCs w:val="21"/>
                    </w:rPr>
                    <w:t>原料库喷雾降尘用水</w:t>
                  </w:r>
                </w:p>
              </w:tc>
              <w:tc>
                <w:tcPr>
                  <w:tcW w:w="684" w:type="pct"/>
                  <w:shd w:val="clear" w:color="auto" w:fill="auto"/>
                  <w:vAlign w:val="center"/>
                </w:tcPr>
                <w:p>
                  <w:pPr>
                    <w:adjustRightInd w:val="0"/>
                    <w:snapToGrid w:val="0"/>
                    <w:jc w:val="center"/>
                    <w:rPr>
                      <w:color w:val="000000"/>
                      <w:spacing w:val="20"/>
                      <w:szCs w:val="21"/>
                    </w:rPr>
                  </w:pPr>
                  <w:r>
                    <w:rPr>
                      <w:color w:val="000000"/>
                      <w:spacing w:val="20"/>
                      <w:szCs w:val="21"/>
                    </w:rPr>
                    <w:t>2070m</w:t>
                  </w:r>
                  <w:r>
                    <w:rPr>
                      <w:color w:val="000000"/>
                      <w:spacing w:val="20"/>
                      <w:szCs w:val="21"/>
                      <w:vertAlign w:val="superscript"/>
                    </w:rPr>
                    <w:t>2</w:t>
                  </w:r>
                </w:p>
              </w:tc>
              <w:tc>
                <w:tcPr>
                  <w:tcW w:w="849" w:type="pct"/>
                  <w:shd w:val="clear" w:color="auto" w:fill="auto"/>
                  <w:vAlign w:val="center"/>
                </w:tcPr>
                <w:p>
                  <w:pPr>
                    <w:adjustRightInd w:val="0"/>
                    <w:snapToGrid w:val="0"/>
                    <w:jc w:val="center"/>
                    <w:rPr>
                      <w:color w:val="000000"/>
                      <w:spacing w:val="20"/>
                      <w:szCs w:val="21"/>
                    </w:rPr>
                  </w:pPr>
                  <w:r>
                    <w:rPr>
                      <w:color w:val="000000"/>
                      <w:spacing w:val="20"/>
                      <w:szCs w:val="21"/>
                    </w:rPr>
                    <w:t>1.5L/m</w:t>
                  </w:r>
                  <w:r>
                    <w:rPr>
                      <w:color w:val="000000"/>
                      <w:spacing w:val="20"/>
                      <w:szCs w:val="21"/>
                      <w:vertAlign w:val="superscript"/>
                    </w:rPr>
                    <w:t>2</w:t>
                  </w:r>
                  <w:r>
                    <w:rPr>
                      <w:color w:val="000000"/>
                      <w:spacing w:val="20"/>
                      <w:szCs w:val="21"/>
                    </w:rPr>
                    <w:t>•d</w:t>
                  </w:r>
                </w:p>
              </w:tc>
              <w:tc>
                <w:tcPr>
                  <w:tcW w:w="836" w:type="pct"/>
                  <w:shd w:val="clear" w:color="auto" w:fill="auto"/>
                  <w:vAlign w:val="center"/>
                </w:tcPr>
                <w:p>
                  <w:pPr>
                    <w:adjustRightInd w:val="0"/>
                    <w:snapToGrid w:val="0"/>
                    <w:jc w:val="center"/>
                    <w:rPr>
                      <w:color w:val="000000"/>
                      <w:spacing w:val="20"/>
                      <w:szCs w:val="21"/>
                    </w:rPr>
                  </w:pPr>
                  <w:r>
                    <w:rPr>
                      <w:color w:val="000000"/>
                      <w:spacing w:val="20"/>
                      <w:szCs w:val="21"/>
                    </w:rPr>
                    <w:t>3.1</w:t>
                  </w:r>
                </w:p>
              </w:tc>
              <w:tc>
                <w:tcPr>
                  <w:tcW w:w="730" w:type="pct"/>
                  <w:shd w:val="clear" w:color="auto" w:fill="auto"/>
                  <w:vAlign w:val="center"/>
                </w:tcPr>
                <w:p>
                  <w:pPr>
                    <w:adjustRightInd w:val="0"/>
                    <w:snapToGrid w:val="0"/>
                    <w:jc w:val="center"/>
                    <w:rPr>
                      <w:color w:val="000000"/>
                      <w:spacing w:val="20"/>
                      <w:szCs w:val="21"/>
                    </w:rPr>
                  </w:pPr>
                  <w:r>
                    <w:rPr>
                      <w:color w:val="000000"/>
                      <w:spacing w:val="20"/>
                      <w:szCs w:val="21"/>
                    </w:rPr>
                    <w:t>0</w:t>
                  </w:r>
                </w:p>
              </w:tc>
              <w:tc>
                <w:tcPr>
                  <w:tcW w:w="570" w:type="pct"/>
                  <w:vMerge w:val="restart"/>
                  <w:shd w:val="clear" w:color="auto" w:fill="auto"/>
                  <w:vAlign w:val="center"/>
                </w:tcPr>
                <w:p>
                  <w:pPr>
                    <w:autoSpaceDE w:val="0"/>
                    <w:autoSpaceDN w:val="0"/>
                    <w:adjustRightInd w:val="0"/>
                    <w:jc w:val="center"/>
                    <w:rPr>
                      <w:color w:val="000000"/>
                      <w:kern w:val="0"/>
                      <w:szCs w:val="21"/>
                    </w:rPr>
                  </w:pPr>
                  <w:r>
                    <w:rPr>
                      <w:color w:val="000000"/>
                      <w:kern w:val="0"/>
                      <w:szCs w:val="21"/>
                    </w:rPr>
                    <w:t>自然</w:t>
                  </w:r>
                </w:p>
                <w:p>
                  <w:pPr>
                    <w:autoSpaceDE w:val="0"/>
                    <w:autoSpaceDN w:val="0"/>
                    <w:adjustRightInd w:val="0"/>
                    <w:jc w:val="center"/>
                    <w:rPr>
                      <w:snapToGrid w:val="0"/>
                      <w:color w:val="000000"/>
                      <w:kern w:val="21"/>
                      <w:sz w:val="24"/>
                    </w:rPr>
                  </w:pPr>
                  <w:r>
                    <w:rPr>
                      <w:color w:val="000000"/>
                      <w:kern w:val="0"/>
                      <w:szCs w:val="21"/>
                    </w:rPr>
                    <w:t>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455" w:type="pct"/>
                  <w:vMerge w:val="continue"/>
                  <w:shd w:val="clear" w:color="auto" w:fill="auto"/>
                </w:tcPr>
                <w:p>
                  <w:pPr>
                    <w:autoSpaceDE w:val="0"/>
                    <w:autoSpaceDN w:val="0"/>
                    <w:adjustRightInd w:val="0"/>
                    <w:jc w:val="center"/>
                    <w:rPr>
                      <w:color w:val="000000"/>
                      <w:kern w:val="0"/>
                      <w:szCs w:val="21"/>
                    </w:rPr>
                  </w:pPr>
                </w:p>
              </w:tc>
              <w:tc>
                <w:tcPr>
                  <w:tcW w:w="875" w:type="pct"/>
                  <w:shd w:val="clear" w:color="auto" w:fill="auto"/>
                  <w:vAlign w:val="center"/>
                </w:tcPr>
                <w:p>
                  <w:pPr>
                    <w:adjustRightInd w:val="0"/>
                    <w:snapToGrid w:val="0"/>
                    <w:jc w:val="center"/>
                    <w:rPr>
                      <w:color w:val="000000"/>
                      <w:spacing w:val="20"/>
                      <w:szCs w:val="21"/>
                    </w:rPr>
                  </w:pPr>
                  <w:r>
                    <w:rPr>
                      <w:color w:val="000000"/>
                      <w:spacing w:val="20"/>
                      <w:szCs w:val="21"/>
                    </w:rPr>
                    <w:t>厂区</w:t>
                  </w:r>
                  <w:r>
                    <w:rPr>
                      <w:rFonts w:hint="eastAsia"/>
                      <w:color w:val="000000"/>
                      <w:spacing w:val="20"/>
                      <w:szCs w:val="21"/>
                    </w:rPr>
                    <w:t>洒水</w:t>
                  </w:r>
                  <w:r>
                    <w:rPr>
                      <w:color w:val="000000"/>
                      <w:spacing w:val="20"/>
                      <w:szCs w:val="21"/>
                    </w:rPr>
                    <w:t>尘用水</w:t>
                  </w:r>
                </w:p>
              </w:tc>
              <w:tc>
                <w:tcPr>
                  <w:tcW w:w="684" w:type="pct"/>
                  <w:shd w:val="clear" w:color="auto" w:fill="auto"/>
                  <w:vAlign w:val="center"/>
                </w:tcPr>
                <w:p>
                  <w:pPr>
                    <w:adjustRightInd w:val="0"/>
                    <w:snapToGrid w:val="0"/>
                    <w:jc w:val="center"/>
                    <w:rPr>
                      <w:color w:val="000000"/>
                      <w:spacing w:val="20"/>
                      <w:szCs w:val="21"/>
                    </w:rPr>
                  </w:pPr>
                  <w:r>
                    <w:rPr>
                      <w:color w:val="000000"/>
                      <w:spacing w:val="20"/>
                      <w:szCs w:val="21"/>
                    </w:rPr>
                    <w:t>3000m</w:t>
                  </w:r>
                  <w:r>
                    <w:rPr>
                      <w:color w:val="000000"/>
                      <w:spacing w:val="20"/>
                      <w:szCs w:val="21"/>
                      <w:vertAlign w:val="superscript"/>
                    </w:rPr>
                    <w:t>2</w:t>
                  </w:r>
                </w:p>
              </w:tc>
              <w:tc>
                <w:tcPr>
                  <w:tcW w:w="849"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w:t>
                  </w:r>
                </w:p>
              </w:tc>
              <w:tc>
                <w:tcPr>
                  <w:tcW w:w="836" w:type="pct"/>
                  <w:shd w:val="clear" w:color="auto" w:fill="auto"/>
                  <w:vAlign w:val="center"/>
                </w:tcPr>
                <w:p>
                  <w:pPr>
                    <w:adjustRightInd w:val="0"/>
                    <w:snapToGrid w:val="0"/>
                    <w:jc w:val="center"/>
                    <w:rPr>
                      <w:color w:val="000000"/>
                      <w:spacing w:val="20"/>
                      <w:szCs w:val="21"/>
                    </w:rPr>
                  </w:pPr>
                  <w:r>
                    <w:rPr>
                      <w:color w:val="000000"/>
                      <w:spacing w:val="20"/>
                      <w:szCs w:val="21"/>
                    </w:rPr>
                    <w:t>5</w:t>
                  </w:r>
                </w:p>
              </w:tc>
              <w:tc>
                <w:tcPr>
                  <w:tcW w:w="730" w:type="pct"/>
                  <w:shd w:val="clear" w:color="auto" w:fill="auto"/>
                  <w:vAlign w:val="center"/>
                </w:tcPr>
                <w:p>
                  <w:pPr>
                    <w:adjustRightInd w:val="0"/>
                    <w:snapToGrid w:val="0"/>
                    <w:jc w:val="center"/>
                    <w:rPr>
                      <w:color w:val="000000"/>
                      <w:spacing w:val="20"/>
                      <w:szCs w:val="21"/>
                    </w:rPr>
                  </w:pPr>
                  <w:r>
                    <w:rPr>
                      <w:color w:val="000000"/>
                      <w:spacing w:val="20"/>
                      <w:szCs w:val="21"/>
                    </w:rPr>
                    <w:t>0</w:t>
                  </w:r>
                </w:p>
              </w:tc>
              <w:tc>
                <w:tcPr>
                  <w:tcW w:w="570" w:type="pct"/>
                  <w:vMerge w:val="continue"/>
                  <w:shd w:val="clear" w:color="auto" w:fill="auto"/>
                  <w:vAlign w:val="center"/>
                </w:tcPr>
                <w:p>
                  <w:pPr>
                    <w:adjustRightInd w:val="0"/>
                    <w:snapToGrid w:val="0"/>
                    <w:jc w:val="center"/>
                    <w:rPr>
                      <w:snapToGrid w:val="0"/>
                      <w:color w:val="000000"/>
                      <w:kern w:val="2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455" w:type="pct"/>
                  <w:vMerge w:val="continue"/>
                  <w:shd w:val="clear" w:color="auto" w:fill="auto"/>
                </w:tcPr>
                <w:p>
                  <w:pPr>
                    <w:autoSpaceDE w:val="0"/>
                    <w:autoSpaceDN w:val="0"/>
                    <w:adjustRightInd w:val="0"/>
                    <w:jc w:val="center"/>
                    <w:rPr>
                      <w:color w:val="000000"/>
                      <w:kern w:val="0"/>
                      <w:szCs w:val="21"/>
                    </w:rPr>
                  </w:pPr>
                </w:p>
              </w:tc>
              <w:tc>
                <w:tcPr>
                  <w:tcW w:w="875" w:type="pct"/>
                  <w:shd w:val="clear" w:color="auto" w:fill="auto"/>
                  <w:vAlign w:val="center"/>
                </w:tcPr>
                <w:p>
                  <w:pPr>
                    <w:adjustRightInd w:val="0"/>
                    <w:snapToGrid w:val="0"/>
                    <w:jc w:val="center"/>
                    <w:rPr>
                      <w:color w:val="000000"/>
                      <w:spacing w:val="20"/>
                      <w:szCs w:val="21"/>
                    </w:rPr>
                  </w:pPr>
                  <w:r>
                    <w:rPr>
                      <w:color w:val="000000"/>
                      <w:spacing w:val="20"/>
                      <w:szCs w:val="21"/>
                    </w:rPr>
                    <w:t>试验设备清洗用水</w:t>
                  </w:r>
                </w:p>
              </w:tc>
              <w:tc>
                <w:tcPr>
                  <w:tcW w:w="684" w:type="pct"/>
                  <w:shd w:val="clear" w:color="auto" w:fill="auto"/>
                  <w:vAlign w:val="center"/>
                </w:tcPr>
                <w:p>
                  <w:pPr>
                    <w:adjustRightInd w:val="0"/>
                    <w:snapToGrid w:val="0"/>
                    <w:jc w:val="center"/>
                    <w:rPr>
                      <w:snapToGrid w:val="0"/>
                      <w:color w:val="000000"/>
                      <w:kern w:val="21"/>
                      <w:sz w:val="24"/>
                    </w:rPr>
                  </w:pPr>
                  <w:r>
                    <w:rPr>
                      <w:snapToGrid w:val="0"/>
                      <w:color w:val="000000"/>
                      <w:kern w:val="21"/>
                      <w:sz w:val="24"/>
                    </w:rPr>
                    <w:t>—</w:t>
                  </w:r>
                </w:p>
              </w:tc>
              <w:tc>
                <w:tcPr>
                  <w:tcW w:w="849" w:type="pct"/>
                  <w:shd w:val="clear" w:color="auto" w:fill="auto"/>
                  <w:vAlign w:val="center"/>
                </w:tcPr>
                <w:p>
                  <w:pPr>
                    <w:adjustRightInd w:val="0"/>
                    <w:snapToGrid w:val="0"/>
                    <w:jc w:val="center"/>
                    <w:rPr>
                      <w:color w:val="000000"/>
                      <w:spacing w:val="20"/>
                      <w:szCs w:val="21"/>
                    </w:rPr>
                  </w:pPr>
                  <w:r>
                    <w:rPr>
                      <w:snapToGrid w:val="0"/>
                      <w:color w:val="000000"/>
                      <w:kern w:val="21"/>
                      <w:sz w:val="24"/>
                    </w:rPr>
                    <w:t>—</w:t>
                  </w:r>
                </w:p>
              </w:tc>
              <w:tc>
                <w:tcPr>
                  <w:tcW w:w="836" w:type="pct"/>
                  <w:shd w:val="clear" w:color="auto" w:fill="auto"/>
                  <w:vAlign w:val="center"/>
                </w:tcPr>
                <w:p>
                  <w:pPr>
                    <w:adjustRightInd w:val="0"/>
                    <w:snapToGrid w:val="0"/>
                    <w:jc w:val="center"/>
                    <w:rPr>
                      <w:color w:val="000000"/>
                      <w:spacing w:val="20"/>
                      <w:szCs w:val="21"/>
                    </w:rPr>
                  </w:pPr>
                  <w:r>
                    <w:rPr>
                      <w:color w:val="000000"/>
                      <w:spacing w:val="20"/>
                      <w:szCs w:val="21"/>
                    </w:rPr>
                    <w:t>0.1</w:t>
                  </w:r>
                </w:p>
              </w:tc>
              <w:tc>
                <w:tcPr>
                  <w:tcW w:w="730" w:type="pct"/>
                  <w:shd w:val="clear" w:color="auto" w:fill="auto"/>
                  <w:vAlign w:val="center"/>
                </w:tcPr>
                <w:p>
                  <w:pPr>
                    <w:adjustRightInd w:val="0"/>
                    <w:snapToGrid w:val="0"/>
                    <w:jc w:val="center"/>
                    <w:rPr>
                      <w:color w:val="000000"/>
                      <w:spacing w:val="20"/>
                      <w:szCs w:val="21"/>
                    </w:rPr>
                  </w:pPr>
                  <w:r>
                    <w:rPr>
                      <w:color w:val="000000"/>
                      <w:spacing w:val="20"/>
                      <w:szCs w:val="21"/>
                    </w:rPr>
                    <w:t>0.08</w:t>
                  </w:r>
                </w:p>
              </w:tc>
              <w:tc>
                <w:tcPr>
                  <w:tcW w:w="570" w:type="pct"/>
                  <w:shd w:val="clear" w:color="auto" w:fill="auto"/>
                  <w:vAlign w:val="center"/>
                </w:tcPr>
                <w:p>
                  <w:pPr>
                    <w:autoSpaceDE w:val="0"/>
                    <w:autoSpaceDN w:val="0"/>
                    <w:adjustRightInd w:val="0"/>
                    <w:jc w:val="left"/>
                    <w:rPr>
                      <w:snapToGrid w:val="0"/>
                      <w:color w:val="000000"/>
                      <w:kern w:val="21"/>
                      <w:sz w:val="24"/>
                    </w:rPr>
                  </w:pPr>
                  <w:r>
                    <w:rPr>
                      <w:color w:val="000000"/>
                      <w:kern w:val="0"/>
                      <w:szCs w:val="21"/>
                    </w:rPr>
                    <w:t>处理后回用于生产</w:t>
                  </w:r>
                </w:p>
              </w:tc>
            </w:tr>
            <w:bookmarkEnd w:id="3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right"/>
              </w:trPr>
              <w:tc>
                <w:tcPr>
                  <w:tcW w:w="455" w:type="pct"/>
                  <w:vMerge w:val="continue"/>
                  <w:shd w:val="clear" w:color="auto" w:fill="auto"/>
                </w:tcPr>
                <w:p>
                  <w:pPr>
                    <w:autoSpaceDE w:val="0"/>
                    <w:autoSpaceDN w:val="0"/>
                    <w:adjustRightInd w:val="0"/>
                    <w:jc w:val="center"/>
                    <w:rPr>
                      <w:color w:val="000000"/>
                      <w:kern w:val="0"/>
                      <w:szCs w:val="21"/>
                    </w:rPr>
                  </w:pPr>
                </w:p>
              </w:tc>
              <w:tc>
                <w:tcPr>
                  <w:tcW w:w="875" w:type="pct"/>
                  <w:shd w:val="clear" w:color="auto" w:fill="auto"/>
                  <w:vAlign w:val="center"/>
                </w:tcPr>
                <w:p>
                  <w:pPr>
                    <w:adjustRightInd w:val="0"/>
                    <w:snapToGrid w:val="0"/>
                    <w:jc w:val="center"/>
                    <w:rPr>
                      <w:color w:val="000000"/>
                      <w:spacing w:val="20"/>
                      <w:szCs w:val="21"/>
                    </w:rPr>
                  </w:pPr>
                  <w:r>
                    <w:rPr>
                      <w:color w:val="000000"/>
                      <w:spacing w:val="20"/>
                      <w:szCs w:val="21"/>
                    </w:rPr>
                    <w:t>小计</w:t>
                  </w:r>
                </w:p>
              </w:tc>
              <w:tc>
                <w:tcPr>
                  <w:tcW w:w="684" w:type="pct"/>
                  <w:shd w:val="clear" w:color="auto" w:fill="auto"/>
                  <w:vAlign w:val="center"/>
                </w:tcPr>
                <w:p>
                  <w:pPr>
                    <w:adjustRightInd w:val="0"/>
                    <w:snapToGrid w:val="0"/>
                    <w:jc w:val="center"/>
                    <w:rPr>
                      <w:snapToGrid w:val="0"/>
                      <w:color w:val="000000"/>
                      <w:kern w:val="21"/>
                      <w:sz w:val="24"/>
                    </w:rPr>
                  </w:pPr>
                  <w:r>
                    <w:rPr>
                      <w:snapToGrid w:val="0"/>
                      <w:color w:val="000000"/>
                      <w:kern w:val="21"/>
                      <w:sz w:val="24"/>
                    </w:rPr>
                    <w:t>—</w:t>
                  </w:r>
                </w:p>
              </w:tc>
              <w:tc>
                <w:tcPr>
                  <w:tcW w:w="849" w:type="pct"/>
                  <w:shd w:val="clear" w:color="auto" w:fill="auto"/>
                  <w:vAlign w:val="center"/>
                </w:tcPr>
                <w:p>
                  <w:pPr>
                    <w:adjustRightInd w:val="0"/>
                    <w:snapToGrid w:val="0"/>
                    <w:jc w:val="center"/>
                    <w:rPr>
                      <w:snapToGrid w:val="0"/>
                      <w:color w:val="000000"/>
                      <w:kern w:val="21"/>
                      <w:sz w:val="24"/>
                    </w:rPr>
                  </w:pPr>
                  <w:r>
                    <w:rPr>
                      <w:snapToGrid w:val="0"/>
                      <w:color w:val="000000"/>
                      <w:kern w:val="21"/>
                      <w:sz w:val="24"/>
                    </w:rPr>
                    <w:t>—</w:t>
                  </w:r>
                </w:p>
              </w:tc>
              <w:tc>
                <w:tcPr>
                  <w:tcW w:w="836"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4</w:t>
                  </w:r>
                  <w:r>
                    <w:rPr>
                      <w:color w:val="000000"/>
                      <w:spacing w:val="20"/>
                      <w:szCs w:val="21"/>
                    </w:rPr>
                    <w:t>3.2</w:t>
                  </w:r>
                </w:p>
              </w:tc>
              <w:tc>
                <w:tcPr>
                  <w:tcW w:w="730"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4</w:t>
                  </w:r>
                  <w:r>
                    <w:rPr>
                      <w:color w:val="000000"/>
                      <w:spacing w:val="20"/>
                      <w:szCs w:val="21"/>
                    </w:rPr>
                    <w:t>.58</w:t>
                  </w:r>
                </w:p>
              </w:tc>
              <w:tc>
                <w:tcPr>
                  <w:tcW w:w="570" w:type="pct"/>
                  <w:shd w:val="clear" w:color="auto" w:fill="auto"/>
                  <w:vAlign w:val="center"/>
                </w:tcPr>
                <w:p>
                  <w:pPr>
                    <w:adjustRightInd w:val="0"/>
                    <w:snapToGrid w:val="0"/>
                    <w:jc w:val="center"/>
                    <w:rPr>
                      <w:snapToGrid w:val="0"/>
                      <w:color w:val="000000"/>
                      <w:kern w:val="21"/>
                      <w:sz w:val="24"/>
                    </w:rPr>
                  </w:pPr>
                  <w:r>
                    <w:rPr>
                      <w:snapToGrid w:val="0"/>
                      <w:color w:val="000000"/>
                      <w:kern w:val="2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455" w:type="pct"/>
                  <w:vMerge w:val="restart"/>
                  <w:shd w:val="clear" w:color="auto" w:fill="auto"/>
                  <w:vAlign w:val="center"/>
                </w:tcPr>
                <w:p>
                  <w:pPr>
                    <w:autoSpaceDE w:val="0"/>
                    <w:autoSpaceDN w:val="0"/>
                    <w:adjustRightInd w:val="0"/>
                    <w:jc w:val="center"/>
                    <w:rPr>
                      <w:color w:val="000000"/>
                      <w:kern w:val="0"/>
                      <w:szCs w:val="21"/>
                    </w:rPr>
                  </w:pPr>
                  <w:r>
                    <w:rPr>
                      <w:color w:val="000000"/>
                      <w:kern w:val="0"/>
                      <w:szCs w:val="21"/>
                    </w:rPr>
                    <w:t>生活</w:t>
                  </w:r>
                </w:p>
                <w:p>
                  <w:pPr>
                    <w:adjustRightInd w:val="0"/>
                    <w:snapToGrid w:val="0"/>
                    <w:jc w:val="center"/>
                    <w:rPr>
                      <w:snapToGrid w:val="0"/>
                      <w:color w:val="000000"/>
                      <w:kern w:val="21"/>
                      <w:sz w:val="24"/>
                    </w:rPr>
                  </w:pPr>
                  <w:r>
                    <w:rPr>
                      <w:color w:val="000000"/>
                      <w:kern w:val="0"/>
                      <w:szCs w:val="21"/>
                    </w:rPr>
                    <w:t>用水</w:t>
                  </w:r>
                </w:p>
              </w:tc>
              <w:tc>
                <w:tcPr>
                  <w:tcW w:w="875" w:type="pct"/>
                  <w:shd w:val="clear" w:color="auto" w:fill="auto"/>
                  <w:vAlign w:val="center"/>
                </w:tcPr>
                <w:p>
                  <w:pPr>
                    <w:adjustRightInd w:val="0"/>
                    <w:snapToGrid w:val="0"/>
                    <w:jc w:val="center"/>
                    <w:rPr>
                      <w:color w:val="000000"/>
                      <w:spacing w:val="20"/>
                      <w:szCs w:val="21"/>
                    </w:rPr>
                  </w:pPr>
                  <w:r>
                    <w:rPr>
                      <w:color w:val="000000"/>
                      <w:spacing w:val="20"/>
                      <w:szCs w:val="21"/>
                    </w:rPr>
                    <w:t>盥洗</w:t>
                  </w:r>
                </w:p>
                <w:p>
                  <w:pPr>
                    <w:adjustRightInd w:val="0"/>
                    <w:snapToGrid w:val="0"/>
                    <w:jc w:val="center"/>
                    <w:rPr>
                      <w:color w:val="000000"/>
                      <w:spacing w:val="20"/>
                      <w:szCs w:val="21"/>
                    </w:rPr>
                  </w:pPr>
                  <w:r>
                    <w:rPr>
                      <w:color w:val="000000"/>
                      <w:spacing w:val="20"/>
                      <w:szCs w:val="21"/>
                    </w:rPr>
                    <w:t>用水</w:t>
                  </w:r>
                </w:p>
              </w:tc>
              <w:tc>
                <w:tcPr>
                  <w:tcW w:w="684" w:type="pct"/>
                  <w:shd w:val="clear" w:color="auto" w:fill="auto"/>
                  <w:vAlign w:val="center"/>
                </w:tcPr>
                <w:p>
                  <w:pPr>
                    <w:adjustRightInd w:val="0"/>
                    <w:snapToGrid w:val="0"/>
                    <w:jc w:val="center"/>
                    <w:rPr>
                      <w:color w:val="000000"/>
                      <w:spacing w:val="20"/>
                      <w:szCs w:val="21"/>
                    </w:rPr>
                  </w:pPr>
                  <w:r>
                    <w:rPr>
                      <w:color w:val="000000"/>
                      <w:spacing w:val="20"/>
                      <w:szCs w:val="21"/>
                    </w:rPr>
                    <w:t>32人</w:t>
                  </w:r>
                </w:p>
              </w:tc>
              <w:tc>
                <w:tcPr>
                  <w:tcW w:w="849" w:type="pct"/>
                  <w:shd w:val="clear" w:color="auto" w:fill="auto"/>
                  <w:vAlign w:val="center"/>
                </w:tcPr>
                <w:p>
                  <w:pPr>
                    <w:adjustRightInd w:val="0"/>
                    <w:snapToGrid w:val="0"/>
                    <w:jc w:val="center"/>
                    <w:rPr>
                      <w:color w:val="000000"/>
                      <w:spacing w:val="20"/>
                      <w:szCs w:val="21"/>
                    </w:rPr>
                  </w:pPr>
                  <w:r>
                    <w:rPr>
                      <w:color w:val="000000"/>
                      <w:spacing w:val="20"/>
                      <w:szCs w:val="21"/>
                    </w:rPr>
                    <w:t>80L/人•d</w:t>
                  </w:r>
                </w:p>
              </w:tc>
              <w:tc>
                <w:tcPr>
                  <w:tcW w:w="836"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2</w:t>
                  </w:r>
                  <w:r>
                    <w:rPr>
                      <w:color w:val="000000"/>
                      <w:spacing w:val="20"/>
                      <w:szCs w:val="21"/>
                    </w:rPr>
                    <w:t>.56</w:t>
                  </w:r>
                </w:p>
              </w:tc>
              <w:tc>
                <w:tcPr>
                  <w:tcW w:w="730"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2</w:t>
                  </w:r>
                  <w:r>
                    <w:rPr>
                      <w:color w:val="000000"/>
                      <w:spacing w:val="20"/>
                      <w:szCs w:val="21"/>
                    </w:rPr>
                    <w:t>.048</w:t>
                  </w:r>
                </w:p>
              </w:tc>
              <w:tc>
                <w:tcPr>
                  <w:tcW w:w="570" w:type="pct"/>
                  <w:vMerge w:val="restart"/>
                  <w:shd w:val="clear" w:color="auto" w:fill="auto"/>
                  <w:vAlign w:val="center"/>
                </w:tcPr>
                <w:p>
                  <w:pPr>
                    <w:autoSpaceDE w:val="0"/>
                    <w:autoSpaceDN w:val="0"/>
                    <w:adjustRightInd w:val="0"/>
                    <w:jc w:val="left"/>
                    <w:rPr>
                      <w:color w:val="000000"/>
                      <w:spacing w:val="20"/>
                      <w:szCs w:val="21"/>
                    </w:rPr>
                  </w:pPr>
                  <w:r>
                    <w:rPr>
                      <w:rFonts w:hint="eastAsia"/>
                      <w:color w:val="000000"/>
                      <w:kern w:val="0"/>
                      <w:szCs w:val="21"/>
                    </w:rPr>
                    <w:t>用槽罐车外送污水处理厂处理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455" w:type="pct"/>
                  <w:vMerge w:val="continue"/>
                  <w:shd w:val="clear" w:color="auto" w:fill="auto"/>
                </w:tcPr>
                <w:p>
                  <w:pPr>
                    <w:autoSpaceDE w:val="0"/>
                    <w:autoSpaceDN w:val="0"/>
                    <w:adjustRightInd w:val="0"/>
                    <w:jc w:val="left"/>
                    <w:rPr>
                      <w:color w:val="000000"/>
                      <w:kern w:val="0"/>
                      <w:szCs w:val="21"/>
                    </w:rPr>
                  </w:pPr>
                </w:p>
              </w:tc>
              <w:tc>
                <w:tcPr>
                  <w:tcW w:w="875" w:type="pct"/>
                  <w:shd w:val="clear" w:color="auto" w:fill="auto"/>
                  <w:vAlign w:val="center"/>
                </w:tcPr>
                <w:p>
                  <w:pPr>
                    <w:adjustRightInd w:val="0"/>
                    <w:snapToGrid w:val="0"/>
                    <w:jc w:val="center"/>
                    <w:rPr>
                      <w:color w:val="000000"/>
                      <w:spacing w:val="20"/>
                      <w:szCs w:val="21"/>
                    </w:rPr>
                  </w:pPr>
                  <w:r>
                    <w:rPr>
                      <w:color w:val="000000"/>
                      <w:spacing w:val="20"/>
                      <w:szCs w:val="21"/>
                    </w:rPr>
                    <w:t>餐饮</w:t>
                  </w:r>
                </w:p>
                <w:p>
                  <w:pPr>
                    <w:adjustRightInd w:val="0"/>
                    <w:snapToGrid w:val="0"/>
                    <w:jc w:val="center"/>
                    <w:rPr>
                      <w:color w:val="000000"/>
                      <w:spacing w:val="20"/>
                      <w:szCs w:val="21"/>
                    </w:rPr>
                  </w:pPr>
                  <w:r>
                    <w:rPr>
                      <w:color w:val="000000"/>
                      <w:spacing w:val="20"/>
                      <w:szCs w:val="21"/>
                    </w:rPr>
                    <w:t>用水</w:t>
                  </w:r>
                </w:p>
              </w:tc>
              <w:tc>
                <w:tcPr>
                  <w:tcW w:w="684" w:type="pct"/>
                  <w:shd w:val="clear" w:color="auto" w:fill="auto"/>
                  <w:vAlign w:val="center"/>
                </w:tcPr>
                <w:p>
                  <w:pPr>
                    <w:adjustRightInd w:val="0"/>
                    <w:snapToGrid w:val="0"/>
                    <w:jc w:val="center"/>
                    <w:rPr>
                      <w:color w:val="000000"/>
                      <w:spacing w:val="20"/>
                      <w:szCs w:val="21"/>
                    </w:rPr>
                  </w:pPr>
                  <w:r>
                    <w:rPr>
                      <w:color w:val="000000"/>
                      <w:spacing w:val="20"/>
                      <w:szCs w:val="21"/>
                    </w:rPr>
                    <w:t>32人</w:t>
                  </w:r>
                </w:p>
              </w:tc>
              <w:tc>
                <w:tcPr>
                  <w:tcW w:w="849" w:type="pct"/>
                  <w:shd w:val="clear" w:color="auto" w:fill="auto"/>
                  <w:vAlign w:val="center"/>
                </w:tcPr>
                <w:p>
                  <w:pPr>
                    <w:adjustRightInd w:val="0"/>
                    <w:snapToGrid w:val="0"/>
                    <w:jc w:val="center"/>
                    <w:rPr>
                      <w:color w:val="000000"/>
                      <w:spacing w:val="20"/>
                      <w:szCs w:val="21"/>
                    </w:rPr>
                  </w:pPr>
                  <w:r>
                    <w:rPr>
                      <w:color w:val="000000"/>
                      <w:spacing w:val="20"/>
                      <w:szCs w:val="21"/>
                    </w:rPr>
                    <w:t>20L/人•d</w:t>
                  </w:r>
                </w:p>
              </w:tc>
              <w:tc>
                <w:tcPr>
                  <w:tcW w:w="836"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0</w:t>
                  </w:r>
                  <w:r>
                    <w:rPr>
                      <w:color w:val="000000"/>
                      <w:spacing w:val="20"/>
                      <w:szCs w:val="21"/>
                    </w:rPr>
                    <w:t>.64</w:t>
                  </w:r>
                </w:p>
              </w:tc>
              <w:tc>
                <w:tcPr>
                  <w:tcW w:w="730"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0</w:t>
                  </w:r>
                  <w:r>
                    <w:rPr>
                      <w:color w:val="000000"/>
                      <w:spacing w:val="20"/>
                      <w:szCs w:val="21"/>
                    </w:rPr>
                    <w:t>.512</w:t>
                  </w:r>
                </w:p>
              </w:tc>
              <w:tc>
                <w:tcPr>
                  <w:tcW w:w="570" w:type="pct"/>
                  <w:vMerge w:val="continue"/>
                  <w:shd w:val="clear" w:color="auto" w:fill="auto"/>
                  <w:vAlign w:val="center"/>
                </w:tcPr>
                <w:p>
                  <w:pPr>
                    <w:adjustRightInd w:val="0"/>
                    <w:snapToGrid w:val="0"/>
                    <w:jc w:val="center"/>
                    <w:rPr>
                      <w:color w:val="000000"/>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455" w:type="pct"/>
                  <w:shd w:val="clear" w:color="auto" w:fill="auto"/>
                </w:tcPr>
                <w:p>
                  <w:pPr>
                    <w:autoSpaceDE w:val="0"/>
                    <w:autoSpaceDN w:val="0"/>
                    <w:adjustRightInd w:val="0"/>
                    <w:jc w:val="left"/>
                    <w:rPr>
                      <w:color w:val="000000"/>
                      <w:kern w:val="0"/>
                      <w:szCs w:val="21"/>
                    </w:rPr>
                  </w:pPr>
                  <w:r>
                    <w:rPr>
                      <w:rFonts w:hint="eastAsia"/>
                      <w:color w:val="000000"/>
                      <w:kern w:val="0"/>
                      <w:szCs w:val="21"/>
                    </w:rPr>
                    <w:t>合计</w:t>
                  </w:r>
                </w:p>
              </w:tc>
              <w:tc>
                <w:tcPr>
                  <w:tcW w:w="875"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w:t>
                  </w:r>
                </w:p>
              </w:tc>
              <w:tc>
                <w:tcPr>
                  <w:tcW w:w="684"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w:t>
                  </w:r>
                </w:p>
              </w:tc>
              <w:tc>
                <w:tcPr>
                  <w:tcW w:w="849"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w:t>
                  </w:r>
                </w:p>
              </w:tc>
              <w:tc>
                <w:tcPr>
                  <w:tcW w:w="836" w:type="pct"/>
                  <w:shd w:val="clear" w:color="auto" w:fill="auto"/>
                  <w:vAlign w:val="center"/>
                </w:tcPr>
                <w:p>
                  <w:pPr>
                    <w:adjustRightInd w:val="0"/>
                    <w:snapToGrid w:val="0"/>
                    <w:jc w:val="center"/>
                    <w:rPr>
                      <w:color w:val="000000"/>
                      <w:spacing w:val="20"/>
                      <w:szCs w:val="21"/>
                    </w:rPr>
                  </w:pPr>
                  <w:r>
                    <w:rPr>
                      <w:rFonts w:hint="eastAsia"/>
                      <w:color w:val="000000"/>
                      <w:spacing w:val="20"/>
                      <w:szCs w:val="21"/>
                    </w:rPr>
                    <w:t>4</w:t>
                  </w:r>
                  <w:r>
                    <w:rPr>
                      <w:color w:val="000000"/>
                      <w:spacing w:val="20"/>
                      <w:szCs w:val="21"/>
                    </w:rPr>
                    <w:t>6.4</w:t>
                  </w:r>
                </w:p>
              </w:tc>
              <w:tc>
                <w:tcPr>
                  <w:tcW w:w="730" w:type="pct"/>
                  <w:shd w:val="clear" w:color="auto" w:fill="auto"/>
                  <w:vAlign w:val="center"/>
                </w:tcPr>
                <w:p>
                  <w:pPr>
                    <w:adjustRightInd w:val="0"/>
                    <w:snapToGrid w:val="0"/>
                    <w:jc w:val="center"/>
                    <w:rPr>
                      <w:color w:val="000000"/>
                      <w:spacing w:val="20"/>
                      <w:szCs w:val="21"/>
                    </w:rPr>
                  </w:pPr>
                </w:p>
              </w:tc>
              <w:tc>
                <w:tcPr>
                  <w:tcW w:w="570" w:type="pct"/>
                  <w:shd w:val="clear" w:color="auto" w:fill="auto"/>
                  <w:vAlign w:val="center"/>
                </w:tcPr>
                <w:p>
                  <w:pPr>
                    <w:adjustRightInd w:val="0"/>
                    <w:snapToGrid w:val="0"/>
                    <w:jc w:val="center"/>
                    <w:rPr>
                      <w:color w:val="000000"/>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1330" w:type="pct"/>
                  <w:gridSpan w:val="2"/>
                  <w:shd w:val="clear" w:color="auto" w:fill="auto"/>
                  <w:vAlign w:val="center"/>
                </w:tcPr>
                <w:p>
                  <w:pPr>
                    <w:adjustRightInd w:val="0"/>
                    <w:snapToGrid w:val="0"/>
                    <w:jc w:val="center"/>
                    <w:rPr>
                      <w:color w:val="000000"/>
                      <w:spacing w:val="20"/>
                      <w:szCs w:val="21"/>
                    </w:rPr>
                  </w:pPr>
                  <w:r>
                    <w:rPr>
                      <w:color w:val="000000"/>
                      <w:kern w:val="0"/>
                      <w:szCs w:val="21"/>
                    </w:rPr>
                    <w:t>初期雨水</w:t>
                  </w:r>
                </w:p>
              </w:tc>
              <w:tc>
                <w:tcPr>
                  <w:tcW w:w="684" w:type="pct"/>
                  <w:shd w:val="clear" w:color="auto" w:fill="auto"/>
                  <w:vAlign w:val="center"/>
                </w:tcPr>
                <w:p>
                  <w:pPr>
                    <w:adjustRightInd w:val="0"/>
                    <w:snapToGrid w:val="0"/>
                    <w:jc w:val="center"/>
                    <w:rPr>
                      <w:color w:val="000000"/>
                      <w:spacing w:val="20"/>
                      <w:szCs w:val="21"/>
                    </w:rPr>
                  </w:pPr>
                  <w:r>
                    <w:rPr>
                      <w:color w:val="000000"/>
                      <w:spacing w:val="20"/>
                      <w:szCs w:val="21"/>
                    </w:rPr>
                    <w:t>0.3</w:t>
                  </w:r>
                </w:p>
                <w:p>
                  <w:pPr>
                    <w:adjustRightInd w:val="0"/>
                    <w:snapToGrid w:val="0"/>
                    <w:jc w:val="center"/>
                    <w:rPr>
                      <w:color w:val="000000"/>
                      <w:spacing w:val="20"/>
                      <w:szCs w:val="21"/>
                    </w:rPr>
                  </w:pPr>
                  <w:r>
                    <w:rPr>
                      <w:color w:val="000000"/>
                      <w:spacing w:val="20"/>
                      <w:szCs w:val="21"/>
                    </w:rPr>
                    <w:t>hm</w:t>
                  </w:r>
                  <w:r>
                    <w:rPr>
                      <w:color w:val="000000"/>
                      <w:spacing w:val="20"/>
                      <w:szCs w:val="21"/>
                      <w:vertAlign w:val="superscript"/>
                    </w:rPr>
                    <w:t>2</w:t>
                  </w:r>
                </w:p>
              </w:tc>
              <w:tc>
                <w:tcPr>
                  <w:tcW w:w="849" w:type="pct"/>
                  <w:shd w:val="clear" w:color="auto" w:fill="auto"/>
                  <w:vAlign w:val="center"/>
                </w:tcPr>
                <w:p>
                  <w:pPr>
                    <w:adjustRightInd w:val="0"/>
                    <w:snapToGrid w:val="0"/>
                    <w:jc w:val="center"/>
                    <w:rPr>
                      <w:color w:val="000000"/>
                      <w:spacing w:val="20"/>
                      <w:szCs w:val="21"/>
                    </w:rPr>
                  </w:pPr>
                  <w:r>
                    <w:rPr>
                      <w:color w:val="000000"/>
                      <w:spacing w:val="20"/>
                      <w:szCs w:val="21"/>
                    </w:rPr>
                    <w:t>225.33</w:t>
                  </w:r>
                </w:p>
                <w:p>
                  <w:pPr>
                    <w:adjustRightInd w:val="0"/>
                    <w:snapToGrid w:val="0"/>
                    <w:jc w:val="center"/>
                    <w:rPr>
                      <w:color w:val="000000"/>
                      <w:spacing w:val="20"/>
                      <w:szCs w:val="21"/>
                    </w:rPr>
                  </w:pPr>
                  <w:r>
                    <w:rPr>
                      <w:color w:val="000000"/>
                      <w:spacing w:val="20"/>
                      <w:szCs w:val="21"/>
                    </w:rPr>
                    <w:t>L/s·hm</w:t>
                  </w:r>
                  <w:r>
                    <w:rPr>
                      <w:color w:val="000000"/>
                      <w:spacing w:val="20"/>
                      <w:szCs w:val="21"/>
                      <w:vertAlign w:val="superscript"/>
                    </w:rPr>
                    <w:t>2</w:t>
                  </w:r>
                </w:p>
              </w:tc>
              <w:tc>
                <w:tcPr>
                  <w:tcW w:w="836" w:type="pct"/>
                  <w:shd w:val="clear" w:color="auto" w:fill="auto"/>
                  <w:vAlign w:val="center"/>
                </w:tcPr>
                <w:p>
                  <w:pPr>
                    <w:adjustRightInd w:val="0"/>
                    <w:snapToGrid w:val="0"/>
                    <w:jc w:val="center"/>
                    <w:rPr>
                      <w:color w:val="000000"/>
                      <w:spacing w:val="20"/>
                      <w:szCs w:val="21"/>
                    </w:rPr>
                  </w:pPr>
                  <w:r>
                    <w:rPr>
                      <w:color w:val="000000"/>
                      <w:spacing w:val="20"/>
                      <w:szCs w:val="21"/>
                    </w:rPr>
                    <w:t>20.28/次</w:t>
                  </w:r>
                </w:p>
              </w:tc>
              <w:tc>
                <w:tcPr>
                  <w:tcW w:w="730" w:type="pct"/>
                  <w:shd w:val="clear" w:color="auto" w:fill="auto"/>
                  <w:vAlign w:val="center"/>
                </w:tcPr>
                <w:p>
                  <w:pPr>
                    <w:adjustRightInd w:val="0"/>
                    <w:snapToGrid w:val="0"/>
                    <w:jc w:val="center"/>
                    <w:rPr>
                      <w:color w:val="000000"/>
                      <w:spacing w:val="20"/>
                      <w:szCs w:val="21"/>
                    </w:rPr>
                  </w:pPr>
                  <w:r>
                    <w:rPr>
                      <w:color w:val="000000"/>
                      <w:spacing w:val="20"/>
                      <w:szCs w:val="21"/>
                    </w:rPr>
                    <w:t>—</w:t>
                  </w:r>
                </w:p>
              </w:tc>
              <w:tc>
                <w:tcPr>
                  <w:tcW w:w="570" w:type="pct"/>
                  <w:shd w:val="clear" w:color="auto" w:fill="auto"/>
                  <w:vAlign w:val="center"/>
                </w:tcPr>
                <w:p>
                  <w:pPr>
                    <w:autoSpaceDE w:val="0"/>
                    <w:autoSpaceDN w:val="0"/>
                    <w:adjustRightInd w:val="0"/>
                    <w:snapToGrid w:val="0"/>
                    <w:jc w:val="center"/>
                    <w:rPr>
                      <w:color w:val="000000"/>
                      <w:kern w:val="0"/>
                      <w:szCs w:val="21"/>
                    </w:rPr>
                  </w:pPr>
                  <w:r>
                    <w:rPr>
                      <w:rFonts w:hint="eastAsia"/>
                      <w:color w:val="000000"/>
                      <w:kern w:val="0"/>
                      <w:szCs w:val="21"/>
                    </w:rPr>
                    <w:t>沉淀后回用生产</w:t>
                  </w:r>
                </w:p>
              </w:tc>
            </w:tr>
          </w:tbl>
          <w:p>
            <w:pPr>
              <w:spacing w:line="360" w:lineRule="auto"/>
              <w:ind w:firstLine="480" w:firstLineChars="200"/>
              <w:rPr>
                <w:sz w:val="24"/>
              </w:rPr>
            </w:pPr>
            <w:r>
              <w:rPr>
                <w:sz w:val="24"/>
              </w:rPr>
              <w:t>5）项目水平衡</w:t>
            </w:r>
          </w:p>
          <w:p>
            <w:pPr>
              <w:spacing w:line="360" w:lineRule="auto"/>
              <w:ind w:firstLine="480" w:firstLineChars="200"/>
              <w:rPr>
                <w:sz w:val="24"/>
              </w:rPr>
            </w:pPr>
            <w:r>
              <w:rPr>
                <w:sz w:val="24"/>
              </w:rPr>
              <w:t>项目水平衡图见图4-1</w:t>
            </w:r>
            <w:r>
              <w:rPr>
                <w:rFonts w:hint="eastAsia"/>
                <w:sz w:val="24"/>
              </w:rPr>
              <w:t>、4-</w:t>
            </w:r>
            <w:r>
              <w:rPr>
                <w:sz w:val="24"/>
              </w:rPr>
              <w:t>2。</w:t>
            </w:r>
          </w:p>
          <w:p>
            <w:pPr>
              <w:spacing w:line="360" w:lineRule="auto"/>
              <w:jc w:val="center"/>
              <w:rPr>
                <w:b/>
                <w:bCs/>
              </w:rPr>
            </w:pPr>
            <w:r>
              <w:rPr>
                <w:b/>
                <w:bCs/>
              </w:rPr>
              <w:drawing>
                <wp:inline distT="0" distB="0" distL="0" distR="0">
                  <wp:extent cx="4929505" cy="5076825"/>
                  <wp:effectExtent l="0" t="0" r="444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44788" cy="5092560"/>
                          </a:xfrm>
                          <a:prstGeom prst="rect">
                            <a:avLst/>
                          </a:prstGeom>
                        </pic:spPr>
                      </pic:pic>
                    </a:graphicData>
                  </a:graphic>
                </wp:inline>
              </w:drawing>
            </w:r>
          </w:p>
          <w:p>
            <w:pPr>
              <w:spacing w:line="360" w:lineRule="auto"/>
              <w:jc w:val="center"/>
              <w:rPr>
                <w:b/>
                <w:bCs/>
              </w:rPr>
            </w:pPr>
            <w:r>
              <w:rPr>
                <w:b/>
                <w:bCs/>
              </w:rPr>
              <w:t>图4-1  项目</w:t>
            </w:r>
            <w:r>
              <w:rPr>
                <w:rFonts w:hint="eastAsia"/>
                <w:b/>
                <w:bCs/>
              </w:rPr>
              <w:t>非雨天</w:t>
            </w:r>
            <w:r>
              <w:rPr>
                <w:b/>
                <w:bCs/>
              </w:rPr>
              <w:t>用水水平衡图单位</w:t>
            </w:r>
            <w:r>
              <w:rPr>
                <w:rFonts w:hint="eastAsia"/>
                <w:b/>
                <w:bCs/>
              </w:rPr>
              <w:t xml:space="preserve"> </w:t>
            </w:r>
            <w:r>
              <w:rPr>
                <w:b/>
                <w:bCs/>
              </w:rPr>
              <w:t xml:space="preserve"> m</w:t>
            </w:r>
            <w:r>
              <w:rPr>
                <w:b/>
                <w:bCs/>
                <w:vertAlign w:val="superscript"/>
              </w:rPr>
              <w:t>3</w:t>
            </w:r>
            <w:r>
              <w:rPr>
                <w:b/>
                <w:bCs/>
              </w:rPr>
              <w:t>/d</w:t>
            </w:r>
          </w:p>
          <w:p>
            <w:pPr>
              <w:spacing w:line="360" w:lineRule="auto"/>
              <w:jc w:val="center"/>
              <w:rPr>
                <w:b/>
                <w:bCs/>
              </w:rPr>
            </w:pPr>
            <w:r>
              <w:rPr>
                <w:b/>
                <w:bCs/>
              </w:rPr>
              <w:drawing>
                <wp:inline distT="0" distB="0" distL="0" distR="0">
                  <wp:extent cx="4800600" cy="53613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9898" cy="5371879"/>
                          </a:xfrm>
                          <a:prstGeom prst="rect">
                            <a:avLst/>
                          </a:prstGeom>
                        </pic:spPr>
                      </pic:pic>
                    </a:graphicData>
                  </a:graphic>
                </wp:inline>
              </w:drawing>
            </w:r>
          </w:p>
          <w:p>
            <w:pPr>
              <w:spacing w:line="360" w:lineRule="auto"/>
              <w:jc w:val="center"/>
              <w:rPr>
                <w:b/>
                <w:bCs/>
              </w:rPr>
            </w:pPr>
            <w:r>
              <w:rPr>
                <w:b/>
                <w:bCs/>
              </w:rPr>
              <w:t>图4-2  项目</w:t>
            </w:r>
            <w:r>
              <w:rPr>
                <w:rFonts w:hint="eastAsia"/>
                <w:b/>
                <w:bCs/>
              </w:rPr>
              <w:t>雨天</w:t>
            </w:r>
            <w:r>
              <w:rPr>
                <w:b/>
                <w:bCs/>
              </w:rPr>
              <w:t>用水水平衡图</w:t>
            </w:r>
            <w:r>
              <w:rPr>
                <w:rFonts w:hint="eastAsia"/>
                <w:b/>
                <w:bCs/>
              </w:rPr>
              <w:t xml:space="preserve"> </w:t>
            </w:r>
            <w:r>
              <w:rPr>
                <w:b/>
                <w:bCs/>
              </w:rPr>
              <w:t xml:space="preserve"> 单位m</w:t>
            </w:r>
            <w:r>
              <w:rPr>
                <w:b/>
                <w:bCs/>
                <w:vertAlign w:val="superscript"/>
              </w:rPr>
              <w:t>3</w:t>
            </w:r>
            <w:r>
              <w:rPr>
                <w:b/>
                <w:bCs/>
              </w:rPr>
              <w:t>/d</w:t>
            </w:r>
          </w:p>
          <w:p>
            <w:pPr>
              <w:spacing w:line="360" w:lineRule="auto"/>
              <w:ind w:firstLine="480" w:firstLineChars="200"/>
              <w:rPr>
                <w:sz w:val="24"/>
              </w:rPr>
            </w:pPr>
            <w:r>
              <w:rPr>
                <w:sz w:val="24"/>
              </w:rPr>
              <w:t>（2）水环境影响分析</w:t>
            </w:r>
          </w:p>
          <w:p>
            <w:pPr>
              <w:spacing w:line="360" w:lineRule="auto"/>
              <w:ind w:firstLine="480" w:firstLineChars="200"/>
              <w:rPr>
                <w:sz w:val="24"/>
              </w:rPr>
            </w:pPr>
            <w:r>
              <w:rPr>
                <w:rFonts w:hint="eastAsia" w:ascii="宋体" w:hAnsi="宋体"/>
                <w:sz w:val="24"/>
              </w:rPr>
              <w:t>①</w:t>
            </w:r>
            <w:r>
              <w:rPr>
                <w:rFonts w:hint="eastAsia"/>
                <w:sz w:val="24"/>
              </w:rPr>
              <w:t>项目废水处置设施的合理性分析</w:t>
            </w:r>
          </w:p>
          <w:p>
            <w:pPr>
              <w:spacing w:line="360" w:lineRule="auto"/>
              <w:ind w:firstLine="480" w:firstLineChars="200"/>
              <w:rPr>
                <w:sz w:val="24"/>
              </w:rPr>
            </w:pPr>
            <w:r>
              <w:rPr>
                <w:rFonts w:hint="eastAsia"/>
                <w:sz w:val="24"/>
              </w:rPr>
              <w:t>a</w:t>
            </w:r>
            <w:r>
              <w:rPr>
                <w:sz w:val="24"/>
              </w:rPr>
              <w:t>.</w:t>
            </w:r>
            <w:r>
              <w:rPr>
                <w:rFonts w:hint="eastAsia"/>
                <w:sz w:val="24"/>
              </w:rPr>
              <w:t>化粪池设置合理性分析</w:t>
            </w:r>
          </w:p>
          <w:p>
            <w:pPr>
              <w:spacing w:line="360" w:lineRule="auto"/>
              <w:ind w:firstLine="480" w:firstLineChars="200"/>
              <w:rPr>
                <w:sz w:val="24"/>
              </w:rPr>
            </w:pPr>
            <w:r>
              <w:rPr>
                <w:rFonts w:hint="eastAsia"/>
                <w:sz w:val="24"/>
              </w:rPr>
              <w:t>根据工程分析，项目生活污水产生量为</w:t>
            </w:r>
            <w:r>
              <w:rPr>
                <w:sz w:val="24"/>
              </w:rPr>
              <w:t>2.56</w:t>
            </w:r>
            <w:r>
              <w:rPr>
                <w:rFonts w:hint="eastAsia"/>
                <w:sz w:val="24"/>
              </w:rPr>
              <w:t>m</w:t>
            </w:r>
            <w:r>
              <w:rPr>
                <w:rFonts w:hint="eastAsia"/>
                <w:sz w:val="24"/>
                <w:vertAlign w:val="superscript"/>
              </w:rPr>
              <w:t>3</w:t>
            </w:r>
            <w:r>
              <w:rPr>
                <w:rFonts w:hint="eastAsia"/>
                <w:sz w:val="24"/>
              </w:rPr>
              <w:t>/d，根据《建筑给水排水设计规范（2009 版）》（GB50015-2003）4.8.6中，化粪池停留时间为12~24小时，项目建设</w:t>
            </w:r>
            <w:r>
              <w:rPr>
                <w:sz w:val="24"/>
              </w:rPr>
              <w:t>2</w:t>
            </w:r>
            <w:r>
              <w:rPr>
                <w:rFonts w:hint="eastAsia"/>
                <w:sz w:val="24"/>
              </w:rPr>
              <w:t>个总容积为10</w:t>
            </w:r>
            <w:r>
              <w:rPr>
                <w:sz w:val="24"/>
              </w:rPr>
              <w:t>0</w:t>
            </w:r>
            <w:r>
              <w:rPr>
                <w:rFonts w:hint="eastAsia"/>
                <w:sz w:val="24"/>
              </w:rPr>
              <w:t>m</w:t>
            </w:r>
            <w:r>
              <w:rPr>
                <w:rFonts w:hint="eastAsia"/>
                <w:sz w:val="24"/>
                <w:vertAlign w:val="superscript"/>
              </w:rPr>
              <w:t>3</w:t>
            </w:r>
            <w:r>
              <w:rPr>
                <w:rFonts w:hint="eastAsia"/>
                <w:sz w:val="24"/>
              </w:rPr>
              <w:t>的化粪池，完全满足停留时间为24小时的要求。</w:t>
            </w:r>
          </w:p>
          <w:p>
            <w:pPr>
              <w:spacing w:line="360" w:lineRule="auto"/>
              <w:ind w:firstLine="480" w:firstLineChars="200"/>
              <w:rPr>
                <w:sz w:val="24"/>
              </w:rPr>
            </w:pPr>
            <w:r>
              <w:rPr>
                <w:rFonts w:hint="eastAsia"/>
                <w:sz w:val="24"/>
              </w:rPr>
              <w:t>b</w:t>
            </w:r>
            <w:r>
              <w:rPr>
                <w:sz w:val="24"/>
              </w:rPr>
              <w:t>.</w:t>
            </w:r>
            <w:r>
              <w:rPr>
                <w:rFonts w:hint="eastAsia"/>
                <w:sz w:val="24"/>
              </w:rPr>
              <w:t>隔油池设置合理性分析</w:t>
            </w:r>
          </w:p>
          <w:p>
            <w:pPr>
              <w:spacing w:line="360" w:lineRule="auto"/>
              <w:ind w:firstLine="480" w:firstLineChars="200"/>
              <w:rPr>
                <w:sz w:val="24"/>
              </w:rPr>
            </w:pPr>
            <w:r>
              <w:rPr>
                <w:rFonts w:hint="eastAsia"/>
                <w:sz w:val="24"/>
              </w:rPr>
              <w:t>项目食堂餐饮废水产生量为</w:t>
            </w:r>
            <w:r>
              <w:rPr>
                <w:sz w:val="24"/>
              </w:rPr>
              <w:t>0.512</w:t>
            </w:r>
            <w:r>
              <w:rPr>
                <w:rFonts w:hint="eastAsia"/>
                <w:sz w:val="24"/>
              </w:rPr>
              <w:t>m³/d，项目建设1个隔油池，用于接纳处理食堂废水，隔油池设计有效容积1m</w:t>
            </w:r>
            <w:r>
              <w:rPr>
                <w:rFonts w:hint="eastAsia"/>
                <w:sz w:val="24"/>
                <w:vertAlign w:val="superscript"/>
              </w:rPr>
              <w:t>3</w:t>
            </w:r>
            <w:r>
              <w:rPr>
                <w:rFonts w:hint="eastAsia"/>
                <w:sz w:val="24"/>
              </w:rPr>
              <w:t>。根据《饮食业环境保护技术规范》（HJ554-2010），隔油池设计符合下列规定：</w:t>
            </w:r>
          </w:p>
          <w:p>
            <w:pPr>
              <w:spacing w:line="360" w:lineRule="auto"/>
              <w:ind w:firstLine="480" w:firstLineChars="200"/>
              <w:rPr>
                <w:sz w:val="24"/>
              </w:rPr>
            </w:pPr>
            <w:r>
              <w:rPr>
                <w:rFonts w:hint="eastAsia"/>
                <w:sz w:val="24"/>
              </w:rPr>
              <w:t>A、含油污水的水力停留时间不宜小于0.5h；</w:t>
            </w:r>
          </w:p>
          <w:p>
            <w:pPr>
              <w:spacing w:line="360" w:lineRule="auto"/>
              <w:ind w:firstLine="480" w:firstLineChars="200"/>
              <w:rPr>
                <w:sz w:val="24"/>
              </w:rPr>
            </w:pPr>
            <w:r>
              <w:rPr>
                <w:rFonts w:hint="eastAsia"/>
                <w:sz w:val="24"/>
              </w:rPr>
              <w:t>B、池内水流流速不宜大于0.005m/s；</w:t>
            </w:r>
          </w:p>
          <w:p>
            <w:pPr>
              <w:spacing w:line="360" w:lineRule="auto"/>
              <w:ind w:firstLine="480" w:firstLineChars="200"/>
              <w:rPr>
                <w:sz w:val="24"/>
              </w:rPr>
            </w:pPr>
            <w:r>
              <w:rPr>
                <w:rFonts w:hint="eastAsia"/>
                <w:sz w:val="24"/>
              </w:rPr>
              <w:t>C、池内分格宜取两档三格；</w:t>
            </w:r>
          </w:p>
          <w:p>
            <w:pPr>
              <w:spacing w:line="360" w:lineRule="auto"/>
              <w:ind w:firstLine="480" w:firstLineChars="200"/>
              <w:rPr>
                <w:sz w:val="24"/>
              </w:rPr>
            </w:pPr>
            <w:r>
              <w:rPr>
                <w:rFonts w:hint="eastAsia"/>
                <w:sz w:val="24"/>
              </w:rPr>
              <w:t>D、人工除油的隔油池内存油部分的容积不得小于该池有效容积的25%，隔油池出水管管底至池底的深度，不得小于0.6m。</w:t>
            </w:r>
          </w:p>
          <w:p>
            <w:pPr>
              <w:spacing w:line="360" w:lineRule="auto"/>
              <w:ind w:firstLine="480" w:firstLineChars="200"/>
              <w:rPr>
                <w:sz w:val="24"/>
              </w:rPr>
            </w:pPr>
            <w:r>
              <w:rPr>
                <w:rFonts w:hint="eastAsia"/>
                <w:sz w:val="24"/>
              </w:rPr>
              <w:t>项目应建设1座容积不低于1m</w:t>
            </w:r>
            <w:r>
              <w:rPr>
                <w:rFonts w:hint="eastAsia"/>
                <w:sz w:val="24"/>
                <w:vertAlign w:val="superscript"/>
              </w:rPr>
              <w:t>3</w:t>
            </w:r>
            <w:r>
              <w:rPr>
                <w:rFonts w:hint="eastAsia"/>
                <w:sz w:val="24"/>
              </w:rPr>
              <w:t>的隔油池用于处理食堂餐饮废水完全可以满足要求。</w:t>
            </w:r>
          </w:p>
          <w:p>
            <w:pPr>
              <w:spacing w:line="360" w:lineRule="auto"/>
              <w:ind w:firstLine="480" w:firstLineChars="200"/>
              <w:rPr>
                <w:sz w:val="24"/>
              </w:rPr>
            </w:pPr>
            <w:r>
              <w:rPr>
                <w:sz w:val="24"/>
              </w:rPr>
              <w:t>c.</w:t>
            </w:r>
            <w:r>
              <w:rPr>
                <w:rFonts w:hint="eastAsia"/>
                <w:sz w:val="24"/>
              </w:rPr>
              <w:t>三级沉淀池设置合理性分析</w:t>
            </w:r>
          </w:p>
          <w:p>
            <w:pPr>
              <w:spacing w:line="360" w:lineRule="auto"/>
              <w:ind w:firstLine="480" w:firstLineChars="200"/>
              <w:rPr>
                <w:sz w:val="24"/>
              </w:rPr>
            </w:pPr>
            <w:r>
              <w:rPr>
                <w:rFonts w:hint="eastAsia"/>
                <w:sz w:val="24"/>
              </w:rPr>
              <w:t>根据工程分析，项目生产废水产生量为</w:t>
            </w:r>
            <w:r>
              <w:rPr>
                <w:sz w:val="24"/>
              </w:rPr>
              <w:t>4.58</w:t>
            </w:r>
            <w:r>
              <w:rPr>
                <w:rFonts w:hint="eastAsia"/>
                <w:sz w:val="24"/>
              </w:rPr>
              <w:t>m</w:t>
            </w:r>
            <w:r>
              <w:rPr>
                <w:rFonts w:hint="eastAsia"/>
                <w:sz w:val="24"/>
                <w:vertAlign w:val="superscript"/>
              </w:rPr>
              <w:t>3</w:t>
            </w:r>
            <w:r>
              <w:rPr>
                <w:rFonts w:hint="eastAsia"/>
                <w:sz w:val="24"/>
              </w:rPr>
              <w:t>/d，项目建设1个三级沉淀池（1</w:t>
            </w:r>
            <w:r>
              <w:rPr>
                <w:sz w:val="24"/>
              </w:rPr>
              <w:t>05</w:t>
            </w:r>
            <w:r>
              <w:rPr>
                <w:rFonts w:hint="eastAsia"/>
                <w:sz w:val="24"/>
              </w:rPr>
              <w:t>m</w:t>
            </w:r>
            <w:r>
              <w:rPr>
                <w:rFonts w:hint="eastAsia"/>
                <w:sz w:val="24"/>
                <w:vertAlign w:val="superscript"/>
              </w:rPr>
              <w:t>3</w:t>
            </w:r>
            <w:r>
              <w:rPr>
                <w:rFonts w:hint="eastAsia"/>
                <w:sz w:val="24"/>
              </w:rPr>
              <w:t>），沉淀池容积大于生产废水产生量，可以保证生产废水得到有效处理。同时生产区域初期雨水量为</w:t>
            </w:r>
            <w:r>
              <w:rPr>
                <w:sz w:val="24"/>
              </w:rPr>
              <w:t>20.28m</w:t>
            </w:r>
            <w:r>
              <w:rPr>
                <w:sz w:val="24"/>
                <w:vertAlign w:val="superscript"/>
              </w:rPr>
              <w:t>3</w:t>
            </w:r>
            <w:r>
              <w:rPr>
                <w:rFonts w:hint="eastAsia"/>
                <w:sz w:val="24"/>
              </w:rPr>
              <w:t>，生产废水及初期雨水量合计</w:t>
            </w:r>
            <w:r>
              <w:rPr>
                <w:sz w:val="24"/>
              </w:rPr>
              <w:t>24.86m</w:t>
            </w:r>
            <w:r>
              <w:rPr>
                <w:sz w:val="24"/>
                <w:vertAlign w:val="superscript"/>
              </w:rPr>
              <w:t>3</w:t>
            </w:r>
            <w:r>
              <w:rPr>
                <w:rFonts w:hint="eastAsia"/>
                <w:sz w:val="24"/>
              </w:rPr>
              <w:t>，因此项目建设一座1</w:t>
            </w:r>
            <w:r>
              <w:rPr>
                <w:sz w:val="24"/>
              </w:rPr>
              <w:t>05</w:t>
            </w:r>
            <w:r>
              <w:rPr>
                <w:rFonts w:hint="eastAsia"/>
                <w:sz w:val="24"/>
              </w:rPr>
              <w:t>m³的三级沉淀池用于生产废水收集沉淀和初期雨水收集是合理的。</w:t>
            </w:r>
          </w:p>
          <w:p>
            <w:pPr>
              <w:spacing w:line="360" w:lineRule="auto"/>
              <w:ind w:firstLine="480" w:firstLineChars="200"/>
              <w:rPr>
                <w:sz w:val="24"/>
              </w:rPr>
            </w:pPr>
            <w:r>
              <w:rPr>
                <w:rFonts w:hint="eastAsia" w:ascii="宋体" w:hAnsi="宋体"/>
                <w:sz w:val="24"/>
              </w:rPr>
              <w:t>②</w:t>
            </w:r>
            <w:r>
              <w:rPr>
                <w:rFonts w:hint="eastAsia"/>
                <w:sz w:val="24"/>
              </w:rPr>
              <w:t>生产废水及初期雨水回用可行性分析</w:t>
            </w:r>
          </w:p>
          <w:p>
            <w:pPr>
              <w:spacing w:line="360" w:lineRule="auto"/>
              <w:ind w:firstLine="480" w:firstLineChars="200"/>
              <w:rPr>
                <w:sz w:val="24"/>
              </w:rPr>
            </w:pPr>
            <w:r>
              <w:rPr>
                <w:rFonts w:hint="eastAsia"/>
                <w:sz w:val="24"/>
              </w:rPr>
              <w:t>项目对混凝土运输罐车罐体、混凝土运输车辆外部进行清洗；每日生产结束或暂时停止生产后，对搅拌机进行清洗。项目生产用水需水量为</w:t>
            </w:r>
            <w:r>
              <w:rPr>
                <w:sz w:val="24"/>
              </w:rPr>
              <w:t>43.2</w:t>
            </w:r>
            <w:r>
              <w:rPr>
                <w:rFonts w:hint="eastAsia"/>
                <w:sz w:val="24"/>
              </w:rPr>
              <w:t>m</w:t>
            </w:r>
            <w:r>
              <w:rPr>
                <w:rFonts w:hint="eastAsia"/>
                <w:sz w:val="24"/>
                <w:vertAlign w:val="superscript"/>
              </w:rPr>
              <w:t>3</w:t>
            </w:r>
            <w:r>
              <w:rPr>
                <w:rFonts w:hint="eastAsia"/>
                <w:sz w:val="24"/>
              </w:rPr>
              <w:t>/d，生产废水产生量为</w:t>
            </w:r>
            <w:r>
              <w:rPr>
                <w:sz w:val="24"/>
              </w:rPr>
              <w:t>4.58</w:t>
            </w:r>
            <w:r>
              <w:rPr>
                <w:rFonts w:hint="eastAsia"/>
                <w:sz w:val="24"/>
              </w:rPr>
              <w:t>m</w:t>
            </w:r>
            <w:r>
              <w:rPr>
                <w:rFonts w:hint="eastAsia"/>
                <w:sz w:val="24"/>
                <w:vertAlign w:val="superscript"/>
              </w:rPr>
              <w:t>3</w:t>
            </w:r>
            <w:r>
              <w:rPr>
                <w:rFonts w:hint="eastAsia"/>
                <w:sz w:val="24"/>
              </w:rPr>
              <w:t>/d，初期雨水量为</w:t>
            </w:r>
            <w:r>
              <w:rPr>
                <w:sz w:val="24"/>
              </w:rPr>
              <w:t>20.28</w:t>
            </w:r>
            <w:r>
              <w:rPr>
                <w:rFonts w:hint="eastAsia"/>
                <w:sz w:val="24"/>
              </w:rPr>
              <w:t>m³/次，生产用水量大于沉淀池水收集量；项目生产废水及初期雨水经沉淀处理后全部回用于生产是可行的。</w:t>
            </w:r>
          </w:p>
          <w:p>
            <w:pPr>
              <w:spacing w:line="360" w:lineRule="auto"/>
              <w:ind w:firstLine="480" w:firstLineChars="200"/>
              <w:rPr>
                <w:sz w:val="24"/>
              </w:rPr>
            </w:pPr>
            <w:r>
              <w:rPr>
                <w:rFonts w:hint="eastAsia"/>
                <w:sz w:val="24"/>
              </w:rPr>
              <w:t>经查阅《混凝土用水标准》（JGJ63-2006），混凝土拌合用水中pH≥5、不溶物≤2000mg/L、可溶物≤2000mg/L、氯化物≤500mg/L、硫酸盐≤600mg/L、碱含量≤1500mg/L，项目生产废水及初期雨水经沉淀处理后，水质能满足混凝土拌合用水标准；</w:t>
            </w:r>
          </w:p>
          <w:p>
            <w:pPr>
              <w:spacing w:line="360" w:lineRule="auto"/>
              <w:ind w:firstLine="480" w:firstLineChars="200"/>
              <w:rPr>
                <w:sz w:val="24"/>
              </w:rPr>
            </w:pPr>
            <w:r>
              <w:rPr>
                <w:rFonts w:hint="eastAsia"/>
                <w:sz w:val="24"/>
              </w:rPr>
              <w:t>综上所述，项目生产废水及初期雨水经处理后，从水量、水质角度均可用于生产，因此本项目生产废水经处理后回用于生产是可行的。</w:t>
            </w:r>
          </w:p>
          <w:p>
            <w:pPr>
              <w:spacing w:line="360" w:lineRule="auto"/>
              <w:ind w:firstLine="480" w:firstLineChars="200"/>
              <w:rPr>
                <w:sz w:val="24"/>
              </w:rPr>
            </w:pPr>
            <w:r>
              <w:rPr>
                <w:rFonts w:hint="eastAsia" w:ascii="宋体" w:hAnsi="宋体"/>
                <w:sz w:val="24"/>
              </w:rPr>
              <w:t>③</w:t>
            </w:r>
            <w:r>
              <w:rPr>
                <w:rFonts w:hint="eastAsia"/>
                <w:sz w:val="24"/>
              </w:rPr>
              <w:t>生活污水用槽罐车外送污水处理厂可行性分析</w:t>
            </w:r>
          </w:p>
          <w:p>
            <w:pPr>
              <w:spacing w:line="360" w:lineRule="auto"/>
              <w:ind w:firstLine="480" w:firstLineChars="200"/>
              <w:rPr>
                <w:sz w:val="24"/>
              </w:rPr>
            </w:pPr>
            <w:r>
              <w:rPr>
                <w:rFonts w:hint="eastAsia"/>
                <w:sz w:val="24"/>
              </w:rPr>
              <w:t>项目生活污水量不大，为2</w:t>
            </w:r>
            <w:r>
              <w:rPr>
                <w:sz w:val="24"/>
              </w:rPr>
              <w:t>.56</w:t>
            </w:r>
            <w:r>
              <w:rPr>
                <w:rFonts w:hint="eastAsia"/>
                <w:sz w:val="24"/>
              </w:rPr>
              <w:t>m³</w:t>
            </w:r>
            <w:r>
              <w:rPr>
                <w:sz w:val="24"/>
              </w:rPr>
              <w:t>/d</w:t>
            </w:r>
            <w:r>
              <w:rPr>
                <w:rFonts w:hint="eastAsia"/>
                <w:sz w:val="24"/>
              </w:rPr>
              <w:t>，且项目为临时性的，待东川港项目不再需要混凝土供应后，项目可以拆除，项目所产生的生活污水临时委托污水处理厂处理是可行的。</w:t>
            </w:r>
          </w:p>
          <w:p>
            <w:pPr>
              <w:pStyle w:val="149"/>
              <w:ind w:firstLine="0" w:firstLineChars="0"/>
              <w:jc w:val="both"/>
              <w:rPr>
                <w:rFonts w:ascii="Times New Roman" w:hAnsi="Times New Roman" w:cs="Times New Roman"/>
                <w:b/>
                <w:bCs/>
                <w:color w:val="000000"/>
                <w:szCs w:val="20"/>
              </w:rPr>
            </w:pPr>
            <w:r>
              <w:rPr>
                <w:rFonts w:ascii="Times New Roman" w:hAnsi="Times New Roman" w:cs="Times New Roman"/>
                <w:b/>
                <w:bCs/>
              </w:rPr>
              <w:t>3、</w:t>
            </w:r>
            <w:r>
              <w:rPr>
                <w:rFonts w:ascii="Times New Roman" w:hAnsi="Times New Roman" w:cs="Times New Roman"/>
                <w:b/>
                <w:bCs/>
                <w:color w:val="000000"/>
                <w:szCs w:val="20"/>
              </w:rPr>
              <w:t>运营期地下水环境影响分析和保护措施</w:t>
            </w:r>
          </w:p>
          <w:p>
            <w:pPr>
              <w:snapToGrid w:val="0"/>
              <w:spacing w:line="360" w:lineRule="auto"/>
              <w:ind w:firstLine="480" w:firstLineChars="200"/>
              <w:rPr>
                <w:bCs/>
                <w:snapToGrid w:val="0"/>
                <w:color w:val="000000"/>
                <w:sz w:val="24"/>
                <w:szCs w:val="28"/>
              </w:rPr>
            </w:pPr>
            <w:r>
              <w:rPr>
                <w:bCs/>
                <w:snapToGrid w:val="0"/>
                <w:color w:val="000000"/>
                <w:sz w:val="24"/>
                <w:szCs w:val="28"/>
              </w:rPr>
              <w:t>（1）地下水污染途径</w:t>
            </w:r>
          </w:p>
          <w:p>
            <w:pPr>
              <w:autoSpaceDE w:val="0"/>
              <w:autoSpaceDN w:val="0"/>
              <w:adjustRightInd w:val="0"/>
              <w:snapToGrid w:val="0"/>
              <w:spacing w:line="360" w:lineRule="auto"/>
              <w:ind w:firstLine="480" w:firstLineChars="200"/>
              <w:jc w:val="left"/>
              <w:rPr>
                <w:color w:val="000000"/>
                <w:kern w:val="0"/>
                <w:sz w:val="24"/>
              </w:rPr>
            </w:pPr>
            <w:r>
              <w:rPr>
                <w:color w:val="000000"/>
                <w:kern w:val="0"/>
                <w:sz w:val="24"/>
              </w:rPr>
              <w:t>项目区地下水主要靠大气降水补给，正常情况下，项目废水及固废合理处置，污染物不进入地下水，对地下水环境影响较小。项目地下水污染途径主要是发生事故时或非正常排放对地下水环境的影响。项目可能对地下水造成污染的途径主要有：</w:t>
            </w:r>
          </w:p>
          <w:p>
            <w:pPr>
              <w:autoSpaceDE w:val="0"/>
              <w:autoSpaceDN w:val="0"/>
              <w:adjustRightInd w:val="0"/>
              <w:snapToGrid w:val="0"/>
              <w:spacing w:line="360" w:lineRule="auto"/>
              <w:ind w:firstLine="480" w:firstLineChars="200"/>
              <w:jc w:val="left"/>
              <w:rPr>
                <w:color w:val="000000"/>
                <w:kern w:val="0"/>
                <w:sz w:val="24"/>
              </w:rPr>
            </w:pPr>
            <w:r>
              <w:rPr>
                <w:rFonts w:hint="eastAsia" w:ascii="宋体" w:hAnsi="宋体" w:cs="宋体"/>
                <w:color w:val="000000"/>
                <w:kern w:val="0"/>
                <w:sz w:val="24"/>
              </w:rPr>
              <w:t>①</w:t>
            </w:r>
            <w:r>
              <w:rPr>
                <w:color w:val="000000"/>
                <w:kern w:val="0"/>
                <w:sz w:val="24"/>
              </w:rPr>
              <w:t>危废暂存间的防渗层发生破损或破裂，则污染物会发生渗漏，对地下水环境造成污染。</w:t>
            </w:r>
          </w:p>
          <w:p>
            <w:pPr>
              <w:snapToGrid w:val="0"/>
              <w:spacing w:line="360" w:lineRule="auto"/>
              <w:ind w:firstLine="480" w:firstLineChars="200"/>
              <w:rPr>
                <w:bCs/>
                <w:color w:val="000000"/>
                <w:sz w:val="24"/>
              </w:rPr>
            </w:pPr>
            <w:r>
              <w:rPr>
                <w:rFonts w:hint="eastAsia" w:ascii="宋体" w:hAnsi="宋体" w:cs="宋体"/>
                <w:color w:val="000000"/>
                <w:kern w:val="0"/>
                <w:sz w:val="24"/>
              </w:rPr>
              <w:t>②</w:t>
            </w:r>
            <w:r>
              <w:rPr>
                <w:color w:val="000000"/>
                <w:kern w:val="0"/>
                <w:sz w:val="24"/>
              </w:rPr>
              <w:t>若污废水输送管道破裂发生泄漏，对地下水环境造成污染。</w:t>
            </w:r>
          </w:p>
          <w:p>
            <w:pPr>
              <w:snapToGrid w:val="0"/>
              <w:spacing w:line="360" w:lineRule="auto"/>
              <w:ind w:firstLine="480" w:firstLineChars="200"/>
              <w:rPr>
                <w:bCs/>
                <w:snapToGrid w:val="0"/>
                <w:color w:val="000000"/>
                <w:sz w:val="24"/>
                <w:szCs w:val="28"/>
              </w:rPr>
            </w:pPr>
            <w:r>
              <w:rPr>
                <w:bCs/>
                <w:snapToGrid w:val="0"/>
                <w:color w:val="000000"/>
                <w:sz w:val="24"/>
                <w:szCs w:val="28"/>
              </w:rPr>
              <w:t>（2）地下水污染防治措施</w:t>
            </w:r>
          </w:p>
          <w:p>
            <w:pPr>
              <w:snapToGrid w:val="0"/>
              <w:spacing w:line="360" w:lineRule="auto"/>
              <w:ind w:firstLine="480" w:firstLineChars="200"/>
              <w:rPr>
                <w:bCs/>
                <w:color w:val="000000"/>
                <w:sz w:val="24"/>
              </w:rPr>
            </w:pPr>
            <w:r>
              <w:rPr>
                <w:bCs/>
                <w:color w:val="000000"/>
                <w:sz w:val="24"/>
              </w:rPr>
              <w:t>参考《环境影响评价技术导则-地下水环境》（HJ610-2016）的要求，厂区可划分为重点防渗区、一般防渗区。</w:t>
            </w:r>
          </w:p>
          <w:p>
            <w:pPr>
              <w:autoSpaceDE w:val="0"/>
              <w:autoSpaceDN w:val="0"/>
              <w:adjustRightInd w:val="0"/>
              <w:snapToGrid w:val="0"/>
              <w:spacing w:line="360" w:lineRule="auto"/>
              <w:ind w:firstLine="480" w:firstLineChars="200"/>
              <w:jc w:val="left"/>
              <w:rPr>
                <w:bCs/>
                <w:color w:val="000000"/>
                <w:sz w:val="24"/>
              </w:rPr>
            </w:pPr>
            <w:r>
              <w:rPr>
                <w:bCs/>
                <w:color w:val="000000"/>
                <w:sz w:val="24"/>
              </w:rPr>
              <w:fldChar w:fldCharType="begin"/>
            </w:r>
            <w:r>
              <w:rPr>
                <w:bCs/>
                <w:color w:val="000000"/>
                <w:sz w:val="24"/>
              </w:rPr>
              <w:instrText xml:space="preserve"> = 1 \* GB3 </w:instrText>
            </w:r>
            <w:r>
              <w:rPr>
                <w:bCs/>
                <w:color w:val="000000"/>
                <w:sz w:val="24"/>
              </w:rPr>
              <w:fldChar w:fldCharType="separate"/>
            </w:r>
            <w:r>
              <w:rPr>
                <w:rFonts w:hint="eastAsia" w:ascii="宋体" w:hAnsi="宋体" w:cs="宋体"/>
                <w:bCs/>
                <w:color w:val="000000"/>
                <w:sz w:val="24"/>
              </w:rPr>
              <w:t>①</w:t>
            </w:r>
            <w:r>
              <w:rPr>
                <w:bCs/>
                <w:color w:val="000000"/>
                <w:sz w:val="24"/>
              </w:rPr>
              <w:fldChar w:fldCharType="end"/>
            </w:r>
            <w:r>
              <w:rPr>
                <w:bCs/>
                <w:color w:val="000000"/>
                <w:sz w:val="24"/>
              </w:rPr>
              <w:t>重点防渗区</w:t>
            </w:r>
          </w:p>
          <w:p>
            <w:pPr>
              <w:autoSpaceDE w:val="0"/>
              <w:autoSpaceDN w:val="0"/>
              <w:adjustRightInd w:val="0"/>
              <w:snapToGrid w:val="0"/>
              <w:spacing w:line="360" w:lineRule="auto"/>
              <w:ind w:firstLine="480" w:firstLineChars="200"/>
              <w:jc w:val="left"/>
              <w:rPr>
                <w:bCs/>
                <w:color w:val="000000"/>
                <w:sz w:val="24"/>
              </w:rPr>
            </w:pPr>
            <w:r>
              <w:rPr>
                <w:bCs/>
                <w:color w:val="000000"/>
                <w:sz w:val="24"/>
              </w:rPr>
              <w:t>项目重点污染防治区主要是危废暂存间，按照《危险废物贮存污染控制标准》（GB18597-2001）进行防渗设计。重点污染区防渗要求：</w:t>
            </w:r>
          </w:p>
          <w:p>
            <w:pPr>
              <w:autoSpaceDE w:val="0"/>
              <w:autoSpaceDN w:val="0"/>
              <w:adjustRightInd w:val="0"/>
              <w:snapToGrid w:val="0"/>
              <w:spacing w:line="360" w:lineRule="auto"/>
              <w:ind w:firstLine="480" w:firstLineChars="200"/>
              <w:jc w:val="left"/>
              <w:rPr>
                <w:bCs/>
                <w:color w:val="000000"/>
                <w:sz w:val="24"/>
              </w:rPr>
            </w:pPr>
            <w:r>
              <w:rPr>
                <w:bCs/>
                <w:color w:val="000000"/>
                <w:sz w:val="24"/>
              </w:rPr>
              <w:t>操作条件下的单位面积渗透量不大于厚度为6m、饱和渗透系数&lt;l0</w:t>
            </w:r>
            <w:r>
              <w:rPr>
                <w:bCs/>
                <w:color w:val="000000"/>
                <w:sz w:val="24"/>
                <w:vertAlign w:val="superscript"/>
              </w:rPr>
              <w:t>-7</w:t>
            </w:r>
            <w:r>
              <w:rPr>
                <w:bCs/>
                <w:color w:val="000000"/>
                <w:sz w:val="24"/>
              </w:rPr>
              <w:t>cm/s 层的渗透量，防渗能力与《危险废物贮存污染控制标准》(GB18597-2001)第6.2.1条等效。防渗可参照一下规定进行防渗：</w:t>
            </w:r>
          </w:p>
          <w:p>
            <w:pPr>
              <w:autoSpaceDE w:val="0"/>
              <w:autoSpaceDN w:val="0"/>
              <w:adjustRightInd w:val="0"/>
              <w:snapToGrid w:val="0"/>
              <w:spacing w:line="360" w:lineRule="auto"/>
              <w:ind w:firstLine="480" w:firstLineChars="200"/>
              <w:jc w:val="left"/>
              <w:rPr>
                <w:bCs/>
                <w:color w:val="000000"/>
                <w:sz w:val="24"/>
              </w:rPr>
            </w:pPr>
            <w:r>
              <w:rPr>
                <w:bCs/>
                <w:color w:val="000000"/>
                <w:sz w:val="24"/>
              </w:rPr>
              <w:t>a.地面防渗层可采用黏土、抗渗混凝土、高密度聚乙烯（HDPE）膜、钠基膨润土防水毯或其他防渗性能等效的材料。</w:t>
            </w:r>
          </w:p>
          <w:p>
            <w:pPr>
              <w:autoSpaceDE w:val="0"/>
              <w:autoSpaceDN w:val="0"/>
              <w:adjustRightInd w:val="0"/>
              <w:snapToGrid w:val="0"/>
              <w:spacing w:line="360" w:lineRule="auto"/>
              <w:ind w:firstLine="480" w:firstLineChars="200"/>
              <w:jc w:val="left"/>
              <w:rPr>
                <w:bCs/>
                <w:color w:val="000000"/>
                <w:sz w:val="24"/>
              </w:rPr>
            </w:pPr>
            <w:r>
              <w:rPr>
                <w:bCs/>
                <w:color w:val="000000"/>
                <w:sz w:val="24"/>
              </w:rPr>
              <w:t>b.当建设场地具有符合要求的黏土时，地面防渗宜采用黏土防渗层，防渗层顶面宜采用混凝土地面或设置厚度不小于200mm的砂石层。</w:t>
            </w:r>
          </w:p>
          <w:p>
            <w:pPr>
              <w:autoSpaceDE w:val="0"/>
              <w:autoSpaceDN w:val="0"/>
              <w:adjustRightInd w:val="0"/>
              <w:snapToGrid w:val="0"/>
              <w:spacing w:line="360" w:lineRule="auto"/>
              <w:ind w:firstLine="480" w:firstLineChars="200"/>
              <w:jc w:val="left"/>
              <w:rPr>
                <w:bCs/>
                <w:color w:val="000000"/>
                <w:sz w:val="24"/>
              </w:rPr>
            </w:pPr>
            <w:r>
              <w:rPr>
                <w:bCs/>
                <w:color w:val="000000"/>
                <w:sz w:val="24"/>
              </w:rPr>
              <w:t>c.混凝土防渗层可采用抗渗钢纤维混凝土、抗渗合成纤维混凝土、抗渗钢筋混凝土和抗渗素混凝土。</w:t>
            </w:r>
          </w:p>
          <w:p>
            <w:pPr>
              <w:autoSpaceDE w:val="0"/>
              <w:autoSpaceDN w:val="0"/>
              <w:adjustRightInd w:val="0"/>
              <w:snapToGrid w:val="0"/>
              <w:spacing w:line="360" w:lineRule="auto"/>
              <w:ind w:firstLine="480" w:firstLineChars="200"/>
              <w:jc w:val="left"/>
              <w:rPr>
                <w:bCs/>
                <w:color w:val="000000"/>
                <w:sz w:val="24"/>
              </w:rPr>
            </w:pPr>
            <w:r>
              <w:rPr>
                <w:bCs/>
                <w:color w:val="000000"/>
                <w:sz w:val="24"/>
              </w:rPr>
              <w:fldChar w:fldCharType="begin"/>
            </w:r>
            <w:r>
              <w:rPr>
                <w:bCs/>
                <w:color w:val="000000"/>
                <w:sz w:val="24"/>
              </w:rPr>
              <w:instrText xml:space="preserve"> = 2 \* GB3 </w:instrText>
            </w:r>
            <w:r>
              <w:rPr>
                <w:bCs/>
                <w:color w:val="000000"/>
                <w:sz w:val="24"/>
              </w:rPr>
              <w:fldChar w:fldCharType="separate"/>
            </w:r>
            <w:r>
              <w:rPr>
                <w:rFonts w:hint="eastAsia" w:ascii="宋体" w:hAnsi="宋体" w:cs="宋体"/>
                <w:bCs/>
                <w:color w:val="000000"/>
                <w:sz w:val="24"/>
              </w:rPr>
              <w:t>②</w:t>
            </w:r>
            <w:r>
              <w:rPr>
                <w:bCs/>
                <w:color w:val="000000"/>
                <w:sz w:val="24"/>
              </w:rPr>
              <w:fldChar w:fldCharType="end"/>
            </w:r>
            <w:r>
              <w:rPr>
                <w:bCs/>
                <w:color w:val="000000"/>
                <w:sz w:val="24"/>
              </w:rPr>
              <w:t>一般防渗区</w:t>
            </w:r>
          </w:p>
          <w:p>
            <w:pPr>
              <w:autoSpaceDE w:val="0"/>
              <w:autoSpaceDN w:val="0"/>
              <w:adjustRightInd w:val="0"/>
              <w:snapToGrid w:val="0"/>
              <w:spacing w:line="360" w:lineRule="auto"/>
              <w:ind w:firstLine="480" w:firstLineChars="200"/>
              <w:jc w:val="left"/>
              <w:rPr>
                <w:bCs/>
                <w:color w:val="000000"/>
                <w:sz w:val="24"/>
              </w:rPr>
            </w:pPr>
            <w:r>
              <w:rPr>
                <w:bCs/>
                <w:color w:val="000000"/>
                <w:sz w:val="24"/>
              </w:rPr>
              <w:t>污染地下水环境的污废水、物料贮存或泄露不能及时发现或处理的区域，划分为一般防渗区，主要包括：生产车间、原料仓库等区域。参照《环境影响评价技术导则-地下水环境》（HJ610-2016）中一般防渗区的防渗要求进行防渗设计，防渗层的防渗性能应等效于厚度≥1.5m，渗透系数≤1.0×10</w:t>
            </w:r>
            <w:r>
              <w:rPr>
                <w:bCs/>
                <w:color w:val="000000"/>
                <w:sz w:val="24"/>
                <w:vertAlign w:val="superscript"/>
              </w:rPr>
              <w:t>-7</w:t>
            </w:r>
            <w:r>
              <w:rPr>
                <w:bCs/>
                <w:color w:val="000000"/>
                <w:sz w:val="24"/>
              </w:rPr>
              <w:t>cm/s的黏土层的防渗性能。</w:t>
            </w:r>
          </w:p>
          <w:p>
            <w:pPr>
              <w:spacing w:line="360" w:lineRule="auto"/>
              <w:rPr>
                <w:b/>
                <w:bCs/>
                <w:sz w:val="24"/>
              </w:rPr>
            </w:pPr>
            <w:r>
              <w:rPr>
                <w:b/>
                <w:bCs/>
                <w:sz w:val="24"/>
              </w:rPr>
              <w:t>4、运营期声环境影响及保护措施</w:t>
            </w:r>
          </w:p>
          <w:p>
            <w:pPr>
              <w:spacing w:line="360" w:lineRule="auto"/>
              <w:ind w:firstLine="480" w:firstLineChars="200"/>
              <w:rPr>
                <w:sz w:val="24"/>
              </w:rPr>
            </w:pPr>
            <w:r>
              <w:rPr>
                <w:sz w:val="24"/>
              </w:rPr>
              <w:t>（1）噪声的产排情况</w:t>
            </w:r>
          </w:p>
          <w:p>
            <w:pPr>
              <w:spacing w:line="360" w:lineRule="auto"/>
              <w:ind w:firstLine="480" w:firstLineChars="200"/>
              <w:rPr>
                <w:sz w:val="24"/>
              </w:rPr>
            </w:pPr>
            <w:r>
              <w:rPr>
                <w:sz w:val="24"/>
              </w:rPr>
              <w:t>项目噪声主要来源于搅拌机、物料传输装置等产生的噪声。本项目噪声源强在通过选用低噪设备，固定设备安装减震垫，厂区建筑物隔声，车辆运输厂内限速禁鸣等措施后，</w:t>
            </w:r>
            <w:r>
              <w:rPr>
                <w:rFonts w:hint="eastAsia"/>
                <w:sz w:val="24"/>
              </w:rPr>
              <w:t>降低噪声对环境的影响</w:t>
            </w:r>
            <w:r>
              <w:rPr>
                <w:sz w:val="24"/>
              </w:rPr>
              <w:t>。</w:t>
            </w:r>
            <w:r>
              <w:rPr>
                <w:rFonts w:hint="eastAsia"/>
                <w:sz w:val="24"/>
              </w:rPr>
              <w:t>设备噪声源强及采取措施后衰减预测值见表4-</w:t>
            </w:r>
            <w:r>
              <w:rPr>
                <w:sz w:val="24"/>
              </w:rPr>
              <w:t>8</w:t>
            </w:r>
            <w:r>
              <w:rPr>
                <w:rFonts w:hint="eastAsia"/>
                <w:sz w:val="24"/>
              </w:rPr>
              <w:t>、表4-</w:t>
            </w:r>
            <w:r>
              <w:rPr>
                <w:sz w:val="24"/>
              </w:rPr>
              <w:t>9</w:t>
            </w:r>
            <w:r>
              <w:rPr>
                <w:rFonts w:hint="eastAsia"/>
                <w:sz w:val="24"/>
              </w:rPr>
              <w:t>。</w:t>
            </w:r>
          </w:p>
          <w:p>
            <w:pPr>
              <w:spacing w:line="360" w:lineRule="auto"/>
              <w:jc w:val="center"/>
              <w:rPr>
                <w:b/>
                <w:bCs/>
                <w:szCs w:val="21"/>
              </w:rPr>
            </w:pPr>
            <w:r>
              <w:rPr>
                <w:rFonts w:hint="eastAsia"/>
                <w:b/>
                <w:bCs/>
                <w:szCs w:val="21"/>
              </w:rPr>
              <w:t>表4-</w:t>
            </w:r>
            <w:r>
              <w:rPr>
                <w:b/>
                <w:bCs/>
                <w:szCs w:val="21"/>
              </w:rPr>
              <w:t xml:space="preserve">8  </w:t>
            </w:r>
            <w:r>
              <w:rPr>
                <w:rFonts w:hint="eastAsia"/>
                <w:b/>
                <w:bCs/>
                <w:szCs w:val="21"/>
              </w:rPr>
              <w:t>项目设备噪声源强一览表</w:t>
            </w:r>
          </w:p>
          <w:tbl>
            <w:tblPr>
              <w:tblStyle w:val="88"/>
              <w:tblW w:w="5000" w:type="pct"/>
              <w:tblInd w:w="0" w:type="dxa"/>
              <w:tblLayout w:type="autofit"/>
              <w:tblCellMar>
                <w:top w:w="0" w:type="dxa"/>
                <w:left w:w="108" w:type="dxa"/>
                <w:bottom w:w="0" w:type="dxa"/>
                <w:right w:w="108" w:type="dxa"/>
              </w:tblCellMar>
            </w:tblPr>
            <w:tblGrid>
              <w:gridCol w:w="1277"/>
              <w:gridCol w:w="1124"/>
              <w:gridCol w:w="806"/>
              <w:gridCol w:w="1300"/>
              <w:gridCol w:w="3343"/>
            </w:tblGrid>
            <w:tr>
              <w:tblPrEx>
                <w:tblCellMar>
                  <w:top w:w="0" w:type="dxa"/>
                  <w:left w:w="108" w:type="dxa"/>
                  <w:bottom w:w="0" w:type="dxa"/>
                  <w:right w:w="108" w:type="dxa"/>
                </w:tblCellMar>
              </w:tblPrEx>
              <w:trPr>
                <w:trHeight w:val="340" w:hRule="atLeast"/>
              </w:trPr>
              <w:tc>
                <w:tcPr>
                  <w:tcW w:w="813"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b/>
                      <w:bCs/>
                    </w:rPr>
                  </w:pPr>
                  <w:r>
                    <w:rPr>
                      <w:rFonts w:ascii="Times New Roman" w:hAnsi="Times New Roman" w:cs="Times New Roman" w:eastAsiaTheme="minorEastAsia"/>
                      <w:b/>
                      <w:bCs/>
                    </w:rPr>
                    <w:t>主要噪声源</w:t>
                  </w:r>
                </w:p>
              </w:tc>
              <w:tc>
                <w:tcPr>
                  <w:tcW w:w="716"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b/>
                      <w:bCs/>
                    </w:rPr>
                  </w:pPr>
                  <w:r>
                    <w:rPr>
                      <w:rFonts w:ascii="Times New Roman" w:hAnsi="Times New Roman" w:cs="Times New Roman" w:eastAsiaTheme="minorEastAsia"/>
                      <w:b/>
                      <w:bCs/>
                    </w:rPr>
                    <w:t>位置</w:t>
                  </w:r>
                </w:p>
              </w:tc>
              <w:tc>
                <w:tcPr>
                  <w:tcW w:w="513"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b/>
                      <w:bCs/>
                    </w:rPr>
                  </w:pPr>
                  <w:r>
                    <w:rPr>
                      <w:rFonts w:ascii="Times New Roman" w:hAnsi="Times New Roman" w:cs="Times New Roman" w:eastAsiaTheme="minorEastAsia"/>
                      <w:b/>
                      <w:bCs/>
                    </w:rPr>
                    <w:t>数量</w:t>
                  </w:r>
                </w:p>
              </w:tc>
              <w:tc>
                <w:tcPr>
                  <w:tcW w:w="828"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b/>
                      <w:bCs/>
                    </w:rPr>
                  </w:pPr>
                  <w:r>
                    <w:rPr>
                      <w:rFonts w:ascii="Times New Roman" w:hAnsi="Times New Roman" w:cs="Times New Roman" w:eastAsiaTheme="minorEastAsia"/>
                      <w:b/>
                      <w:bCs/>
                    </w:rPr>
                    <w:t>声源声级dB（A）</w:t>
                  </w:r>
                </w:p>
              </w:tc>
              <w:tc>
                <w:tcPr>
                  <w:tcW w:w="2129"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b/>
                      <w:bCs/>
                    </w:rPr>
                  </w:pPr>
                  <w:r>
                    <w:rPr>
                      <w:rFonts w:ascii="Times New Roman" w:hAnsi="Times New Roman" w:cs="Times New Roman" w:eastAsiaTheme="minorEastAsia"/>
                      <w:b/>
                      <w:bCs/>
                    </w:rPr>
                    <w:t>治理措施</w:t>
                  </w:r>
                </w:p>
              </w:tc>
            </w:tr>
            <w:tr>
              <w:tblPrEx>
                <w:tblCellMar>
                  <w:top w:w="0" w:type="dxa"/>
                  <w:left w:w="108" w:type="dxa"/>
                  <w:bottom w:w="0" w:type="dxa"/>
                  <w:right w:w="108" w:type="dxa"/>
                </w:tblCellMar>
              </w:tblPrEx>
              <w:trPr>
                <w:trHeight w:val="340" w:hRule="atLeast"/>
              </w:trPr>
              <w:tc>
                <w:tcPr>
                  <w:tcW w:w="813"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搅拌机</w:t>
                  </w:r>
                </w:p>
              </w:tc>
              <w:tc>
                <w:tcPr>
                  <w:tcW w:w="716"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搅拌机楼</w:t>
                  </w:r>
                </w:p>
              </w:tc>
              <w:tc>
                <w:tcPr>
                  <w:tcW w:w="513"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1台</w:t>
                  </w:r>
                </w:p>
              </w:tc>
              <w:tc>
                <w:tcPr>
                  <w:tcW w:w="828"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85</w:t>
                  </w:r>
                </w:p>
              </w:tc>
              <w:tc>
                <w:tcPr>
                  <w:tcW w:w="2129"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基座减振、封闭搅拌楼</w:t>
                  </w:r>
                </w:p>
              </w:tc>
            </w:tr>
            <w:tr>
              <w:tblPrEx>
                <w:tblCellMar>
                  <w:top w:w="0" w:type="dxa"/>
                  <w:left w:w="108" w:type="dxa"/>
                  <w:bottom w:w="0" w:type="dxa"/>
                  <w:right w:w="108" w:type="dxa"/>
                </w:tblCellMar>
              </w:tblPrEx>
              <w:trPr>
                <w:trHeight w:val="340" w:hRule="atLeast"/>
              </w:trPr>
              <w:tc>
                <w:tcPr>
                  <w:tcW w:w="813"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空压机</w:t>
                  </w:r>
                </w:p>
              </w:tc>
              <w:tc>
                <w:tcPr>
                  <w:tcW w:w="716"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搅拌机楼</w:t>
                  </w:r>
                </w:p>
              </w:tc>
              <w:tc>
                <w:tcPr>
                  <w:tcW w:w="513"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1台</w:t>
                  </w:r>
                </w:p>
              </w:tc>
              <w:tc>
                <w:tcPr>
                  <w:tcW w:w="828"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80</w:t>
                  </w:r>
                </w:p>
              </w:tc>
              <w:tc>
                <w:tcPr>
                  <w:tcW w:w="2129"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基座减振、封闭搅拌楼</w:t>
                  </w:r>
                </w:p>
              </w:tc>
            </w:tr>
            <w:tr>
              <w:tblPrEx>
                <w:tblCellMar>
                  <w:top w:w="0" w:type="dxa"/>
                  <w:left w:w="108" w:type="dxa"/>
                  <w:bottom w:w="0" w:type="dxa"/>
                  <w:right w:w="108" w:type="dxa"/>
                </w:tblCellMar>
              </w:tblPrEx>
              <w:trPr>
                <w:trHeight w:val="340" w:hRule="atLeast"/>
              </w:trPr>
              <w:tc>
                <w:tcPr>
                  <w:tcW w:w="813"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皮带输送机</w:t>
                  </w:r>
                </w:p>
              </w:tc>
              <w:tc>
                <w:tcPr>
                  <w:tcW w:w="716"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搅拌机楼</w:t>
                  </w:r>
                </w:p>
              </w:tc>
              <w:tc>
                <w:tcPr>
                  <w:tcW w:w="513"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1套</w:t>
                  </w:r>
                </w:p>
              </w:tc>
              <w:tc>
                <w:tcPr>
                  <w:tcW w:w="828"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70</w:t>
                  </w:r>
                </w:p>
              </w:tc>
              <w:tc>
                <w:tcPr>
                  <w:tcW w:w="2129"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低噪声设备、封闭搅拌楼</w:t>
                  </w:r>
                </w:p>
              </w:tc>
            </w:tr>
            <w:tr>
              <w:tblPrEx>
                <w:tblCellMar>
                  <w:top w:w="0" w:type="dxa"/>
                  <w:left w:w="108" w:type="dxa"/>
                  <w:bottom w:w="0" w:type="dxa"/>
                  <w:right w:w="108" w:type="dxa"/>
                </w:tblCellMar>
              </w:tblPrEx>
              <w:trPr>
                <w:trHeight w:val="340" w:hRule="atLeast"/>
              </w:trPr>
              <w:tc>
                <w:tcPr>
                  <w:tcW w:w="813"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螺旋输送机</w:t>
                  </w:r>
                </w:p>
              </w:tc>
              <w:tc>
                <w:tcPr>
                  <w:tcW w:w="716"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筒仓</w:t>
                  </w:r>
                </w:p>
              </w:tc>
              <w:tc>
                <w:tcPr>
                  <w:tcW w:w="513"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6套</w:t>
                  </w:r>
                </w:p>
              </w:tc>
              <w:tc>
                <w:tcPr>
                  <w:tcW w:w="828"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70</w:t>
                  </w:r>
                </w:p>
              </w:tc>
              <w:tc>
                <w:tcPr>
                  <w:tcW w:w="2129"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低噪声设备、筒仓内</w:t>
                  </w:r>
                </w:p>
              </w:tc>
            </w:tr>
            <w:tr>
              <w:tblPrEx>
                <w:tblCellMar>
                  <w:top w:w="0" w:type="dxa"/>
                  <w:left w:w="108" w:type="dxa"/>
                  <w:bottom w:w="0" w:type="dxa"/>
                  <w:right w:w="108" w:type="dxa"/>
                </w:tblCellMar>
              </w:tblPrEx>
              <w:trPr>
                <w:trHeight w:val="340" w:hRule="atLeast"/>
              </w:trPr>
              <w:tc>
                <w:tcPr>
                  <w:tcW w:w="813"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水泵</w:t>
                  </w:r>
                </w:p>
              </w:tc>
              <w:tc>
                <w:tcPr>
                  <w:tcW w:w="716"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水池旁</w:t>
                  </w:r>
                </w:p>
              </w:tc>
              <w:tc>
                <w:tcPr>
                  <w:tcW w:w="513"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1台</w:t>
                  </w:r>
                </w:p>
              </w:tc>
              <w:tc>
                <w:tcPr>
                  <w:tcW w:w="828"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80</w:t>
                  </w:r>
                </w:p>
              </w:tc>
              <w:tc>
                <w:tcPr>
                  <w:tcW w:w="2129"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选用低噪水泵，基座安装减振基础</w:t>
                  </w:r>
                </w:p>
              </w:tc>
            </w:tr>
            <w:tr>
              <w:tblPrEx>
                <w:tblCellMar>
                  <w:top w:w="0" w:type="dxa"/>
                  <w:left w:w="108" w:type="dxa"/>
                  <w:bottom w:w="0" w:type="dxa"/>
                  <w:right w:w="108" w:type="dxa"/>
                </w:tblCellMar>
              </w:tblPrEx>
              <w:trPr>
                <w:trHeight w:val="340" w:hRule="atLeast"/>
              </w:trPr>
              <w:tc>
                <w:tcPr>
                  <w:tcW w:w="813"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hint="eastAsia" w:ascii="Times New Roman" w:hAnsi="Times New Roman" w:cs="Times New Roman" w:eastAsiaTheme="minorEastAsia"/>
                    </w:rPr>
                    <w:t>装载机</w:t>
                  </w:r>
                </w:p>
              </w:tc>
              <w:tc>
                <w:tcPr>
                  <w:tcW w:w="716"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hint="eastAsia" w:ascii="Times New Roman" w:hAnsi="Times New Roman" w:cs="Times New Roman" w:eastAsiaTheme="minorEastAsia"/>
                    </w:rPr>
                    <w:t>料仓前</w:t>
                  </w:r>
                </w:p>
              </w:tc>
              <w:tc>
                <w:tcPr>
                  <w:tcW w:w="513"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1台</w:t>
                  </w:r>
                </w:p>
              </w:tc>
              <w:tc>
                <w:tcPr>
                  <w:tcW w:w="828"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90</w:t>
                  </w:r>
                </w:p>
              </w:tc>
              <w:tc>
                <w:tcPr>
                  <w:tcW w:w="2129"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hint="eastAsia" w:ascii="Times New Roman" w:hAnsi="Times New Roman" w:cs="Times New Roman" w:eastAsiaTheme="minorEastAsia"/>
                    </w:rPr>
                    <w:t>料场修建围墙，防雨棚，装载机平稳运行</w:t>
                  </w:r>
                </w:p>
              </w:tc>
            </w:tr>
            <w:tr>
              <w:tblPrEx>
                <w:tblCellMar>
                  <w:top w:w="0" w:type="dxa"/>
                  <w:left w:w="108" w:type="dxa"/>
                  <w:bottom w:w="0" w:type="dxa"/>
                  <w:right w:w="108" w:type="dxa"/>
                </w:tblCellMar>
              </w:tblPrEx>
              <w:trPr>
                <w:trHeight w:val="340" w:hRule="atLeast"/>
              </w:trPr>
              <w:tc>
                <w:tcPr>
                  <w:tcW w:w="813"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车辆行驶</w:t>
                  </w:r>
                </w:p>
              </w:tc>
              <w:tc>
                <w:tcPr>
                  <w:tcW w:w="716"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厂内</w:t>
                  </w:r>
                </w:p>
              </w:tc>
              <w:tc>
                <w:tcPr>
                  <w:tcW w:w="513"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w:t>
                  </w:r>
                </w:p>
              </w:tc>
              <w:tc>
                <w:tcPr>
                  <w:tcW w:w="828"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85～90</w:t>
                  </w:r>
                </w:p>
              </w:tc>
              <w:tc>
                <w:tcPr>
                  <w:tcW w:w="2129" w:type="pct"/>
                  <w:tcBorders>
                    <w:top w:val="single" w:color="000000" w:sz="4" w:space="0"/>
                    <w:left w:val="single" w:color="000000" w:sz="4" w:space="0"/>
                    <w:bottom w:val="single" w:color="000000" w:sz="4" w:space="0"/>
                    <w:right w:val="single" w:color="000000" w:sz="4" w:space="0"/>
                  </w:tcBorders>
                  <w:vAlign w:val="center"/>
                </w:tcPr>
                <w:p>
                  <w:pPr>
                    <w:pStyle w:val="580"/>
                    <w:spacing w:line="240" w:lineRule="auto"/>
                    <w:rPr>
                      <w:rFonts w:ascii="Times New Roman" w:hAnsi="Times New Roman" w:cs="Times New Roman" w:eastAsiaTheme="minorEastAsia"/>
                    </w:rPr>
                  </w:pPr>
                  <w:r>
                    <w:rPr>
                      <w:rFonts w:ascii="Times New Roman" w:hAnsi="Times New Roman" w:cs="Times New Roman" w:eastAsiaTheme="minorEastAsia"/>
                    </w:rPr>
                    <w:t>加强车辆进出管理，禁止鸣笛，限制车速</w:t>
                  </w:r>
                </w:p>
              </w:tc>
            </w:tr>
          </w:tbl>
          <w:p>
            <w:pPr>
              <w:spacing w:line="360" w:lineRule="auto"/>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根据类比调查，主要噪声设备经过隔声、减振后的噪声级范围见表4-</w:t>
            </w:r>
            <w:r>
              <w:rPr>
                <w:rFonts w:asciiTheme="minorEastAsia" w:hAnsiTheme="minorEastAsia" w:eastAsiaTheme="minorEastAsia"/>
                <w:sz w:val="24"/>
              </w:rPr>
              <w:t>9</w:t>
            </w:r>
            <w:r>
              <w:rPr>
                <w:rFonts w:hint="eastAsia" w:asciiTheme="minorEastAsia" w:hAnsiTheme="minorEastAsia" w:eastAsiaTheme="minorEastAsia"/>
                <w:sz w:val="24"/>
              </w:rPr>
              <w:t>。</w:t>
            </w:r>
          </w:p>
          <w:p>
            <w:pPr>
              <w:spacing w:line="360" w:lineRule="auto"/>
              <w:jc w:val="center"/>
              <w:rPr>
                <w:b/>
                <w:bCs/>
                <w:szCs w:val="21"/>
              </w:rPr>
            </w:pPr>
            <w:r>
              <w:rPr>
                <w:rFonts w:hint="eastAsia"/>
                <w:b/>
                <w:bCs/>
                <w:szCs w:val="21"/>
              </w:rPr>
              <w:t>表4-</w:t>
            </w:r>
            <w:r>
              <w:rPr>
                <w:b/>
                <w:bCs/>
                <w:szCs w:val="21"/>
              </w:rPr>
              <w:t xml:space="preserve">9  </w:t>
            </w:r>
            <w:r>
              <w:rPr>
                <w:rFonts w:hint="eastAsia"/>
                <w:b/>
                <w:bCs/>
                <w:szCs w:val="21"/>
              </w:rPr>
              <w:t>设备噪声衰减预测值</w:t>
            </w:r>
          </w:p>
          <w:tbl>
            <w:tblPr>
              <w:tblStyle w:val="88"/>
              <w:tblW w:w="5000" w:type="pct"/>
              <w:jc w:val="center"/>
              <w:tblLayout w:type="autofit"/>
              <w:tblCellMar>
                <w:top w:w="0" w:type="dxa"/>
                <w:left w:w="108" w:type="dxa"/>
                <w:bottom w:w="0" w:type="dxa"/>
                <w:right w:w="108" w:type="dxa"/>
              </w:tblCellMar>
            </w:tblPr>
            <w:tblGrid>
              <w:gridCol w:w="1228"/>
              <w:gridCol w:w="1309"/>
              <w:gridCol w:w="1124"/>
              <w:gridCol w:w="1812"/>
              <w:gridCol w:w="1188"/>
              <w:gridCol w:w="1189"/>
            </w:tblGrid>
            <w:tr>
              <w:trPr>
                <w:trHeight w:val="23" w:hRule="atLeast"/>
                <w:jc w:val="center"/>
              </w:trPr>
              <w:tc>
                <w:tcPr>
                  <w:tcW w:w="782"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设备名称</w:t>
                  </w:r>
                </w:p>
              </w:tc>
              <w:tc>
                <w:tcPr>
                  <w:tcW w:w="834"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距声源1m处源强dB（A）</w:t>
                  </w:r>
                </w:p>
              </w:tc>
              <w:tc>
                <w:tcPr>
                  <w:tcW w:w="716"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数量（台/套）</w:t>
                  </w:r>
                </w:p>
              </w:tc>
              <w:tc>
                <w:tcPr>
                  <w:tcW w:w="1154"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治理措施</w:t>
                  </w:r>
                </w:p>
              </w:tc>
              <w:tc>
                <w:tcPr>
                  <w:tcW w:w="757"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hint="eastAsia" w:ascii="Times New Roman" w:hAnsi="Times New Roman" w:cs="Times New Roman" w:eastAsiaTheme="minorEastAsia"/>
                    </w:rPr>
                    <w:t>降噪后噪声源强</w:t>
                  </w:r>
                </w:p>
                <w:p>
                  <w:pPr>
                    <w:pStyle w:val="580"/>
                    <w:rPr>
                      <w:rFonts w:ascii="Times New Roman" w:hAnsi="Times New Roman" w:cs="Times New Roman" w:eastAsiaTheme="minorEastAsia"/>
                    </w:rPr>
                  </w:pPr>
                  <w:r>
                    <w:rPr>
                      <w:rFonts w:ascii="Times New Roman" w:hAnsi="Times New Roman" w:cs="Times New Roman" w:eastAsiaTheme="minorEastAsia"/>
                    </w:rPr>
                    <w:t>dB（A）</w:t>
                  </w:r>
                </w:p>
              </w:tc>
              <w:tc>
                <w:tcPr>
                  <w:tcW w:w="757"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hint="eastAsia" w:ascii="Times New Roman" w:hAnsi="Times New Roman" w:cs="Times New Roman" w:eastAsiaTheme="minorEastAsia"/>
                    </w:rPr>
                    <w:t>叠加后噪声源强</w:t>
                  </w:r>
                </w:p>
              </w:tc>
            </w:tr>
            <w:tr>
              <w:tblPrEx>
                <w:tblCellMar>
                  <w:top w:w="0" w:type="dxa"/>
                  <w:left w:w="108" w:type="dxa"/>
                  <w:bottom w:w="0" w:type="dxa"/>
                  <w:right w:w="108" w:type="dxa"/>
                </w:tblCellMar>
              </w:tblPrEx>
              <w:trPr>
                <w:trHeight w:val="23" w:hRule="atLeast"/>
                <w:jc w:val="center"/>
              </w:trPr>
              <w:tc>
                <w:tcPr>
                  <w:tcW w:w="782"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搅拌机</w:t>
                  </w:r>
                </w:p>
              </w:tc>
              <w:tc>
                <w:tcPr>
                  <w:tcW w:w="834"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85</w:t>
                  </w:r>
                </w:p>
              </w:tc>
              <w:tc>
                <w:tcPr>
                  <w:tcW w:w="716"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1台</w:t>
                  </w:r>
                </w:p>
              </w:tc>
              <w:tc>
                <w:tcPr>
                  <w:tcW w:w="1154" w:type="pct"/>
                  <w:vMerge w:val="restart"/>
                  <w:tcBorders>
                    <w:left w:val="single" w:color="000000" w:sz="2" w:space="0"/>
                    <w:right w:val="single" w:color="000000" w:sz="2" w:space="0"/>
                  </w:tcBorders>
                  <w:vAlign w:val="center"/>
                </w:tcPr>
                <w:p>
                  <w:pPr>
                    <w:pStyle w:val="580"/>
                    <w:jc w:val="both"/>
                    <w:rPr>
                      <w:rFonts w:ascii="Times New Roman" w:hAnsi="Times New Roman" w:cs="Times New Roman" w:eastAsiaTheme="minorEastAsia"/>
                    </w:rPr>
                  </w:pPr>
                  <w:r>
                    <w:rPr>
                      <w:rFonts w:ascii="Times New Roman" w:hAnsi="Times New Roman" w:cs="Times New Roman" w:eastAsiaTheme="minorEastAsia"/>
                    </w:rPr>
                    <w:t>搅拌机采用</w:t>
                  </w:r>
                  <w:r>
                    <w:rPr>
                      <w:rFonts w:hint="eastAsia" w:ascii="Times New Roman" w:hAnsi="Times New Roman" w:cs="Times New Roman" w:eastAsiaTheme="minorEastAsia"/>
                    </w:rPr>
                    <w:t>隔声材料</w:t>
                  </w:r>
                  <w:r>
                    <w:rPr>
                      <w:rFonts w:ascii="Times New Roman" w:hAnsi="Times New Roman" w:cs="Times New Roman" w:eastAsiaTheme="minorEastAsia"/>
                    </w:rPr>
                    <w:t>封闭处理，低噪声设备，基座安装减振基础</w:t>
                  </w:r>
                  <w:r>
                    <w:rPr>
                      <w:rFonts w:hint="eastAsia" w:ascii="Times New Roman" w:hAnsi="Times New Roman" w:cs="Times New Roman" w:eastAsiaTheme="minorEastAsia"/>
                    </w:rPr>
                    <w:t>。</w:t>
                  </w:r>
                </w:p>
              </w:tc>
              <w:tc>
                <w:tcPr>
                  <w:tcW w:w="757"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75</w:t>
                  </w:r>
                </w:p>
              </w:tc>
              <w:tc>
                <w:tcPr>
                  <w:tcW w:w="757"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hint="eastAsia" w:ascii="Times New Roman" w:hAnsi="Times New Roman" w:cs="Times New Roman" w:eastAsiaTheme="minorEastAsia"/>
                    </w:rPr>
                    <w:t>7</w:t>
                  </w:r>
                  <w:r>
                    <w:rPr>
                      <w:rFonts w:ascii="Times New Roman" w:hAnsi="Times New Roman" w:cs="Times New Roman" w:eastAsiaTheme="minorEastAsia"/>
                    </w:rPr>
                    <w:t>5</w:t>
                  </w:r>
                </w:p>
              </w:tc>
            </w:tr>
            <w:tr>
              <w:tblPrEx>
                <w:tblCellMar>
                  <w:top w:w="0" w:type="dxa"/>
                  <w:left w:w="108" w:type="dxa"/>
                  <w:bottom w:w="0" w:type="dxa"/>
                  <w:right w:w="108" w:type="dxa"/>
                </w:tblCellMar>
              </w:tblPrEx>
              <w:trPr>
                <w:trHeight w:val="23" w:hRule="atLeast"/>
                <w:jc w:val="center"/>
              </w:trPr>
              <w:tc>
                <w:tcPr>
                  <w:tcW w:w="782"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空压机</w:t>
                  </w:r>
                </w:p>
              </w:tc>
              <w:tc>
                <w:tcPr>
                  <w:tcW w:w="834"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80</w:t>
                  </w:r>
                </w:p>
              </w:tc>
              <w:tc>
                <w:tcPr>
                  <w:tcW w:w="716"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1台</w:t>
                  </w:r>
                </w:p>
              </w:tc>
              <w:tc>
                <w:tcPr>
                  <w:tcW w:w="1154" w:type="pct"/>
                  <w:vMerge w:val="continue"/>
                  <w:tcBorders>
                    <w:left w:val="single" w:color="000000" w:sz="2" w:space="0"/>
                    <w:right w:val="single" w:color="000000" w:sz="2" w:space="0"/>
                  </w:tcBorders>
                  <w:vAlign w:val="center"/>
                </w:tcPr>
                <w:p>
                  <w:pPr>
                    <w:pStyle w:val="580"/>
                    <w:ind w:firstLine="480"/>
                    <w:rPr>
                      <w:rFonts w:ascii="Times New Roman" w:hAnsi="Times New Roman" w:cs="Times New Roman" w:eastAsiaTheme="minorEastAsia"/>
                    </w:rPr>
                  </w:pPr>
                </w:p>
              </w:tc>
              <w:tc>
                <w:tcPr>
                  <w:tcW w:w="757"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70</w:t>
                  </w:r>
                </w:p>
              </w:tc>
              <w:tc>
                <w:tcPr>
                  <w:tcW w:w="757"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hint="eastAsia" w:ascii="Times New Roman" w:hAnsi="Times New Roman" w:cs="Times New Roman" w:eastAsiaTheme="minorEastAsia"/>
                    </w:rPr>
                    <w:t>7</w:t>
                  </w:r>
                  <w:r>
                    <w:rPr>
                      <w:rFonts w:ascii="Times New Roman" w:hAnsi="Times New Roman" w:cs="Times New Roman" w:eastAsiaTheme="minorEastAsia"/>
                    </w:rPr>
                    <w:t>0</w:t>
                  </w:r>
                </w:p>
              </w:tc>
            </w:tr>
            <w:tr>
              <w:trPr>
                <w:trHeight w:val="23" w:hRule="atLeast"/>
                <w:jc w:val="center"/>
              </w:trPr>
              <w:tc>
                <w:tcPr>
                  <w:tcW w:w="782"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皮带输送机</w:t>
                  </w:r>
                </w:p>
              </w:tc>
              <w:tc>
                <w:tcPr>
                  <w:tcW w:w="834"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70</w:t>
                  </w:r>
                </w:p>
              </w:tc>
              <w:tc>
                <w:tcPr>
                  <w:tcW w:w="716"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1套</w:t>
                  </w:r>
                </w:p>
              </w:tc>
              <w:tc>
                <w:tcPr>
                  <w:tcW w:w="1154" w:type="pct"/>
                  <w:vMerge w:val="continue"/>
                  <w:tcBorders>
                    <w:left w:val="single" w:color="000000" w:sz="2" w:space="0"/>
                    <w:right w:val="single" w:color="000000" w:sz="2" w:space="0"/>
                  </w:tcBorders>
                  <w:vAlign w:val="center"/>
                </w:tcPr>
                <w:p>
                  <w:pPr>
                    <w:pStyle w:val="580"/>
                    <w:ind w:firstLine="480"/>
                    <w:rPr>
                      <w:rFonts w:ascii="Times New Roman" w:hAnsi="Times New Roman" w:cs="Times New Roman" w:eastAsiaTheme="minorEastAsia"/>
                    </w:rPr>
                  </w:pPr>
                </w:p>
              </w:tc>
              <w:tc>
                <w:tcPr>
                  <w:tcW w:w="757"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60</w:t>
                  </w:r>
                </w:p>
              </w:tc>
              <w:tc>
                <w:tcPr>
                  <w:tcW w:w="757"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hint="eastAsia" w:ascii="Times New Roman" w:hAnsi="Times New Roman" w:cs="Times New Roman" w:eastAsiaTheme="minorEastAsia"/>
                    </w:rPr>
                    <w:t>6</w:t>
                  </w:r>
                  <w:r>
                    <w:rPr>
                      <w:rFonts w:ascii="Times New Roman" w:hAnsi="Times New Roman" w:cs="Times New Roman" w:eastAsiaTheme="minorEastAsia"/>
                    </w:rPr>
                    <w:t>0</w:t>
                  </w:r>
                </w:p>
              </w:tc>
            </w:tr>
            <w:tr>
              <w:trPr>
                <w:trHeight w:val="23" w:hRule="atLeast"/>
                <w:jc w:val="center"/>
              </w:trPr>
              <w:tc>
                <w:tcPr>
                  <w:tcW w:w="782"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水泵</w:t>
                  </w:r>
                </w:p>
              </w:tc>
              <w:tc>
                <w:tcPr>
                  <w:tcW w:w="834"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80</w:t>
                  </w:r>
                </w:p>
              </w:tc>
              <w:tc>
                <w:tcPr>
                  <w:tcW w:w="716"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1台</w:t>
                  </w:r>
                </w:p>
              </w:tc>
              <w:tc>
                <w:tcPr>
                  <w:tcW w:w="1154" w:type="pct"/>
                  <w:vMerge w:val="continue"/>
                  <w:tcBorders>
                    <w:left w:val="single" w:color="000000" w:sz="2" w:space="0"/>
                    <w:right w:val="single" w:color="000000" w:sz="2" w:space="0"/>
                  </w:tcBorders>
                  <w:vAlign w:val="center"/>
                </w:tcPr>
                <w:p>
                  <w:pPr>
                    <w:pStyle w:val="580"/>
                    <w:ind w:firstLine="480"/>
                    <w:rPr>
                      <w:rFonts w:ascii="Times New Roman" w:hAnsi="Times New Roman" w:cs="Times New Roman" w:eastAsiaTheme="minorEastAsia"/>
                    </w:rPr>
                  </w:pPr>
                </w:p>
              </w:tc>
              <w:tc>
                <w:tcPr>
                  <w:tcW w:w="757"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70</w:t>
                  </w:r>
                </w:p>
              </w:tc>
              <w:tc>
                <w:tcPr>
                  <w:tcW w:w="757"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hint="eastAsia" w:ascii="Times New Roman" w:hAnsi="Times New Roman" w:cs="Times New Roman" w:eastAsiaTheme="minorEastAsia"/>
                    </w:rPr>
                    <w:t>7</w:t>
                  </w:r>
                  <w:r>
                    <w:rPr>
                      <w:rFonts w:ascii="Times New Roman" w:hAnsi="Times New Roman" w:cs="Times New Roman" w:eastAsiaTheme="minorEastAsia"/>
                    </w:rPr>
                    <w:t>0</w:t>
                  </w:r>
                </w:p>
              </w:tc>
            </w:tr>
            <w:tr>
              <w:trPr>
                <w:trHeight w:val="23" w:hRule="atLeast"/>
                <w:jc w:val="center"/>
              </w:trPr>
              <w:tc>
                <w:tcPr>
                  <w:tcW w:w="782"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螺旋输送机</w:t>
                  </w:r>
                </w:p>
              </w:tc>
              <w:tc>
                <w:tcPr>
                  <w:tcW w:w="834"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70</w:t>
                  </w:r>
                </w:p>
              </w:tc>
              <w:tc>
                <w:tcPr>
                  <w:tcW w:w="716"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6</w:t>
                  </w:r>
                  <w:r>
                    <w:rPr>
                      <w:rFonts w:hint="eastAsia" w:ascii="Times New Roman" w:hAnsi="Times New Roman" w:cs="Times New Roman" w:eastAsiaTheme="minorEastAsia"/>
                    </w:rPr>
                    <w:t>套</w:t>
                  </w:r>
                </w:p>
              </w:tc>
              <w:tc>
                <w:tcPr>
                  <w:tcW w:w="1154" w:type="pct"/>
                  <w:vMerge w:val="continue"/>
                  <w:tcBorders>
                    <w:left w:val="single" w:color="000000" w:sz="2" w:space="0"/>
                    <w:bottom w:val="single" w:color="000000" w:sz="2" w:space="0"/>
                    <w:right w:val="single" w:color="000000" w:sz="2" w:space="0"/>
                  </w:tcBorders>
                  <w:vAlign w:val="center"/>
                </w:tcPr>
                <w:p>
                  <w:pPr>
                    <w:pStyle w:val="580"/>
                    <w:ind w:firstLine="480"/>
                    <w:rPr>
                      <w:rFonts w:ascii="Times New Roman" w:hAnsi="Times New Roman" w:cs="Times New Roman" w:eastAsiaTheme="minorEastAsia"/>
                    </w:rPr>
                  </w:pPr>
                </w:p>
              </w:tc>
              <w:tc>
                <w:tcPr>
                  <w:tcW w:w="757"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ascii="Times New Roman" w:hAnsi="Times New Roman" w:cs="Times New Roman" w:eastAsiaTheme="minorEastAsia"/>
                    </w:rPr>
                    <w:t>60</w:t>
                  </w:r>
                </w:p>
              </w:tc>
              <w:tc>
                <w:tcPr>
                  <w:tcW w:w="757" w:type="pct"/>
                  <w:tcBorders>
                    <w:top w:val="single" w:color="000000" w:sz="2" w:space="0"/>
                    <w:left w:val="single" w:color="000000" w:sz="2" w:space="0"/>
                    <w:bottom w:val="single" w:color="000000" w:sz="2" w:space="0"/>
                    <w:right w:val="single" w:color="000000" w:sz="2" w:space="0"/>
                  </w:tcBorders>
                  <w:vAlign w:val="center"/>
                </w:tcPr>
                <w:p>
                  <w:pPr>
                    <w:pStyle w:val="580"/>
                    <w:rPr>
                      <w:rFonts w:ascii="Times New Roman" w:hAnsi="Times New Roman" w:cs="Times New Roman" w:eastAsiaTheme="minorEastAsia"/>
                    </w:rPr>
                  </w:pPr>
                  <w:r>
                    <w:rPr>
                      <w:rFonts w:hint="eastAsia" w:ascii="Times New Roman" w:hAnsi="Times New Roman" w:cs="Times New Roman" w:eastAsiaTheme="minorEastAsia"/>
                    </w:rPr>
                    <w:t>6</w:t>
                  </w:r>
                  <w:r>
                    <w:rPr>
                      <w:rFonts w:ascii="Times New Roman" w:hAnsi="Times New Roman" w:cs="Times New Roman" w:eastAsiaTheme="minorEastAsia"/>
                    </w:rPr>
                    <w:t>7.78</w:t>
                  </w:r>
                </w:p>
              </w:tc>
            </w:tr>
          </w:tbl>
          <w:p>
            <w:pPr>
              <w:spacing w:line="360" w:lineRule="auto"/>
              <w:ind w:firstLine="480" w:firstLineChars="200"/>
              <w:rPr>
                <w:sz w:val="24"/>
              </w:rPr>
            </w:pPr>
            <w:r>
              <w:rPr>
                <w:sz w:val="24"/>
              </w:rPr>
              <w:fldChar w:fldCharType="begin"/>
            </w:r>
            <w:r>
              <w:rPr>
                <w:sz w:val="24"/>
              </w:rPr>
              <w:instrText xml:space="preserve"> = 1 \* GB3 </w:instrText>
            </w:r>
            <w:r>
              <w:rPr>
                <w:sz w:val="24"/>
              </w:rPr>
              <w:fldChar w:fldCharType="separate"/>
            </w:r>
            <w:r>
              <w:rPr>
                <w:rFonts w:hint="eastAsia" w:ascii="宋体" w:hAnsi="宋体" w:cs="宋体"/>
                <w:sz w:val="24"/>
              </w:rPr>
              <w:t>①</w:t>
            </w:r>
            <w:r>
              <w:rPr>
                <w:sz w:val="24"/>
              </w:rPr>
              <w:fldChar w:fldCharType="end"/>
            </w:r>
            <w:r>
              <w:rPr>
                <w:sz w:val="24"/>
              </w:rPr>
              <w:t>预测模式</w:t>
            </w:r>
          </w:p>
          <w:p>
            <w:pPr>
              <w:spacing w:line="360" w:lineRule="auto"/>
              <w:ind w:firstLine="480" w:firstLineChars="200"/>
              <w:rPr>
                <w:sz w:val="24"/>
              </w:rPr>
            </w:pPr>
            <w:r>
              <w:rPr>
                <w:rFonts w:hint="eastAsia"/>
                <w:sz w:val="24"/>
              </w:rPr>
              <w:t>噪声传播到受声点，受传播距离，空气吸收，阻挡物的反射与屏障等因素的影响而产生衰减。其预测模式如下：</w:t>
            </w:r>
          </w:p>
          <w:p>
            <w:pPr>
              <w:spacing w:line="360" w:lineRule="auto"/>
              <w:ind w:firstLine="480" w:firstLineChars="200"/>
              <w:jc w:val="center"/>
              <w:rPr>
                <w:sz w:val="24"/>
              </w:rPr>
            </w:pPr>
            <w:r>
              <w:rPr>
                <w:rFonts w:hint="eastAsia"/>
                <w:sz w:val="24"/>
              </w:rPr>
              <w:t>LA（r）=LA（r</w:t>
            </w:r>
            <w:r>
              <w:rPr>
                <w:rFonts w:hint="eastAsia"/>
                <w:sz w:val="24"/>
                <w:vertAlign w:val="subscript"/>
              </w:rPr>
              <w:t>0</w:t>
            </w:r>
            <w:r>
              <w:rPr>
                <w:rFonts w:hint="eastAsia"/>
                <w:sz w:val="24"/>
              </w:rPr>
              <w:t>）－A</w:t>
            </w:r>
          </w:p>
          <w:p>
            <w:pPr>
              <w:spacing w:line="360" w:lineRule="auto"/>
              <w:ind w:firstLine="480" w:firstLineChars="200"/>
              <w:jc w:val="center"/>
              <w:rPr>
                <w:sz w:val="24"/>
              </w:rPr>
            </w:pPr>
            <w:r>
              <w:rPr>
                <w:sz w:val="24"/>
              </w:rPr>
              <w:t>A=Adiv+Abar+Aatm+Agr+Amisc</w:t>
            </w:r>
          </w:p>
          <w:p>
            <w:pPr>
              <w:spacing w:line="360" w:lineRule="auto"/>
              <w:ind w:firstLine="960" w:firstLineChars="400"/>
              <w:rPr>
                <w:sz w:val="24"/>
              </w:rPr>
            </w:pPr>
            <w:r>
              <w:rPr>
                <w:rFonts w:hint="eastAsia"/>
                <w:sz w:val="24"/>
              </w:rPr>
              <w:t>式中：LA(r)－距声源r处的A声级，dB（A）；</w:t>
            </w:r>
          </w:p>
          <w:p>
            <w:pPr>
              <w:spacing w:line="360" w:lineRule="auto"/>
              <w:ind w:firstLine="1680" w:firstLineChars="700"/>
              <w:rPr>
                <w:sz w:val="24"/>
              </w:rPr>
            </w:pPr>
            <w:r>
              <w:rPr>
                <w:rFonts w:hint="eastAsia"/>
                <w:sz w:val="24"/>
              </w:rPr>
              <w:t>LA(r</w:t>
            </w:r>
            <w:r>
              <w:rPr>
                <w:rFonts w:hint="eastAsia"/>
                <w:sz w:val="24"/>
                <w:vertAlign w:val="subscript"/>
              </w:rPr>
              <w:t>0</w:t>
            </w:r>
            <w:r>
              <w:rPr>
                <w:rFonts w:hint="eastAsia"/>
                <w:sz w:val="24"/>
              </w:rPr>
              <w:t>)－参考位置r</w:t>
            </w:r>
            <w:r>
              <w:rPr>
                <w:rFonts w:hint="eastAsia"/>
                <w:sz w:val="24"/>
                <w:vertAlign w:val="subscript"/>
              </w:rPr>
              <w:t>0</w:t>
            </w:r>
            <w:r>
              <w:rPr>
                <w:rFonts w:hint="eastAsia"/>
                <w:sz w:val="24"/>
              </w:rPr>
              <w:t>处的A声级，dB（A）；</w:t>
            </w:r>
          </w:p>
          <w:p>
            <w:pPr>
              <w:spacing w:line="360" w:lineRule="auto"/>
              <w:ind w:firstLine="1680" w:firstLineChars="700"/>
              <w:rPr>
                <w:sz w:val="24"/>
              </w:rPr>
            </w:pPr>
            <w:r>
              <w:rPr>
                <w:rFonts w:hint="eastAsia"/>
                <w:sz w:val="24"/>
              </w:rPr>
              <w:t>A—倍频带衰减，dB；</w:t>
            </w:r>
          </w:p>
          <w:p>
            <w:pPr>
              <w:spacing w:line="360" w:lineRule="auto"/>
              <w:ind w:firstLine="1680" w:firstLineChars="700"/>
              <w:rPr>
                <w:sz w:val="24"/>
              </w:rPr>
            </w:pPr>
            <w:r>
              <w:rPr>
                <w:rFonts w:hint="eastAsia"/>
                <w:sz w:val="24"/>
              </w:rPr>
              <w:t>Adiv－几何发散所引起的倍频带衰减，即距离所引起的衰减，无指向性点声源几何发散衰减的基本公式为：Adiv＝20lg(r/r</w:t>
            </w:r>
            <w:r>
              <w:rPr>
                <w:rFonts w:hint="eastAsia"/>
                <w:sz w:val="24"/>
                <w:vertAlign w:val="subscript"/>
              </w:rPr>
              <w:t>0</w:t>
            </w:r>
            <w:r>
              <w:rPr>
                <w:rFonts w:hint="eastAsia"/>
                <w:sz w:val="24"/>
              </w:rPr>
              <w:t>)；</w:t>
            </w:r>
          </w:p>
          <w:p>
            <w:pPr>
              <w:spacing w:line="360" w:lineRule="auto"/>
              <w:ind w:firstLine="1680" w:firstLineChars="700"/>
              <w:rPr>
                <w:sz w:val="24"/>
              </w:rPr>
            </w:pPr>
            <w:r>
              <w:rPr>
                <w:rFonts w:hint="eastAsia"/>
                <w:sz w:val="24"/>
              </w:rPr>
              <w:t>Abar－屏障物所引起的倍频带衰减。</w:t>
            </w:r>
          </w:p>
          <w:p>
            <w:pPr>
              <w:spacing w:line="360" w:lineRule="auto"/>
              <w:ind w:firstLine="1680" w:firstLineChars="700"/>
              <w:rPr>
                <w:sz w:val="24"/>
              </w:rPr>
            </w:pPr>
            <w:r>
              <w:rPr>
                <w:rFonts w:hint="eastAsia"/>
                <w:sz w:val="24"/>
              </w:rPr>
              <w:t>Aatm－空气吸收所引起的倍频带衰减，一般情况下可忽略不计。</w:t>
            </w:r>
          </w:p>
          <w:p>
            <w:pPr>
              <w:spacing w:line="360" w:lineRule="auto"/>
              <w:ind w:firstLine="1680" w:firstLineChars="700"/>
              <w:rPr>
                <w:sz w:val="24"/>
              </w:rPr>
            </w:pPr>
            <w:r>
              <w:rPr>
                <w:rFonts w:hint="eastAsia"/>
                <w:sz w:val="24"/>
              </w:rPr>
              <w:t>Agr－地面效应所引起的倍频带衰减，本项目不考虑地面效应。</w:t>
            </w:r>
          </w:p>
          <w:p>
            <w:pPr>
              <w:spacing w:line="360" w:lineRule="auto"/>
              <w:ind w:firstLine="1680" w:firstLineChars="700"/>
              <w:rPr>
                <w:sz w:val="24"/>
              </w:rPr>
            </w:pPr>
            <w:r>
              <w:rPr>
                <w:rFonts w:hint="eastAsia"/>
                <w:sz w:val="24"/>
              </w:rPr>
              <w:t>Amisc－其他多方面倍频带衰减，一般情况下的环境影响评价中，不需考虑附加影响。</w:t>
            </w:r>
          </w:p>
          <w:p>
            <w:pPr>
              <w:spacing w:line="360" w:lineRule="auto"/>
              <w:ind w:firstLine="480" w:firstLineChars="200"/>
              <w:rPr>
                <w:sz w:val="24"/>
              </w:rPr>
            </w:pPr>
            <w:r>
              <w:rPr>
                <w:rFonts w:hint="eastAsia"/>
                <w:sz w:val="24"/>
              </w:rPr>
              <w:t>各受声点的声源叠加按下列公式计算：</w:t>
            </w:r>
          </w:p>
          <w:p>
            <w:pPr>
              <w:spacing w:line="360" w:lineRule="auto"/>
              <w:jc w:val="center"/>
              <w:rPr>
                <w:sz w:val="24"/>
              </w:rPr>
            </w:pPr>
            <w:r>
              <w:rPr>
                <w:color w:val="000000"/>
                <w:position w:val="-30"/>
                <w:sz w:val="24"/>
              </w:rPr>
              <w:pict>
                <v:shape id="_x0000_i1026" o:spt="75" type="#_x0000_t75" style="height:45.75pt;width:126pt;" filled="f" o:preferrelative="t" stroked="f" coordsize="21600,21600">
                  <v:path/>
                  <v:fill on="f" focussize="0,0"/>
                  <v:stroke on="f" joinstyle="miter"/>
                  <v:imagedata r:id="rId20" o:title=""/>
                  <o:lock v:ext="edit" aspectratio="t"/>
                  <w10:wrap type="none"/>
                  <w10:anchorlock/>
                </v:shape>
              </w:pict>
            </w:r>
          </w:p>
          <w:p>
            <w:pPr>
              <w:spacing w:line="360" w:lineRule="auto"/>
              <w:ind w:firstLine="960" w:firstLineChars="400"/>
              <w:rPr>
                <w:sz w:val="24"/>
              </w:rPr>
            </w:pPr>
            <w:r>
              <w:rPr>
                <w:rFonts w:hint="eastAsia"/>
                <w:sz w:val="24"/>
              </w:rPr>
              <w:t>式中：LA——距声源r处的总A声级；</w:t>
            </w:r>
          </w:p>
          <w:p>
            <w:pPr>
              <w:spacing w:line="360" w:lineRule="auto"/>
              <w:ind w:firstLine="1680" w:firstLineChars="700"/>
              <w:rPr>
                <w:sz w:val="24"/>
              </w:rPr>
            </w:pPr>
            <w:r>
              <w:rPr>
                <w:rFonts w:hint="eastAsia"/>
                <w:sz w:val="24"/>
              </w:rPr>
              <w:t>n——声源数量；</w:t>
            </w:r>
          </w:p>
          <w:p>
            <w:pPr>
              <w:spacing w:line="360" w:lineRule="auto"/>
              <w:ind w:firstLine="1680" w:firstLineChars="700"/>
              <w:rPr>
                <w:sz w:val="24"/>
              </w:rPr>
            </w:pPr>
            <w:r>
              <w:rPr>
                <w:rFonts w:hint="eastAsia"/>
                <w:sz w:val="24"/>
              </w:rPr>
              <w:t>Li——第i个声源的A声级，dB（A）。</w:t>
            </w:r>
          </w:p>
          <w:p>
            <w:pPr>
              <w:spacing w:line="360" w:lineRule="auto"/>
              <w:ind w:firstLine="480" w:firstLineChars="200"/>
              <w:rPr>
                <w:sz w:val="24"/>
              </w:rPr>
            </w:pPr>
            <w:r>
              <w:rPr>
                <w:rFonts w:hint="eastAsia" w:ascii="宋体" w:hAnsi="宋体" w:cs="宋体"/>
                <w:sz w:val="24"/>
              </w:rPr>
              <w:t>②</w:t>
            </w:r>
            <w:r>
              <w:rPr>
                <w:sz w:val="24"/>
              </w:rPr>
              <w:t>预测结果与评价</w:t>
            </w:r>
          </w:p>
          <w:p>
            <w:pPr>
              <w:spacing w:line="360" w:lineRule="auto"/>
              <w:jc w:val="center"/>
              <w:rPr>
                <w:b/>
                <w:bCs/>
                <w:szCs w:val="21"/>
              </w:rPr>
            </w:pPr>
            <w:r>
              <w:rPr>
                <w:b/>
                <w:bCs/>
                <w:szCs w:val="21"/>
              </w:rPr>
              <w:t>表4-10  生产区距离四周厂界的估算最近距离  单位：m</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1346"/>
              <w:gridCol w:w="1299"/>
              <w:gridCol w:w="1299"/>
              <w:gridCol w:w="1299"/>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62" w:type="dxa"/>
                </w:tcPr>
                <w:p>
                  <w:pPr>
                    <w:jc w:val="center"/>
                    <w:rPr>
                      <w:szCs w:val="21"/>
                    </w:rPr>
                  </w:pPr>
                  <w:r>
                    <w:rPr>
                      <w:szCs w:val="21"/>
                    </w:rPr>
                    <w:t>设备名称</w:t>
                  </w:r>
                </w:p>
              </w:tc>
              <w:tc>
                <w:tcPr>
                  <w:tcW w:w="1592" w:type="dxa"/>
                </w:tcPr>
                <w:p>
                  <w:pPr>
                    <w:jc w:val="center"/>
                    <w:rPr>
                      <w:szCs w:val="21"/>
                    </w:rPr>
                  </w:pPr>
                  <w:r>
                    <w:rPr>
                      <w:szCs w:val="21"/>
                    </w:rPr>
                    <w:t>北侧厂界</w:t>
                  </w:r>
                </w:p>
              </w:tc>
              <w:tc>
                <w:tcPr>
                  <w:tcW w:w="1562" w:type="dxa"/>
                </w:tcPr>
                <w:p>
                  <w:pPr>
                    <w:jc w:val="center"/>
                    <w:rPr>
                      <w:szCs w:val="21"/>
                    </w:rPr>
                  </w:pPr>
                  <w:r>
                    <w:rPr>
                      <w:szCs w:val="21"/>
                    </w:rPr>
                    <w:t>南侧厂界</w:t>
                  </w:r>
                </w:p>
              </w:tc>
              <w:tc>
                <w:tcPr>
                  <w:tcW w:w="1562" w:type="dxa"/>
                </w:tcPr>
                <w:p>
                  <w:pPr>
                    <w:jc w:val="center"/>
                    <w:rPr>
                      <w:szCs w:val="21"/>
                    </w:rPr>
                  </w:pPr>
                  <w:r>
                    <w:rPr>
                      <w:szCs w:val="21"/>
                    </w:rPr>
                    <w:t>西侧厂界</w:t>
                  </w:r>
                </w:p>
              </w:tc>
              <w:tc>
                <w:tcPr>
                  <w:tcW w:w="1562" w:type="dxa"/>
                </w:tcPr>
                <w:p>
                  <w:pPr>
                    <w:jc w:val="center"/>
                    <w:rPr>
                      <w:szCs w:val="21"/>
                    </w:rPr>
                  </w:pPr>
                  <w:r>
                    <w:rPr>
                      <w:szCs w:val="21"/>
                    </w:rPr>
                    <w:t>东侧厂界</w:t>
                  </w:r>
                </w:p>
              </w:tc>
              <w:tc>
                <w:tcPr>
                  <w:tcW w:w="1562" w:type="dxa"/>
                </w:tcPr>
                <w:p>
                  <w:pPr>
                    <w:jc w:val="center"/>
                    <w:rPr>
                      <w:szCs w:val="21"/>
                    </w:rPr>
                  </w:pPr>
                  <w:r>
                    <w:rPr>
                      <w:rFonts w:hint="eastAsia"/>
                      <w:szCs w:val="21"/>
                    </w:rPr>
                    <w:t>小坡组散户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62" w:type="dxa"/>
                  <w:vAlign w:val="center"/>
                </w:tcPr>
                <w:p>
                  <w:pPr>
                    <w:jc w:val="center"/>
                    <w:rPr>
                      <w:szCs w:val="21"/>
                    </w:rPr>
                  </w:pPr>
                  <w:r>
                    <w:rPr>
                      <w:rFonts w:eastAsiaTheme="minorEastAsia"/>
                    </w:rPr>
                    <w:t>搅拌机</w:t>
                  </w:r>
                </w:p>
              </w:tc>
              <w:tc>
                <w:tcPr>
                  <w:tcW w:w="1592" w:type="dxa"/>
                </w:tcPr>
                <w:p>
                  <w:pPr>
                    <w:jc w:val="center"/>
                    <w:rPr>
                      <w:szCs w:val="21"/>
                    </w:rPr>
                  </w:pPr>
                  <w:r>
                    <w:rPr>
                      <w:szCs w:val="21"/>
                    </w:rPr>
                    <w:t>100</w:t>
                  </w:r>
                </w:p>
              </w:tc>
              <w:tc>
                <w:tcPr>
                  <w:tcW w:w="1562" w:type="dxa"/>
                </w:tcPr>
                <w:p>
                  <w:pPr>
                    <w:jc w:val="center"/>
                    <w:rPr>
                      <w:szCs w:val="21"/>
                    </w:rPr>
                  </w:pPr>
                  <w:r>
                    <w:rPr>
                      <w:szCs w:val="21"/>
                    </w:rPr>
                    <w:t>55</w:t>
                  </w:r>
                </w:p>
              </w:tc>
              <w:tc>
                <w:tcPr>
                  <w:tcW w:w="1562" w:type="dxa"/>
                </w:tcPr>
                <w:p>
                  <w:pPr>
                    <w:jc w:val="center"/>
                    <w:rPr>
                      <w:szCs w:val="21"/>
                    </w:rPr>
                  </w:pPr>
                  <w:r>
                    <w:rPr>
                      <w:szCs w:val="21"/>
                    </w:rPr>
                    <w:t>45</w:t>
                  </w:r>
                </w:p>
              </w:tc>
              <w:tc>
                <w:tcPr>
                  <w:tcW w:w="1562" w:type="dxa"/>
                </w:tcPr>
                <w:p>
                  <w:pPr>
                    <w:jc w:val="center"/>
                    <w:rPr>
                      <w:szCs w:val="21"/>
                    </w:rPr>
                  </w:pPr>
                  <w:r>
                    <w:rPr>
                      <w:szCs w:val="21"/>
                    </w:rPr>
                    <w:t>40</w:t>
                  </w:r>
                </w:p>
              </w:tc>
              <w:tc>
                <w:tcPr>
                  <w:tcW w:w="1562" w:type="dxa"/>
                </w:tcPr>
                <w:p>
                  <w:pPr>
                    <w:jc w:val="center"/>
                    <w:rPr>
                      <w:szCs w:val="21"/>
                    </w:rPr>
                  </w:pPr>
                  <w:r>
                    <w:rPr>
                      <w:rFonts w:hint="eastAsia"/>
                      <w:szCs w:val="21"/>
                    </w:rPr>
                    <w:t>7</w:t>
                  </w:r>
                  <w:r>
                    <w:rPr>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62" w:type="dxa"/>
                  <w:vAlign w:val="center"/>
                </w:tcPr>
                <w:p>
                  <w:pPr>
                    <w:jc w:val="center"/>
                    <w:rPr>
                      <w:szCs w:val="21"/>
                    </w:rPr>
                  </w:pPr>
                  <w:r>
                    <w:rPr>
                      <w:rFonts w:eastAsiaTheme="minorEastAsia"/>
                    </w:rPr>
                    <w:t>空压机</w:t>
                  </w:r>
                </w:p>
              </w:tc>
              <w:tc>
                <w:tcPr>
                  <w:tcW w:w="1592" w:type="dxa"/>
                </w:tcPr>
                <w:p>
                  <w:pPr>
                    <w:jc w:val="center"/>
                    <w:rPr>
                      <w:szCs w:val="21"/>
                    </w:rPr>
                  </w:pPr>
                  <w:r>
                    <w:rPr>
                      <w:szCs w:val="21"/>
                    </w:rPr>
                    <w:t>100</w:t>
                  </w:r>
                </w:p>
              </w:tc>
              <w:tc>
                <w:tcPr>
                  <w:tcW w:w="1562" w:type="dxa"/>
                </w:tcPr>
                <w:p>
                  <w:pPr>
                    <w:jc w:val="center"/>
                    <w:rPr>
                      <w:szCs w:val="21"/>
                    </w:rPr>
                  </w:pPr>
                  <w:r>
                    <w:rPr>
                      <w:szCs w:val="21"/>
                    </w:rPr>
                    <w:t>55</w:t>
                  </w:r>
                </w:p>
              </w:tc>
              <w:tc>
                <w:tcPr>
                  <w:tcW w:w="1562" w:type="dxa"/>
                </w:tcPr>
                <w:p>
                  <w:pPr>
                    <w:jc w:val="center"/>
                    <w:rPr>
                      <w:szCs w:val="21"/>
                    </w:rPr>
                  </w:pPr>
                  <w:r>
                    <w:rPr>
                      <w:szCs w:val="21"/>
                    </w:rPr>
                    <w:t>45</w:t>
                  </w:r>
                </w:p>
              </w:tc>
              <w:tc>
                <w:tcPr>
                  <w:tcW w:w="1562" w:type="dxa"/>
                </w:tcPr>
                <w:p>
                  <w:pPr>
                    <w:jc w:val="center"/>
                    <w:rPr>
                      <w:szCs w:val="21"/>
                    </w:rPr>
                  </w:pPr>
                  <w:r>
                    <w:rPr>
                      <w:szCs w:val="21"/>
                    </w:rPr>
                    <w:t>40</w:t>
                  </w:r>
                </w:p>
              </w:tc>
              <w:tc>
                <w:tcPr>
                  <w:tcW w:w="1562" w:type="dxa"/>
                </w:tcPr>
                <w:p>
                  <w:pPr>
                    <w:jc w:val="center"/>
                    <w:rPr>
                      <w:szCs w:val="21"/>
                    </w:rPr>
                  </w:pPr>
                  <w:r>
                    <w:rPr>
                      <w:rFonts w:hint="eastAsia"/>
                      <w:szCs w:val="21"/>
                    </w:rPr>
                    <w:t>7</w:t>
                  </w:r>
                  <w:r>
                    <w:rPr>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62" w:type="dxa"/>
                  <w:vAlign w:val="center"/>
                </w:tcPr>
                <w:p>
                  <w:pPr>
                    <w:jc w:val="center"/>
                    <w:rPr>
                      <w:szCs w:val="21"/>
                    </w:rPr>
                  </w:pPr>
                  <w:r>
                    <w:rPr>
                      <w:rFonts w:eastAsiaTheme="minorEastAsia"/>
                    </w:rPr>
                    <w:t>皮带输送机</w:t>
                  </w:r>
                </w:p>
              </w:tc>
              <w:tc>
                <w:tcPr>
                  <w:tcW w:w="1592" w:type="dxa"/>
                </w:tcPr>
                <w:p>
                  <w:pPr>
                    <w:jc w:val="center"/>
                    <w:rPr>
                      <w:szCs w:val="21"/>
                    </w:rPr>
                  </w:pPr>
                  <w:r>
                    <w:rPr>
                      <w:szCs w:val="21"/>
                    </w:rPr>
                    <w:t>100</w:t>
                  </w:r>
                </w:p>
              </w:tc>
              <w:tc>
                <w:tcPr>
                  <w:tcW w:w="1562" w:type="dxa"/>
                </w:tcPr>
                <w:p>
                  <w:pPr>
                    <w:jc w:val="center"/>
                    <w:rPr>
                      <w:szCs w:val="21"/>
                    </w:rPr>
                  </w:pPr>
                  <w:r>
                    <w:rPr>
                      <w:szCs w:val="21"/>
                    </w:rPr>
                    <w:t>55</w:t>
                  </w:r>
                </w:p>
              </w:tc>
              <w:tc>
                <w:tcPr>
                  <w:tcW w:w="1562" w:type="dxa"/>
                </w:tcPr>
                <w:p>
                  <w:pPr>
                    <w:jc w:val="center"/>
                    <w:rPr>
                      <w:szCs w:val="21"/>
                    </w:rPr>
                  </w:pPr>
                  <w:r>
                    <w:rPr>
                      <w:szCs w:val="21"/>
                    </w:rPr>
                    <w:t>45</w:t>
                  </w:r>
                </w:p>
              </w:tc>
              <w:tc>
                <w:tcPr>
                  <w:tcW w:w="1562" w:type="dxa"/>
                </w:tcPr>
                <w:p>
                  <w:pPr>
                    <w:jc w:val="center"/>
                    <w:rPr>
                      <w:szCs w:val="21"/>
                    </w:rPr>
                  </w:pPr>
                  <w:r>
                    <w:rPr>
                      <w:szCs w:val="21"/>
                    </w:rPr>
                    <w:t>40</w:t>
                  </w:r>
                </w:p>
              </w:tc>
              <w:tc>
                <w:tcPr>
                  <w:tcW w:w="1562" w:type="dxa"/>
                </w:tcPr>
                <w:p>
                  <w:pPr>
                    <w:jc w:val="center"/>
                    <w:rPr>
                      <w:szCs w:val="21"/>
                    </w:rPr>
                  </w:pPr>
                  <w:r>
                    <w:rPr>
                      <w:szCs w:val="21"/>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62" w:type="dxa"/>
                  <w:vAlign w:val="center"/>
                </w:tcPr>
                <w:p>
                  <w:pPr>
                    <w:jc w:val="center"/>
                  </w:pPr>
                  <w:r>
                    <w:rPr>
                      <w:rFonts w:eastAsiaTheme="minorEastAsia"/>
                    </w:rPr>
                    <w:t>水泵</w:t>
                  </w:r>
                </w:p>
              </w:tc>
              <w:tc>
                <w:tcPr>
                  <w:tcW w:w="1592" w:type="dxa"/>
                </w:tcPr>
                <w:p>
                  <w:pPr>
                    <w:jc w:val="center"/>
                    <w:rPr>
                      <w:szCs w:val="21"/>
                    </w:rPr>
                  </w:pPr>
                  <w:r>
                    <w:rPr>
                      <w:szCs w:val="21"/>
                    </w:rPr>
                    <w:t>100</w:t>
                  </w:r>
                </w:p>
              </w:tc>
              <w:tc>
                <w:tcPr>
                  <w:tcW w:w="1562" w:type="dxa"/>
                </w:tcPr>
                <w:p>
                  <w:pPr>
                    <w:jc w:val="center"/>
                    <w:rPr>
                      <w:szCs w:val="21"/>
                    </w:rPr>
                  </w:pPr>
                  <w:r>
                    <w:rPr>
                      <w:szCs w:val="21"/>
                    </w:rPr>
                    <w:t>55</w:t>
                  </w:r>
                </w:p>
              </w:tc>
              <w:tc>
                <w:tcPr>
                  <w:tcW w:w="1562" w:type="dxa"/>
                </w:tcPr>
                <w:p>
                  <w:pPr>
                    <w:jc w:val="center"/>
                    <w:rPr>
                      <w:szCs w:val="21"/>
                    </w:rPr>
                  </w:pPr>
                  <w:r>
                    <w:rPr>
                      <w:szCs w:val="21"/>
                    </w:rPr>
                    <w:t>45</w:t>
                  </w:r>
                </w:p>
              </w:tc>
              <w:tc>
                <w:tcPr>
                  <w:tcW w:w="1562" w:type="dxa"/>
                </w:tcPr>
                <w:p>
                  <w:pPr>
                    <w:jc w:val="center"/>
                    <w:rPr>
                      <w:szCs w:val="21"/>
                    </w:rPr>
                  </w:pPr>
                  <w:r>
                    <w:rPr>
                      <w:szCs w:val="21"/>
                    </w:rPr>
                    <w:t>40</w:t>
                  </w:r>
                </w:p>
              </w:tc>
              <w:tc>
                <w:tcPr>
                  <w:tcW w:w="1562" w:type="dxa"/>
                </w:tcPr>
                <w:p>
                  <w:pPr>
                    <w:jc w:val="center"/>
                    <w:rPr>
                      <w:szCs w:val="21"/>
                    </w:rPr>
                  </w:pPr>
                  <w:r>
                    <w:rPr>
                      <w:rFonts w:hint="eastAsia"/>
                      <w:szCs w:val="21"/>
                    </w:rPr>
                    <w:t>7</w:t>
                  </w:r>
                  <w:r>
                    <w:rPr>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62" w:type="dxa"/>
                  <w:vAlign w:val="center"/>
                </w:tcPr>
                <w:p>
                  <w:pPr>
                    <w:jc w:val="center"/>
                  </w:pPr>
                  <w:r>
                    <w:rPr>
                      <w:rFonts w:eastAsiaTheme="minorEastAsia"/>
                    </w:rPr>
                    <w:t>螺旋输送机</w:t>
                  </w:r>
                </w:p>
              </w:tc>
              <w:tc>
                <w:tcPr>
                  <w:tcW w:w="1592" w:type="dxa"/>
                </w:tcPr>
                <w:p>
                  <w:pPr>
                    <w:jc w:val="center"/>
                    <w:rPr>
                      <w:szCs w:val="21"/>
                    </w:rPr>
                  </w:pPr>
                  <w:r>
                    <w:rPr>
                      <w:szCs w:val="21"/>
                    </w:rPr>
                    <w:t>100</w:t>
                  </w:r>
                </w:p>
              </w:tc>
              <w:tc>
                <w:tcPr>
                  <w:tcW w:w="1562" w:type="dxa"/>
                </w:tcPr>
                <w:p>
                  <w:pPr>
                    <w:jc w:val="center"/>
                    <w:rPr>
                      <w:szCs w:val="21"/>
                    </w:rPr>
                  </w:pPr>
                  <w:r>
                    <w:rPr>
                      <w:szCs w:val="21"/>
                    </w:rPr>
                    <w:t>55</w:t>
                  </w:r>
                </w:p>
              </w:tc>
              <w:tc>
                <w:tcPr>
                  <w:tcW w:w="1562" w:type="dxa"/>
                </w:tcPr>
                <w:p>
                  <w:pPr>
                    <w:jc w:val="center"/>
                    <w:rPr>
                      <w:szCs w:val="21"/>
                    </w:rPr>
                  </w:pPr>
                  <w:r>
                    <w:rPr>
                      <w:szCs w:val="21"/>
                    </w:rPr>
                    <w:t>45</w:t>
                  </w:r>
                </w:p>
              </w:tc>
              <w:tc>
                <w:tcPr>
                  <w:tcW w:w="1562" w:type="dxa"/>
                </w:tcPr>
                <w:p>
                  <w:pPr>
                    <w:jc w:val="center"/>
                    <w:rPr>
                      <w:szCs w:val="21"/>
                    </w:rPr>
                  </w:pPr>
                  <w:r>
                    <w:rPr>
                      <w:szCs w:val="21"/>
                    </w:rPr>
                    <w:t>40</w:t>
                  </w:r>
                </w:p>
              </w:tc>
              <w:tc>
                <w:tcPr>
                  <w:tcW w:w="1562" w:type="dxa"/>
                </w:tcPr>
                <w:p>
                  <w:pPr>
                    <w:jc w:val="center"/>
                    <w:rPr>
                      <w:szCs w:val="21"/>
                    </w:rPr>
                  </w:pPr>
                  <w:r>
                    <w:rPr>
                      <w:szCs w:val="21"/>
                    </w:rPr>
                    <w:t>7</w:t>
                  </w:r>
                  <w:r>
                    <w:rPr>
                      <w:rFonts w:hint="eastAsia"/>
                      <w:szCs w:val="21"/>
                    </w:rPr>
                    <w:t>5</w:t>
                  </w:r>
                </w:p>
              </w:tc>
            </w:tr>
          </w:tbl>
          <w:p>
            <w:pPr>
              <w:spacing w:line="360" w:lineRule="auto"/>
              <w:jc w:val="center"/>
              <w:rPr>
                <w:b/>
                <w:bCs/>
                <w:szCs w:val="21"/>
              </w:rPr>
            </w:pPr>
            <w:r>
              <w:rPr>
                <w:b/>
                <w:bCs/>
                <w:szCs w:val="21"/>
              </w:rPr>
              <w:t>表4-11  厂界噪声预判结果分析</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919"/>
              <w:gridCol w:w="1160"/>
              <w:gridCol w:w="1159"/>
              <w:gridCol w:w="1159"/>
              <w:gridCol w:w="1159"/>
              <w:gridCol w:w="1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5" w:type="dxa"/>
                  <w:vAlign w:val="center"/>
                </w:tcPr>
                <w:p>
                  <w:pPr>
                    <w:spacing w:line="360" w:lineRule="auto"/>
                    <w:jc w:val="center"/>
                    <w:rPr>
                      <w:szCs w:val="21"/>
                    </w:rPr>
                  </w:pPr>
                  <w:r>
                    <w:rPr>
                      <w:szCs w:val="21"/>
                    </w:rPr>
                    <w:t>名称</w:t>
                  </w:r>
                </w:p>
              </w:tc>
              <w:tc>
                <w:tcPr>
                  <w:tcW w:w="919" w:type="dxa"/>
                  <w:vAlign w:val="center"/>
                </w:tcPr>
                <w:p>
                  <w:pPr>
                    <w:spacing w:line="360" w:lineRule="auto"/>
                    <w:jc w:val="center"/>
                    <w:rPr>
                      <w:szCs w:val="21"/>
                    </w:rPr>
                  </w:pPr>
                  <w:r>
                    <w:rPr>
                      <w:szCs w:val="21"/>
                    </w:rPr>
                    <w:t>时段</w:t>
                  </w:r>
                </w:p>
              </w:tc>
              <w:tc>
                <w:tcPr>
                  <w:tcW w:w="1160" w:type="dxa"/>
                  <w:vAlign w:val="center"/>
                </w:tcPr>
                <w:p>
                  <w:pPr>
                    <w:spacing w:line="360" w:lineRule="auto"/>
                    <w:jc w:val="center"/>
                    <w:rPr>
                      <w:szCs w:val="21"/>
                    </w:rPr>
                  </w:pPr>
                  <w:r>
                    <w:rPr>
                      <w:szCs w:val="21"/>
                    </w:rPr>
                    <w:t>厂界北侧</w:t>
                  </w:r>
                </w:p>
              </w:tc>
              <w:tc>
                <w:tcPr>
                  <w:tcW w:w="1159" w:type="dxa"/>
                  <w:vAlign w:val="center"/>
                </w:tcPr>
                <w:p>
                  <w:pPr>
                    <w:spacing w:line="360" w:lineRule="auto"/>
                    <w:jc w:val="center"/>
                    <w:rPr>
                      <w:szCs w:val="21"/>
                    </w:rPr>
                  </w:pPr>
                  <w:r>
                    <w:rPr>
                      <w:szCs w:val="21"/>
                    </w:rPr>
                    <w:t>厂界南侧</w:t>
                  </w:r>
                </w:p>
              </w:tc>
              <w:tc>
                <w:tcPr>
                  <w:tcW w:w="1159" w:type="dxa"/>
                  <w:vAlign w:val="center"/>
                </w:tcPr>
                <w:p>
                  <w:pPr>
                    <w:spacing w:line="360" w:lineRule="auto"/>
                    <w:jc w:val="center"/>
                    <w:rPr>
                      <w:szCs w:val="21"/>
                    </w:rPr>
                  </w:pPr>
                  <w:r>
                    <w:rPr>
                      <w:szCs w:val="21"/>
                    </w:rPr>
                    <w:t>厂界西侧</w:t>
                  </w:r>
                </w:p>
              </w:tc>
              <w:tc>
                <w:tcPr>
                  <w:tcW w:w="1159" w:type="dxa"/>
                  <w:vAlign w:val="center"/>
                </w:tcPr>
                <w:p>
                  <w:pPr>
                    <w:spacing w:line="360" w:lineRule="auto"/>
                    <w:jc w:val="center"/>
                    <w:rPr>
                      <w:szCs w:val="21"/>
                    </w:rPr>
                  </w:pPr>
                  <w:r>
                    <w:rPr>
                      <w:szCs w:val="21"/>
                    </w:rPr>
                    <w:t>厂界东侧</w:t>
                  </w:r>
                </w:p>
              </w:tc>
              <w:tc>
                <w:tcPr>
                  <w:tcW w:w="1159" w:type="dxa"/>
                </w:tcPr>
                <w:p>
                  <w:pPr>
                    <w:spacing w:line="360" w:lineRule="auto"/>
                    <w:jc w:val="center"/>
                    <w:rPr>
                      <w:szCs w:val="21"/>
                    </w:rPr>
                  </w:pPr>
                  <w:r>
                    <w:rPr>
                      <w:rFonts w:hint="eastAsia"/>
                      <w:szCs w:val="21"/>
                    </w:rPr>
                    <w:t>小坡组散户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5" w:type="dxa"/>
                  <w:vAlign w:val="center"/>
                </w:tcPr>
                <w:p>
                  <w:pPr>
                    <w:spacing w:line="360" w:lineRule="auto"/>
                    <w:jc w:val="center"/>
                    <w:rPr>
                      <w:szCs w:val="21"/>
                    </w:rPr>
                  </w:pPr>
                  <w:r>
                    <w:rPr>
                      <w:rFonts w:eastAsiaTheme="minorEastAsia"/>
                    </w:rPr>
                    <w:t>搅拌机</w:t>
                  </w:r>
                </w:p>
              </w:tc>
              <w:tc>
                <w:tcPr>
                  <w:tcW w:w="919" w:type="dxa"/>
                  <w:vAlign w:val="center"/>
                </w:tcPr>
                <w:p>
                  <w:pPr>
                    <w:spacing w:line="360" w:lineRule="auto"/>
                    <w:jc w:val="center"/>
                    <w:rPr>
                      <w:szCs w:val="21"/>
                    </w:rPr>
                  </w:pPr>
                  <w:r>
                    <w:rPr>
                      <w:szCs w:val="21"/>
                    </w:rPr>
                    <w:t>昼间</w:t>
                  </w:r>
                </w:p>
              </w:tc>
              <w:tc>
                <w:tcPr>
                  <w:tcW w:w="1160" w:type="dxa"/>
                  <w:vAlign w:val="center"/>
                </w:tcPr>
                <w:p>
                  <w:pPr>
                    <w:spacing w:line="360" w:lineRule="auto"/>
                    <w:jc w:val="center"/>
                    <w:rPr>
                      <w:szCs w:val="21"/>
                    </w:rPr>
                  </w:pPr>
                  <w:r>
                    <w:rPr>
                      <w:szCs w:val="21"/>
                    </w:rPr>
                    <w:t>35</w:t>
                  </w:r>
                </w:p>
              </w:tc>
              <w:tc>
                <w:tcPr>
                  <w:tcW w:w="1159" w:type="dxa"/>
                  <w:vAlign w:val="center"/>
                </w:tcPr>
                <w:p>
                  <w:pPr>
                    <w:spacing w:line="360" w:lineRule="auto"/>
                    <w:jc w:val="center"/>
                    <w:rPr>
                      <w:szCs w:val="21"/>
                    </w:rPr>
                  </w:pPr>
                  <w:r>
                    <w:rPr>
                      <w:szCs w:val="21"/>
                    </w:rPr>
                    <w:t>40.19</w:t>
                  </w:r>
                </w:p>
              </w:tc>
              <w:tc>
                <w:tcPr>
                  <w:tcW w:w="1159" w:type="dxa"/>
                  <w:vAlign w:val="center"/>
                </w:tcPr>
                <w:p>
                  <w:pPr>
                    <w:spacing w:line="360" w:lineRule="auto"/>
                    <w:jc w:val="center"/>
                    <w:rPr>
                      <w:szCs w:val="21"/>
                    </w:rPr>
                  </w:pPr>
                  <w:r>
                    <w:rPr>
                      <w:szCs w:val="21"/>
                    </w:rPr>
                    <w:t>41.94</w:t>
                  </w:r>
                </w:p>
              </w:tc>
              <w:tc>
                <w:tcPr>
                  <w:tcW w:w="1159" w:type="dxa"/>
                  <w:vAlign w:val="center"/>
                </w:tcPr>
                <w:p>
                  <w:pPr>
                    <w:spacing w:line="360" w:lineRule="auto"/>
                    <w:jc w:val="center"/>
                    <w:rPr>
                      <w:szCs w:val="21"/>
                    </w:rPr>
                  </w:pPr>
                  <w:r>
                    <w:rPr>
                      <w:szCs w:val="21"/>
                    </w:rPr>
                    <w:t>42.96</w:t>
                  </w:r>
                </w:p>
              </w:tc>
              <w:tc>
                <w:tcPr>
                  <w:tcW w:w="1159" w:type="dxa"/>
                </w:tcPr>
                <w:p>
                  <w:pPr>
                    <w:spacing w:line="360" w:lineRule="auto"/>
                    <w:jc w:val="center"/>
                    <w:rPr>
                      <w:szCs w:val="21"/>
                    </w:rPr>
                  </w:pPr>
                  <w:r>
                    <w:rPr>
                      <w:rFonts w:hint="eastAsia"/>
                      <w:szCs w:val="21"/>
                    </w:rPr>
                    <w:t>3</w:t>
                  </w:r>
                  <w:r>
                    <w:rPr>
                      <w:szCs w:val="21"/>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5" w:type="dxa"/>
                  <w:vAlign w:val="center"/>
                </w:tcPr>
                <w:p>
                  <w:pPr>
                    <w:spacing w:line="360" w:lineRule="auto"/>
                    <w:jc w:val="center"/>
                    <w:rPr>
                      <w:szCs w:val="21"/>
                    </w:rPr>
                  </w:pPr>
                  <w:r>
                    <w:rPr>
                      <w:rFonts w:eastAsiaTheme="minorEastAsia"/>
                    </w:rPr>
                    <w:t>空压机</w:t>
                  </w:r>
                </w:p>
              </w:tc>
              <w:tc>
                <w:tcPr>
                  <w:tcW w:w="919" w:type="dxa"/>
                  <w:vAlign w:val="center"/>
                </w:tcPr>
                <w:p>
                  <w:pPr>
                    <w:spacing w:line="360" w:lineRule="auto"/>
                    <w:jc w:val="center"/>
                    <w:rPr>
                      <w:szCs w:val="21"/>
                    </w:rPr>
                  </w:pPr>
                  <w:r>
                    <w:rPr>
                      <w:szCs w:val="21"/>
                    </w:rPr>
                    <w:t>昼间</w:t>
                  </w:r>
                </w:p>
              </w:tc>
              <w:tc>
                <w:tcPr>
                  <w:tcW w:w="1160" w:type="dxa"/>
                  <w:vAlign w:val="center"/>
                </w:tcPr>
                <w:p>
                  <w:pPr>
                    <w:spacing w:line="360" w:lineRule="auto"/>
                    <w:jc w:val="center"/>
                    <w:rPr>
                      <w:szCs w:val="21"/>
                    </w:rPr>
                  </w:pPr>
                  <w:r>
                    <w:rPr>
                      <w:szCs w:val="21"/>
                    </w:rPr>
                    <w:t>30</w:t>
                  </w:r>
                </w:p>
              </w:tc>
              <w:tc>
                <w:tcPr>
                  <w:tcW w:w="1159" w:type="dxa"/>
                  <w:vAlign w:val="center"/>
                </w:tcPr>
                <w:p>
                  <w:pPr>
                    <w:spacing w:line="360" w:lineRule="auto"/>
                    <w:jc w:val="center"/>
                    <w:rPr>
                      <w:szCs w:val="21"/>
                    </w:rPr>
                  </w:pPr>
                  <w:r>
                    <w:rPr>
                      <w:szCs w:val="21"/>
                    </w:rPr>
                    <w:t>35.19</w:t>
                  </w:r>
                </w:p>
              </w:tc>
              <w:tc>
                <w:tcPr>
                  <w:tcW w:w="1159" w:type="dxa"/>
                  <w:vAlign w:val="center"/>
                </w:tcPr>
                <w:p>
                  <w:pPr>
                    <w:spacing w:line="360" w:lineRule="auto"/>
                    <w:jc w:val="center"/>
                    <w:rPr>
                      <w:szCs w:val="21"/>
                    </w:rPr>
                  </w:pPr>
                  <w:r>
                    <w:rPr>
                      <w:szCs w:val="21"/>
                    </w:rPr>
                    <w:t>36.94</w:t>
                  </w:r>
                </w:p>
              </w:tc>
              <w:tc>
                <w:tcPr>
                  <w:tcW w:w="1159" w:type="dxa"/>
                  <w:vAlign w:val="center"/>
                </w:tcPr>
                <w:p>
                  <w:pPr>
                    <w:spacing w:line="360" w:lineRule="auto"/>
                    <w:jc w:val="center"/>
                    <w:rPr>
                      <w:szCs w:val="21"/>
                    </w:rPr>
                  </w:pPr>
                  <w:r>
                    <w:rPr>
                      <w:szCs w:val="21"/>
                    </w:rPr>
                    <w:t>37.96</w:t>
                  </w:r>
                </w:p>
              </w:tc>
              <w:tc>
                <w:tcPr>
                  <w:tcW w:w="1159" w:type="dxa"/>
                </w:tcPr>
                <w:p>
                  <w:pPr>
                    <w:spacing w:line="360" w:lineRule="auto"/>
                    <w:jc w:val="center"/>
                    <w:rPr>
                      <w:szCs w:val="21"/>
                    </w:rPr>
                  </w:pPr>
                  <w:r>
                    <w:rPr>
                      <w:rFonts w:hint="eastAsia"/>
                      <w:szCs w:val="21"/>
                    </w:rPr>
                    <w:t>3</w:t>
                  </w:r>
                  <w:r>
                    <w:rPr>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5" w:type="dxa"/>
                  <w:vAlign w:val="center"/>
                </w:tcPr>
                <w:p>
                  <w:pPr>
                    <w:spacing w:line="360" w:lineRule="auto"/>
                    <w:jc w:val="center"/>
                    <w:rPr>
                      <w:szCs w:val="21"/>
                    </w:rPr>
                  </w:pPr>
                  <w:r>
                    <w:rPr>
                      <w:rFonts w:eastAsiaTheme="minorEastAsia"/>
                    </w:rPr>
                    <w:t>皮带输送机</w:t>
                  </w:r>
                </w:p>
              </w:tc>
              <w:tc>
                <w:tcPr>
                  <w:tcW w:w="919" w:type="dxa"/>
                  <w:vAlign w:val="center"/>
                </w:tcPr>
                <w:p>
                  <w:pPr>
                    <w:spacing w:line="360" w:lineRule="auto"/>
                    <w:jc w:val="center"/>
                    <w:rPr>
                      <w:szCs w:val="21"/>
                    </w:rPr>
                  </w:pPr>
                  <w:r>
                    <w:rPr>
                      <w:szCs w:val="21"/>
                    </w:rPr>
                    <w:t>昼间</w:t>
                  </w:r>
                </w:p>
              </w:tc>
              <w:tc>
                <w:tcPr>
                  <w:tcW w:w="1160" w:type="dxa"/>
                  <w:vAlign w:val="center"/>
                </w:tcPr>
                <w:p>
                  <w:pPr>
                    <w:spacing w:line="360" w:lineRule="auto"/>
                    <w:jc w:val="center"/>
                    <w:rPr>
                      <w:szCs w:val="21"/>
                    </w:rPr>
                  </w:pPr>
                  <w:r>
                    <w:rPr>
                      <w:szCs w:val="21"/>
                    </w:rPr>
                    <w:t>20</w:t>
                  </w:r>
                </w:p>
              </w:tc>
              <w:tc>
                <w:tcPr>
                  <w:tcW w:w="1159" w:type="dxa"/>
                  <w:vAlign w:val="center"/>
                </w:tcPr>
                <w:p>
                  <w:pPr>
                    <w:spacing w:line="360" w:lineRule="auto"/>
                    <w:jc w:val="center"/>
                    <w:rPr>
                      <w:szCs w:val="21"/>
                    </w:rPr>
                  </w:pPr>
                  <w:r>
                    <w:rPr>
                      <w:szCs w:val="21"/>
                    </w:rPr>
                    <w:t>25.19</w:t>
                  </w:r>
                </w:p>
              </w:tc>
              <w:tc>
                <w:tcPr>
                  <w:tcW w:w="1159" w:type="dxa"/>
                  <w:vAlign w:val="center"/>
                </w:tcPr>
                <w:p>
                  <w:pPr>
                    <w:spacing w:line="360" w:lineRule="auto"/>
                    <w:jc w:val="center"/>
                    <w:rPr>
                      <w:szCs w:val="21"/>
                    </w:rPr>
                  </w:pPr>
                  <w:r>
                    <w:rPr>
                      <w:szCs w:val="21"/>
                    </w:rPr>
                    <w:t>26.94</w:t>
                  </w:r>
                </w:p>
              </w:tc>
              <w:tc>
                <w:tcPr>
                  <w:tcW w:w="1159" w:type="dxa"/>
                  <w:vAlign w:val="center"/>
                </w:tcPr>
                <w:p>
                  <w:pPr>
                    <w:spacing w:line="360" w:lineRule="auto"/>
                    <w:jc w:val="center"/>
                    <w:rPr>
                      <w:szCs w:val="21"/>
                    </w:rPr>
                  </w:pPr>
                  <w:r>
                    <w:rPr>
                      <w:szCs w:val="21"/>
                    </w:rPr>
                    <w:t>27.96</w:t>
                  </w:r>
                </w:p>
              </w:tc>
              <w:tc>
                <w:tcPr>
                  <w:tcW w:w="1159" w:type="dxa"/>
                </w:tcPr>
                <w:p>
                  <w:pPr>
                    <w:spacing w:line="360" w:lineRule="auto"/>
                    <w:jc w:val="center"/>
                    <w:rPr>
                      <w:szCs w:val="21"/>
                    </w:rPr>
                  </w:pPr>
                  <w:r>
                    <w:rPr>
                      <w:rFonts w:hint="eastAsia"/>
                      <w:szCs w:val="21"/>
                    </w:rPr>
                    <w:t>2</w:t>
                  </w:r>
                  <w:r>
                    <w:rPr>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5" w:type="dxa"/>
                  <w:vAlign w:val="center"/>
                </w:tcPr>
                <w:p>
                  <w:pPr>
                    <w:jc w:val="center"/>
                  </w:pPr>
                  <w:r>
                    <w:rPr>
                      <w:rFonts w:eastAsiaTheme="minorEastAsia"/>
                    </w:rPr>
                    <w:t>水泵</w:t>
                  </w:r>
                </w:p>
              </w:tc>
              <w:tc>
                <w:tcPr>
                  <w:tcW w:w="919" w:type="dxa"/>
                  <w:vAlign w:val="center"/>
                </w:tcPr>
                <w:p>
                  <w:pPr>
                    <w:spacing w:line="360" w:lineRule="auto"/>
                    <w:jc w:val="center"/>
                    <w:rPr>
                      <w:szCs w:val="21"/>
                    </w:rPr>
                  </w:pPr>
                  <w:r>
                    <w:rPr>
                      <w:szCs w:val="21"/>
                    </w:rPr>
                    <w:t>昼间</w:t>
                  </w:r>
                </w:p>
              </w:tc>
              <w:tc>
                <w:tcPr>
                  <w:tcW w:w="1160" w:type="dxa"/>
                  <w:vAlign w:val="center"/>
                </w:tcPr>
                <w:p>
                  <w:pPr>
                    <w:spacing w:line="360" w:lineRule="auto"/>
                    <w:jc w:val="center"/>
                    <w:rPr>
                      <w:szCs w:val="21"/>
                    </w:rPr>
                  </w:pPr>
                  <w:r>
                    <w:rPr>
                      <w:szCs w:val="21"/>
                    </w:rPr>
                    <w:t>30</w:t>
                  </w:r>
                </w:p>
              </w:tc>
              <w:tc>
                <w:tcPr>
                  <w:tcW w:w="1159" w:type="dxa"/>
                  <w:vAlign w:val="center"/>
                </w:tcPr>
                <w:p>
                  <w:pPr>
                    <w:spacing w:line="360" w:lineRule="auto"/>
                    <w:jc w:val="center"/>
                    <w:rPr>
                      <w:szCs w:val="21"/>
                    </w:rPr>
                  </w:pPr>
                  <w:r>
                    <w:rPr>
                      <w:szCs w:val="21"/>
                    </w:rPr>
                    <w:t>35.19</w:t>
                  </w:r>
                </w:p>
              </w:tc>
              <w:tc>
                <w:tcPr>
                  <w:tcW w:w="1159" w:type="dxa"/>
                  <w:vAlign w:val="center"/>
                </w:tcPr>
                <w:p>
                  <w:pPr>
                    <w:spacing w:line="360" w:lineRule="auto"/>
                    <w:jc w:val="center"/>
                    <w:rPr>
                      <w:szCs w:val="21"/>
                    </w:rPr>
                  </w:pPr>
                  <w:r>
                    <w:rPr>
                      <w:szCs w:val="21"/>
                    </w:rPr>
                    <w:t>36.94</w:t>
                  </w:r>
                </w:p>
              </w:tc>
              <w:tc>
                <w:tcPr>
                  <w:tcW w:w="1159" w:type="dxa"/>
                  <w:vAlign w:val="center"/>
                </w:tcPr>
                <w:p>
                  <w:pPr>
                    <w:spacing w:line="360" w:lineRule="auto"/>
                    <w:jc w:val="center"/>
                    <w:rPr>
                      <w:szCs w:val="21"/>
                    </w:rPr>
                  </w:pPr>
                  <w:r>
                    <w:rPr>
                      <w:szCs w:val="21"/>
                    </w:rPr>
                    <w:t>37.96</w:t>
                  </w:r>
                </w:p>
              </w:tc>
              <w:tc>
                <w:tcPr>
                  <w:tcW w:w="1159" w:type="dxa"/>
                </w:tcPr>
                <w:p>
                  <w:pPr>
                    <w:spacing w:line="360" w:lineRule="auto"/>
                    <w:jc w:val="center"/>
                    <w:rPr>
                      <w:szCs w:val="21"/>
                    </w:rPr>
                  </w:pPr>
                  <w:r>
                    <w:rPr>
                      <w:rFonts w:hint="eastAsia"/>
                      <w:szCs w:val="21"/>
                    </w:rPr>
                    <w:t>3</w:t>
                  </w:r>
                  <w:r>
                    <w:rPr>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5" w:type="dxa"/>
                  <w:vAlign w:val="center"/>
                </w:tcPr>
                <w:p>
                  <w:pPr>
                    <w:jc w:val="center"/>
                  </w:pPr>
                  <w:r>
                    <w:rPr>
                      <w:rFonts w:eastAsiaTheme="minorEastAsia"/>
                    </w:rPr>
                    <w:t>螺旋输送机</w:t>
                  </w:r>
                </w:p>
              </w:tc>
              <w:tc>
                <w:tcPr>
                  <w:tcW w:w="919" w:type="dxa"/>
                  <w:vAlign w:val="center"/>
                </w:tcPr>
                <w:p>
                  <w:pPr>
                    <w:spacing w:line="360" w:lineRule="auto"/>
                    <w:jc w:val="center"/>
                    <w:rPr>
                      <w:szCs w:val="21"/>
                    </w:rPr>
                  </w:pPr>
                  <w:r>
                    <w:rPr>
                      <w:szCs w:val="21"/>
                    </w:rPr>
                    <w:t>昼间</w:t>
                  </w:r>
                </w:p>
              </w:tc>
              <w:tc>
                <w:tcPr>
                  <w:tcW w:w="1160" w:type="dxa"/>
                  <w:vAlign w:val="center"/>
                </w:tcPr>
                <w:p>
                  <w:pPr>
                    <w:spacing w:line="360" w:lineRule="auto"/>
                    <w:jc w:val="center"/>
                    <w:rPr>
                      <w:szCs w:val="21"/>
                    </w:rPr>
                  </w:pPr>
                  <w:r>
                    <w:rPr>
                      <w:szCs w:val="21"/>
                    </w:rPr>
                    <w:t>27.78</w:t>
                  </w:r>
                </w:p>
              </w:tc>
              <w:tc>
                <w:tcPr>
                  <w:tcW w:w="1159" w:type="dxa"/>
                  <w:vAlign w:val="center"/>
                </w:tcPr>
                <w:p>
                  <w:pPr>
                    <w:spacing w:line="360" w:lineRule="auto"/>
                    <w:jc w:val="center"/>
                    <w:rPr>
                      <w:szCs w:val="21"/>
                    </w:rPr>
                  </w:pPr>
                  <w:r>
                    <w:rPr>
                      <w:szCs w:val="21"/>
                    </w:rPr>
                    <w:t>32.97</w:t>
                  </w:r>
                </w:p>
              </w:tc>
              <w:tc>
                <w:tcPr>
                  <w:tcW w:w="1159" w:type="dxa"/>
                  <w:vAlign w:val="center"/>
                </w:tcPr>
                <w:p>
                  <w:pPr>
                    <w:spacing w:line="360" w:lineRule="auto"/>
                    <w:jc w:val="center"/>
                    <w:rPr>
                      <w:szCs w:val="21"/>
                    </w:rPr>
                  </w:pPr>
                  <w:r>
                    <w:rPr>
                      <w:szCs w:val="21"/>
                    </w:rPr>
                    <w:t>34.72</w:t>
                  </w:r>
                </w:p>
              </w:tc>
              <w:tc>
                <w:tcPr>
                  <w:tcW w:w="1159" w:type="dxa"/>
                  <w:vAlign w:val="center"/>
                </w:tcPr>
                <w:p>
                  <w:pPr>
                    <w:spacing w:line="360" w:lineRule="auto"/>
                    <w:jc w:val="center"/>
                    <w:rPr>
                      <w:szCs w:val="21"/>
                    </w:rPr>
                  </w:pPr>
                  <w:r>
                    <w:rPr>
                      <w:szCs w:val="21"/>
                    </w:rPr>
                    <w:t>35.74</w:t>
                  </w:r>
                </w:p>
              </w:tc>
              <w:tc>
                <w:tcPr>
                  <w:tcW w:w="1159" w:type="dxa"/>
                </w:tcPr>
                <w:p>
                  <w:pPr>
                    <w:spacing w:line="360" w:lineRule="auto"/>
                    <w:jc w:val="center"/>
                    <w:rPr>
                      <w:szCs w:val="21"/>
                    </w:rPr>
                  </w:pPr>
                  <w:r>
                    <w:rPr>
                      <w:rFonts w:hint="eastAsia"/>
                      <w:szCs w:val="21"/>
                    </w:rPr>
                    <w:t>3</w:t>
                  </w:r>
                  <w:r>
                    <w:rPr>
                      <w:szCs w:val="21"/>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5" w:type="dxa"/>
                  <w:vAlign w:val="center"/>
                </w:tcPr>
                <w:p>
                  <w:pPr>
                    <w:spacing w:line="360" w:lineRule="auto"/>
                    <w:jc w:val="center"/>
                    <w:rPr>
                      <w:szCs w:val="21"/>
                    </w:rPr>
                  </w:pPr>
                  <w:r>
                    <w:rPr>
                      <w:szCs w:val="21"/>
                    </w:rPr>
                    <w:t>预测值</w:t>
                  </w:r>
                </w:p>
              </w:tc>
              <w:tc>
                <w:tcPr>
                  <w:tcW w:w="919" w:type="dxa"/>
                  <w:vAlign w:val="center"/>
                </w:tcPr>
                <w:p>
                  <w:pPr>
                    <w:spacing w:line="360" w:lineRule="auto"/>
                    <w:jc w:val="center"/>
                    <w:rPr>
                      <w:szCs w:val="21"/>
                    </w:rPr>
                  </w:pPr>
                  <w:r>
                    <w:rPr>
                      <w:szCs w:val="21"/>
                    </w:rPr>
                    <w:t>昼间</w:t>
                  </w:r>
                </w:p>
              </w:tc>
              <w:tc>
                <w:tcPr>
                  <w:tcW w:w="1160" w:type="dxa"/>
                  <w:vAlign w:val="center"/>
                </w:tcPr>
                <w:p>
                  <w:pPr>
                    <w:spacing w:line="360" w:lineRule="auto"/>
                    <w:jc w:val="center"/>
                    <w:rPr>
                      <w:szCs w:val="21"/>
                    </w:rPr>
                  </w:pPr>
                  <w:r>
                    <w:rPr>
                      <w:szCs w:val="21"/>
                    </w:rPr>
                    <w:t>37.68</w:t>
                  </w:r>
                </w:p>
              </w:tc>
              <w:tc>
                <w:tcPr>
                  <w:tcW w:w="1159" w:type="dxa"/>
                  <w:vAlign w:val="center"/>
                </w:tcPr>
                <w:p>
                  <w:pPr>
                    <w:spacing w:line="360" w:lineRule="auto"/>
                    <w:jc w:val="center"/>
                    <w:rPr>
                      <w:szCs w:val="21"/>
                    </w:rPr>
                  </w:pPr>
                  <w:r>
                    <w:rPr>
                      <w:rFonts w:hint="eastAsia"/>
                      <w:szCs w:val="21"/>
                    </w:rPr>
                    <w:t>4</w:t>
                  </w:r>
                  <w:r>
                    <w:rPr>
                      <w:szCs w:val="21"/>
                    </w:rPr>
                    <w:t>2.87</w:t>
                  </w:r>
                </w:p>
              </w:tc>
              <w:tc>
                <w:tcPr>
                  <w:tcW w:w="1159" w:type="dxa"/>
                  <w:vAlign w:val="center"/>
                </w:tcPr>
                <w:p>
                  <w:pPr>
                    <w:spacing w:line="360" w:lineRule="auto"/>
                    <w:jc w:val="center"/>
                    <w:rPr>
                      <w:szCs w:val="21"/>
                    </w:rPr>
                  </w:pPr>
                  <w:r>
                    <w:rPr>
                      <w:szCs w:val="21"/>
                    </w:rPr>
                    <w:t>44.62</w:t>
                  </w:r>
                </w:p>
              </w:tc>
              <w:tc>
                <w:tcPr>
                  <w:tcW w:w="1159" w:type="dxa"/>
                  <w:vAlign w:val="center"/>
                </w:tcPr>
                <w:p>
                  <w:pPr>
                    <w:spacing w:line="360" w:lineRule="auto"/>
                    <w:jc w:val="center"/>
                    <w:rPr>
                      <w:szCs w:val="21"/>
                    </w:rPr>
                  </w:pPr>
                  <w:r>
                    <w:rPr>
                      <w:szCs w:val="21"/>
                    </w:rPr>
                    <w:t>45.64</w:t>
                  </w:r>
                </w:p>
              </w:tc>
              <w:tc>
                <w:tcPr>
                  <w:tcW w:w="1159" w:type="dxa"/>
                </w:tcPr>
                <w:p>
                  <w:pPr>
                    <w:spacing w:line="360" w:lineRule="auto"/>
                    <w:jc w:val="center"/>
                    <w:rPr>
                      <w:szCs w:val="21"/>
                    </w:rPr>
                  </w:pPr>
                  <w:r>
                    <w:rPr>
                      <w:rFonts w:hint="eastAsia"/>
                      <w:szCs w:val="21"/>
                    </w:rPr>
                    <w:t>4</w:t>
                  </w:r>
                  <w:r>
                    <w:rPr>
                      <w:szCs w:val="21"/>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5" w:type="dxa"/>
                  <w:vAlign w:val="center"/>
                </w:tcPr>
                <w:p>
                  <w:pPr>
                    <w:spacing w:line="360" w:lineRule="auto"/>
                    <w:jc w:val="center"/>
                    <w:rPr>
                      <w:szCs w:val="21"/>
                    </w:rPr>
                  </w:pPr>
                  <w:r>
                    <w:rPr>
                      <w:szCs w:val="21"/>
                    </w:rPr>
                    <w:t>标准值</w:t>
                  </w:r>
                </w:p>
              </w:tc>
              <w:tc>
                <w:tcPr>
                  <w:tcW w:w="919" w:type="dxa"/>
                  <w:vAlign w:val="center"/>
                </w:tcPr>
                <w:p>
                  <w:pPr>
                    <w:spacing w:line="360" w:lineRule="auto"/>
                    <w:jc w:val="center"/>
                    <w:rPr>
                      <w:szCs w:val="21"/>
                    </w:rPr>
                  </w:pPr>
                  <w:r>
                    <w:rPr>
                      <w:szCs w:val="21"/>
                    </w:rPr>
                    <w:t>昼间</w:t>
                  </w:r>
                </w:p>
              </w:tc>
              <w:tc>
                <w:tcPr>
                  <w:tcW w:w="5796" w:type="dxa"/>
                  <w:gridSpan w:val="5"/>
                  <w:vAlign w:val="center"/>
                </w:tcPr>
                <w:p>
                  <w:pPr>
                    <w:spacing w:line="360" w:lineRule="auto"/>
                    <w:jc w:val="center"/>
                    <w:rPr>
                      <w:szCs w:val="21"/>
                    </w:rPr>
                  </w:pPr>
                  <w:r>
                    <w:rPr>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25" w:type="dxa"/>
                  <w:vAlign w:val="center"/>
                </w:tcPr>
                <w:p>
                  <w:pPr>
                    <w:spacing w:line="360" w:lineRule="auto"/>
                    <w:jc w:val="center"/>
                    <w:rPr>
                      <w:szCs w:val="21"/>
                    </w:rPr>
                  </w:pPr>
                  <w:r>
                    <w:rPr>
                      <w:szCs w:val="21"/>
                    </w:rPr>
                    <w:t>达标情况</w:t>
                  </w:r>
                </w:p>
              </w:tc>
              <w:tc>
                <w:tcPr>
                  <w:tcW w:w="919" w:type="dxa"/>
                  <w:vAlign w:val="center"/>
                </w:tcPr>
                <w:p>
                  <w:pPr>
                    <w:spacing w:line="360" w:lineRule="auto"/>
                    <w:jc w:val="center"/>
                    <w:rPr>
                      <w:szCs w:val="21"/>
                    </w:rPr>
                  </w:pPr>
                  <w:r>
                    <w:rPr>
                      <w:szCs w:val="21"/>
                    </w:rPr>
                    <w:t>昼间</w:t>
                  </w:r>
                </w:p>
              </w:tc>
              <w:tc>
                <w:tcPr>
                  <w:tcW w:w="1160" w:type="dxa"/>
                  <w:vAlign w:val="center"/>
                </w:tcPr>
                <w:p>
                  <w:pPr>
                    <w:spacing w:line="360" w:lineRule="auto"/>
                    <w:jc w:val="center"/>
                    <w:rPr>
                      <w:szCs w:val="21"/>
                    </w:rPr>
                  </w:pPr>
                  <w:r>
                    <w:rPr>
                      <w:szCs w:val="21"/>
                    </w:rPr>
                    <w:t>达标</w:t>
                  </w:r>
                </w:p>
              </w:tc>
              <w:tc>
                <w:tcPr>
                  <w:tcW w:w="1159" w:type="dxa"/>
                  <w:vAlign w:val="center"/>
                </w:tcPr>
                <w:p>
                  <w:pPr>
                    <w:spacing w:line="360" w:lineRule="auto"/>
                    <w:jc w:val="center"/>
                    <w:rPr>
                      <w:szCs w:val="21"/>
                    </w:rPr>
                  </w:pPr>
                  <w:r>
                    <w:rPr>
                      <w:szCs w:val="21"/>
                    </w:rPr>
                    <w:t>达标</w:t>
                  </w:r>
                </w:p>
              </w:tc>
              <w:tc>
                <w:tcPr>
                  <w:tcW w:w="1159" w:type="dxa"/>
                  <w:vAlign w:val="center"/>
                </w:tcPr>
                <w:p>
                  <w:pPr>
                    <w:spacing w:line="360" w:lineRule="auto"/>
                    <w:jc w:val="center"/>
                    <w:rPr>
                      <w:szCs w:val="21"/>
                    </w:rPr>
                  </w:pPr>
                  <w:r>
                    <w:rPr>
                      <w:szCs w:val="21"/>
                    </w:rPr>
                    <w:t>达标</w:t>
                  </w:r>
                </w:p>
              </w:tc>
              <w:tc>
                <w:tcPr>
                  <w:tcW w:w="1159" w:type="dxa"/>
                  <w:vAlign w:val="center"/>
                </w:tcPr>
                <w:p>
                  <w:pPr>
                    <w:spacing w:line="360" w:lineRule="auto"/>
                    <w:jc w:val="center"/>
                    <w:rPr>
                      <w:szCs w:val="21"/>
                    </w:rPr>
                  </w:pPr>
                  <w:r>
                    <w:rPr>
                      <w:szCs w:val="21"/>
                    </w:rPr>
                    <w:t>达标</w:t>
                  </w:r>
                </w:p>
              </w:tc>
              <w:tc>
                <w:tcPr>
                  <w:tcW w:w="1159" w:type="dxa"/>
                </w:tcPr>
                <w:p>
                  <w:pPr>
                    <w:spacing w:line="360" w:lineRule="auto"/>
                    <w:jc w:val="center"/>
                    <w:rPr>
                      <w:szCs w:val="21"/>
                    </w:rPr>
                  </w:pPr>
                  <w:r>
                    <w:rPr>
                      <w:rFonts w:hint="eastAsia"/>
                      <w:szCs w:val="21"/>
                    </w:rPr>
                    <w:t>达标</w:t>
                  </w:r>
                </w:p>
              </w:tc>
            </w:tr>
          </w:tbl>
          <w:p>
            <w:pPr>
              <w:spacing w:line="360" w:lineRule="auto"/>
              <w:ind w:firstLine="480" w:firstLineChars="200"/>
              <w:rPr>
                <w:sz w:val="24"/>
              </w:rPr>
            </w:pPr>
            <w:r>
              <w:rPr>
                <w:sz w:val="24"/>
              </w:rPr>
              <w:t>由表4-9可看出，项目运营期间，昼间正产活动所产生的噪声在东南西北四个方向厂界均能达到《工业企业厂界环境噪声排放标准》（GB12348-2008）2类标准，即昼间≤60dB（A），项目夜间不进行生产活动，则夜间对外环境噪声影响，通过尽量选用低噪设备、夜间不施工等措施后，施工厂界噪声能达标。</w:t>
            </w:r>
            <w:r>
              <w:rPr>
                <w:rFonts w:hint="eastAsia"/>
                <w:sz w:val="24"/>
              </w:rPr>
              <w:t>因此</w:t>
            </w:r>
            <w:r>
              <w:rPr>
                <w:sz w:val="24"/>
              </w:rPr>
              <w:t>项目施工噪声对周围敏感点的影响是可以接受的。</w:t>
            </w:r>
          </w:p>
          <w:p>
            <w:pPr>
              <w:spacing w:line="360" w:lineRule="auto"/>
              <w:ind w:firstLine="480" w:firstLineChars="200"/>
              <w:rPr>
                <w:sz w:val="24"/>
              </w:rPr>
            </w:pPr>
            <w:r>
              <w:rPr>
                <w:sz w:val="24"/>
              </w:rPr>
              <w:t>为了减小噪声对区域声环境的不利影响，本环评要求采取如下噪声防治措施：</w:t>
            </w:r>
          </w:p>
          <w:p>
            <w:pPr>
              <w:spacing w:line="360" w:lineRule="auto"/>
              <w:ind w:firstLine="480" w:firstLineChars="200"/>
              <w:rPr>
                <w:sz w:val="24"/>
              </w:rPr>
            </w:pPr>
            <w:r>
              <w:rPr>
                <w:rFonts w:hint="eastAsia" w:ascii="宋体" w:hAnsi="宋体" w:cs="宋体"/>
                <w:sz w:val="24"/>
              </w:rPr>
              <w:t>a</w:t>
            </w:r>
            <w:r>
              <w:rPr>
                <w:rFonts w:ascii="宋体" w:hAnsi="宋体" w:cs="宋体"/>
                <w:sz w:val="24"/>
              </w:rPr>
              <w:t>.</w:t>
            </w:r>
            <w:r>
              <w:rPr>
                <w:sz w:val="24"/>
              </w:rPr>
              <w:t>优化厂区布局，将产生噪声较高的搅拌楼布置于场地中部，在东侧应考虑增加项目围挡；</w:t>
            </w:r>
          </w:p>
          <w:p>
            <w:pPr>
              <w:spacing w:line="360" w:lineRule="auto"/>
              <w:ind w:firstLine="480" w:firstLineChars="200"/>
              <w:rPr>
                <w:sz w:val="24"/>
              </w:rPr>
            </w:pPr>
            <w:r>
              <w:rPr>
                <w:rFonts w:ascii="宋体" w:hAnsi="宋体" w:cs="宋体"/>
                <w:sz w:val="24"/>
              </w:rPr>
              <w:t>b.</w:t>
            </w:r>
            <w:r>
              <w:rPr>
                <w:sz w:val="24"/>
              </w:rPr>
              <w:t>对于空气动力性噪声的机械设备，出风口加装消声器，并将空压机布置在封闭机房内；</w:t>
            </w:r>
          </w:p>
          <w:p>
            <w:pPr>
              <w:spacing w:line="360" w:lineRule="auto"/>
              <w:ind w:firstLine="480" w:firstLineChars="200"/>
              <w:rPr>
                <w:sz w:val="24"/>
              </w:rPr>
            </w:pPr>
            <w:r>
              <w:rPr>
                <w:rFonts w:ascii="宋体" w:hAnsi="宋体" w:cs="宋体"/>
                <w:sz w:val="24"/>
              </w:rPr>
              <w:t>c.</w:t>
            </w:r>
            <w:r>
              <w:rPr>
                <w:sz w:val="24"/>
              </w:rPr>
              <w:t>皮带输送机采用封闭输送；</w:t>
            </w:r>
          </w:p>
          <w:p>
            <w:pPr>
              <w:spacing w:line="360" w:lineRule="auto"/>
              <w:ind w:firstLine="480" w:firstLineChars="200"/>
              <w:rPr>
                <w:sz w:val="24"/>
              </w:rPr>
            </w:pPr>
            <w:r>
              <w:rPr>
                <w:rFonts w:ascii="宋体" w:hAnsi="宋体" w:cs="宋体"/>
                <w:sz w:val="24"/>
              </w:rPr>
              <w:t>d.</w:t>
            </w:r>
            <w:r>
              <w:rPr>
                <w:sz w:val="24"/>
              </w:rPr>
              <w:t>强化行车管理制度，厂区内严禁鸣号，进入厂区低速行驶，最大限度减少流动噪声源；</w:t>
            </w:r>
          </w:p>
          <w:p>
            <w:pPr>
              <w:spacing w:line="360" w:lineRule="auto"/>
              <w:ind w:firstLine="480" w:firstLineChars="200"/>
              <w:rPr>
                <w:sz w:val="24"/>
              </w:rPr>
            </w:pPr>
            <w:r>
              <w:rPr>
                <w:rFonts w:ascii="宋体" w:hAnsi="宋体" w:cs="宋体"/>
                <w:sz w:val="24"/>
              </w:rPr>
              <w:t>e.</w:t>
            </w:r>
            <w:r>
              <w:rPr>
                <w:sz w:val="24"/>
              </w:rPr>
              <w:t>合理安排生产时间，若因生产需要存在夜间连续生产，须上报当地环保部门备案；</w:t>
            </w:r>
          </w:p>
          <w:p>
            <w:pPr>
              <w:spacing w:line="360" w:lineRule="auto"/>
              <w:ind w:firstLine="480" w:firstLineChars="200"/>
              <w:rPr>
                <w:sz w:val="24"/>
              </w:rPr>
            </w:pPr>
            <w:r>
              <w:rPr>
                <w:rFonts w:ascii="宋体" w:hAnsi="宋体" w:cs="宋体"/>
                <w:sz w:val="24"/>
              </w:rPr>
              <w:t>f.</w:t>
            </w:r>
            <w:r>
              <w:rPr>
                <w:sz w:val="24"/>
              </w:rPr>
              <w:t>建立设备定期维护、保养的管理制度，避免设备运转非正常噪声。</w:t>
            </w:r>
          </w:p>
          <w:p>
            <w:pPr>
              <w:spacing w:line="360" w:lineRule="auto"/>
              <w:ind w:firstLine="480" w:firstLineChars="200"/>
              <w:rPr>
                <w:sz w:val="24"/>
              </w:rPr>
            </w:pPr>
            <w:r>
              <w:rPr>
                <w:rFonts w:hint="eastAsia"/>
                <w:sz w:val="24"/>
              </w:rPr>
              <w:t>（2）</w:t>
            </w:r>
            <w:r>
              <w:rPr>
                <w:color w:val="000000"/>
                <w:sz w:val="24"/>
              </w:rPr>
              <w:t>监测要求</w:t>
            </w:r>
          </w:p>
          <w:p>
            <w:pPr>
              <w:pStyle w:val="149"/>
              <w:snapToGrid w:val="0"/>
              <w:ind w:firstLine="480"/>
              <w:rPr>
                <w:color w:val="000000"/>
                <w:kern w:val="0"/>
                <w:lang w:bidi="ar"/>
              </w:rPr>
            </w:pPr>
            <w:r>
              <w:rPr>
                <w:rFonts w:hint="eastAsia"/>
                <w:color w:val="000000"/>
                <w:kern w:val="0"/>
                <w:lang w:bidi="ar"/>
              </w:rPr>
              <w:t>根据《排污单位自行监测技术指南总则》（HJ819-2017）、《排污许可证申请与核发技术规范 总则》（HJ942-2018），结合项目情况，提出声环境监测计划见表4-</w:t>
            </w:r>
            <w:r>
              <w:rPr>
                <w:color w:val="000000"/>
                <w:kern w:val="0"/>
                <w:lang w:bidi="ar"/>
              </w:rPr>
              <w:t>10</w:t>
            </w:r>
            <w:r>
              <w:rPr>
                <w:rFonts w:hint="eastAsia"/>
                <w:color w:val="000000"/>
                <w:kern w:val="0"/>
                <w:lang w:bidi="ar"/>
              </w:rPr>
              <w:t>。</w:t>
            </w:r>
          </w:p>
          <w:p>
            <w:pPr>
              <w:snapToGrid w:val="0"/>
              <w:spacing w:line="360" w:lineRule="auto"/>
              <w:jc w:val="center"/>
              <w:rPr>
                <w:b/>
                <w:color w:val="000000"/>
                <w:szCs w:val="21"/>
              </w:rPr>
            </w:pPr>
            <w:r>
              <w:rPr>
                <w:b/>
                <w:color w:val="000000"/>
                <w:szCs w:val="21"/>
              </w:rPr>
              <w:t xml:space="preserve">表4-12  </w:t>
            </w:r>
            <w:r>
              <w:rPr>
                <w:rFonts w:hint="eastAsia"/>
                <w:b/>
                <w:color w:val="000000"/>
                <w:szCs w:val="21"/>
              </w:rPr>
              <w:t>厂界噪声</w:t>
            </w:r>
            <w:r>
              <w:rPr>
                <w:b/>
                <w:color w:val="000000"/>
                <w:szCs w:val="21"/>
              </w:rPr>
              <w:t>监测计划</w:t>
            </w:r>
            <w:r>
              <w:rPr>
                <w:rFonts w:hint="eastAsia"/>
                <w:b/>
                <w:color w:val="000000"/>
                <w:szCs w:val="21"/>
              </w:rPr>
              <w:t>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792"/>
              <w:gridCol w:w="978"/>
              <w:gridCol w:w="3397"/>
              <w:gridCol w:w="1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66" w:type="pct"/>
                  <w:shd w:val="clear" w:color="auto" w:fill="auto"/>
                  <w:vAlign w:val="center"/>
                </w:tcPr>
                <w:p>
                  <w:pPr>
                    <w:adjustRightInd w:val="0"/>
                    <w:snapToGrid w:val="0"/>
                    <w:jc w:val="center"/>
                    <w:rPr>
                      <w:color w:val="000000"/>
                      <w:kern w:val="0"/>
                      <w:szCs w:val="21"/>
                    </w:rPr>
                  </w:pPr>
                  <w:r>
                    <w:rPr>
                      <w:rFonts w:hint="eastAsia"/>
                      <w:color w:val="000000"/>
                      <w:kern w:val="0"/>
                      <w:szCs w:val="21"/>
                    </w:rPr>
                    <w:t>环境要素</w:t>
                  </w:r>
                </w:p>
              </w:tc>
              <w:tc>
                <w:tcPr>
                  <w:tcW w:w="506" w:type="pct"/>
                  <w:shd w:val="clear" w:color="auto" w:fill="auto"/>
                  <w:vAlign w:val="center"/>
                </w:tcPr>
                <w:p>
                  <w:pPr>
                    <w:adjustRightInd w:val="0"/>
                    <w:snapToGrid w:val="0"/>
                    <w:jc w:val="center"/>
                    <w:rPr>
                      <w:color w:val="000000"/>
                      <w:kern w:val="0"/>
                      <w:szCs w:val="21"/>
                    </w:rPr>
                  </w:pPr>
                  <w:r>
                    <w:rPr>
                      <w:rFonts w:hint="eastAsia"/>
                      <w:color w:val="000000"/>
                      <w:kern w:val="0"/>
                      <w:szCs w:val="21"/>
                    </w:rPr>
                    <w:t>监测项目</w:t>
                  </w:r>
                </w:p>
              </w:tc>
              <w:tc>
                <w:tcPr>
                  <w:tcW w:w="625" w:type="pct"/>
                  <w:shd w:val="clear" w:color="auto" w:fill="auto"/>
                  <w:vAlign w:val="center"/>
                </w:tcPr>
                <w:p>
                  <w:pPr>
                    <w:adjustRightInd w:val="0"/>
                    <w:snapToGrid w:val="0"/>
                    <w:jc w:val="center"/>
                    <w:rPr>
                      <w:color w:val="000000"/>
                      <w:kern w:val="0"/>
                      <w:szCs w:val="21"/>
                    </w:rPr>
                  </w:pPr>
                  <w:r>
                    <w:rPr>
                      <w:rFonts w:hint="eastAsia"/>
                      <w:color w:val="000000"/>
                      <w:kern w:val="0"/>
                      <w:szCs w:val="21"/>
                    </w:rPr>
                    <w:t>监测</w:t>
                  </w:r>
                </w:p>
                <w:p>
                  <w:pPr>
                    <w:adjustRightInd w:val="0"/>
                    <w:snapToGrid w:val="0"/>
                    <w:jc w:val="center"/>
                    <w:rPr>
                      <w:color w:val="000000"/>
                      <w:kern w:val="0"/>
                      <w:szCs w:val="21"/>
                    </w:rPr>
                  </w:pPr>
                  <w:r>
                    <w:rPr>
                      <w:rFonts w:hint="eastAsia"/>
                      <w:color w:val="000000"/>
                      <w:kern w:val="0"/>
                      <w:szCs w:val="21"/>
                    </w:rPr>
                    <w:t>点位</w:t>
                  </w:r>
                </w:p>
              </w:tc>
              <w:tc>
                <w:tcPr>
                  <w:tcW w:w="2167" w:type="pct"/>
                  <w:shd w:val="clear" w:color="auto" w:fill="auto"/>
                  <w:vAlign w:val="center"/>
                </w:tcPr>
                <w:p>
                  <w:pPr>
                    <w:adjustRightInd w:val="0"/>
                    <w:snapToGrid w:val="0"/>
                    <w:jc w:val="center"/>
                    <w:rPr>
                      <w:color w:val="000000"/>
                      <w:kern w:val="0"/>
                      <w:szCs w:val="21"/>
                    </w:rPr>
                  </w:pPr>
                  <w:r>
                    <w:rPr>
                      <w:rFonts w:hint="eastAsia"/>
                      <w:color w:val="000000"/>
                      <w:kern w:val="0"/>
                      <w:szCs w:val="21"/>
                    </w:rPr>
                    <w:t>监测频率</w:t>
                  </w:r>
                </w:p>
              </w:tc>
              <w:tc>
                <w:tcPr>
                  <w:tcW w:w="1235" w:type="pct"/>
                  <w:shd w:val="clear" w:color="auto" w:fill="auto"/>
                  <w:vAlign w:val="center"/>
                </w:tcPr>
                <w:p>
                  <w:pPr>
                    <w:adjustRightInd w:val="0"/>
                    <w:snapToGrid w:val="0"/>
                    <w:jc w:val="center"/>
                    <w:rPr>
                      <w:color w:val="000000"/>
                      <w:kern w:val="0"/>
                      <w:szCs w:val="21"/>
                    </w:rPr>
                  </w:pPr>
                  <w:r>
                    <w:rPr>
                      <w:rFonts w:hint="eastAsia"/>
                      <w:color w:val="000000"/>
                      <w:kern w:val="0"/>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7" w:hRule="atLeast"/>
                <w:jc w:val="center"/>
              </w:trPr>
              <w:tc>
                <w:tcPr>
                  <w:tcW w:w="466" w:type="pct"/>
                  <w:shd w:val="clear" w:color="auto" w:fill="auto"/>
                  <w:vAlign w:val="center"/>
                </w:tcPr>
                <w:p>
                  <w:pPr>
                    <w:adjustRightInd w:val="0"/>
                    <w:snapToGrid w:val="0"/>
                    <w:jc w:val="center"/>
                    <w:rPr>
                      <w:color w:val="000000"/>
                      <w:kern w:val="0"/>
                      <w:szCs w:val="21"/>
                    </w:rPr>
                  </w:pPr>
                  <w:r>
                    <w:rPr>
                      <w:rFonts w:hint="eastAsia"/>
                      <w:color w:val="000000"/>
                      <w:kern w:val="0"/>
                      <w:szCs w:val="21"/>
                    </w:rPr>
                    <w:t>噪声</w:t>
                  </w:r>
                </w:p>
              </w:tc>
              <w:tc>
                <w:tcPr>
                  <w:tcW w:w="506" w:type="pct"/>
                  <w:shd w:val="clear" w:color="auto" w:fill="auto"/>
                  <w:vAlign w:val="center"/>
                </w:tcPr>
                <w:p>
                  <w:pPr>
                    <w:adjustRightInd w:val="0"/>
                    <w:snapToGrid w:val="0"/>
                    <w:jc w:val="center"/>
                    <w:rPr>
                      <w:color w:val="000000"/>
                      <w:kern w:val="0"/>
                      <w:szCs w:val="21"/>
                    </w:rPr>
                  </w:pPr>
                  <w:r>
                    <w:rPr>
                      <w:rFonts w:hint="eastAsia"/>
                      <w:color w:val="000000"/>
                      <w:kern w:val="0"/>
                      <w:szCs w:val="21"/>
                    </w:rPr>
                    <w:t>等效声级</w:t>
                  </w:r>
                </w:p>
              </w:tc>
              <w:tc>
                <w:tcPr>
                  <w:tcW w:w="625" w:type="pct"/>
                  <w:shd w:val="clear" w:color="auto" w:fill="auto"/>
                  <w:vAlign w:val="center"/>
                </w:tcPr>
                <w:p>
                  <w:pPr>
                    <w:adjustRightInd w:val="0"/>
                    <w:snapToGrid w:val="0"/>
                    <w:jc w:val="center"/>
                    <w:rPr>
                      <w:color w:val="000000"/>
                      <w:kern w:val="0"/>
                      <w:szCs w:val="21"/>
                    </w:rPr>
                  </w:pPr>
                  <w:r>
                    <w:rPr>
                      <w:rFonts w:hint="eastAsia"/>
                      <w:color w:val="000000"/>
                      <w:kern w:val="0"/>
                      <w:szCs w:val="21"/>
                    </w:rPr>
                    <w:t>项目东、南、西、北厂界1m处</w:t>
                  </w:r>
                </w:p>
              </w:tc>
              <w:tc>
                <w:tcPr>
                  <w:tcW w:w="2167" w:type="pct"/>
                  <w:shd w:val="clear" w:color="auto" w:fill="auto"/>
                  <w:vAlign w:val="center"/>
                </w:tcPr>
                <w:p>
                  <w:pPr>
                    <w:adjustRightInd w:val="0"/>
                    <w:snapToGrid w:val="0"/>
                    <w:jc w:val="center"/>
                    <w:rPr>
                      <w:color w:val="000000"/>
                      <w:kern w:val="0"/>
                      <w:szCs w:val="21"/>
                    </w:rPr>
                  </w:pPr>
                  <w:r>
                    <w:rPr>
                      <w:rFonts w:hint="eastAsia"/>
                      <w:color w:val="000000"/>
                      <w:kern w:val="0"/>
                      <w:szCs w:val="21"/>
                    </w:rPr>
                    <w:t>验收时监测1次，每次连续监测2天，每天昼夜各监测1次；验收后纳入当地环境保护局的正常监测管理，每季度监测1次，每次连续监测2天，每天昼夜各监测1次；</w:t>
                  </w:r>
                </w:p>
              </w:tc>
              <w:tc>
                <w:tcPr>
                  <w:tcW w:w="1235" w:type="pct"/>
                  <w:shd w:val="clear" w:color="auto" w:fill="auto"/>
                  <w:vAlign w:val="center"/>
                </w:tcPr>
                <w:p>
                  <w:pPr>
                    <w:adjustRightInd w:val="0"/>
                    <w:snapToGrid w:val="0"/>
                    <w:jc w:val="center"/>
                    <w:rPr>
                      <w:color w:val="000000"/>
                      <w:kern w:val="0"/>
                      <w:szCs w:val="21"/>
                    </w:rPr>
                  </w:pPr>
                  <w:r>
                    <w:rPr>
                      <w:rFonts w:hint="eastAsia"/>
                      <w:color w:val="000000"/>
                      <w:kern w:val="0"/>
                      <w:szCs w:val="21"/>
                    </w:rPr>
                    <w:t>达到《工业企业厂界环境噪声排放标准》（GB12348-2008）中的</w:t>
                  </w:r>
                  <w:r>
                    <w:rPr>
                      <w:color w:val="000000"/>
                      <w:kern w:val="0"/>
                      <w:szCs w:val="21"/>
                    </w:rPr>
                    <w:t>2</w:t>
                  </w:r>
                  <w:r>
                    <w:rPr>
                      <w:rFonts w:hint="eastAsia"/>
                      <w:color w:val="000000"/>
                      <w:kern w:val="0"/>
                      <w:szCs w:val="21"/>
                    </w:rPr>
                    <w:t>类区标准</w:t>
                  </w:r>
                </w:p>
              </w:tc>
            </w:tr>
          </w:tbl>
          <w:p>
            <w:pPr>
              <w:spacing w:line="360" w:lineRule="auto"/>
              <w:rPr>
                <w:b/>
                <w:bCs/>
                <w:sz w:val="24"/>
              </w:rPr>
            </w:pPr>
            <w:r>
              <w:rPr>
                <w:b/>
                <w:bCs/>
                <w:sz w:val="24"/>
              </w:rPr>
              <w:t>5</w:t>
            </w:r>
            <w:r>
              <w:rPr>
                <w:rFonts w:hint="eastAsia"/>
                <w:b/>
                <w:bCs/>
                <w:sz w:val="24"/>
              </w:rPr>
              <w:t>、运营期固体废物环境影响及保护措施</w:t>
            </w:r>
          </w:p>
          <w:p>
            <w:pPr>
              <w:spacing w:line="360" w:lineRule="auto"/>
              <w:rPr>
                <w:b/>
                <w:bCs/>
                <w:sz w:val="24"/>
              </w:rPr>
            </w:pPr>
            <w:r>
              <w:rPr>
                <w:rFonts w:hint="eastAsia"/>
                <w:b/>
                <w:bCs/>
                <w:sz w:val="24"/>
              </w:rPr>
              <w:t>（</w:t>
            </w:r>
            <w:r>
              <w:rPr>
                <w:b/>
                <w:bCs/>
                <w:sz w:val="24"/>
              </w:rPr>
              <w:t>1</w:t>
            </w:r>
            <w:r>
              <w:rPr>
                <w:rFonts w:hint="eastAsia"/>
                <w:b/>
                <w:bCs/>
                <w:sz w:val="24"/>
              </w:rPr>
              <w:t>）固体废弃物产排情况</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项目运营期产生的固体废物主要为一般工业固废、危险废物、生活固废。一般工业固废：除尘设备收集粉尘、残余混凝土、试验室混凝土块、沉淀池沉渣；危险废物：废机油；生活固废：员工生活垃圾、食堂泔水、隔油池废油、化粪池污泥。</w:t>
            </w:r>
          </w:p>
          <w:p>
            <w:pPr>
              <w:autoSpaceDE w:val="0"/>
              <w:autoSpaceDN w:val="0"/>
              <w:adjustRightInd w:val="0"/>
              <w:snapToGrid w:val="0"/>
              <w:spacing w:line="360" w:lineRule="auto"/>
              <w:ind w:firstLine="480" w:firstLineChars="200"/>
              <w:jc w:val="left"/>
              <w:rPr>
                <w:rFonts w:hAnsi="宋体"/>
                <w:color w:val="000000"/>
                <w:sz w:val="24"/>
              </w:rPr>
            </w:pPr>
            <w:r>
              <w:rPr>
                <w:rFonts w:hAnsi="宋体"/>
                <w:color w:val="000000"/>
                <w:sz w:val="24"/>
              </w:rPr>
              <w:t>1</w:t>
            </w:r>
            <w:r>
              <w:rPr>
                <w:rFonts w:hint="eastAsia" w:hAnsi="宋体"/>
                <w:color w:val="000000"/>
                <w:sz w:val="24"/>
              </w:rPr>
              <w:t>）一般工业固废</w:t>
            </w:r>
          </w:p>
          <w:p>
            <w:pPr>
              <w:autoSpaceDE w:val="0"/>
              <w:autoSpaceDN w:val="0"/>
              <w:adjustRightInd w:val="0"/>
              <w:snapToGrid w:val="0"/>
              <w:spacing w:line="360" w:lineRule="auto"/>
              <w:ind w:firstLine="480" w:firstLineChars="200"/>
              <w:jc w:val="left"/>
              <w:rPr>
                <w:rFonts w:hAnsi="宋体"/>
                <w:color w:val="000000"/>
                <w:sz w:val="24"/>
              </w:rPr>
            </w:pPr>
            <w:r>
              <w:rPr>
                <w:rFonts w:hint="eastAsia" w:ascii="宋体" w:hAnsi="宋体"/>
                <w:color w:val="000000"/>
                <w:sz w:val="24"/>
              </w:rPr>
              <w:t>①</w:t>
            </w:r>
            <w:r>
              <w:rPr>
                <w:rFonts w:hint="eastAsia" w:hAnsi="宋体"/>
                <w:color w:val="000000"/>
                <w:sz w:val="24"/>
              </w:rPr>
              <w:t>除尘设备收集粉尘</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项目储罐顶设置除尘器，储罐自带的布袋除尘器收集的粉尘直接送回储罐内作为项目生产原料继续使用。</w:t>
            </w:r>
          </w:p>
          <w:p>
            <w:pPr>
              <w:autoSpaceDE w:val="0"/>
              <w:autoSpaceDN w:val="0"/>
              <w:adjustRightInd w:val="0"/>
              <w:snapToGrid w:val="0"/>
              <w:spacing w:line="360" w:lineRule="auto"/>
              <w:ind w:firstLine="480" w:firstLineChars="200"/>
              <w:jc w:val="left"/>
              <w:rPr>
                <w:rFonts w:hAnsi="宋体"/>
                <w:color w:val="000000"/>
                <w:sz w:val="24"/>
              </w:rPr>
            </w:pPr>
            <w:r>
              <w:rPr>
                <w:rFonts w:hint="eastAsia" w:ascii="宋体" w:hAnsi="宋体"/>
                <w:color w:val="000000"/>
                <w:sz w:val="24"/>
              </w:rPr>
              <w:t>②</w:t>
            </w:r>
            <w:r>
              <w:rPr>
                <w:rFonts w:hint="eastAsia" w:hAnsi="宋体"/>
                <w:color w:val="000000"/>
                <w:sz w:val="24"/>
              </w:rPr>
              <w:t>残余混凝土</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a</w:t>
            </w:r>
            <w:r>
              <w:rPr>
                <w:rFonts w:hAnsi="宋体"/>
                <w:color w:val="000000"/>
                <w:sz w:val="24"/>
              </w:rPr>
              <w:t>.</w:t>
            </w:r>
            <w:r>
              <w:rPr>
                <w:rFonts w:hint="eastAsia" w:hAnsi="宋体"/>
                <w:color w:val="000000"/>
                <w:sz w:val="24"/>
              </w:rPr>
              <w:t>搅拌机产生残余混凝土</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根据建设单位提供的资料，项目搅拌机混凝土残留量平均为</w:t>
            </w:r>
            <w:r>
              <w:rPr>
                <w:rFonts w:hAnsi="宋体"/>
                <w:color w:val="000000"/>
                <w:sz w:val="24"/>
              </w:rPr>
              <w:t>50kg/</w:t>
            </w:r>
            <w:r>
              <w:rPr>
                <w:rFonts w:hint="eastAsia" w:hAnsi="宋体"/>
                <w:color w:val="000000"/>
                <w:sz w:val="24"/>
              </w:rPr>
              <w:t>台次，项目1搅拌机，平均每天清洗</w:t>
            </w:r>
            <w:r>
              <w:rPr>
                <w:rFonts w:hAnsi="宋体"/>
                <w:color w:val="000000"/>
                <w:sz w:val="24"/>
              </w:rPr>
              <w:t>1</w:t>
            </w:r>
            <w:r>
              <w:rPr>
                <w:rFonts w:hint="eastAsia" w:hAnsi="宋体"/>
                <w:color w:val="000000"/>
                <w:sz w:val="24"/>
              </w:rPr>
              <w:t>次搅拌机，则搅拌机清洗水夹带的残留混凝土总量为1</w:t>
            </w:r>
            <w:r>
              <w:rPr>
                <w:rFonts w:hAnsi="宋体"/>
                <w:color w:val="000000"/>
                <w:sz w:val="24"/>
              </w:rPr>
              <w:t>5t/a。</w:t>
            </w:r>
          </w:p>
          <w:p>
            <w:pPr>
              <w:autoSpaceDE w:val="0"/>
              <w:autoSpaceDN w:val="0"/>
              <w:adjustRightInd w:val="0"/>
              <w:snapToGrid w:val="0"/>
              <w:spacing w:line="360" w:lineRule="auto"/>
              <w:ind w:firstLine="480" w:firstLineChars="200"/>
              <w:jc w:val="left"/>
              <w:rPr>
                <w:rFonts w:hAnsi="宋体"/>
                <w:color w:val="000000"/>
                <w:sz w:val="24"/>
              </w:rPr>
            </w:pPr>
            <w:r>
              <w:rPr>
                <w:rFonts w:hAnsi="宋体"/>
                <w:color w:val="000000"/>
                <w:sz w:val="24"/>
              </w:rPr>
              <w:t>b.</w:t>
            </w:r>
            <w:r>
              <w:rPr>
                <w:rFonts w:hint="eastAsia" w:hAnsi="宋体"/>
                <w:color w:val="000000"/>
                <w:sz w:val="24"/>
              </w:rPr>
              <w:t>混凝土运输罐车残余混凝土</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项目每天约需运输罐车</w:t>
            </w:r>
            <w:r>
              <w:rPr>
                <w:rFonts w:hAnsi="宋体"/>
                <w:color w:val="000000"/>
                <w:sz w:val="24"/>
              </w:rPr>
              <w:t>20</w:t>
            </w:r>
            <w:r>
              <w:rPr>
                <w:rFonts w:hint="eastAsia" w:hAnsi="宋体"/>
                <w:color w:val="000000"/>
                <w:sz w:val="24"/>
              </w:rPr>
              <w:t>，每辆车每次运输后混凝土残留量为</w:t>
            </w:r>
            <w:r>
              <w:rPr>
                <w:rFonts w:hAnsi="宋体"/>
                <w:color w:val="000000"/>
                <w:sz w:val="24"/>
              </w:rPr>
              <w:t>10kg/</w:t>
            </w:r>
            <w:r>
              <w:rPr>
                <w:rFonts w:hint="eastAsia" w:hAnsi="宋体"/>
                <w:color w:val="000000"/>
                <w:sz w:val="24"/>
              </w:rPr>
              <w:t>车次，则运输车辆清洗水夹带的残留混凝土总量为</w:t>
            </w:r>
            <w:r>
              <w:rPr>
                <w:rFonts w:hAnsi="宋体"/>
                <w:color w:val="000000"/>
                <w:sz w:val="24"/>
              </w:rPr>
              <w:t>60t/a</w:t>
            </w:r>
            <w:r>
              <w:rPr>
                <w:rFonts w:hint="eastAsia" w:hAnsi="宋体"/>
                <w:color w:val="000000"/>
                <w:sz w:val="24"/>
              </w:rPr>
              <w:t>。</w:t>
            </w:r>
          </w:p>
          <w:p>
            <w:pPr>
              <w:autoSpaceDE w:val="0"/>
              <w:autoSpaceDN w:val="0"/>
              <w:adjustRightInd w:val="0"/>
              <w:snapToGrid w:val="0"/>
              <w:spacing w:line="360" w:lineRule="auto"/>
              <w:ind w:firstLine="480" w:firstLineChars="200"/>
              <w:rPr>
                <w:rFonts w:hAnsi="宋体"/>
                <w:color w:val="000000"/>
                <w:sz w:val="24"/>
              </w:rPr>
            </w:pPr>
            <w:r>
              <w:rPr>
                <w:rFonts w:hint="eastAsia" w:hAnsi="宋体"/>
                <w:color w:val="000000"/>
                <w:sz w:val="24"/>
              </w:rPr>
              <w:t>根据建设单位提供资料，残留混凝土暂存于生产固废临时堆存场内，委托有资质单位定期清运处理。</w:t>
            </w:r>
          </w:p>
          <w:p>
            <w:pPr>
              <w:autoSpaceDE w:val="0"/>
              <w:autoSpaceDN w:val="0"/>
              <w:adjustRightInd w:val="0"/>
              <w:snapToGrid w:val="0"/>
              <w:spacing w:line="360" w:lineRule="auto"/>
              <w:ind w:firstLine="480" w:firstLineChars="200"/>
              <w:jc w:val="left"/>
              <w:rPr>
                <w:rFonts w:hAnsi="宋体"/>
                <w:color w:val="000000"/>
                <w:sz w:val="24"/>
              </w:rPr>
            </w:pPr>
            <w:r>
              <w:rPr>
                <w:rFonts w:hint="eastAsia" w:ascii="宋体" w:hAnsi="宋体"/>
                <w:color w:val="000000"/>
                <w:sz w:val="24"/>
              </w:rPr>
              <w:t>c</w:t>
            </w:r>
            <w:r>
              <w:rPr>
                <w:rFonts w:ascii="宋体" w:hAnsi="宋体"/>
                <w:color w:val="000000"/>
                <w:sz w:val="24"/>
              </w:rPr>
              <w:t>.</w:t>
            </w:r>
            <w:r>
              <w:rPr>
                <w:rFonts w:hint="eastAsia" w:hAnsi="宋体"/>
                <w:color w:val="000000"/>
                <w:sz w:val="24"/>
              </w:rPr>
              <w:t>试验室混凝土块</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根据建设单位提供的资料，试验室废弃混凝土块产生量为（</w:t>
            </w:r>
            <w:r>
              <w:rPr>
                <w:rFonts w:hAnsi="宋体"/>
                <w:color w:val="000000"/>
                <w:sz w:val="24"/>
              </w:rPr>
              <w:t>0.2t/</w:t>
            </w:r>
            <w:r>
              <w:rPr>
                <w:rFonts w:hint="eastAsia" w:hAnsi="宋体"/>
                <w:color w:val="000000"/>
                <w:sz w:val="24"/>
              </w:rPr>
              <w:t>月）</w:t>
            </w:r>
            <w:r>
              <w:rPr>
                <w:rFonts w:hAnsi="宋体"/>
                <w:color w:val="000000"/>
                <w:sz w:val="24"/>
              </w:rPr>
              <w:t>2.4t/a</w:t>
            </w:r>
            <w:r>
              <w:rPr>
                <w:rFonts w:hint="eastAsia" w:hAnsi="宋体"/>
                <w:color w:val="000000"/>
                <w:sz w:val="24"/>
              </w:rPr>
              <w:t>。该部分检验用混凝土凝固块堆存在生产固废临时堆存场所，委托有资质单位定期清运处理。</w:t>
            </w:r>
          </w:p>
          <w:p>
            <w:pPr>
              <w:autoSpaceDE w:val="0"/>
              <w:autoSpaceDN w:val="0"/>
              <w:adjustRightInd w:val="0"/>
              <w:snapToGrid w:val="0"/>
              <w:spacing w:line="360" w:lineRule="auto"/>
              <w:ind w:firstLine="480" w:firstLineChars="200"/>
              <w:jc w:val="left"/>
              <w:rPr>
                <w:rFonts w:hAnsi="宋体"/>
                <w:color w:val="000000"/>
                <w:sz w:val="24"/>
              </w:rPr>
            </w:pPr>
            <w:r>
              <w:rPr>
                <w:rFonts w:hint="eastAsia" w:ascii="宋体" w:hAnsi="宋体"/>
                <w:color w:val="000000"/>
                <w:sz w:val="24"/>
              </w:rPr>
              <w:t>d</w:t>
            </w:r>
            <w:r>
              <w:rPr>
                <w:rFonts w:ascii="宋体" w:hAnsi="宋体"/>
                <w:color w:val="000000"/>
                <w:sz w:val="24"/>
              </w:rPr>
              <w:t>.</w:t>
            </w:r>
            <w:r>
              <w:rPr>
                <w:rFonts w:hint="eastAsia" w:hAnsi="宋体"/>
                <w:color w:val="000000"/>
                <w:sz w:val="24"/>
              </w:rPr>
              <w:t>沉淀池沉渣</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生产废水沉淀池产生的沉渣主要为砂料，产生量按每沉淀</w:t>
            </w:r>
            <w:r>
              <w:rPr>
                <w:rFonts w:hAnsi="宋体"/>
                <w:color w:val="000000"/>
                <w:sz w:val="24"/>
              </w:rPr>
              <w:t>1m</w:t>
            </w:r>
            <w:r>
              <w:rPr>
                <w:rFonts w:hAnsi="宋体"/>
                <w:color w:val="000000"/>
                <w:sz w:val="24"/>
                <w:vertAlign w:val="superscript"/>
              </w:rPr>
              <w:t>3</w:t>
            </w:r>
            <w:r>
              <w:rPr>
                <w:rFonts w:hint="eastAsia" w:hAnsi="宋体"/>
                <w:color w:val="000000"/>
                <w:sz w:val="24"/>
              </w:rPr>
              <w:t>水产生</w:t>
            </w:r>
            <w:r>
              <w:rPr>
                <w:rFonts w:hAnsi="宋体"/>
                <w:color w:val="000000"/>
                <w:sz w:val="24"/>
              </w:rPr>
              <w:t>3kg</w:t>
            </w:r>
            <w:r>
              <w:rPr>
                <w:rFonts w:hint="eastAsia" w:hAnsi="宋体"/>
                <w:color w:val="000000"/>
                <w:sz w:val="24"/>
              </w:rPr>
              <w:t>计，根据项目水量平衡图，项目沉淀池每天沉淀生产废水量为</w:t>
            </w:r>
            <w:r>
              <w:rPr>
                <w:rFonts w:hAnsi="宋体"/>
                <w:color w:val="000000" w:themeColor="text1"/>
                <w:sz w:val="24"/>
                <w14:textFill>
                  <w14:solidFill>
                    <w14:schemeClr w14:val="tx1"/>
                  </w14:solidFill>
                </w14:textFill>
              </w:rPr>
              <w:t>4.58m</w:t>
            </w:r>
            <w:r>
              <w:rPr>
                <w:rFonts w:hAnsi="宋体"/>
                <w:color w:val="000000" w:themeColor="text1"/>
                <w:sz w:val="24"/>
                <w:vertAlign w:val="superscript"/>
                <w14:textFill>
                  <w14:solidFill>
                    <w14:schemeClr w14:val="tx1"/>
                  </w14:solidFill>
                </w14:textFill>
              </w:rPr>
              <w:t>3</w:t>
            </w:r>
            <w:r>
              <w:rPr>
                <w:rFonts w:hAnsi="宋体"/>
                <w:color w:val="000000" w:themeColor="text1"/>
                <w:sz w:val="24"/>
                <w14:textFill>
                  <w14:solidFill>
                    <w14:schemeClr w14:val="tx1"/>
                  </w14:solidFill>
                </w14:textFill>
              </w:rPr>
              <w:t>/d</w:t>
            </w:r>
            <w:r>
              <w:rPr>
                <w:rFonts w:hint="eastAsia" w:hAnsi="宋体"/>
                <w:color w:val="000000"/>
                <w:sz w:val="24"/>
              </w:rPr>
              <w:t>，则废水沉淀后沉淀产物为0</w:t>
            </w:r>
            <w:r>
              <w:rPr>
                <w:rFonts w:hAnsi="宋体"/>
                <w:color w:val="000000"/>
                <w:sz w:val="24"/>
              </w:rPr>
              <w:t>.014</w:t>
            </w:r>
            <w:r>
              <w:rPr>
                <w:rFonts w:hint="eastAsia" w:hAnsi="宋体"/>
                <w:color w:val="000000"/>
                <w:sz w:val="24"/>
              </w:rPr>
              <w:t>t</w:t>
            </w:r>
            <w:r>
              <w:rPr>
                <w:rFonts w:hAnsi="宋体"/>
                <w:color w:val="000000"/>
                <w:sz w:val="24"/>
              </w:rPr>
              <w:t>/d</w:t>
            </w:r>
            <w:r>
              <w:rPr>
                <w:rFonts w:hint="eastAsia" w:hAnsi="宋体"/>
                <w:color w:val="000000"/>
                <w:sz w:val="24"/>
              </w:rPr>
              <w:t>，年产量为4</w:t>
            </w:r>
            <w:r>
              <w:rPr>
                <w:rFonts w:hAnsi="宋体"/>
                <w:color w:val="000000"/>
                <w:sz w:val="24"/>
              </w:rPr>
              <w:t>.2t/a</w:t>
            </w:r>
            <w:r>
              <w:rPr>
                <w:rFonts w:hint="eastAsia" w:hAnsi="宋体"/>
                <w:color w:val="000000"/>
                <w:sz w:val="24"/>
              </w:rPr>
              <w:t>；初期雨水量为</w:t>
            </w:r>
            <w:r>
              <w:rPr>
                <w:rFonts w:hAnsi="宋体"/>
                <w:color w:val="000000"/>
                <w:sz w:val="24"/>
              </w:rPr>
              <w:t>20.28</w:t>
            </w:r>
            <w:r>
              <w:rPr>
                <w:rFonts w:hint="eastAsia" w:hAnsi="宋体"/>
                <w:color w:val="000000"/>
                <w:sz w:val="24"/>
              </w:rPr>
              <w:t>m³，雨水中含有砂石相对较少，产生量按</w:t>
            </w:r>
            <w:r>
              <w:rPr>
                <w:rFonts w:hAnsi="宋体"/>
                <w:color w:val="000000"/>
                <w:sz w:val="24"/>
              </w:rPr>
              <w:t>1m</w:t>
            </w:r>
            <w:r>
              <w:rPr>
                <w:rFonts w:hAnsi="宋体"/>
                <w:color w:val="000000"/>
                <w:sz w:val="24"/>
                <w:vertAlign w:val="superscript"/>
              </w:rPr>
              <w:t>3</w:t>
            </w:r>
            <w:r>
              <w:rPr>
                <w:rFonts w:hint="eastAsia" w:hAnsi="宋体"/>
                <w:color w:val="000000"/>
                <w:sz w:val="24"/>
              </w:rPr>
              <w:t>水产生</w:t>
            </w:r>
            <w:r>
              <w:rPr>
                <w:rFonts w:hAnsi="宋体"/>
                <w:color w:val="000000"/>
                <w:sz w:val="24"/>
              </w:rPr>
              <w:t>1kg</w:t>
            </w:r>
            <w:r>
              <w:rPr>
                <w:rFonts w:hint="eastAsia" w:hAnsi="宋体"/>
                <w:color w:val="000000"/>
                <w:sz w:val="24"/>
              </w:rPr>
              <w:t>计，则雨水中沉淀物产生量为</w:t>
            </w:r>
            <w:r>
              <w:rPr>
                <w:rFonts w:hAnsi="宋体"/>
                <w:color w:val="000000"/>
                <w:sz w:val="24"/>
              </w:rPr>
              <w:t>0.02t/d</w:t>
            </w:r>
            <w:r>
              <w:rPr>
                <w:rFonts w:hint="eastAsia" w:hAnsi="宋体"/>
                <w:color w:val="000000"/>
                <w:sz w:val="24"/>
              </w:rPr>
              <w:t>，年产生量为</w:t>
            </w:r>
            <w:r>
              <w:rPr>
                <w:rFonts w:hAnsi="宋体"/>
                <w:color w:val="000000"/>
                <w:sz w:val="24"/>
              </w:rPr>
              <w:t>6t/a</w:t>
            </w:r>
            <w:r>
              <w:rPr>
                <w:rFonts w:hint="eastAsia" w:hAnsi="宋体"/>
                <w:color w:val="000000"/>
                <w:sz w:val="24"/>
              </w:rPr>
              <w:t>。沉淀的泥沙采用污泥泵清理，并堆存在生产固废临时堆存场所，委托有资质单位定期清运处理。</w:t>
            </w:r>
          </w:p>
          <w:p>
            <w:pPr>
              <w:autoSpaceDE w:val="0"/>
              <w:autoSpaceDN w:val="0"/>
              <w:adjustRightInd w:val="0"/>
              <w:snapToGrid w:val="0"/>
              <w:spacing w:line="360" w:lineRule="auto"/>
              <w:ind w:firstLine="480" w:firstLineChars="200"/>
              <w:jc w:val="left"/>
              <w:rPr>
                <w:rFonts w:hAnsi="宋体"/>
                <w:color w:val="000000"/>
                <w:sz w:val="24"/>
              </w:rPr>
            </w:pPr>
            <w:r>
              <w:rPr>
                <w:rFonts w:hAnsi="宋体"/>
                <w:color w:val="000000"/>
                <w:sz w:val="24"/>
              </w:rPr>
              <w:t>2</w:t>
            </w:r>
            <w:r>
              <w:rPr>
                <w:rFonts w:hint="eastAsia" w:hAnsi="宋体"/>
                <w:color w:val="000000"/>
                <w:sz w:val="24"/>
              </w:rPr>
              <w:t>）生活固废</w:t>
            </w:r>
          </w:p>
          <w:p>
            <w:pPr>
              <w:autoSpaceDE w:val="0"/>
              <w:autoSpaceDN w:val="0"/>
              <w:adjustRightInd w:val="0"/>
              <w:snapToGrid w:val="0"/>
              <w:spacing w:line="360" w:lineRule="auto"/>
              <w:ind w:firstLine="480" w:firstLineChars="200"/>
              <w:jc w:val="left"/>
              <w:rPr>
                <w:rFonts w:hAnsi="宋体"/>
                <w:color w:val="000000"/>
                <w:sz w:val="24"/>
              </w:rPr>
            </w:pPr>
            <w:r>
              <w:rPr>
                <w:rFonts w:hint="eastAsia" w:ascii="宋体" w:hAnsi="宋体"/>
                <w:color w:val="000000"/>
                <w:sz w:val="24"/>
              </w:rPr>
              <w:t>①</w:t>
            </w:r>
            <w:r>
              <w:rPr>
                <w:rFonts w:hint="eastAsia" w:hAnsi="宋体"/>
                <w:color w:val="000000"/>
                <w:sz w:val="24"/>
              </w:rPr>
              <w:t>食堂泔水</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项目</w:t>
            </w:r>
            <w:r>
              <w:rPr>
                <w:rFonts w:hAnsi="宋体"/>
                <w:color w:val="000000"/>
                <w:sz w:val="24"/>
              </w:rPr>
              <w:t>32</w:t>
            </w:r>
            <w:r>
              <w:rPr>
                <w:rFonts w:hint="eastAsia" w:hAnsi="宋体"/>
                <w:color w:val="000000"/>
                <w:sz w:val="24"/>
              </w:rPr>
              <w:t>名员工在项目内就餐，食堂泔水产生量按</w:t>
            </w:r>
            <w:r>
              <w:rPr>
                <w:rFonts w:hAnsi="宋体"/>
                <w:color w:val="000000"/>
                <w:sz w:val="24"/>
              </w:rPr>
              <w:t>0.05kg/</w:t>
            </w:r>
            <w:r>
              <w:rPr>
                <w:rFonts w:hint="eastAsia" w:hAnsi="宋体"/>
                <w:color w:val="000000"/>
                <w:sz w:val="24"/>
              </w:rPr>
              <w:t>人·</w:t>
            </w:r>
            <w:r>
              <w:rPr>
                <w:rFonts w:hAnsi="宋体"/>
                <w:color w:val="000000"/>
                <w:sz w:val="24"/>
              </w:rPr>
              <w:t>d</w:t>
            </w:r>
            <w:r>
              <w:rPr>
                <w:rFonts w:hint="eastAsia" w:hAnsi="宋体"/>
                <w:color w:val="000000"/>
                <w:sz w:val="24"/>
              </w:rPr>
              <w:t>计，项目日产生泔水1</w:t>
            </w:r>
            <w:r>
              <w:rPr>
                <w:rFonts w:hAnsi="宋体"/>
                <w:color w:val="000000"/>
                <w:sz w:val="24"/>
              </w:rPr>
              <w:t>.6kg/d</w:t>
            </w:r>
            <w:r>
              <w:rPr>
                <w:rFonts w:hint="eastAsia" w:hAnsi="宋体"/>
                <w:color w:val="000000"/>
                <w:sz w:val="24"/>
              </w:rPr>
              <w:t>（</w:t>
            </w:r>
            <w:r>
              <w:rPr>
                <w:rFonts w:hAnsi="宋体"/>
                <w:color w:val="000000"/>
                <w:sz w:val="24"/>
              </w:rPr>
              <w:t>0.48t/a</w:t>
            </w:r>
            <w:r>
              <w:rPr>
                <w:rFonts w:hint="eastAsia" w:hAnsi="宋体"/>
                <w:color w:val="000000"/>
                <w:sz w:val="24"/>
              </w:rPr>
              <w:t>），收集在泔水桶内委托有资质单位清运处置。</w:t>
            </w:r>
          </w:p>
          <w:p>
            <w:pPr>
              <w:autoSpaceDE w:val="0"/>
              <w:autoSpaceDN w:val="0"/>
              <w:adjustRightInd w:val="0"/>
              <w:snapToGrid w:val="0"/>
              <w:spacing w:line="360" w:lineRule="auto"/>
              <w:ind w:firstLine="480" w:firstLineChars="200"/>
              <w:jc w:val="left"/>
              <w:rPr>
                <w:rFonts w:hAnsi="宋体"/>
                <w:color w:val="000000"/>
                <w:sz w:val="24"/>
              </w:rPr>
            </w:pPr>
            <w:r>
              <w:rPr>
                <w:rFonts w:hint="eastAsia" w:ascii="宋体" w:hAnsi="宋体"/>
                <w:color w:val="000000"/>
                <w:sz w:val="24"/>
              </w:rPr>
              <w:t>②</w:t>
            </w:r>
            <w:r>
              <w:rPr>
                <w:rFonts w:hint="eastAsia" w:hAnsi="宋体"/>
                <w:color w:val="000000"/>
                <w:sz w:val="24"/>
              </w:rPr>
              <w:t>隔油池废油</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项目3</w:t>
            </w:r>
            <w:r>
              <w:rPr>
                <w:rFonts w:hAnsi="宋体"/>
                <w:color w:val="000000"/>
                <w:sz w:val="24"/>
              </w:rPr>
              <w:t>2</w:t>
            </w:r>
            <w:r>
              <w:rPr>
                <w:rFonts w:hint="eastAsia" w:hAnsi="宋体"/>
                <w:color w:val="000000"/>
                <w:sz w:val="24"/>
              </w:rPr>
              <w:t>名员工在项目内就餐，食用油量为</w:t>
            </w:r>
            <w:r>
              <w:rPr>
                <w:rFonts w:hAnsi="宋体"/>
                <w:color w:val="000000"/>
                <w:sz w:val="24"/>
              </w:rPr>
              <w:t>30g/</w:t>
            </w:r>
            <w:r>
              <w:rPr>
                <w:rFonts w:hint="eastAsia" w:hAnsi="宋体"/>
                <w:color w:val="000000"/>
                <w:sz w:val="24"/>
              </w:rPr>
              <w:t>（人·</w:t>
            </w:r>
            <w:r>
              <w:rPr>
                <w:rFonts w:hAnsi="宋体"/>
                <w:color w:val="000000"/>
                <w:sz w:val="24"/>
              </w:rPr>
              <w:t>d</w:t>
            </w:r>
            <w:r>
              <w:rPr>
                <w:rFonts w:hint="eastAsia" w:hAnsi="宋体"/>
                <w:color w:val="000000"/>
                <w:sz w:val="24"/>
              </w:rPr>
              <w:t>）人，则食堂用油量为</w:t>
            </w:r>
            <w:r>
              <w:rPr>
                <w:rFonts w:hAnsi="宋体"/>
                <w:color w:val="000000"/>
                <w:sz w:val="24"/>
              </w:rPr>
              <w:t>0.96kg/d</w:t>
            </w:r>
            <w:r>
              <w:rPr>
                <w:rFonts w:hint="eastAsia" w:hAnsi="宋体"/>
                <w:color w:val="000000"/>
                <w:sz w:val="24"/>
              </w:rPr>
              <w:t>（</w:t>
            </w:r>
            <w:r>
              <w:rPr>
                <w:rFonts w:hAnsi="宋体"/>
                <w:color w:val="000000"/>
                <w:sz w:val="24"/>
              </w:rPr>
              <w:t>0.288t/a</w:t>
            </w:r>
            <w:r>
              <w:rPr>
                <w:rFonts w:hint="eastAsia" w:hAnsi="宋体"/>
                <w:color w:val="000000"/>
                <w:sz w:val="24"/>
              </w:rPr>
              <w:t>），隔油池产生的废油按用油量的</w:t>
            </w:r>
            <w:r>
              <w:rPr>
                <w:rFonts w:hAnsi="宋体"/>
                <w:color w:val="000000"/>
                <w:sz w:val="24"/>
              </w:rPr>
              <w:t>20%</w:t>
            </w:r>
            <w:r>
              <w:rPr>
                <w:rFonts w:hint="eastAsia" w:hAnsi="宋体"/>
                <w:color w:val="000000"/>
                <w:sz w:val="24"/>
              </w:rPr>
              <w:t>计，为</w:t>
            </w:r>
            <w:r>
              <w:rPr>
                <w:rFonts w:hAnsi="宋体"/>
                <w:color w:val="000000"/>
                <w:sz w:val="24"/>
              </w:rPr>
              <w:t>0.192kg/d</w:t>
            </w:r>
            <w:r>
              <w:rPr>
                <w:rFonts w:hint="eastAsia" w:hAnsi="宋体"/>
                <w:color w:val="000000"/>
                <w:sz w:val="24"/>
              </w:rPr>
              <w:t>（</w:t>
            </w:r>
            <w:r>
              <w:rPr>
                <w:rFonts w:hAnsi="宋体"/>
                <w:color w:val="000000"/>
                <w:sz w:val="24"/>
              </w:rPr>
              <w:t>0.058t/a</w:t>
            </w:r>
            <w:r>
              <w:rPr>
                <w:rFonts w:hint="eastAsia" w:hAnsi="宋体"/>
                <w:color w:val="000000"/>
                <w:sz w:val="24"/>
              </w:rPr>
              <w:t>），隔油池废油脂委托有资质单位定期清掏处置。</w:t>
            </w:r>
          </w:p>
          <w:p>
            <w:pPr>
              <w:autoSpaceDE w:val="0"/>
              <w:autoSpaceDN w:val="0"/>
              <w:adjustRightInd w:val="0"/>
              <w:snapToGrid w:val="0"/>
              <w:spacing w:line="360" w:lineRule="auto"/>
              <w:ind w:firstLine="480" w:firstLineChars="200"/>
              <w:jc w:val="left"/>
              <w:rPr>
                <w:rFonts w:hAnsi="宋体"/>
                <w:color w:val="000000"/>
                <w:sz w:val="24"/>
              </w:rPr>
            </w:pPr>
            <w:r>
              <w:rPr>
                <w:rFonts w:hint="eastAsia" w:ascii="宋体" w:hAnsi="宋体"/>
                <w:color w:val="000000"/>
                <w:sz w:val="24"/>
              </w:rPr>
              <w:t>③</w:t>
            </w:r>
            <w:r>
              <w:rPr>
                <w:rFonts w:hint="eastAsia" w:hAnsi="宋体"/>
                <w:color w:val="000000"/>
                <w:sz w:val="24"/>
              </w:rPr>
              <w:t>生活垃圾</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员工人数</w:t>
            </w:r>
            <w:r>
              <w:rPr>
                <w:rFonts w:hAnsi="宋体"/>
                <w:color w:val="000000"/>
                <w:sz w:val="24"/>
              </w:rPr>
              <w:t>32</w:t>
            </w:r>
            <w:r>
              <w:rPr>
                <w:rFonts w:hint="eastAsia" w:hAnsi="宋体"/>
                <w:color w:val="000000"/>
                <w:sz w:val="24"/>
              </w:rPr>
              <w:t>人，全部在项目内住宿，人均产生生活垃圾量按</w:t>
            </w:r>
            <w:r>
              <w:rPr>
                <w:rFonts w:hAnsi="宋体"/>
                <w:color w:val="000000"/>
                <w:sz w:val="24"/>
              </w:rPr>
              <w:t xml:space="preserve">1kg/d </w:t>
            </w:r>
            <w:r>
              <w:rPr>
                <w:rFonts w:hint="eastAsia" w:hAnsi="宋体"/>
                <w:color w:val="000000"/>
                <w:sz w:val="24"/>
              </w:rPr>
              <w:t>计，则员工生活垃圾产生量约为</w:t>
            </w:r>
            <w:r>
              <w:rPr>
                <w:rFonts w:hAnsi="宋体"/>
                <w:color w:val="000000"/>
                <w:sz w:val="24"/>
              </w:rPr>
              <w:t>32kg/d</w:t>
            </w:r>
            <w:r>
              <w:rPr>
                <w:rFonts w:hint="eastAsia" w:hAnsi="宋体"/>
                <w:color w:val="000000"/>
                <w:sz w:val="24"/>
              </w:rPr>
              <w:t>（9</w:t>
            </w:r>
            <w:r>
              <w:rPr>
                <w:rFonts w:hAnsi="宋体"/>
                <w:color w:val="000000"/>
                <w:sz w:val="24"/>
              </w:rPr>
              <w:t>.6t/a</w:t>
            </w:r>
            <w:r>
              <w:rPr>
                <w:rFonts w:hint="eastAsia" w:hAnsi="宋体"/>
                <w:color w:val="000000"/>
                <w:sz w:val="24"/>
              </w:rPr>
              <w:t>），生活垃圾统一收集于垃圾桶内，生活垃圾集中收集后由环卫部门统一清运。</w:t>
            </w:r>
          </w:p>
          <w:p>
            <w:pPr>
              <w:autoSpaceDE w:val="0"/>
              <w:autoSpaceDN w:val="0"/>
              <w:adjustRightInd w:val="0"/>
              <w:snapToGrid w:val="0"/>
              <w:spacing w:line="360" w:lineRule="auto"/>
              <w:ind w:firstLine="480" w:firstLineChars="200"/>
              <w:jc w:val="left"/>
              <w:rPr>
                <w:rFonts w:hAnsi="宋体"/>
                <w:color w:val="000000"/>
                <w:sz w:val="24"/>
              </w:rPr>
            </w:pPr>
            <w:r>
              <w:rPr>
                <w:rFonts w:hint="eastAsia" w:ascii="宋体" w:hAnsi="宋体"/>
                <w:color w:val="000000"/>
                <w:sz w:val="24"/>
              </w:rPr>
              <w:t>④</w:t>
            </w:r>
            <w:r>
              <w:rPr>
                <w:rFonts w:hint="eastAsia" w:hAnsi="宋体"/>
                <w:color w:val="000000"/>
                <w:sz w:val="24"/>
              </w:rPr>
              <w:t>污泥</w:t>
            </w:r>
          </w:p>
          <w:p>
            <w:pPr>
              <w:autoSpaceDE w:val="0"/>
              <w:autoSpaceDN w:val="0"/>
              <w:adjustRightInd w:val="0"/>
              <w:snapToGrid w:val="0"/>
              <w:spacing w:line="360" w:lineRule="auto"/>
              <w:ind w:firstLine="480" w:firstLineChars="200"/>
              <w:jc w:val="left"/>
              <w:rPr>
                <w:rFonts w:hAnsi="宋体"/>
                <w:color w:val="000000"/>
                <w:sz w:val="24"/>
              </w:rPr>
            </w:pPr>
            <w:r>
              <w:rPr>
                <w:rFonts w:hint="eastAsia" w:hAnsi="宋体"/>
                <w:color w:val="000000"/>
                <w:sz w:val="24"/>
              </w:rPr>
              <w:t>化粪池污泥一般占污水处理量的</w:t>
            </w:r>
            <w:r>
              <w:rPr>
                <w:rFonts w:hAnsi="宋体"/>
                <w:color w:val="000000"/>
                <w:sz w:val="24"/>
              </w:rPr>
              <w:t>0.2~0.5%</w:t>
            </w:r>
            <w:r>
              <w:rPr>
                <w:rFonts w:hint="eastAsia" w:hAnsi="宋体"/>
                <w:color w:val="000000"/>
                <w:sz w:val="24"/>
              </w:rPr>
              <w:t>（本环评取</w:t>
            </w:r>
            <w:r>
              <w:rPr>
                <w:rFonts w:hAnsi="宋体"/>
                <w:color w:val="000000"/>
                <w:sz w:val="24"/>
              </w:rPr>
              <w:t>0.3%</w:t>
            </w:r>
            <w:r>
              <w:rPr>
                <w:rFonts w:hint="eastAsia" w:hAnsi="宋体"/>
                <w:color w:val="000000"/>
                <w:sz w:val="24"/>
              </w:rPr>
              <w:t>），根据水平衡核算，项目化粪池处理量为</w:t>
            </w:r>
            <w:r>
              <w:rPr>
                <w:rFonts w:hAnsi="宋体"/>
                <w:color w:val="000000" w:themeColor="text1"/>
                <w:sz w:val="24"/>
                <w14:textFill>
                  <w14:solidFill>
                    <w14:schemeClr w14:val="tx1"/>
                  </w14:solidFill>
                </w14:textFill>
              </w:rPr>
              <w:t>768t/a</w:t>
            </w:r>
            <w:r>
              <w:rPr>
                <w:rFonts w:hint="eastAsia" w:hAnsi="宋体"/>
                <w:color w:val="000000"/>
                <w:sz w:val="24"/>
              </w:rPr>
              <w:t>，则污泥产生量约</w:t>
            </w:r>
            <w:r>
              <w:rPr>
                <w:rFonts w:hint="eastAsia" w:hAnsi="宋体"/>
                <w:color w:val="000000" w:themeColor="text1"/>
                <w:sz w:val="24"/>
                <w14:textFill>
                  <w14:solidFill>
                    <w14:schemeClr w14:val="tx1"/>
                  </w14:solidFill>
                </w14:textFill>
              </w:rPr>
              <w:t>为</w:t>
            </w:r>
            <w:r>
              <w:rPr>
                <w:rFonts w:hAnsi="宋体"/>
                <w:color w:val="000000" w:themeColor="text1"/>
                <w:sz w:val="24"/>
                <w14:textFill>
                  <w14:solidFill>
                    <w14:schemeClr w14:val="tx1"/>
                  </w14:solidFill>
                </w14:textFill>
              </w:rPr>
              <w:t>2.3t/a</w:t>
            </w:r>
            <w:r>
              <w:rPr>
                <w:rFonts w:hint="eastAsia" w:hAnsi="宋体"/>
                <w:color w:val="000000"/>
                <w:sz w:val="24"/>
              </w:rPr>
              <w:t>，由环卫部门定期清运处理。</w:t>
            </w:r>
          </w:p>
          <w:p>
            <w:pPr>
              <w:autoSpaceDE w:val="0"/>
              <w:autoSpaceDN w:val="0"/>
              <w:adjustRightInd w:val="0"/>
              <w:snapToGrid w:val="0"/>
              <w:spacing w:line="360" w:lineRule="auto"/>
              <w:ind w:firstLine="480" w:firstLineChars="200"/>
              <w:jc w:val="left"/>
              <w:rPr>
                <w:rFonts w:hAnsi="宋体"/>
                <w:color w:val="000000"/>
                <w:sz w:val="24"/>
              </w:rPr>
            </w:pPr>
            <w:r>
              <w:rPr>
                <w:rFonts w:hAnsi="宋体"/>
                <w:color w:val="000000"/>
                <w:sz w:val="24"/>
              </w:rPr>
              <w:t>3</w:t>
            </w:r>
            <w:r>
              <w:rPr>
                <w:rFonts w:hint="eastAsia" w:hAnsi="宋体"/>
                <w:color w:val="000000"/>
                <w:sz w:val="24"/>
              </w:rPr>
              <w:t>）危险废物</w:t>
            </w:r>
          </w:p>
          <w:p>
            <w:pPr>
              <w:autoSpaceDE w:val="0"/>
              <w:autoSpaceDN w:val="0"/>
              <w:adjustRightInd w:val="0"/>
              <w:snapToGrid w:val="0"/>
              <w:spacing w:line="360" w:lineRule="auto"/>
              <w:ind w:firstLine="480" w:firstLineChars="200"/>
              <w:jc w:val="left"/>
              <w:rPr>
                <w:color w:val="000000"/>
                <w:sz w:val="24"/>
              </w:rPr>
            </w:pPr>
            <w:r>
              <w:rPr>
                <w:color w:val="000000"/>
                <w:sz w:val="24"/>
              </w:rPr>
              <w:t>项目</w:t>
            </w:r>
            <w:r>
              <w:rPr>
                <w:rFonts w:hint="eastAsia"/>
                <w:color w:val="000000"/>
                <w:sz w:val="24"/>
              </w:rPr>
              <w:t>设备维修</w:t>
            </w:r>
            <w:r>
              <w:rPr>
                <w:color w:val="000000"/>
                <w:sz w:val="24"/>
              </w:rPr>
              <w:t>过程产生的</w:t>
            </w:r>
            <w:r>
              <w:rPr>
                <w:rFonts w:hint="eastAsia"/>
                <w:color w:val="000000"/>
                <w:sz w:val="24"/>
              </w:rPr>
              <w:t>废机油，</w:t>
            </w:r>
            <w:r>
              <w:rPr>
                <w:rFonts w:hint="eastAsia" w:hAnsi="宋体"/>
                <w:color w:val="000000"/>
                <w:sz w:val="24"/>
              </w:rPr>
              <w:t>产生量约为</w:t>
            </w:r>
            <w:r>
              <w:rPr>
                <w:rFonts w:hAnsi="宋体"/>
                <w:color w:val="000000"/>
                <w:sz w:val="24"/>
              </w:rPr>
              <w:t>0.05t/a</w:t>
            </w:r>
            <w:r>
              <w:rPr>
                <w:rFonts w:hint="eastAsia" w:hAnsi="宋体"/>
                <w:color w:val="000000"/>
                <w:sz w:val="24"/>
              </w:rPr>
              <w:t>，属于《国家危险废物名录（</w:t>
            </w:r>
            <w:r>
              <w:rPr>
                <w:rFonts w:hAnsi="宋体"/>
                <w:color w:val="000000"/>
                <w:sz w:val="24"/>
              </w:rPr>
              <w:t>2021</w:t>
            </w:r>
            <w:r>
              <w:rPr>
                <w:rFonts w:hint="eastAsia" w:hAnsi="宋体"/>
                <w:color w:val="000000"/>
                <w:sz w:val="24"/>
              </w:rPr>
              <w:t>版）》中</w:t>
            </w:r>
            <w:r>
              <w:rPr>
                <w:rFonts w:hAnsi="宋体"/>
                <w:color w:val="000000"/>
                <w:sz w:val="24"/>
              </w:rPr>
              <w:t>HW08</w:t>
            </w:r>
            <w:r>
              <w:rPr>
                <w:rFonts w:hint="eastAsia" w:hAnsi="宋体"/>
                <w:color w:val="000000"/>
                <w:sz w:val="24"/>
              </w:rPr>
              <w:t>废矿物油与含矿物油废物中的其他生产、销售、使用过程中产生的废矿物油及含矿物油废物（编号：</w:t>
            </w:r>
            <w:r>
              <w:rPr>
                <w:rFonts w:hAnsi="宋体"/>
                <w:color w:val="000000"/>
                <w:sz w:val="24"/>
              </w:rPr>
              <w:t>900-249-08</w:t>
            </w:r>
            <w:r>
              <w:rPr>
                <w:rFonts w:hint="eastAsia" w:hAnsi="宋体"/>
                <w:color w:val="000000"/>
                <w:sz w:val="24"/>
              </w:rPr>
              <w:t>），经</w:t>
            </w:r>
            <w:r>
              <w:rPr>
                <w:color w:val="000000"/>
                <w:sz w:val="24"/>
              </w:rPr>
              <w:t>统一收集后，定点放置于危险废物暂存间内，</w:t>
            </w:r>
            <w:r>
              <w:rPr>
                <w:rFonts w:hint="eastAsia"/>
                <w:color w:val="000000"/>
                <w:sz w:val="24"/>
              </w:rPr>
              <w:t>定期</w:t>
            </w:r>
            <w:r>
              <w:rPr>
                <w:color w:val="000000"/>
                <w:sz w:val="24"/>
              </w:rPr>
              <w:t>有资质单位清运</w:t>
            </w:r>
            <w:r>
              <w:rPr>
                <w:rFonts w:hint="eastAsia"/>
                <w:color w:val="000000"/>
                <w:sz w:val="24"/>
              </w:rPr>
              <w:t>处置</w:t>
            </w:r>
            <w:r>
              <w:rPr>
                <w:color w:val="000000"/>
                <w:sz w:val="24"/>
              </w:rPr>
              <w:t>。</w:t>
            </w:r>
          </w:p>
          <w:p>
            <w:pPr>
              <w:autoSpaceDE w:val="0"/>
              <w:autoSpaceDN w:val="0"/>
              <w:adjustRightInd w:val="0"/>
              <w:snapToGrid w:val="0"/>
              <w:spacing w:line="360" w:lineRule="auto"/>
              <w:ind w:firstLine="480" w:firstLineChars="200"/>
              <w:jc w:val="left"/>
              <w:rPr>
                <w:color w:val="000000"/>
                <w:sz w:val="24"/>
              </w:rPr>
            </w:pPr>
            <w:r>
              <w:rPr>
                <w:rFonts w:hint="eastAsia"/>
                <w:color w:val="000000"/>
                <w:sz w:val="24"/>
              </w:rPr>
              <w:t>项目机械维护过程中会使用到一定量的含油手套以及含油抹布等，危废类别</w:t>
            </w:r>
            <w:r>
              <w:rPr>
                <w:color w:val="000000"/>
                <w:sz w:val="24"/>
              </w:rPr>
              <w:t>HW49</w:t>
            </w:r>
            <w:r>
              <w:rPr>
                <w:rFonts w:hint="eastAsia"/>
                <w:color w:val="000000"/>
                <w:sz w:val="24"/>
              </w:rPr>
              <w:t>，危废代码</w:t>
            </w:r>
            <w:r>
              <w:rPr>
                <w:color w:val="000000"/>
                <w:sz w:val="24"/>
              </w:rPr>
              <w:t>900-041-49</w:t>
            </w:r>
            <w:r>
              <w:rPr>
                <w:rFonts w:hint="eastAsia"/>
                <w:color w:val="000000"/>
                <w:sz w:val="24"/>
              </w:rPr>
              <w:t>，其产生量约为</w:t>
            </w:r>
            <w:r>
              <w:rPr>
                <w:color w:val="000000"/>
                <w:sz w:val="24"/>
              </w:rPr>
              <w:t>0.02t/a，废含油抹布、含油手套均属于《国家危险废物名录（2021年版）》中危险废物豁免管理清单，因此收集后可随生活垃圾一并处理。</w:t>
            </w:r>
          </w:p>
          <w:p>
            <w:pPr>
              <w:adjustRightInd w:val="0"/>
              <w:snapToGrid w:val="0"/>
              <w:spacing w:line="360" w:lineRule="auto"/>
              <w:jc w:val="center"/>
              <w:rPr>
                <w:b/>
                <w:color w:val="000000"/>
              </w:rPr>
            </w:pPr>
            <w:bookmarkStart w:id="35" w:name="_Hlk131772664"/>
            <w:r>
              <w:rPr>
                <w:rFonts w:hint="eastAsia"/>
                <w:b/>
                <w:color w:val="000000"/>
              </w:rPr>
              <w:t>表</w:t>
            </w:r>
            <w:r>
              <w:rPr>
                <w:b/>
                <w:color w:val="000000"/>
              </w:rPr>
              <w:t xml:space="preserve">4-13  </w:t>
            </w:r>
            <w:r>
              <w:rPr>
                <w:rFonts w:hint="eastAsia"/>
                <w:b/>
                <w:color w:val="000000"/>
              </w:rPr>
              <w:t>项目固废产生及处置情况一览表</w:t>
            </w:r>
          </w:p>
          <w:tbl>
            <w:tblPr>
              <w:tblStyle w:val="88"/>
              <w:tblW w:w="5000" w:type="pct"/>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378"/>
              <w:gridCol w:w="1325"/>
              <w:gridCol w:w="1005"/>
              <w:gridCol w:w="3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right"/>
              </w:trPr>
              <w:tc>
                <w:tcPr>
                  <w:tcW w:w="458" w:type="pct"/>
                  <w:shd w:val="clear" w:color="auto" w:fill="auto"/>
                  <w:vAlign w:val="center"/>
                </w:tcPr>
                <w:p>
                  <w:pPr>
                    <w:adjustRightInd w:val="0"/>
                    <w:snapToGrid w:val="0"/>
                    <w:jc w:val="center"/>
                    <w:rPr>
                      <w:color w:val="000000"/>
                      <w:szCs w:val="21"/>
                      <w:lang w:val="zh-CN"/>
                    </w:rPr>
                  </w:pPr>
                  <w:r>
                    <w:rPr>
                      <w:rFonts w:hint="eastAsia"/>
                      <w:color w:val="000000"/>
                      <w:szCs w:val="21"/>
                      <w:lang w:val="zh-CN"/>
                    </w:rPr>
                    <w:t>序号</w:t>
                  </w:r>
                </w:p>
              </w:tc>
              <w:tc>
                <w:tcPr>
                  <w:tcW w:w="879" w:type="pct"/>
                  <w:shd w:val="clear" w:color="auto" w:fill="auto"/>
                  <w:vAlign w:val="center"/>
                </w:tcPr>
                <w:p>
                  <w:pPr>
                    <w:adjustRightInd w:val="0"/>
                    <w:snapToGrid w:val="0"/>
                    <w:jc w:val="center"/>
                    <w:rPr>
                      <w:color w:val="000000"/>
                      <w:szCs w:val="21"/>
                      <w:lang w:val="zh-CN"/>
                    </w:rPr>
                  </w:pPr>
                  <w:r>
                    <w:rPr>
                      <w:rFonts w:hint="eastAsia"/>
                      <w:color w:val="000000"/>
                      <w:szCs w:val="21"/>
                      <w:lang w:val="zh-CN"/>
                    </w:rPr>
                    <w:t>固废来源</w:t>
                  </w:r>
                </w:p>
              </w:tc>
              <w:tc>
                <w:tcPr>
                  <w:tcW w:w="845" w:type="pct"/>
                  <w:shd w:val="clear" w:color="auto" w:fill="auto"/>
                  <w:vAlign w:val="center"/>
                </w:tcPr>
                <w:p>
                  <w:pPr>
                    <w:adjustRightInd w:val="0"/>
                    <w:snapToGrid w:val="0"/>
                    <w:jc w:val="center"/>
                    <w:rPr>
                      <w:color w:val="000000"/>
                      <w:szCs w:val="21"/>
                      <w:lang w:val="zh-CN"/>
                    </w:rPr>
                  </w:pPr>
                  <w:r>
                    <w:rPr>
                      <w:rFonts w:hint="eastAsia"/>
                      <w:color w:val="000000"/>
                      <w:szCs w:val="21"/>
                      <w:lang w:val="zh-CN"/>
                    </w:rPr>
                    <w:t>污染物名称</w:t>
                  </w:r>
                </w:p>
              </w:tc>
              <w:tc>
                <w:tcPr>
                  <w:tcW w:w="641" w:type="pct"/>
                  <w:shd w:val="clear" w:color="auto" w:fill="auto"/>
                  <w:vAlign w:val="center"/>
                </w:tcPr>
                <w:p>
                  <w:pPr>
                    <w:adjustRightInd w:val="0"/>
                    <w:snapToGrid w:val="0"/>
                    <w:jc w:val="center"/>
                    <w:rPr>
                      <w:color w:val="000000"/>
                      <w:szCs w:val="21"/>
                      <w:lang w:val="zh-CN"/>
                    </w:rPr>
                  </w:pPr>
                  <w:r>
                    <w:rPr>
                      <w:rFonts w:hint="eastAsia"/>
                      <w:color w:val="000000"/>
                      <w:szCs w:val="21"/>
                      <w:lang w:val="zh-CN"/>
                    </w:rPr>
                    <w:t>产生量</w:t>
                  </w:r>
                </w:p>
              </w:tc>
              <w:tc>
                <w:tcPr>
                  <w:tcW w:w="2177" w:type="pct"/>
                  <w:shd w:val="clear" w:color="auto" w:fill="auto"/>
                  <w:vAlign w:val="center"/>
                </w:tcPr>
                <w:p>
                  <w:pPr>
                    <w:adjustRightInd w:val="0"/>
                    <w:snapToGrid w:val="0"/>
                    <w:jc w:val="center"/>
                    <w:rPr>
                      <w:color w:val="000000"/>
                      <w:szCs w:val="21"/>
                      <w:lang w:val="zh-CN"/>
                    </w:rPr>
                  </w:pPr>
                  <w:r>
                    <w:rPr>
                      <w:rFonts w:hint="eastAsia"/>
                      <w:color w:val="000000"/>
                      <w:szCs w:val="21"/>
                      <w:lang w:val="zh-CN"/>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right"/>
              </w:trPr>
              <w:tc>
                <w:tcPr>
                  <w:tcW w:w="5000" w:type="pct"/>
                  <w:gridSpan w:val="5"/>
                  <w:shd w:val="clear" w:color="auto" w:fill="auto"/>
                  <w:vAlign w:val="center"/>
                </w:tcPr>
                <w:p>
                  <w:pPr>
                    <w:adjustRightInd w:val="0"/>
                    <w:snapToGrid w:val="0"/>
                    <w:jc w:val="center"/>
                    <w:rPr>
                      <w:color w:val="000000"/>
                      <w:szCs w:val="21"/>
                      <w:lang w:val="zh-CN"/>
                    </w:rPr>
                  </w:pPr>
                  <w:r>
                    <w:rPr>
                      <w:rFonts w:hint="eastAsia"/>
                      <w:color w:val="000000"/>
                      <w:szCs w:val="21"/>
                      <w:lang w:val="zh-CN"/>
                    </w:rPr>
                    <w:t>一、生产固废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right"/>
              </w:trPr>
              <w:tc>
                <w:tcPr>
                  <w:tcW w:w="458" w:type="pct"/>
                  <w:shd w:val="clear" w:color="auto" w:fill="auto"/>
                  <w:vAlign w:val="center"/>
                </w:tcPr>
                <w:p>
                  <w:pPr>
                    <w:adjustRightInd w:val="0"/>
                    <w:snapToGrid w:val="0"/>
                    <w:jc w:val="center"/>
                    <w:rPr>
                      <w:color w:val="000000"/>
                      <w:szCs w:val="21"/>
                      <w:lang w:val="zh-CN"/>
                    </w:rPr>
                  </w:pPr>
                  <w:r>
                    <w:rPr>
                      <w:rFonts w:hint="eastAsia"/>
                      <w:color w:val="000000"/>
                      <w:szCs w:val="21"/>
                      <w:lang w:val="zh-CN"/>
                    </w:rPr>
                    <w:t>1</w:t>
                  </w:r>
                </w:p>
              </w:tc>
              <w:tc>
                <w:tcPr>
                  <w:tcW w:w="879" w:type="pct"/>
                  <w:shd w:val="clear" w:color="auto" w:fill="auto"/>
                  <w:vAlign w:val="center"/>
                </w:tcPr>
                <w:p>
                  <w:pPr>
                    <w:adjustRightInd w:val="0"/>
                    <w:snapToGrid w:val="0"/>
                    <w:jc w:val="center"/>
                    <w:rPr>
                      <w:color w:val="000000"/>
                      <w:szCs w:val="21"/>
                      <w:lang w:val="zh-CN"/>
                    </w:rPr>
                  </w:pPr>
                  <w:r>
                    <w:rPr>
                      <w:rFonts w:hint="eastAsia"/>
                      <w:color w:val="000000"/>
                      <w:szCs w:val="21"/>
                      <w:lang w:val="zh-CN"/>
                    </w:rPr>
                    <w:t>搅拌机清洗</w:t>
                  </w:r>
                </w:p>
              </w:tc>
              <w:tc>
                <w:tcPr>
                  <w:tcW w:w="845" w:type="pct"/>
                  <w:shd w:val="clear" w:color="auto" w:fill="auto"/>
                  <w:vAlign w:val="center"/>
                </w:tcPr>
                <w:p>
                  <w:pPr>
                    <w:adjustRightInd w:val="0"/>
                    <w:snapToGrid w:val="0"/>
                    <w:jc w:val="center"/>
                    <w:rPr>
                      <w:color w:val="000000"/>
                      <w:szCs w:val="21"/>
                      <w:lang w:val="zh-CN"/>
                    </w:rPr>
                  </w:pPr>
                  <w:r>
                    <w:rPr>
                      <w:rFonts w:hint="eastAsia"/>
                      <w:color w:val="000000"/>
                      <w:kern w:val="0"/>
                      <w:szCs w:val="21"/>
                      <w:lang w:bidi="ar"/>
                    </w:rPr>
                    <w:t>残余</w:t>
                  </w:r>
                  <w:r>
                    <w:rPr>
                      <w:rFonts w:hint="eastAsia"/>
                      <w:color w:val="000000"/>
                      <w:szCs w:val="21"/>
                      <w:lang w:val="zh-CN"/>
                    </w:rPr>
                    <w:t>混凝土</w:t>
                  </w:r>
                </w:p>
              </w:tc>
              <w:tc>
                <w:tcPr>
                  <w:tcW w:w="641" w:type="pct"/>
                  <w:shd w:val="clear" w:color="auto" w:fill="auto"/>
                  <w:vAlign w:val="center"/>
                </w:tcPr>
                <w:p>
                  <w:pPr>
                    <w:adjustRightInd w:val="0"/>
                    <w:snapToGrid w:val="0"/>
                    <w:jc w:val="center"/>
                    <w:rPr>
                      <w:color w:val="000000"/>
                      <w:szCs w:val="21"/>
                      <w:lang w:val="zh-CN"/>
                    </w:rPr>
                  </w:pPr>
                  <w:r>
                    <w:rPr>
                      <w:color w:val="000000"/>
                      <w:szCs w:val="21"/>
                      <w:lang w:val="zh-CN"/>
                    </w:rPr>
                    <w:t>15t/a</w:t>
                  </w:r>
                </w:p>
              </w:tc>
              <w:tc>
                <w:tcPr>
                  <w:tcW w:w="2177" w:type="pct"/>
                  <w:vMerge w:val="restart"/>
                  <w:shd w:val="clear" w:color="auto" w:fill="auto"/>
                  <w:vAlign w:val="center"/>
                </w:tcPr>
                <w:p>
                  <w:pPr>
                    <w:adjustRightInd w:val="0"/>
                    <w:snapToGrid w:val="0"/>
                    <w:jc w:val="center"/>
                    <w:rPr>
                      <w:color w:val="000000"/>
                      <w:szCs w:val="21"/>
                      <w:lang w:val="zh-CN"/>
                    </w:rPr>
                  </w:pPr>
                  <w:r>
                    <w:rPr>
                      <w:rFonts w:hint="eastAsia"/>
                      <w:color w:val="000000"/>
                      <w:szCs w:val="21"/>
                      <w:lang w:val="zh-CN"/>
                    </w:rPr>
                    <w:t>堆存于生产固废临时堆存场所，委托有资质单位定期清运处理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exact"/>
                <w:jc w:val="right"/>
              </w:trPr>
              <w:tc>
                <w:tcPr>
                  <w:tcW w:w="458" w:type="pct"/>
                  <w:shd w:val="clear" w:color="auto" w:fill="auto"/>
                  <w:vAlign w:val="center"/>
                </w:tcPr>
                <w:p>
                  <w:pPr>
                    <w:adjustRightInd w:val="0"/>
                    <w:snapToGrid w:val="0"/>
                    <w:jc w:val="center"/>
                    <w:rPr>
                      <w:color w:val="000000"/>
                      <w:szCs w:val="21"/>
                      <w:lang w:val="zh-CN"/>
                    </w:rPr>
                  </w:pPr>
                  <w:r>
                    <w:rPr>
                      <w:rFonts w:hint="eastAsia"/>
                      <w:color w:val="000000"/>
                      <w:szCs w:val="21"/>
                      <w:lang w:val="zh-CN"/>
                    </w:rPr>
                    <w:t>2</w:t>
                  </w:r>
                </w:p>
              </w:tc>
              <w:tc>
                <w:tcPr>
                  <w:tcW w:w="879" w:type="pct"/>
                  <w:shd w:val="clear" w:color="auto" w:fill="auto"/>
                  <w:vAlign w:val="center"/>
                </w:tcPr>
                <w:p>
                  <w:pPr>
                    <w:adjustRightInd w:val="0"/>
                    <w:snapToGrid w:val="0"/>
                    <w:jc w:val="center"/>
                    <w:rPr>
                      <w:color w:val="000000"/>
                      <w:szCs w:val="21"/>
                      <w:lang w:val="zh-CN"/>
                    </w:rPr>
                  </w:pPr>
                  <w:r>
                    <w:rPr>
                      <w:rFonts w:hint="eastAsia"/>
                      <w:color w:val="000000"/>
                      <w:szCs w:val="21"/>
                      <w:lang w:val="zh-CN"/>
                    </w:rPr>
                    <w:t>混凝土运输罐车清洗</w:t>
                  </w:r>
                </w:p>
              </w:tc>
              <w:tc>
                <w:tcPr>
                  <w:tcW w:w="845" w:type="pct"/>
                  <w:shd w:val="clear" w:color="auto" w:fill="auto"/>
                  <w:vAlign w:val="center"/>
                </w:tcPr>
                <w:p>
                  <w:pPr>
                    <w:adjustRightInd w:val="0"/>
                    <w:snapToGrid w:val="0"/>
                    <w:jc w:val="center"/>
                    <w:rPr>
                      <w:color w:val="000000"/>
                      <w:szCs w:val="21"/>
                      <w:lang w:val="zh-CN"/>
                    </w:rPr>
                  </w:pPr>
                  <w:r>
                    <w:rPr>
                      <w:rFonts w:hint="eastAsia"/>
                      <w:color w:val="000000"/>
                      <w:kern w:val="0"/>
                      <w:szCs w:val="21"/>
                      <w:lang w:bidi="ar"/>
                    </w:rPr>
                    <w:t>残余</w:t>
                  </w:r>
                  <w:r>
                    <w:rPr>
                      <w:rFonts w:hint="eastAsia"/>
                      <w:color w:val="000000"/>
                      <w:szCs w:val="21"/>
                      <w:lang w:val="zh-CN"/>
                    </w:rPr>
                    <w:t>混凝土</w:t>
                  </w:r>
                </w:p>
              </w:tc>
              <w:tc>
                <w:tcPr>
                  <w:tcW w:w="641" w:type="pct"/>
                  <w:shd w:val="clear" w:color="auto" w:fill="auto"/>
                  <w:vAlign w:val="center"/>
                </w:tcPr>
                <w:p>
                  <w:pPr>
                    <w:adjustRightInd w:val="0"/>
                    <w:snapToGrid w:val="0"/>
                    <w:jc w:val="center"/>
                    <w:rPr>
                      <w:color w:val="000000"/>
                      <w:szCs w:val="21"/>
                      <w:lang w:val="zh-CN"/>
                    </w:rPr>
                  </w:pPr>
                  <w:r>
                    <w:rPr>
                      <w:color w:val="000000"/>
                      <w:szCs w:val="21"/>
                      <w:lang w:val="zh-CN"/>
                    </w:rPr>
                    <w:t>60t/a</w:t>
                  </w:r>
                </w:p>
              </w:tc>
              <w:tc>
                <w:tcPr>
                  <w:tcW w:w="2177" w:type="pct"/>
                  <w:vMerge w:val="continue"/>
                  <w:shd w:val="clear" w:color="auto" w:fill="auto"/>
                  <w:vAlign w:val="center"/>
                </w:tcPr>
                <w:p>
                  <w:pPr>
                    <w:adjustRightInd w:val="0"/>
                    <w:snapToGrid w:val="0"/>
                    <w:jc w:val="center"/>
                    <w:rPr>
                      <w:color w:val="00000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right"/>
              </w:trPr>
              <w:tc>
                <w:tcPr>
                  <w:tcW w:w="458" w:type="pct"/>
                  <w:shd w:val="clear" w:color="auto" w:fill="auto"/>
                  <w:vAlign w:val="center"/>
                </w:tcPr>
                <w:p>
                  <w:pPr>
                    <w:adjustRightInd w:val="0"/>
                    <w:snapToGrid w:val="0"/>
                    <w:jc w:val="center"/>
                    <w:rPr>
                      <w:color w:val="000000"/>
                      <w:szCs w:val="21"/>
                      <w:lang w:val="zh-CN"/>
                    </w:rPr>
                  </w:pPr>
                  <w:r>
                    <w:rPr>
                      <w:rFonts w:hint="eastAsia"/>
                      <w:color w:val="000000"/>
                      <w:szCs w:val="21"/>
                      <w:lang w:val="zh-CN"/>
                    </w:rPr>
                    <w:t>3</w:t>
                  </w:r>
                </w:p>
              </w:tc>
              <w:tc>
                <w:tcPr>
                  <w:tcW w:w="879" w:type="pct"/>
                  <w:shd w:val="clear" w:color="auto" w:fill="auto"/>
                  <w:vAlign w:val="center"/>
                </w:tcPr>
                <w:p>
                  <w:pPr>
                    <w:adjustRightInd w:val="0"/>
                    <w:snapToGrid w:val="0"/>
                    <w:jc w:val="center"/>
                    <w:rPr>
                      <w:color w:val="000000"/>
                      <w:szCs w:val="21"/>
                      <w:lang w:val="zh-CN"/>
                    </w:rPr>
                  </w:pPr>
                  <w:r>
                    <w:rPr>
                      <w:rFonts w:hint="eastAsia"/>
                      <w:color w:val="000000"/>
                      <w:szCs w:val="21"/>
                      <w:lang w:val="zh-CN"/>
                    </w:rPr>
                    <w:t>试验固废</w:t>
                  </w:r>
                </w:p>
              </w:tc>
              <w:tc>
                <w:tcPr>
                  <w:tcW w:w="845" w:type="pct"/>
                  <w:shd w:val="clear" w:color="auto" w:fill="auto"/>
                  <w:vAlign w:val="center"/>
                </w:tcPr>
                <w:p>
                  <w:pPr>
                    <w:adjustRightInd w:val="0"/>
                    <w:snapToGrid w:val="0"/>
                    <w:jc w:val="center"/>
                    <w:rPr>
                      <w:color w:val="000000"/>
                      <w:szCs w:val="21"/>
                      <w:lang w:val="zh-CN"/>
                    </w:rPr>
                  </w:pPr>
                  <w:r>
                    <w:rPr>
                      <w:rFonts w:hint="eastAsia"/>
                      <w:color w:val="000000"/>
                      <w:szCs w:val="21"/>
                      <w:lang w:val="zh-CN"/>
                    </w:rPr>
                    <w:t>混凝土块</w:t>
                  </w:r>
                </w:p>
              </w:tc>
              <w:tc>
                <w:tcPr>
                  <w:tcW w:w="641" w:type="pct"/>
                  <w:shd w:val="clear" w:color="auto" w:fill="auto"/>
                  <w:vAlign w:val="center"/>
                </w:tcPr>
                <w:p>
                  <w:pPr>
                    <w:adjustRightInd w:val="0"/>
                    <w:snapToGrid w:val="0"/>
                    <w:jc w:val="center"/>
                    <w:rPr>
                      <w:color w:val="000000"/>
                      <w:szCs w:val="21"/>
                      <w:lang w:val="zh-CN"/>
                    </w:rPr>
                  </w:pPr>
                  <w:r>
                    <w:rPr>
                      <w:color w:val="000000"/>
                      <w:szCs w:val="21"/>
                      <w:lang w:val="zh-CN"/>
                    </w:rPr>
                    <w:t>2.4t/a</w:t>
                  </w:r>
                </w:p>
              </w:tc>
              <w:tc>
                <w:tcPr>
                  <w:tcW w:w="2177" w:type="pct"/>
                  <w:vMerge w:val="continue"/>
                  <w:shd w:val="clear" w:color="auto" w:fill="auto"/>
                  <w:vAlign w:val="center"/>
                </w:tcPr>
                <w:p>
                  <w:pPr>
                    <w:adjustRightInd w:val="0"/>
                    <w:snapToGrid w:val="0"/>
                    <w:jc w:val="center"/>
                    <w:rPr>
                      <w:color w:val="00000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right"/>
              </w:trPr>
              <w:tc>
                <w:tcPr>
                  <w:tcW w:w="458" w:type="pct"/>
                  <w:shd w:val="clear" w:color="auto" w:fill="auto"/>
                  <w:vAlign w:val="center"/>
                </w:tcPr>
                <w:p>
                  <w:pPr>
                    <w:adjustRightInd w:val="0"/>
                    <w:snapToGrid w:val="0"/>
                    <w:jc w:val="center"/>
                    <w:rPr>
                      <w:color w:val="000000"/>
                      <w:szCs w:val="21"/>
                      <w:lang w:val="zh-CN"/>
                    </w:rPr>
                  </w:pPr>
                  <w:r>
                    <w:rPr>
                      <w:rFonts w:hint="eastAsia"/>
                      <w:color w:val="000000"/>
                      <w:szCs w:val="21"/>
                      <w:lang w:val="zh-CN"/>
                    </w:rPr>
                    <w:t>4</w:t>
                  </w:r>
                </w:p>
              </w:tc>
              <w:tc>
                <w:tcPr>
                  <w:tcW w:w="879" w:type="pct"/>
                  <w:shd w:val="clear" w:color="auto" w:fill="auto"/>
                  <w:vAlign w:val="center"/>
                </w:tcPr>
                <w:p>
                  <w:pPr>
                    <w:adjustRightInd w:val="0"/>
                    <w:snapToGrid w:val="0"/>
                    <w:jc w:val="center"/>
                    <w:rPr>
                      <w:color w:val="000000"/>
                      <w:szCs w:val="21"/>
                      <w:lang w:val="zh-CN"/>
                    </w:rPr>
                  </w:pPr>
                  <w:r>
                    <w:rPr>
                      <w:rFonts w:hint="eastAsia"/>
                      <w:color w:val="000000"/>
                      <w:szCs w:val="21"/>
                      <w:lang w:val="zh-CN"/>
                    </w:rPr>
                    <w:t>沉淀池沉渣</w:t>
                  </w:r>
                </w:p>
              </w:tc>
              <w:tc>
                <w:tcPr>
                  <w:tcW w:w="845" w:type="pct"/>
                  <w:shd w:val="clear" w:color="auto" w:fill="auto"/>
                  <w:vAlign w:val="center"/>
                </w:tcPr>
                <w:p>
                  <w:pPr>
                    <w:adjustRightInd w:val="0"/>
                    <w:snapToGrid w:val="0"/>
                    <w:jc w:val="center"/>
                    <w:rPr>
                      <w:color w:val="000000"/>
                      <w:szCs w:val="21"/>
                      <w:lang w:val="zh-CN"/>
                    </w:rPr>
                  </w:pPr>
                  <w:r>
                    <w:rPr>
                      <w:rFonts w:hint="eastAsia"/>
                      <w:color w:val="000000"/>
                      <w:szCs w:val="21"/>
                      <w:lang w:val="zh-CN"/>
                    </w:rPr>
                    <w:t>沉淀砂料</w:t>
                  </w:r>
                </w:p>
              </w:tc>
              <w:tc>
                <w:tcPr>
                  <w:tcW w:w="641" w:type="pct"/>
                  <w:shd w:val="clear" w:color="auto" w:fill="auto"/>
                  <w:vAlign w:val="center"/>
                </w:tcPr>
                <w:p>
                  <w:pPr>
                    <w:adjustRightInd w:val="0"/>
                    <w:snapToGrid w:val="0"/>
                    <w:jc w:val="center"/>
                    <w:rPr>
                      <w:color w:val="000000"/>
                      <w:szCs w:val="21"/>
                      <w:lang w:val="zh-CN"/>
                    </w:rPr>
                  </w:pPr>
                  <w:r>
                    <w:rPr>
                      <w:color w:val="000000"/>
                      <w:szCs w:val="21"/>
                      <w:lang w:val="zh-CN"/>
                    </w:rPr>
                    <w:t>10.2t/a</w:t>
                  </w:r>
                </w:p>
              </w:tc>
              <w:tc>
                <w:tcPr>
                  <w:tcW w:w="2177" w:type="pct"/>
                  <w:vMerge w:val="continue"/>
                  <w:shd w:val="clear" w:color="auto" w:fill="auto"/>
                  <w:vAlign w:val="center"/>
                </w:tcPr>
                <w:p>
                  <w:pPr>
                    <w:adjustRightInd w:val="0"/>
                    <w:snapToGrid w:val="0"/>
                    <w:jc w:val="center"/>
                    <w:rPr>
                      <w:color w:val="000000"/>
                      <w:szCs w:val="21"/>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right"/>
              </w:trPr>
              <w:tc>
                <w:tcPr>
                  <w:tcW w:w="5000" w:type="pct"/>
                  <w:gridSpan w:val="5"/>
                  <w:shd w:val="clear" w:color="auto" w:fill="auto"/>
                  <w:vAlign w:val="center"/>
                </w:tcPr>
                <w:p>
                  <w:pPr>
                    <w:adjustRightInd w:val="0"/>
                    <w:snapToGrid w:val="0"/>
                    <w:jc w:val="center"/>
                    <w:rPr>
                      <w:color w:val="000000"/>
                      <w:szCs w:val="21"/>
                      <w:lang w:val="zh-CN"/>
                    </w:rPr>
                  </w:pPr>
                  <w:r>
                    <w:rPr>
                      <w:rFonts w:hint="eastAsia"/>
                      <w:color w:val="000000"/>
                      <w:szCs w:val="21"/>
                      <w:lang w:val="zh-CN"/>
                    </w:rPr>
                    <w:t>二、生活固废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4" w:hRule="exact"/>
                <w:jc w:val="right"/>
              </w:trPr>
              <w:tc>
                <w:tcPr>
                  <w:tcW w:w="458" w:type="pct"/>
                  <w:shd w:val="clear" w:color="auto" w:fill="auto"/>
                  <w:vAlign w:val="center"/>
                </w:tcPr>
                <w:p>
                  <w:pPr>
                    <w:adjustRightInd w:val="0"/>
                    <w:snapToGrid w:val="0"/>
                    <w:jc w:val="center"/>
                    <w:rPr>
                      <w:color w:val="000000"/>
                      <w:szCs w:val="21"/>
                      <w:lang w:val="zh-CN"/>
                    </w:rPr>
                  </w:pPr>
                  <w:r>
                    <w:rPr>
                      <w:color w:val="000000"/>
                      <w:szCs w:val="21"/>
                      <w:lang w:val="zh-CN"/>
                    </w:rPr>
                    <w:t>5</w:t>
                  </w:r>
                </w:p>
              </w:tc>
              <w:tc>
                <w:tcPr>
                  <w:tcW w:w="879" w:type="pct"/>
                  <w:shd w:val="clear" w:color="auto" w:fill="auto"/>
                  <w:vAlign w:val="center"/>
                </w:tcPr>
                <w:p>
                  <w:pPr>
                    <w:adjustRightInd w:val="0"/>
                    <w:snapToGrid w:val="0"/>
                    <w:jc w:val="center"/>
                    <w:rPr>
                      <w:color w:val="000000"/>
                      <w:szCs w:val="21"/>
                      <w:lang w:val="zh-CN"/>
                    </w:rPr>
                  </w:pPr>
                  <w:r>
                    <w:rPr>
                      <w:rFonts w:hint="eastAsia"/>
                      <w:color w:val="000000"/>
                      <w:szCs w:val="21"/>
                      <w:lang w:val="zh-CN"/>
                    </w:rPr>
                    <w:t>食堂</w:t>
                  </w:r>
                </w:p>
              </w:tc>
              <w:tc>
                <w:tcPr>
                  <w:tcW w:w="845" w:type="pct"/>
                  <w:shd w:val="clear" w:color="auto" w:fill="auto"/>
                  <w:vAlign w:val="center"/>
                </w:tcPr>
                <w:p>
                  <w:pPr>
                    <w:adjustRightInd w:val="0"/>
                    <w:snapToGrid w:val="0"/>
                    <w:jc w:val="center"/>
                    <w:rPr>
                      <w:color w:val="000000"/>
                      <w:szCs w:val="21"/>
                      <w:lang w:val="zh-CN"/>
                    </w:rPr>
                  </w:pPr>
                  <w:r>
                    <w:rPr>
                      <w:rFonts w:hint="eastAsia"/>
                      <w:color w:val="000000"/>
                      <w:szCs w:val="21"/>
                      <w:lang w:val="zh-CN"/>
                    </w:rPr>
                    <w:t>泔水</w:t>
                  </w:r>
                </w:p>
              </w:tc>
              <w:tc>
                <w:tcPr>
                  <w:tcW w:w="641" w:type="pct"/>
                  <w:shd w:val="clear" w:color="auto" w:fill="auto"/>
                  <w:vAlign w:val="center"/>
                </w:tcPr>
                <w:p>
                  <w:pPr>
                    <w:adjustRightInd w:val="0"/>
                    <w:snapToGrid w:val="0"/>
                    <w:jc w:val="center"/>
                    <w:rPr>
                      <w:color w:val="000000"/>
                      <w:szCs w:val="21"/>
                      <w:lang w:val="zh-CN"/>
                    </w:rPr>
                  </w:pPr>
                  <w:r>
                    <w:rPr>
                      <w:color w:val="000000"/>
                      <w:szCs w:val="21"/>
                      <w:lang w:val="zh-CN"/>
                    </w:rPr>
                    <w:t>0.48t/a</w:t>
                  </w:r>
                </w:p>
              </w:tc>
              <w:tc>
                <w:tcPr>
                  <w:tcW w:w="2177" w:type="pct"/>
                  <w:shd w:val="clear" w:color="auto" w:fill="auto"/>
                  <w:vAlign w:val="center"/>
                </w:tcPr>
                <w:p>
                  <w:pPr>
                    <w:adjustRightInd w:val="0"/>
                    <w:snapToGrid w:val="0"/>
                    <w:jc w:val="center"/>
                    <w:rPr>
                      <w:color w:val="000000"/>
                      <w:szCs w:val="21"/>
                      <w:lang w:val="zh-CN"/>
                    </w:rPr>
                  </w:pPr>
                  <w:r>
                    <w:rPr>
                      <w:rFonts w:hint="eastAsia"/>
                      <w:color w:val="000000"/>
                      <w:szCs w:val="21"/>
                      <w:lang w:val="zh-CN"/>
                    </w:rPr>
                    <w:t>收集在泔水桶内委托有资质单位清运处置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right"/>
              </w:trPr>
              <w:tc>
                <w:tcPr>
                  <w:tcW w:w="458" w:type="pct"/>
                  <w:shd w:val="clear" w:color="auto" w:fill="auto"/>
                  <w:vAlign w:val="center"/>
                </w:tcPr>
                <w:p>
                  <w:pPr>
                    <w:adjustRightInd w:val="0"/>
                    <w:snapToGrid w:val="0"/>
                    <w:jc w:val="center"/>
                    <w:rPr>
                      <w:color w:val="000000"/>
                      <w:szCs w:val="21"/>
                      <w:lang w:val="zh-CN"/>
                    </w:rPr>
                  </w:pPr>
                  <w:r>
                    <w:rPr>
                      <w:color w:val="000000"/>
                      <w:szCs w:val="21"/>
                      <w:lang w:val="zh-CN"/>
                    </w:rPr>
                    <w:t>6</w:t>
                  </w:r>
                </w:p>
              </w:tc>
              <w:tc>
                <w:tcPr>
                  <w:tcW w:w="879" w:type="pct"/>
                  <w:shd w:val="clear" w:color="auto" w:fill="auto"/>
                  <w:vAlign w:val="center"/>
                </w:tcPr>
                <w:p>
                  <w:pPr>
                    <w:adjustRightInd w:val="0"/>
                    <w:snapToGrid w:val="0"/>
                    <w:jc w:val="center"/>
                    <w:rPr>
                      <w:color w:val="000000"/>
                      <w:szCs w:val="21"/>
                      <w:lang w:val="zh-CN"/>
                    </w:rPr>
                  </w:pPr>
                  <w:r>
                    <w:rPr>
                      <w:rFonts w:hint="eastAsia"/>
                      <w:color w:val="000000"/>
                      <w:szCs w:val="21"/>
                      <w:lang w:val="zh-CN"/>
                    </w:rPr>
                    <w:t>食堂</w:t>
                  </w:r>
                </w:p>
              </w:tc>
              <w:tc>
                <w:tcPr>
                  <w:tcW w:w="845" w:type="pct"/>
                  <w:shd w:val="clear" w:color="auto" w:fill="auto"/>
                  <w:vAlign w:val="center"/>
                </w:tcPr>
                <w:p>
                  <w:pPr>
                    <w:adjustRightInd w:val="0"/>
                    <w:snapToGrid w:val="0"/>
                    <w:jc w:val="center"/>
                    <w:rPr>
                      <w:color w:val="000000"/>
                      <w:szCs w:val="21"/>
                      <w:lang w:val="zh-CN"/>
                    </w:rPr>
                  </w:pPr>
                  <w:r>
                    <w:rPr>
                      <w:rFonts w:hint="eastAsia"/>
                      <w:color w:val="000000"/>
                      <w:szCs w:val="21"/>
                      <w:lang w:val="zh-CN"/>
                    </w:rPr>
                    <w:t>隔油池废油</w:t>
                  </w:r>
                </w:p>
              </w:tc>
              <w:tc>
                <w:tcPr>
                  <w:tcW w:w="641" w:type="pct"/>
                  <w:shd w:val="clear" w:color="auto" w:fill="auto"/>
                  <w:vAlign w:val="center"/>
                </w:tcPr>
                <w:p>
                  <w:pPr>
                    <w:adjustRightInd w:val="0"/>
                    <w:snapToGrid w:val="0"/>
                    <w:jc w:val="center"/>
                    <w:rPr>
                      <w:color w:val="000000"/>
                      <w:szCs w:val="21"/>
                      <w:lang w:val="zh-CN"/>
                    </w:rPr>
                  </w:pPr>
                  <w:r>
                    <w:rPr>
                      <w:color w:val="000000"/>
                      <w:szCs w:val="21"/>
                      <w:lang w:val="zh-CN"/>
                    </w:rPr>
                    <w:t>0.058t/a</w:t>
                  </w:r>
                </w:p>
              </w:tc>
              <w:tc>
                <w:tcPr>
                  <w:tcW w:w="2177" w:type="pct"/>
                  <w:shd w:val="clear" w:color="auto" w:fill="auto"/>
                  <w:vAlign w:val="center"/>
                </w:tcPr>
                <w:p>
                  <w:pPr>
                    <w:adjustRightInd w:val="0"/>
                    <w:snapToGrid w:val="0"/>
                    <w:jc w:val="center"/>
                    <w:rPr>
                      <w:color w:val="000000"/>
                      <w:szCs w:val="21"/>
                      <w:lang w:val="zh-CN"/>
                    </w:rPr>
                  </w:pPr>
                  <w:r>
                    <w:rPr>
                      <w:rFonts w:hint="eastAsia"/>
                      <w:color w:val="000000"/>
                      <w:szCs w:val="21"/>
                      <w:lang w:val="zh-CN"/>
                    </w:rPr>
                    <w:t>委托有资质单位定期清掏清运处置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56" w:hRule="exact"/>
                <w:jc w:val="right"/>
              </w:trPr>
              <w:tc>
                <w:tcPr>
                  <w:tcW w:w="458" w:type="pct"/>
                  <w:shd w:val="clear" w:color="auto" w:fill="auto"/>
                  <w:vAlign w:val="center"/>
                </w:tcPr>
                <w:p>
                  <w:pPr>
                    <w:adjustRightInd w:val="0"/>
                    <w:snapToGrid w:val="0"/>
                    <w:jc w:val="center"/>
                    <w:rPr>
                      <w:color w:val="000000"/>
                      <w:szCs w:val="21"/>
                      <w:lang w:val="zh-CN"/>
                    </w:rPr>
                  </w:pPr>
                  <w:r>
                    <w:rPr>
                      <w:color w:val="000000"/>
                      <w:szCs w:val="21"/>
                      <w:lang w:val="zh-CN"/>
                    </w:rPr>
                    <w:t>7</w:t>
                  </w:r>
                </w:p>
              </w:tc>
              <w:tc>
                <w:tcPr>
                  <w:tcW w:w="879" w:type="pct"/>
                  <w:shd w:val="clear" w:color="auto" w:fill="auto"/>
                  <w:vAlign w:val="center"/>
                </w:tcPr>
                <w:p>
                  <w:pPr>
                    <w:adjustRightInd w:val="0"/>
                    <w:snapToGrid w:val="0"/>
                    <w:jc w:val="center"/>
                    <w:rPr>
                      <w:color w:val="000000"/>
                      <w:szCs w:val="21"/>
                      <w:lang w:val="zh-CN"/>
                    </w:rPr>
                  </w:pPr>
                  <w:r>
                    <w:rPr>
                      <w:rFonts w:hint="eastAsia"/>
                      <w:color w:val="000000"/>
                      <w:szCs w:val="21"/>
                      <w:lang w:val="zh-CN"/>
                    </w:rPr>
                    <w:t>员工</w:t>
                  </w:r>
                </w:p>
              </w:tc>
              <w:tc>
                <w:tcPr>
                  <w:tcW w:w="845" w:type="pct"/>
                  <w:shd w:val="clear" w:color="auto" w:fill="auto"/>
                  <w:vAlign w:val="center"/>
                </w:tcPr>
                <w:p>
                  <w:pPr>
                    <w:adjustRightInd w:val="0"/>
                    <w:snapToGrid w:val="0"/>
                    <w:jc w:val="center"/>
                    <w:rPr>
                      <w:color w:val="000000"/>
                      <w:szCs w:val="21"/>
                      <w:lang w:val="zh-CN"/>
                    </w:rPr>
                  </w:pPr>
                  <w:r>
                    <w:rPr>
                      <w:rFonts w:hint="eastAsia"/>
                      <w:color w:val="000000"/>
                      <w:szCs w:val="21"/>
                      <w:lang w:val="zh-CN"/>
                    </w:rPr>
                    <w:t>生活垃圾</w:t>
                  </w:r>
                </w:p>
              </w:tc>
              <w:tc>
                <w:tcPr>
                  <w:tcW w:w="641" w:type="pct"/>
                  <w:shd w:val="clear" w:color="auto" w:fill="auto"/>
                  <w:vAlign w:val="center"/>
                </w:tcPr>
                <w:p>
                  <w:pPr>
                    <w:adjustRightInd w:val="0"/>
                    <w:snapToGrid w:val="0"/>
                    <w:jc w:val="center"/>
                    <w:rPr>
                      <w:color w:val="000000"/>
                      <w:szCs w:val="21"/>
                      <w:lang w:val="zh-CN"/>
                    </w:rPr>
                  </w:pPr>
                  <w:r>
                    <w:rPr>
                      <w:color w:val="000000"/>
                      <w:szCs w:val="21"/>
                      <w:lang w:val="zh-CN"/>
                    </w:rPr>
                    <w:t>9.6t/a</w:t>
                  </w:r>
                </w:p>
              </w:tc>
              <w:tc>
                <w:tcPr>
                  <w:tcW w:w="2177" w:type="pct"/>
                  <w:shd w:val="clear" w:color="auto" w:fill="auto"/>
                  <w:vAlign w:val="center"/>
                </w:tcPr>
                <w:p>
                  <w:pPr>
                    <w:adjustRightInd w:val="0"/>
                    <w:snapToGrid w:val="0"/>
                    <w:jc w:val="center"/>
                    <w:rPr>
                      <w:color w:val="000000"/>
                      <w:szCs w:val="21"/>
                      <w:lang w:val="zh-CN"/>
                    </w:rPr>
                  </w:pPr>
                  <w:r>
                    <w:rPr>
                      <w:rFonts w:hint="eastAsia"/>
                      <w:color w:val="000000"/>
                      <w:szCs w:val="21"/>
                      <w:lang w:val="zh-CN"/>
                    </w:rPr>
                    <w:t>统一收集后，</w:t>
                  </w:r>
                  <w:r>
                    <w:rPr>
                      <w:color w:val="000000"/>
                      <w:szCs w:val="21"/>
                      <w:lang w:val="zh-CN"/>
                    </w:rPr>
                    <w:t>定期</w:t>
                  </w:r>
                  <w:r>
                    <w:rPr>
                      <w:rFonts w:hint="eastAsia"/>
                      <w:color w:val="000000"/>
                      <w:szCs w:val="21"/>
                      <w:lang w:val="zh-CN"/>
                    </w:rPr>
                    <w:t>委托环卫部门清运处理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right"/>
              </w:trPr>
              <w:tc>
                <w:tcPr>
                  <w:tcW w:w="458" w:type="pct"/>
                  <w:shd w:val="clear" w:color="auto" w:fill="auto"/>
                  <w:vAlign w:val="center"/>
                </w:tcPr>
                <w:p>
                  <w:pPr>
                    <w:adjustRightInd w:val="0"/>
                    <w:snapToGrid w:val="0"/>
                    <w:jc w:val="center"/>
                    <w:rPr>
                      <w:color w:val="000000"/>
                      <w:szCs w:val="21"/>
                      <w:lang w:val="zh-CN"/>
                    </w:rPr>
                  </w:pPr>
                  <w:r>
                    <w:rPr>
                      <w:color w:val="000000"/>
                      <w:szCs w:val="21"/>
                      <w:lang w:val="zh-CN"/>
                    </w:rPr>
                    <w:t>8</w:t>
                  </w:r>
                </w:p>
              </w:tc>
              <w:tc>
                <w:tcPr>
                  <w:tcW w:w="879" w:type="pct"/>
                  <w:shd w:val="clear" w:color="auto" w:fill="auto"/>
                  <w:vAlign w:val="center"/>
                </w:tcPr>
                <w:p>
                  <w:pPr>
                    <w:adjustRightInd w:val="0"/>
                    <w:snapToGrid w:val="0"/>
                    <w:jc w:val="center"/>
                    <w:rPr>
                      <w:color w:val="000000"/>
                      <w:szCs w:val="21"/>
                      <w:lang w:val="zh-CN"/>
                    </w:rPr>
                  </w:pPr>
                  <w:r>
                    <w:rPr>
                      <w:rFonts w:hint="eastAsia"/>
                      <w:color w:val="000000"/>
                      <w:szCs w:val="21"/>
                      <w:lang w:val="zh-CN"/>
                    </w:rPr>
                    <w:t>化粪池</w:t>
                  </w:r>
                </w:p>
              </w:tc>
              <w:tc>
                <w:tcPr>
                  <w:tcW w:w="845" w:type="pct"/>
                  <w:shd w:val="clear" w:color="auto" w:fill="auto"/>
                  <w:vAlign w:val="center"/>
                </w:tcPr>
                <w:p>
                  <w:pPr>
                    <w:adjustRightInd w:val="0"/>
                    <w:snapToGrid w:val="0"/>
                    <w:jc w:val="center"/>
                    <w:rPr>
                      <w:color w:val="000000"/>
                      <w:szCs w:val="21"/>
                      <w:lang w:val="zh-CN"/>
                    </w:rPr>
                  </w:pPr>
                  <w:r>
                    <w:rPr>
                      <w:rFonts w:hint="eastAsia"/>
                      <w:color w:val="000000"/>
                      <w:szCs w:val="21"/>
                      <w:lang w:val="zh-CN"/>
                    </w:rPr>
                    <w:t>污泥</w:t>
                  </w:r>
                </w:p>
              </w:tc>
              <w:tc>
                <w:tcPr>
                  <w:tcW w:w="641" w:type="pct"/>
                  <w:shd w:val="clear" w:color="auto" w:fill="auto"/>
                  <w:vAlign w:val="center"/>
                </w:tcPr>
                <w:p>
                  <w:pPr>
                    <w:adjustRightInd w:val="0"/>
                    <w:snapToGrid w:val="0"/>
                    <w:jc w:val="center"/>
                    <w:rPr>
                      <w:color w:val="000000"/>
                      <w:szCs w:val="21"/>
                      <w:lang w:val="zh-CN"/>
                    </w:rPr>
                  </w:pPr>
                  <w:r>
                    <w:rPr>
                      <w:color w:val="000000"/>
                      <w:szCs w:val="21"/>
                      <w:lang w:val="zh-CN"/>
                    </w:rPr>
                    <w:t>2.3t/a</w:t>
                  </w:r>
                </w:p>
              </w:tc>
              <w:tc>
                <w:tcPr>
                  <w:tcW w:w="2177" w:type="pct"/>
                  <w:shd w:val="clear" w:color="auto" w:fill="auto"/>
                  <w:vAlign w:val="center"/>
                </w:tcPr>
                <w:p>
                  <w:pPr>
                    <w:adjustRightInd w:val="0"/>
                    <w:snapToGrid w:val="0"/>
                    <w:jc w:val="center"/>
                    <w:rPr>
                      <w:color w:val="000000"/>
                      <w:szCs w:val="21"/>
                      <w:lang w:val="zh-CN"/>
                    </w:rPr>
                  </w:pPr>
                  <w:r>
                    <w:rPr>
                      <w:rFonts w:hint="eastAsia"/>
                      <w:color w:val="000000"/>
                      <w:szCs w:val="21"/>
                      <w:lang w:val="zh-CN"/>
                    </w:rPr>
                    <w:t>委托环卫部门定期清运处理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right"/>
              </w:trPr>
              <w:tc>
                <w:tcPr>
                  <w:tcW w:w="5000" w:type="pct"/>
                  <w:gridSpan w:val="5"/>
                  <w:shd w:val="clear" w:color="auto" w:fill="auto"/>
                  <w:vAlign w:val="center"/>
                </w:tcPr>
                <w:p>
                  <w:pPr>
                    <w:adjustRightInd w:val="0"/>
                    <w:snapToGrid w:val="0"/>
                    <w:jc w:val="center"/>
                    <w:rPr>
                      <w:color w:val="000000"/>
                      <w:szCs w:val="21"/>
                      <w:lang w:val="zh-CN"/>
                    </w:rPr>
                  </w:pPr>
                  <w:r>
                    <w:rPr>
                      <w:rFonts w:hint="eastAsia"/>
                      <w:color w:val="000000"/>
                      <w:szCs w:val="21"/>
                      <w:lang w:val="zh-CN"/>
                    </w:rPr>
                    <w:t>三、危险固废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6" w:hRule="exact"/>
                <w:jc w:val="right"/>
              </w:trPr>
              <w:tc>
                <w:tcPr>
                  <w:tcW w:w="458" w:type="pct"/>
                  <w:shd w:val="clear" w:color="auto" w:fill="auto"/>
                  <w:vAlign w:val="center"/>
                </w:tcPr>
                <w:p>
                  <w:pPr>
                    <w:adjustRightInd w:val="0"/>
                    <w:snapToGrid w:val="0"/>
                    <w:jc w:val="center"/>
                    <w:rPr>
                      <w:color w:val="000000"/>
                      <w:szCs w:val="21"/>
                      <w:lang w:val="zh-CN"/>
                    </w:rPr>
                  </w:pPr>
                  <w:r>
                    <w:rPr>
                      <w:color w:val="000000"/>
                      <w:szCs w:val="21"/>
                    </w:rPr>
                    <w:t>9</w:t>
                  </w:r>
                </w:p>
              </w:tc>
              <w:tc>
                <w:tcPr>
                  <w:tcW w:w="879" w:type="pct"/>
                  <w:shd w:val="clear" w:color="auto" w:fill="auto"/>
                  <w:vAlign w:val="center"/>
                </w:tcPr>
                <w:p>
                  <w:pPr>
                    <w:adjustRightInd w:val="0"/>
                    <w:snapToGrid w:val="0"/>
                    <w:jc w:val="center"/>
                    <w:rPr>
                      <w:color w:val="000000"/>
                      <w:szCs w:val="21"/>
                      <w:lang w:val="zh-CN"/>
                    </w:rPr>
                  </w:pPr>
                  <w:r>
                    <w:rPr>
                      <w:rFonts w:hint="eastAsia"/>
                      <w:color w:val="000000"/>
                      <w:szCs w:val="21"/>
                    </w:rPr>
                    <w:t>维修</w:t>
                  </w:r>
                </w:p>
              </w:tc>
              <w:tc>
                <w:tcPr>
                  <w:tcW w:w="845" w:type="pct"/>
                  <w:shd w:val="clear" w:color="auto" w:fill="auto"/>
                  <w:vAlign w:val="center"/>
                </w:tcPr>
                <w:p>
                  <w:pPr>
                    <w:adjustRightInd w:val="0"/>
                    <w:snapToGrid w:val="0"/>
                    <w:jc w:val="center"/>
                    <w:rPr>
                      <w:color w:val="000000"/>
                      <w:szCs w:val="21"/>
                      <w:lang w:val="zh-CN"/>
                    </w:rPr>
                  </w:pPr>
                  <w:r>
                    <w:rPr>
                      <w:rFonts w:hint="eastAsia"/>
                      <w:color w:val="000000"/>
                      <w:szCs w:val="21"/>
                    </w:rPr>
                    <w:t>废机油</w:t>
                  </w:r>
                </w:p>
              </w:tc>
              <w:tc>
                <w:tcPr>
                  <w:tcW w:w="641" w:type="pct"/>
                  <w:shd w:val="clear" w:color="auto" w:fill="auto"/>
                  <w:vAlign w:val="center"/>
                </w:tcPr>
                <w:p>
                  <w:pPr>
                    <w:adjustRightInd w:val="0"/>
                    <w:snapToGrid w:val="0"/>
                    <w:jc w:val="center"/>
                    <w:rPr>
                      <w:color w:val="000000"/>
                      <w:szCs w:val="21"/>
                      <w:lang w:val="zh-CN"/>
                    </w:rPr>
                  </w:pPr>
                  <w:r>
                    <w:rPr>
                      <w:color w:val="000000"/>
                      <w:szCs w:val="21"/>
                    </w:rPr>
                    <w:t>0.05</w:t>
                  </w:r>
                  <w:r>
                    <w:rPr>
                      <w:rFonts w:hint="eastAsia"/>
                      <w:color w:val="000000"/>
                      <w:szCs w:val="21"/>
                    </w:rPr>
                    <w:t>t/a</w:t>
                  </w:r>
                </w:p>
              </w:tc>
              <w:tc>
                <w:tcPr>
                  <w:tcW w:w="2177" w:type="pct"/>
                  <w:shd w:val="clear" w:color="auto" w:fill="auto"/>
                  <w:vAlign w:val="center"/>
                </w:tcPr>
                <w:p>
                  <w:pPr>
                    <w:adjustRightInd w:val="0"/>
                    <w:snapToGrid w:val="0"/>
                    <w:jc w:val="center"/>
                    <w:rPr>
                      <w:color w:val="000000"/>
                      <w:szCs w:val="21"/>
                      <w:lang w:val="zh-CN"/>
                    </w:rPr>
                  </w:pPr>
                  <w:r>
                    <w:rPr>
                      <w:rFonts w:hint="eastAsia"/>
                      <w:color w:val="000000"/>
                      <w:szCs w:val="21"/>
                      <w:lang w:val="zh-CN"/>
                    </w:rPr>
                    <w:t>统一收集后，定点放置于危险废物暂存间内，定期委托有资质单位清运处置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exact"/>
                <w:jc w:val="right"/>
              </w:trPr>
              <w:tc>
                <w:tcPr>
                  <w:tcW w:w="458" w:type="pct"/>
                  <w:shd w:val="clear" w:color="auto" w:fill="auto"/>
                  <w:vAlign w:val="center"/>
                </w:tcPr>
                <w:p>
                  <w:pPr>
                    <w:adjustRightInd w:val="0"/>
                    <w:snapToGrid w:val="0"/>
                    <w:jc w:val="center"/>
                    <w:rPr>
                      <w:color w:val="000000"/>
                      <w:szCs w:val="21"/>
                    </w:rPr>
                  </w:pPr>
                  <w:r>
                    <w:rPr>
                      <w:rFonts w:hint="eastAsia"/>
                      <w:color w:val="000000"/>
                      <w:szCs w:val="21"/>
                    </w:rPr>
                    <w:t>1</w:t>
                  </w:r>
                  <w:r>
                    <w:rPr>
                      <w:color w:val="000000"/>
                      <w:szCs w:val="21"/>
                    </w:rPr>
                    <w:t>0</w:t>
                  </w:r>
                </w:p>
              </w:tc>
              <w:tc>
                <w:tcPr>
                  <w:tcW w:w="879" w:type="pct"/>
                  <w:shd w:val="clear" w:color="auto" w:fill="auto"/>
                  <w:vAlign w:val="center"/>
                </w:tcPr>
                <w:p>
                  <w:pPr>
                    <w:adjustRightInd w:val="0"/>
                    <w:snapToGrid w:val="0"/>
                    <w:jc w:val="center"/>
                    <w:rPr>
                      <w:color w:val="000000"/>
                      <w:szCs w:val="21"/>
                    </w:rPr>
                  </w:pPr>
                  <w:r>
                    <w:rPr>
                      <w:rFonts w:hint="eastAsia"/>
                      <w:color w:val="000000"/>
                      <w:szCs w:val="21"/>
                    </w:rPr>
                    <w:t>维修</w:t>
                  </w:r>
                </w:p>
              </w:tc>
              <w:tc>
                <w:tcPr>
                  <w:tcW w:w="845" w:type="pct"/>
                  <w:shd w:val="clear" w:color="auto" w:fill="auto"/>
                  <w:vAlign w:val="center"/>
                </w:tcPr>
                <w:p>
                  <w:pPr>
                    <w:adjustRightInd w:val="0"/>
                    <w:snapToGrid w:val="0"/>
                    <w:jc w:val="center"/>
                    <w:rPr>
                      <w:color w:val="000000"/>
                      <w:szCs w:val="21"/>
                    </w:rPr>
                  </w:pPr>
                  <w:r>
                    <w:rPr>
                      <w:rFonts w:hint="eastAsia"/>
                      <w:color w:val="000000"/>
                      <w:szCs w:val="21"/>
                    </w:rPr>
                    <w:t>机修含油抹布、手套</w:t>
                  </w:r>
                </w:p>
              </w:tc>
              <w:tc>
                <w:tcPr>
                  <w:tcW w:w="641" w:type="pct"/>
                  <w:shd w:val="clear" w:color="auto" w:fill="auto"/>
                  <w:vAlign w:val="center"/>
                </w:tcPr>
                <w:p>
                  <w:pPr>
                    <w:adjustRightInd w:val="0"/>
                    <w:snapToGrid w:val="0"/>
                    <w:jc w:val="center"/>
                    <w:rPr>
                      <w:color w:val="000000"/>
                      <w:szCs w:val="21"/>
                    </w:rPr>
                  </w:pPr>
                  <w:r>
                    <w:rPr>
                      <w:rFonts w:hint="eastAsia"/>
                      <w:color w:val="000000"/>
                      <w:szCs w:val="21"/>
                    </w:rPr>
                    <w:t>0</w:t>
                  </w:r>
                  <w:r>
                    <w:rPr>
                      <w:color w:val="000000"/>
                      <w:szCs w:val="21"/>
                    </w:rPr>
                    <w:t>.1</w:t>
                  </w:r>
                  <w:r>
                    <w:rPr>
                      <w:rFonts w:hint="eastAsia"/>
                      <w:color w:val="000000"/>
                      <w:szCs w:val="21"/>
                    </w:rPr>
                    <w:t>t</w:t>
                  </w:r>
                  <w:r>
                    <w:rPr>
                      <w:color w:val="000000"/>
                      <w:szCs w:val="21"/>
                    </w:rPr>
                    <w:t>/a</w:t>
                  </w:r>
                </w:p>
              </w:tc>
              <w:tc>
                <w:tcPr>
                  <w:tcW w:w="2177" w:type="pct"/>
                  <w:shd w:val="clear" w:color="auto" w:fill="auto"/>
                  <w:vAlign w:val="center"/>
                </w:tcPr>
                <w:p>
                  <w:pPr>
                    <w:adjustRightInd w:val="0"/>
                    <w:snapToGrid w:val="0"/>
                    <w:jc w:val="center"/>
                    <w:rPr>
                      <w:color w:val="000000"/>
                      <w:szCs w:val="21"/>
                      <w:lang w:val="zh-CN"/>
                    </w:rPr>
                  </w:pPr>
                  <w:r>
                    <w:rPr>
                      <w:rFonts w:hint="eastAsia"/>
                      <w:color w:val="000000"/>
                      <w:szCs w:val="21"/>
                      <w:lang w:val="zh-CN"/>
                    </w:rPr>
                    <w:t>经统一收集后与生活垃圾一同清运处置。</w:t>
                  </w:r>
                </w:p>
              </w:tc>
            </w:tr>
            <w:bookmarkEnd w:id="35"/>
          </w:tbl>
          <w:p>
            <w:pPr>
              <w:snapToGrid w:val="0"/>
              <w:spacing w:line="360" w:lineRule="auto"/>
              <w:rPr>
                <w:b/>
                <w:color w:val="000000"/>
                <w:sz w:val="24"/>
                <w:szCs w:val="20"/>
              </w:rPr>
            </w:pPr>
            <w:r>
              <w:rPr>
                <w:rFonts w:hint="eastAsia"/>
                <w:b/>
                <w:color w:val="000000"/>
                <w:sz w:val="24"/>
                <w:szCs w:val="20"/>
              </w:rPr>
              <w:t>（</w:t>
            </w:r>
            <w:r>
              <w:rPr>
                <w:b/>
                <w:color w:val="000000"/>
                <w:sz w:val="24"/>
                <w:szCs w:val="20"/>
              </w:rPr>
              <w:t>2</w:t>
            </w:r>
            <w:r>
              <w:rPr>
                <w:rFonts w:hint="eastAsia"/>
                <w:b/>
                <w:color w:val="000000"/>
                <w:sz w:val="24"/>
                <w:szCs w:val="20"/>
              </w:rPr>
              <w:t>）危险固废管理要求</w:t>
            </w:r>
          </w:p>
          <w:p>
            <w:pPr>
              <w:adjustRightInd w:val="0"/>
              <w:snapToGrid w:val="0"/>
              <w:spacing w:line="360" w:lineRule="auto"/>
              <w:ind w:firstLine="480" w:firstLineChars="200"/>
              <w:jc w:val="left"/>
              <w:rPr>
                <w:color w:val="000000"/>
                <w:sz w:val="24"/>
                <w:szCs w:val="28"/>
              </w:rPr>
            </w:pPr>
            <w:r>
              <w:rPr>
                <w:color w:val="000000"/>
                <w:sz w:val="24"/>
                <w:szCs w:val="28"/>
              </w:rPr>
              <w:t>环评要求厂区内的危险废物临时储存应按《危险废物贮存污染控制标准》（GB18597-2001）严格执行，外运时需要严格按照《危险废物转移联单管理办法》的相关规定报批危险废物转移计划，应做到沿途不抛洒。厂内危废临时贮存设施暂存后由有资质的单位处置，在转移行为发生时应执行危险废物转移联单制度。</w:t>
            </w:r>
          </w:p>
          <w:p>
            <w:pPr>
              <w:adjustRightInd w:val="0"/>
              <w:snapToGrid w:val="0"/>
              <w:spacing w:line="360" w:lineRule="auto"/>
              <w:ind w:firstLine="480" w:firstLineChars="200"/>
              <w:jc w:val="left"/>
              <w:rPr>
                <w:color w:val="000000"/>
                <w:sz w:val="24"/>
                <w:szCs w:val="28"/>
              </w:rPr>
            </w:pPr>
            <w:r>
              <w:rPr>
                <w:color w:val="000000"/>
                <w:sz w:val="24"/>
                <w:szCs w:val="28"/>
              </w:rPr>
              <w:t xml:space="preserve">危险废物产生者和危险废物贮存设施经营者均须作好危险废物情况的记录，记录上须注明危险废物的名称、来源、数量、特性和包装容器的类别、入库日期、存放库位、废物出库日期及接收单位名称。危险废物的记录和货单在危险废物回取后应继续保留三年。 </w:t>
            </w:r>
          </w:p>
          <w:p>
            <w:pPr>
              <w:autoSpaceDE w:val="0"/>
              <w:autoSpaceDN w:val="0"/>
              <w:snapToGrid w:val="0"/>
              <w:spacing w:line="360" w:lineRule="auto"/>
              <w:jc w:val="center"/>
              <w:rPr>
                <w:b/>
                <w:color w:val="000000"/>
                <w:kern w:val="24"/>
                <w:szCs w:val="20"/>
              </w:rPr>
            </w:pPr>
            <w:r>
              <w:rPr>
                <w:rFonts w:hint="eastAsia"/>
                <w:b/>
                <w:color w:val="000000"/>
                <w:kern w:val="24"/>
                <w:szCs w:val="20"/>
              </w:rPr>
              <w:t>表</w:t>
            </w:r>
            <w:r>
              <w:rPr>
                <w:b/>
                <w:color w:val="000000"/>
                <w:kern w:val="24"/>
                <w:szCs w:val="20"/>
              </w:rPr>
              <w:t>4</w:t>
            </w:r>
            <w:r>
              <w:rPr>
                <w:rFonts w:hint="eastAsia"/>
                <w:b/>
                <w:color w:val="000000"/>
                <w:kern w:val="24"/>
                <w:szCs w:val="20"/>
              </w:rPr>
              <w:t>-</w:t>
            </w:r>
            <w:r>
              <w:rPr>
                <w:b/>
                <w:color w:val="000000"/>
                <w:kern w:val="24"/>
                <w:szCs w:val="20"/>
              </w:rPr>
              <w:t>14</w:t>
            </w:r>
            <w:r>
              <w:rPr>
                <w:rFonts w:hint="eastAsia"/>
                <w:b/>
                <w:color w:val="000000"/>
                <w:kern w:val="24"/>
                <w:szCs w:val="20"/>
              </w:rPr>
              <w:t xml:space="preserve">  </w:t>
            </w:r>
            <w:r>
              <w:rPr>
                <w:b/>
                <w:color w:val="000000"/>
                <w:kern w:val="24"/>
                <w:szCs w:val="20"/>
              </w:rPr>
              <w:t>危废收集容器（塑料桶）和危险废物暂存间设计要求一览表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6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exact"/>
                <w:jc w:val="center"/>
              </w:trPr>
              <w:tc>
                <w:tcPr>
                  <w:tcW w:w="602" w:type="pct"/>
                  <w:shd w:val="clear" w:color="auto" w:fill="auto"/>
                  <w:vAlign w:val="center"/>
                </w:tcPr>
                <w:p>
                  <w:pPr>
                    <w:adjustRightInd w:val="0"/>
                    <w:snapToGrid w:val="0"/>
                    <w:jc w:val="center"/>
                    <w:rPr>
                      <w:color w:val="000000"/>
                      <w:kern w:val="0"/>
                      <w:sz w:val="24"/>
                      <w:lang w:bidi="ar"/>
                    </w:rPr>
                  </w:pPr>
                  <w:r>
                    <w:rPr>
                      <w:rFonts w:hint="eastAsia" w:ascii="宋体" w:hAnsi="宋体" w:cs="宋体"/>
                      <w:color w:val="000000"/>
                      <w:spacing w:val="1"/>
                      <w:szCs w:val="22"/>
                    </w:rPr>
                    <w:t>项目</w:t>
                  </w:r>
                </w:p>
              </w:tc>
              <w:tc>
                <w:tcPr>
                  <w:tcW w:w="4398" w:type="pct"/>
                  <w:shd w:val="clear" w:color="auto" w:fill="auto"/>
                  <w:vAlign w:val="center"/>
                </w:tcPr>
                <w:p>
                  <w:pPr>
                    <w:adjustRightInd w:val="0"/>
                    <w:snapToGrid w:val="0"/>
                    <w:jc w:val="center"/>
                    <w:rPr>
                      <w:color w:val="000000"/>
                      <w:kern w:val="0"/>
                      <w:sz w:val="24"/>
                      <w:lang w:bidi="ar"/>
                    </w:rPr>
                  </w:pPr>
                  <w:r>
                    <w:rPr>
                      <w:rFonts w:ascii="宋体" w:hAnsi="宋体" w:cs="宋体"/>
                      <w:color w:val="000000"/>
                      <w:spacing w:val="1"/>
                      <w:szCs w:val="22"/>
                      <w:lang w:eastAsia="en-US"/>
                    </w:rPr>
                    <w:t>设计</w:t>
                  </w:r>
                  <w:r>
                    <w:rPr>
                      <w:rFonts w:hint="eastAsia" w:ascii="宋体" w:hAnsi="宋体" w:cs="宋体"/>
                      <w:color w:val="000000"/>
                      <w:spacing w:val="1"/>
                      <w:szCs w:val="22"/>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2" w:type="pct"/>
                  <w:shd w:val="clear" w:color="auto" w:fill="auto"/>
                  <w:vAlign w:val="center"/>
                </w:tcPr>
                <w:p>
                  <w:pPr>
                    <w:adjustRightInd w:val="0"/>
                    <w:snapToGrid w:val="0"/>
                    <w:jc w:val="center"/>
                    <w:rPr>
                      <w:color w:val="000000"/>
                      <w:kern w:val="24"/>
                      <w:szCs w:val="28"/>
                    </w:rPr>
                  </w:pPr>
                  <w:r>
                    <w:rPr>
                      <w:rFonts w:hint="eastAsia"/>
                      <w:color w:val="000000"/>
                      <w:kern w:val="24"/>
                      <w:szCs w:val="28"/>
                    </w:rPr>
                    <w:t>收集容器塑料桶要求</w:t>
                  </w:r>
                </w:p>
              </w:tc>
              <w:tc>
                <w:tcPr>
                  <w:tcW w:w="4398" w:type="pct"/>
                  <w:shd w:val="clear" w:color="auto" w:fill="auto"/>
                  <w:vAlign w:val="center"/>
                </w:tcPr>
                <w:p>
                  <w:pPr>
                    <w:autoSpaceDE w:val="0"/>
                    <w:autoSpaceDN w:val="0"/>
                    <w:adjustRightInd w:val="0"/>
                    <w:snapToGrid w:val="0"/>
                    <w:jc w:val="left"/>
                    <w:rPr>
                      <w:color w:val="000000"/>
                      <w:kern w:val="24"/>
                      <w:szCs w:val="28"/>
                    </w:rPr>
                  </w:pPr>
                  <w:r>
                    <w:rPr>
                      <w:color w:val="000000"/>
                      <w:kern w:val="24"/>
                      <w:szCs w:val="28"/>
                    </w:rPr>
                    <w:t>采用符合标准的专用塑料桶。</w:t>
                  </w:r>
                </w:p>
                <w:p>
                  <w:pPr>
                    <w:autoSpaceDE w:val="0"/>
                    <w:autoSpaceDN w:val="0"/>
                    <w:adjustRightInd w:val="0"/>
                    <w:snapToGrid w:val="0"/>
                    <w:jc w:val="left"/>
                    <w:rPr>
                      <w:color w:val="000000"/>
                      <w:kern w:val="24"/>
                      <w:szCs w:val="28"/>
                    </w:rPr>
                  </w:pPr>
                  <w:r>
                    <w:rPr>
                      <w:color w:val="000000"/>
                      <w:kern w:val="24"/>
                      <w:szCs w:val="28"/>
                    </w:rPr>
                    <w:t>收集塑料桶材质选用较高强度、完整的材料，不易破损。</w:t>
                  </w:r>
                </w:p>
                <w:p>
                  <w:pPr>
                    <w:autoSpaceDE w:val="0"/>
                    <w:autoSpaceDN w:val="0"/>
                    <w:adjustRightInd w:val="0"/>
                    <w:snapToGrid w:val="0"/>
                    <w:jc w:val="left"/>
                    <w:rPr>
                      <w:color w:val="000000"/>
                      <w:kern w:val="24"/>
                      <w:szCs w:val="28"/>
                    </w:rPr>
                  </w:pPr>
                  <w:r>
                    <w:rPr>
                      <w:color w:val="000000"/>
                      <w:kern w:val="24"/>
                      <w:szCs w:val="28"/>
                    </w:rPr>
                    <w:t>收集塑料桶完好无损。</w:t>
                  </w:r>
                </w:p>
                <w:p>
                  <w:pPr>
                    <w:autoSpaceDE w:val="0"/>
                    <w:autoSpaceDN w:val="0"/>
                    <w:adjustRightInd w:val="0"/>
                    <w:snapToGrid w:val="0"/>
                    <w:jc w:val="left"/>
                    <w:rPr>
                      <w:color w:val="000000"/>
                      <w:kern w:val="24"/>
                      <w:szCs w:val="28"/>
                    </w:rPr>
                  </w:pPr>
                  <w:r>
                    <w:rPr>
                      <w:color w:val="000000"/>
                      <w:kern w:val="24"/>
                      <w:szCs w:val="28"/>
                    </w:rPr>
                    <w:t>收集塑料桶顶部与废机油表面之间保留120mm的空间。</w:t>
                  </w:r>
                </w:p>
                <w:p>
                  <w:pPr>
                    <w:autoSpaceDE w:val="0"/>
                    <w:autoSpaceDN w:val="0"/>
                    <w:adjustRightInd w:val="0"/>
                    <w:snapToGrid w:val="0"/>
                    <w:jc w:val="left"/>
                    <w:rPr>
                      <w:b/>
                      <w:color w:val="000000"/>
                      <w:kern w:val="24"/>
                      <w:szCs w:val="28"/>
                    </w:rPr>
                  </w:pPr>
                  <w:r>
                    <w:rPr>
                      <w:color w:val="000000"/>
                      <w:kern w:val="24"/>
                      <w:szCs w:val="28"/>
                    </w:rPr>
                    <w:t>收集塑料桶外贴上符合《危险废物贮存污染控制标准》（GB18597-2001）附录A所示的（危险废物）标签。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2" w:type="pct"/>
                  <w:shd w:val="clear" w:color="auto" w:fill="auto"/>
                  <w:vAlign w:val="center"/>
                </w:tcPr>
                <w:p>
                  <w:pPr>
                    <w:adjustRightInd w:val="0"/>
                    <w:snapToGrid w:val="0"/>
                    <w:jc w:val="center"/>
                    <w:rPr>
                      <w:color w:val="000000"/>
                      <w:kern w:val="24"/>
                      <w:szCs w:val="28"/>
                    </w:rPr>
                  </w:pPr>
                  <w:r>
                    <w:rPr>
                      <w:color w:val="000000"/>
                      <w:kern w:val="24"/>
                      <w:szCs w:val="28"/>
                    </w:rPr>
                    <w:t>危险废物暂存间要求</w:t>
                  </w:r>
                </w:p>
              </w:tc>
              <w:tc>
                <w:tcPr>
                  <w:tcW w:w="4398" w:type="pct"/>
                  <w:shd w:val="clear" w:color="auto" w:fill="auto"/>
                  <w:vAlign w:val="center"/>
                </w:tcPr>
                <w:p>
                  <w:pPr>
                    <w:adjustRightInd w:val="0"/>
                    <w:snapToGrid w:val="0"/>
                    <w:jc w:val="left"/>
                    <w:rPr>
                      <w:color w:val="000000"/>
                      <w:kern w:val="24"/>
                      <w:szCs w:val="28"/>
                    </w:rPr>
                  </w:pPr>
                  <w:r>
                    <w:rPr>
                      <w:color w:val="000000"/>
                      <w:kern w:val="24"/>
                      <w:szCs w:val="28"/>
                    </w:rPr>
                    <w:t>危险废物暂存间地面为硬化地面，且耐腐蚀，表面无裂隙；</w:t>
                  </w:r>
                </w:p>
                <w:p>
                  <w:pPr>
                    <w:adjustRightInd w:val="0"/>
                    <w:snapToGrid w:val="0"/>
                    <w:jc w:val="left"/>
                    <w:rPr>
                      <w:color w:val="000000"/>
                      <w:kern w:val="24"/>
                      <w:szCs w:val="28"/>
                    </w:rPr>
                  </w:pPr>
                  <w:r>
                    <w:rPr>
                      <w:color w:val="000000"/>
                      <w:kern w:val="24"/>
                      <w:szCs w:val="28"/>
                    </w:rPr>
                    <w:t>危险废物暂存间地面采用2mm厚的高密度聚乙烯或其他人工材料进行防渗处理，渗透系数≤10</w:t>
                  </w:r>
                  <w:r>
                    <w:rPr>
                      <w:color w:val="000000"/>
                      <w:kern w:val="24"/>
                      <w:szCs w:val="28"/>
                      <w:vertAlign w:val="superscript"/>
                    </w:rPr>
                    <w:t>-10</w:t>
                  </w:r>
                  <w:r>
                    <w:rPr>
                      <w:color w:val="000000"/>
                      <w:kern w:val="24"/>
                      <w:szCs w:val="28"/>
                    </w:rPr>
                    <w:t>cm/s；</w:t>
                  </w:r>
                </w:p>
                <w:p>
                  <w:pPr>
                    <w:adjustRightInd w:val="0"/>
                    <w:snapToGrid w:val="0"/>
                    <w:jc w:val="left"/>
                    <w:rPr>
                      <w:color w:val="000000"/>
                      <w:kern w:val="24"/>
                      <w:szCs w:val="28"/>
                    </w:rPr>
                  </w:pPr>
                  <w:r>
                    <w:rPr>
                      <w:color w:val="000000"/>
                      <w:kern w:val="24"/>
                      <w:szCs w:val="28"/>
                    </w:rPr>
                    <w:t>采用2mm厚防腐环氧树脂进行防腐处理与废机油相容；</w:t>
                  </w:r>
                </w:p>
                <w:p>
                  <w:pPr>
                    <w:adjustRightInd w:val="0"/>
                    <w:snapToGrid w:val="0"/>
                    <w:jc w:val="left"/>
                    <w:rPr>
                      <w:color w:val="000000"/>
                      <w:kern w:val="24"/>
                      <w:szCs w:val="28"/>
                    </w:rPr>
                  </w:pPr>
                  <w:r>
                    <w:rPr>
                      <w:color w:val="000000"/>
                      <w:kern w:val="24"/>
                      <w:szCs w:val="28"/>
                    </w:rPr>
                    <w:t>危险废物暂存间设置有安全照明设施和观察窗口。</w:t>
                  </w:r>
                </w:p>
              </w:tc>
            </w:tr>
          </w:tbl>
          <w:p>
            <w:pPr>
              <w:autoSpaceDE w:val="0"/>
              <w:autoSpaceDN w:val="0"/>
              <w:snapToGrid w:val="0"/>
              <w:spacing w:line="360" w:lineRule="auto"/>
              <w:jc w:val="center"/>
              <w:rPr>
                <w:color w:val="000000"/>
                <w:kern w:val="0"/>
                <w:sz w:val="24"/>
                <w:lang w:bidi="ar"/>
              </w:rPr>
            </w:pPr>
            <w:r>
              <w:rPr>
                <w:rFonts w:hint="eastAsia"/>
                <w:b/>
                <w:color w:val="000000"/>
                <w:kern w:val="24"/>
                <w:szCs w:val="20"/>
              </w:rPr>
              <w:t>表</w:t>
            </w:r>
            <w:r>
              <w:rPr>
                <w:b/>
                <w:color w:val="000000"/>
                <w:kern w:val="24"/>
                <w:szCs w:val="20"/>
              </w:rPr>
              <w:t>4</w:t>
            </w:r>
            <w:r>
              <w:rPr>
                <w:rFonts w:hint="eastAsia"/>
                <w:b/>
                <w:color w:val="000000"/>
                <w:kern w:val="24"/>
                <w:szCs w:val="20"/>
              </w:rPr>
              <w:t>-</w:t>
            </w:r>
            <w:r>
              <w:rPr>
                <w:b/>
                <w:color w:val="000000"/>
                <w:kern w:val="24"/>
                <w:szCs w:val="20"/>
              </w:rPr>
              <w:t>15</w:t>
            </w:r>
            <w:r>
              <w:rPr>
                <w:rFonts w:hint="eastAsia"/>
                <w:b/>
                <w:color w:val="000000"/>
                <w:kern w:val="24"/>
                <w:szCs w:val="20"/>
              </w:rPr>
              <w:t xml:space="preserve">  </w:t>
            </w:r>
            <w:r>
              <w:rPr>
                <w:b/>
                <w:color w:val="000000"/>
                <w:kern w:val="24"/>
                <w:szCs w:val="20"/>
              </w:rPr>
              <w:t>建设项目危险废物暂存间运行、管理、安全措施一览表</w:t>
            </w:r>
          </w:p>
          <w:tbl>
            <w:tblPr>
              <w:tblStyle w:val="8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69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94" w:type="pct"/>
                  <w:shd w:val="clear" w:color="auto" w:fill="auto"/>
                  <w:vAlign w:val="center"/>
                </w:tcPr>
                <w:p>
                  <w:pPr>
                    <w:snapToGrid w:val="0"/>
                    <w:jc w:val="center"/>
                    <w:rPr>
                      <w:color w:val="000000"/>
                      <w:kern w:val="24"/>
                      <w:szCs w:val="28"/>
                    </w:rPr>
                  </w:pPr>
                  <w:r>
                    <w:rPr>
                      <w:rFonts w:hint="eastAsia"/>
                      <w:color w:val="000000"/>
                      <w:kern w:val="24"/>
                      <w:szCs w:val="28"/>
                    </w:rPr>
                    <w:t>项目</w:t>
                  </w:r>
                </w:p>
              </w:tc>
              <w:tc>
                <w:tcPr>
                  <w:tcW w:w="4406" w:type="pct"/>
                  <w:shd w:val="clear" w:color="auto" w:fill="auto"/>
                </w:tcPr>
                <w:p>
                  <w:pPr>
                    <w:snapToGrid w:val="0"/>
                    <w:jc w:val="center"/>
                    <w:rPr>
                      <w:color w:val="000000"/>
                      <w:kern w:val="24"/>
                      <w:szCs w:val="28"/>
                    </w:rPr>
                  </w:pPr>
                  <w:r>
                    <w:rPr>
                      <w:rFonts w:hint="eastAsia"/>
                      <w:color w:val="000000"/>
                      <w:kern w:val="24"/>
                      <w:szCs w:val="28"/>
                    </w:rPr>
                    <w:t>具体要求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94" w:type="pct"/>
                  <w:shd w:val="clear" w:color="auto" w:fill="auto"/>
                  <w:vAlign w:val="center"/>
                </w:tcPr>
                <w:p>
                  <w:pPr>
                    <w:snapToGrid w:val="0"/>
                    <w:jc w:val="center"/>
                    <w:rPr>
                      <w:color w:val="000000"/>
                      <w:kern w:val="24"/>
                      <w:szCs w:val="28"/>
                    </w:rPr>
                  </w:pPr>
                  <w:r>
                    <w:rPr>
                      <w:color w:val="000000"/>
                      <w:kern w:val="24"/>
                      <w:szCs w:val="28"/>
                    </w:rPr>
                    <w:t>危险废物暂存间的运行与管理</w:t>
                  </w:r>
                </w:p>
              </w:tc>
              <w:tc>
                <w:tcPr>
                  <w:tcW w:w="4406" w:type="pct"/>
                  <w:shd w:val="clear" w:color="auto" w:fill="auto"/>
                </w:tcPr>
                <w:p>
                  <w:pPr>
                    <w:snapToGrid w:val="0"/>
                    <w:jc w:val="left"/>
                    <w:rPr>
                      <w:color w:val="000000"/>
                      <w:kern w:val="24"/>
                      <w:szCs w:val="28"/>
                    </w:rPr>
                  </w:pPr>
                  <w:r>
                    <w:rPr>
                      <w:color w:val="000000"/>
                      <w:kern w:val="24"/>
                      <w:szCs w:val="28"/>
                    </w:rPr>
                    <w:t>盛装在容器内的同类危险废物可以堆叠存放。</w:t>
                  </w:r>
                </w:p>
                <w:p>
                  <w:pPr>
                    <w:snapToGrid w:val="0"/>
                    <w:jc w:val="left"/>
                    <w:rPr>
                      <w:color w:val="000000"/>
                      <w:kern w:val="24"/>
                      <w:szCs w:val="28"/>
                    </w:rPr>
                  </w:pPr>
                  <w:r>
                    <w:rPr>
                      <w:color w:val="000000"/>
                      <w:kern w:val="24"/>
                      <w:szCs w:val="28"/>
                    </w:rPr>
                    <w:t>建设单位须作好危险废物情况的记录，记录上须注明危险废物的名称、来源、数量、特性和包装容器的类别、入库日期、存放库位、废物出库日期及接收单位名称。</w:t>
                  </w:r>
                </w:p>
                <w:p>
                  <w:pPr>
                    <w:snapToGrid w:val="0"/>
                    <w:jc w:val="left"/>
                    <w:rPr>
                      <w:color w:val="000000"/>
                      <w:kern w:val="24"/>
                      <w:szCs w:val="28"/>
                    </w:rPr>
                  </w:pPr>
                  <w:r>
                    <w:rPr>
                      <w:color w:val="000000"/>
                      <w:kern w:val="24"/>
                      <w:szCs w:val="28"/>
                    </w:rPr>
                    <w:t>危险废物的记录和货单在危险废物回取后应继续保留三年。</w:t>
                  </w:r>
                </w:p>
                <w:p>
                  <w:pPr>
                    <w:snapToGrid w:val="0"/>
                    <w:jc w:val="left"/>
                    <w:rPr>
                      <w:color w:val="000000"/>
                      <w:kern w:val="24"/>
                      <w:szCs w:val="28"/>
                    </w:rPr>
                  </w:pPr>
                  <w:r>
                    <w:rPr>
                      <w:color w:val="000000"/>
                      <w:kern w:val="24"/>
                      <w:szCs w:val="28"/>
                    </w:rPr>
                    <w:t>必须定期对所贮存的危险废物包装容器及贮存设施进行检查，发现破损，应及时采取措施清理更换。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94" w:type="pct"/>
                  <w:shd w:val="clear" w:color="auto" w:fill="auto"/>
                  <w:vAlign w:val="center"/>
                </w:tcPr>
                <w:p>
                  <w:pPr>
                    <w:snapToGrid w:val="0"/>
                    <w:jc w:val="center"/>
                    <w:rPr>
                      <w:color w:val="000000"/>
                      <w:kern w:val="24"/>
                      <w:szCs w:val="28"/>
                    </w:rPr>
                  </w:pPr>
                  <w:r>
                    <w:rPr>
                      <w:color w:val="000000"/>
                      <w:kern w:val="24"/>
                      <w:szCs w:val="28"/>
                    </w:rPr>
                    <w:t>危险废物暂存间的安全防护</w:t>
                  </w:r>
                </w:p>
              </w:tc>
              <w:tc>
                <w:tcPr>
                  <w:tcW w:w="4406" w:type="pct"/>
                  <w:shd w:val="clear" w:color="auto" w:fill="auto"/>
                </w:tcPr>
                <w:p>
                  <w:pPr>
                    <w:snapToGrid w:val="0"/>
                    <w:jc w:val="left"/>
                    <w:rPr>
                      <w:color w:val="000000"/>
                      <w:kern w:val="24"/>
                      <w:szCs w:val="28"/>
                    </w:rPr>
                  </w:pPr>
                  <w:r>
                    <w:rPr>
                      <w:color w:val="000000"/>
                      <w:kern w:val="24"/>
                      <w:szCs w:val="28"/>
                    </w:rPr>
                    <w:t>必须按GB15562.2的规定设置警示标志。</w:t>
                  </w:r>
                </w:p>
                <w:p>
                  <w:pPr>
                    <w:snapToGrid w:val="0"/>
                    <w:jc w:val="left"/>
                    <w:rPr>
                      <w:color w:val="000000"/>
                      <w:kern w:val="24"/>
                      <w:szCs w:val="28"/>
                    </w:rPr>
                  </w:pPr>
                  <w:r>
                    <w:rPr>
                      <w:color w:val="000000"/>
                      <w:kern w:val="24"/>
                      <w:szCs w:val="28"/>
                    </w:rPr>
                    <w:t>周围应设置围墙或其它防护栅栏。</w:t>
                  </w:r>
                </w:p>
                <w:p>
                  <w:pPr>
                    <w:snapToGrid w:val="0"/>
                    <w:jc w:val="left"/>
                    <w:rPr>
                      <w:color w:val="000000"/>
                      <w:kern w:val="24"/>
                      <w:szCs w:val="28"/>
                    </w:rPr>
                  </w:pPr>
                  <w:r>
                    <w:rPr>
                      <w:color w:val="000000"/>
                      <w:kern w:val="24"/>
                      <w:szCs w:val="28"/>
                    </w:rPr>
                    <w:t>应配备通讯设备、照明设施、安全防护服装及工具，并设有应急防护设施。清理出来的泄漏物，一律按危险废物处理。</w:t>
                  </w:r>
                </w:p>
              </w:tc>
            </w:tr>
          </w:tbl>
          <w:p>
            <w:pPr>
              <w:widowControl/>
              <w:snapToGrid w:val="0"/>
              <w:spacing w:line="360" w:lineRule="auto"/>
              <w:jc w:val="left"/>
              <w:rPr>
                <w:b/>
                <w:color w:val="000000"/>
                <w:kern w:val="24"/>
                <w:sz w:val="24"/>
                <w:szCs w:val="28"/>
                <w:lang w:val="zh-CN"/>
              </w:rPr>
            </w:pPr>
            <w:r>
              <w:rPr>
                <w:b/>
                <w:color w:val="000000"/>
                <w:kern w:val="24"/>
                <w:sz w:val="24"/>
                <w:szCs w:val="28"/>
                <w:lang w:val="zh-CN"/>
              </w:rPr>
              <w:t>6</w:t>
            </w:r>
            <w:r>
              <w:rPr>
                <w:rFonts w:hint="eastAsia"/>
                <w:b/>
                <w:color w:val="000000"/>
                <w:kern w:val="24"/>
                <w:sz w:val="24"/>
                <w:szCs w:val="28"/>
                <w:lang w:val="zh-CN"/>
              </w:rPr>
              <w:t>、</w:t>
            </w:r>
            <w:r>
              <w:rPr>
                <w:b/>
                <w:color w:val="000000"/>
                <w:kern w:val="24"/>
                <w:sz w:val="24"/>
                <w:szCs w:val="28"/>
                <w:lang w:val="zh-CN"/>
              </w:rPr>
              <w:t>环境风险分析</w:t>
            </w:r>
          </w:p>
          <w:p>
            <w:pPr>
              <w:widowControl/>
              <w:adjustRightInd w:val="0"/>
              <w:snapToGrid w:val="0"/>
              <w:spacing w:line="360" w:lineRule="auto"/>
              <w:jc w:val="left"/>
              <w:rPr>
                <w:rFonts w:hAnsi="宋体"/>
                <w:b/>
                <w:bCs/>
                <w:color w:val="000000"/>
                <w:sz w:val="24"/>
              </w:rPr>
            </w:pPr>
            <w:r>
              <w:rPr>
                <w:rFonts w:hint="eastAsia" w:hAnsi="宋体"/>
                <w:b/>
                <w:bCs/>
                <w:color w:val="000000"/>
                <w:sz w:val="24"/>
              </w:rPr>
              <w:t>（1）环境风险识别</w:t>
            </w:r>
          </w:p>
          <w:p>
            <w:pPr>
              <w:widowControl/>
              <w:adjustRightInd w:val="0"/>
              <w:snapToGrid w:val="0"/>
              <w:spacing w:line="360" w:lineRule="auto"/>
              <w:ind w:firstLine="480" w:firstLineChars="200"/>
              <w:jc w:val="left"/>
              <w:rPr>
                <w:rFonts w:hAnsi="宋体"/>
                <w:color w:val="000000"/>
                <w:sz w:val="24"/>
              </w:rPr>
            </w:pPr>
            <w:r>
              <w:rPr>
                <w:rFonts w:hint="eastAsia" w:hAnsi="宋体"/>
                <w:color w:val="000000"/>
                <w:sz w:val="24"/>
              </w:rPr>
              <w:t>本项目生产使用的化学品主要为聚羧酸高性能外加剂，厂区内最大储存量为</w:t>
            </w:r>
            <w:r>
              <w:rPr>
                <w:rFonts w:hAnsi="宋体"/>
                <w:color w:val="000000"/>
                <w:sz w:val="24"/>
              </w:rPr>
              <w:t>1</w:t>
            </w:r>
            <w:r>
              <w:rPr>
                <w:rFonts w:hint="eastAsia" w:hAnsi="宋体"/>
                <w:color w:val="000000"/>
                <w:sz w:val="24"/>
              </w:rPr>
              <w:t>0t，聚羧酸系高性能外加剂是羧酸类接枝多元共聚物与其它有效助剂的复配产品。密度：1.07±0.02g/mL，固含量：20±2，水泥净浆流动度（基准水泥）：≥250mm（W/C=0.29），pH：6~8，氯离子含量：≤0.02%，外加率可高达45%，碱含量≤0.2%。经查阅相关资料，该外加剂产品外观为浅棕色液体，无色无味，无毒无害，不含甲醛，不属于危险化学品，是新一代环保型外加剂，属于节能环保产品。对照《国家危险废物名录》（2021版），本项目内所涉及的有害危险物质为设备产生的废机油。</w:t>
            </w:r>
          </w:p>
          <w:p>
            <w:pPr>
              <w:widowControl/>
              <w:adjustRightInd w:val="0"/>
              <w:snapToGrid w:val="0"/>
              <w:spacing w:line="360" w:lineRule="auto"/>
              <w:ind w:firstLine="480" w:firstLineChars="200"/>
              <w:jc w:val="left"/>
              <w:rPr>
                <w:rFonts w:hAnsi="宋体"/>
                <w:color w:val="000000"/>
                <w:sz w:val="24"/>
              </w:rPr>
            </w:pPr>
            <w:r>
              <w:rPr>
                <w:rFonts w:hint="eastAsia" w:hAnsi="宋体"/>
                <w:color w:val="000000"/>
                <w:sz w:val="24"/>
              </w:rPr>
              <w:t>根据《危险化学品重大危险源识别》（GB18218-2018）标准及《建设项目环境风险评价导则》（HJ169）附录B进行辨识。本项目生产废机油属于环境风险物质，但不属于重大危险源。</w:t>
            </w:r>
          </w:p>
          <w:p>
            <w:pPr>
              <w:widowControl/>
              <w:adjustRightInd w:val="0"/>
              <w:snapToGrid w:val="0"/>
              <w:spacing w:line="360" w:lineRule="auto"/>
              <w:ind w:firstLine="480" w:firstLineChars="200"/>
              <w:jc w:val="left"/>
              <w:rPr>
                <w:rFonts w:hAnsi="宋体"/>
                <w:color w:val="000000"/>
                <w:sz w:val="24"/>
              </w:rPr>
            </w:pPr>
            <w:r>
              <w:rPr>
                <w:rFonts w:hint="eastAsia" w:hAnsi="宋体"/>
                <w:color w:val="000000"/>
                <w:sz w:val="24"/>
              </w:rPr>
              <w:t>根据《建设项目环境风险评价技术导则》（HJ169）附录B、附录C进行对比，项目废机油最大存储量为0.05t/a，临界量为2500t。当企业只涉及一种环境风险物质时，计算该物质的总数量与其临界量比值，即为Q:</w:t>
            </w:r>
          </w:p>
          <w:p>
            <w:pPr>
              <w:widowControl/>
              <w:adjustRightInd w:val="0"/>
              <w:snapToGrid w:val="0"/>
              <w:spacing w:line="360" w:lineRule="auto"/>
              <w:ind w:firstLine="480" w:firstLineChars="200"/>
              <w:jc w:val="left"/>
              <w:rPr>
                <w:rFonts w:hAnsi="宋体"/>
                <w:color w:val="000000"/>
                <w:sz w:val="24"/>
              </w:rPr>
            </w:pPr>
            <w:r>
              <w:rPr>
                <w:rFonts w:hAnsi="宋体"/>
                <w:color w:val="000000"/>
                <w:sz w:val="24"/>
              </w:rPr>
              <w:t>Q=0.05/2500=0.00002</w:t>
            </w:r>
          </w:p>
          <w:p>
            <w:pPr>
              <w:widowControl/>
              <w:adjustRightInd w:val="0"/>
              <w:snapToGrid w:val="0"/>
              <w:spacing w:line="360" w:lineRule="auto"/>
              <w:ind w:firstLine="480" w:firstLineChars="200"/>
              <w:jc w:val="left"/>
              <w:rPr>
                <w:rFonts w:hAnsi="宋体"/>
                <w:color w:val="000000"/>
                <w:sz w:val="24"/>
              </w:rPr>
            </w:pPr>
            <w:r>
              <w:rPr>
                <w:rFonts w:hint="eastAsia" w:hAnsi="宋体"/>
                <w:color w:val="000000"/>
                <w:sz w:val="24"/>
              </w:rPr>
              <w:t>Q小于1，本项目环境风险潜势为I。</w:t>
            </w:r>
          </w:p>
          <w:p>
            <w:pPr>
              <w:widowControl/>
              <w:adjustRightInd w:val="0"/>
              <w:snapToGrid w:val="0"/>
              <w:spacing w:line="360" w:lineRule="auto"/>
              <w:jc w:val="left"/>
              <w:rPr>
                <w:rFonts w:hAnsi="宋体"/>
                <w:b/>
                <w:bCs/>
                <w:color w:val="000000"/>
                <w:sz w:val="24"/>
              </w:rPr>
            </w:pPr>
            <w:r>
              <w:rPr>
                <w:rFonts w:hint="eastAsia" w:hAnsi="宋体"/>
                <w:b/>
                <w:bCs/>
                <w:color w:val="000000"/>
                <w:sz w:val="24"/>
              </w:rPr>
              <w:t>（</w:t>
            </w:r>
            <w:r>
              <w:rPr>
                <w:rFonts w:hAnsi="宋体"/>
                <w:b/>
                <w:bCs/>
                <w:color w:val="000000"/>
                <w:sz w:val="24"/>
              </w:rPr>
              <w:t>2</w:t>
            </w:r>
            <w:r>
              <w:rPr>
                <w:rFonts w:hint="eastAsia" w:hAnsi="宋体"/>
                <w:b/>
                <w:bCs/>
                <w:color w:val="000000"/>
                <w:sz w:val="24"/>
              </w:rPr>
              <w:t>）环境风险分析</w:t>
            </w:r>
          </w:p>
          <w:p>
            <w:pPr>
              <w:autoSpaceDE w:val="0"/>
              <w:autoSpaceDN w:val="0"/>
              <w:adjustRightInd w:val="0"/>
              <w:spacing w:line="360" w:lineRule="auto"/>
              <w:ind w:firstLine="480" w:firstLineChars="200"/>
              <w:jc w:val="left"/>
              <w:rPr>
                <w:sz w:val="24"/>
              </w:rPr>
            </w:pPr>
            <w:r>
              <w:rPr>
                <w:sz w:val="24"/>
              </w:rPr>
              <w:t>①粉尘泄漏</w:t>
            </w:r>
          </w:p>
          <w:p>
            <w:pPr>
              <w:autoSpaceDE w:val="0"/>
              <w:autoSpaceDN w:val="0"/>
              <w:adjustRightInd w:val="0"/>
              <w:spacing w:line="360" w:lineRule="auto"/>
              <w:ind w:firstLine="480" w:firstLineChars="200"/>
              <w:jc w:val="left"/>
              <w:rPr>
                <w:sz w:val="24"/>
              </w:rPr>
            </w:pPr>
            <w:r>
              <w:rPr>
                <w:sz w:val="24"/>
              </w:rPr>
              <w:t>当发生粉尘泄漏时，主要会对站内人员、周边厂区工作人员及周边植被造成影响。粉尘可被人员吸入，影响人员身体健康。粉尘飘落在植被上，会影响植被的正常生长。从泄漏时间来看，粉尘泄漏事件较短，影响时间较短，当发生泄漏时，站内员工及时带上口罩，可大大减少对人员的危害。</w:t>
            </w:r>
          </w:p>
          <w:p>
            <w:pPr>
              <w:autoSpaceDE w:val="0"/>
              <w:autoSpaceDN w:val="0"/>
              <w:adjustRightInd w:val="0"/>
              <w:spacing w:line="360" w:lineRule="auto"/>
              <w:ind w:firstLine="480" w:firstLineChars="200"/>
              <w:jc w:val="left"/>
              <w:rPr>
                <w:sz w:val="24"/>
              </w:rPr>
            </w:pPr>
            <w:r>
              <w:rPr>
                <w:sz w:val="24"/>
              </w:rPr>
              <w:t>②生产废水泄漏</w:t>
            </w:r>
          </w:p>
          <w:p>
            <w:pPr>
              <w:autoSpaceDE w:val="0"/>
              <w:autoSpaceDN w:val="0"/>
              <w:adjustRightInd w:val="0"/>
              <w:spacing w:line="360" w:lineRule="auto"/>
              <w:ind w:firstLine="480" w:firstLineChars="200"/>
              <w:jc w:val="left"/>
              <w:rPr>
                <w:sz w:val="24"/>
              </w:rPr>
            </w:pPr>
            <w:r>
              <w:rPr>
                <w:sz w:val="24"/>
              </w:rPr>
              <w:t>生产废水池废水含有大量悬浮物及水泥，当沉淀池内废水泄漏，并流出站界，会影响周边土壤，若不及时处理，将可能造成板结，将可能造成板结，影响土壤功能。清洗废水不含有毒有害物质，当发生泄漏并流入周边土壤后，悬浮物大部分对土壤过滤滞留在表层土壤，只要及时将受污染的表土取出，即可大大减小对土壤功能造成的影响。</w:t>
            </w:r>
          </w:p>
          <w:p>
            <w:pPr>
              <w:autoSpaceDE w:val="0"/>
              <w:autoSpaceDN w:val="0"/>
              <w:adjustRightInd w:val="0"/>
              <w:spacing w:line="360" w:lineRule="auto"/>
              <w:ind w:firstLine="480" w:firstLineChars="200"/>
              <w:jc w:val="left"/>
              <w:rPr>
                <w:sz w:val="24"/>
              </w:rPr>
            </w:pPr>
            <w:r>
              <w:rPr>
                <w:sz w:val="24"/>
              </w:rPr>
              <w:t>③废机油泄漏</w:t>
            </w:r>
          </w:p>
          <w:p>
            <w:pPr>
              <w:autoSpaceDE w:val="0"/>
              <w:autoSpaceDN w:val="0"/>
              <w:adjustRightInd w:val="0"/>
              <w:spacing w:line="360" w:lineRule="auto"/>
              <w:ind w:firstLine="480" w:firstLineChars="200"/>
              <w:jc w:val="left"/>
              <w:rPr>
                <w:sz w:val="24"/>
              </w:rPr>
            </w:pPr>
            <w:r>
              <w:rPr>
                <w:sz w:val="24"/>
              </w:rPr>
              <w:t>废机油若泄漏并流入外环境，将对周边土壤造成严重影响。当此类事故发生时，立即联系晋宁分局，由专业人员进行处理，也可大大减小对环境造成的影响。</w:t>
            </w:r>
          </w:p>
          <w:p>
            <w:pPr>
              <w:autoSpaceDE w:val="0"/>
              <w:autoSpaceDN w:val="0"/>
              <w:adjustRightInd w:val="0"/>
              <w:spacing w:line="360" w:lineRule="auto"/>
              <w:ind w:firstLine="480" w:firstLineChars="200"/>
              <w:jc w:val="left"/>
              <w:rPr>
                <w:sz w:val="24"/>
              </w:rPr>
            </w:pPr>
            <w:r>
              <w:rPr>
                <w:rFonts w:hint="eastAsia"/>
                <w:sz w:val="24"/>
              </w:rPr>
              <w:t>④废机油导致爆炸、火灾</w:t>
            </w:r>
          </w:p>
          <w:p>
            <w:pPr>
              <w:autoSpaceDE w:val="0"/>
              <w:autoSpaceDN w:val="0"/>
              <w:adjustRightInd w:val="0"/>
              <w:spacing w:line="360" w:lineRule="auto"/>
              <w:ind w:firstLine="480" w:firstLineChars="200"/>
              <w:jc w:val="left"/>
              <w:rPr>
                <w:sz w:val="24"/>
              </w:rPr>
            </w:pPr>
            <w:r>
              <w:rPr>
                <w:rFonts w:hint="eastAsia"/>
                <w:sz w:val="24"/>
              </w:rPr>
              <w:t>废机油</w:t>
            </w:r>
            <w:r>
              <w:rPr>
                <w:sz w:val="24"/>
              </w:rPr>
              <w:t>泄露遇明火发生火灾爆炸，火灾爆炸事故次生气体污染物、消防废水等</w:t>
            </w:r>
            <w:r>
              <w:rPr>
                <w:rFonts w:hint="eastAsia"/>
                <w:sz w:val="24"/>
              </w:rPr>
              <w:t>，影响地表水、地下水、环境空气，消防废水渗入土壤对土壤产生影响。</w:t>
            </w:r>
          </w:p>
          <w:p>
            <w:pPr>
              <w:autoSpaceDE w:val="0"/>
              <w:autoSpaceDN w:val="0"/>
              <w:adjustRightInd w:val="0"/>
              <w:spacing w:line="360" w:lineRule="auto"/>
              <w:jc w:val="left"/>
              <w:rPr>
                <w:b/>
                <w:bCs/>
                <w:sz w:val="24"/>
              </w:rPr>
            </w:pPr>
            <w:r>
              <w:rPr>
                <w:rFonts w:hint="eastAsia"/>
                <w:b/>
                <w:bCs/>
                <w:sz w:val="24"/>
              </w:rPr>
              <w:t>（</w:t>
            </w:r>
            <w:r>
              <w:rPr>
                <w:b/>
                <w:bCs/>
                <w:sz w:val="24"/>
              </w:rPr>
              <w:t>3</w:t>
            </w:r>
            <w:r>
              <w:rPr>
                <w:rFonts w:hint="eastAsia"/>
                <w:b/>
                <w:bCs/>
                <w:sz w:val="24"/>
              </w:rPr>
              <w:t>）</w:t>
            </w:r>
            <w:r>
              <w:rPr>
                <w:b/>
                <w:bCs/>
                <w:sz w:val="24"/>
              </w:rPr>
              <w:t>环境风险防控措施与应急要求</w:t>
            </w:r>
          </w:p>
          <w:p>
            <w:pPr>
              <w:pStyle w:val="312"/>
              <w:rPr>
                <w:rFonts w:ascii="Times New Roman" w:hAnsi="Times New Roman"/>
                <w:sz w:val="21"/>
                <w:szCs w:val="21"/>
              </w:rPr>
            </w:pPr>
            <w:r>
              <w:rPr>
                <w:rFonts w:ascii="Times New Roman" w:hAnsi="Times New Roman"/>
                <w:sz w:val="21"/>
                <w:szCs w:val="21"/>
              </w:rPr>
              <w:t>表4-16  释放环境风险物质扩散途径、环境风险防控与应急措施、应急资源情况分析</w:t>
            </w:r>
          </w:p>
          <w:tbl>
            <w:tblPr>
              <w:tblStyle w:val="8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946"/>
              <w:gridCol w:w="2393"/>
              <w:gridCol w:w="24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 w:hRule="atLeast"/>
                <w:jc w:val="center"/>
              </w:trPr>
              <w:tc>
                <w:tcPr>
                  <w:tcW w:w="1879" w:type="pct"/>
                  <w:tcBorders>
                    <w:top w:val="single" w:color="000000" w:sz="4" w:space="0"/>
                    <w:left w:val="single" w:color="000000" w:sz="4" w:space="0"/>
                    <w:bottom w:val="single" w:color="000000" w:sz="4" w:space="0"/>
                    <w:right w:val="single" w:color="000000" w:sz="4" w:space="0"/>
                  </w:tcBorders>
                  <w:vAlign w:val="center"/>
                </w:tcPr>
                <w:p>
                  <w:pPr>
                    <w:pStyle w:val="580"/>
                    <w:rPr>
                      <w:rFonts w:ascii="Times New Roman" w:hAnsi="Times New Roman" w:eastAsia="宋体" w:cs="Times New Roman"/>
                    </w:rPr>
                  </w:pPr>
                  <w:r>
                    <w:rPr>
                      <w:rFonts w:ascii="Times New Roman" w:hAnsi="Times New Roman" w:eastAsia="宋体" w:cs="Times New Roman"/>
                    </w:rPr>
                    <w:t>环境风险物质扩散途径</w:t>
                  </w:r>
                </w:p>
              </w:tc>
              <w:tc>
                <w:tcPr>
                  <w:tcW w:w="1526" w:type="pct"/>
                  <w:tcBorders>
                    <w:top w:val="single" w:color="000000" w:sz="4" w:space="0"/>
                    <w:left w:val="single" w:color="000000" w:sz="4" w:space="0"/>
                    <w:bottom w:val="single" w:color="000000" w:sz="4" w:space="0"/>
                    <w:right w:val="single" w:color="000000" w:sz="4" w:space="0"/>
                  </w:tcBorders>
                  <w:vAlign w:val="center"/>
                </w:tcPr>
                <w:p>
                  <w:pPr>
                    <w:pStyle w:val="580"/>
                    <w:rPr>
                      <w:rFonts w:ascii="Times New Roman" w:hAnsi="Times New Roman" w:eastAsia="宋体" w:cs="Times New Roman"/>
                    </w:rPr>
                  </w:pPr>
                  <w:r>
                    <w:rPr>
                      <w:rFonts w:ascii="Times New Roman" w:hAnsi="Times New Roman" w:eastAsia="宋体" w:cs="Times New Roman"/>
                    </w:rPr>
                    <w:t>涉及环境风险防控与应急措施</w:t>
                  </w:r>
                </w:p>
              </w:tc>
              <w:tc>
                <w:tcPr>
                  <w:tcW w:w="1593" w:type="pct"/>
                  <w:tcBorders>
                    <w:top w:val="single" w:color="000000" w:sz="4" w:space="0"/>
                    <w:left w:val="single" w:color="000000" w:sz="4" w:space="0"/>
                    <w:bottom w:val="single" w:color="000000" w:sz="4" w:space="0"/>
                    <w:right w:val="single" w:color="000000" w:sz="4" w:space="0"/>
                  </w:tcBorders>
                  <w:vAlign w:val="center"/>
                </w:tcPr>
                <w:p>
                  <w:pPr>
                    <w:pStyle w:val="580"/>
                    <w:rPr>
                      <w:rFonts w:ascii="Times New Roman" w:hAnsi="Times New Roman" w:eastAsia="宋体" w:cs="Times New Roman"/>
                    </w:rPr>
                  </w:pPr>
                  <w:r>
                    <w:rPr>
                      <w:rFonts w:ascii="Times New Roman" w:hAnsi="Times New Roman" w:eastAsia="宋体" w:cs="Times New Roman"/>
                    </w:rPr>
                    <w:t>应急资源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 w:hRule="atLeast"/>
                <w:jc w:val="center"/>
              </w:trPr>
              <w:tc>
                <w:tcPr>
                  <w:tcW w:w="1879" w:type="pct"/>
                  <w:tcBorders>
                    <w:top w:val="single" w:color="000000" w:sz="4" w:space="0"/>
                    <w:left w:val="single" w:color="000000" w:sz="4" w:space="0"/>
                    <w:bottom w:val="single" w:color="000000" w:sz="4" w:space="0"/>
                    <w:right w:val="single" w:color="000000" w:sz="4" w:space="0"/>
                  </w:tcBorders>
                  <w:vAlign w:val="center"/>
                </w:tcPr>
                <w:p>
                  <w:pPr>
                    <w:pStyle w:val="580"/>
                    <w:rPr>
                      <w:rFonts w:ascii="Times New Roman" w:hAnsi="Times New Roman" w:eastAsia="宋体" w:cs="Times New Roman"/>
                    </w:rPr>
                  </w:pPr>
                  <w:r>
                    <w:rPr>
                      <w:rFonts w:ascii="Times New Roman" w:hAnsi="Times New Roman" w:eastAsia="宋体" w:cs="Times New Roman"/>
                    </w:rPr>
                    <w:t>筒仓粉尘进入大气环境，随空气流往下风向扩散，影响下风向大气环境受体。</w:t>
                  </w:r>
                </w:p>
              </w:tc>
              <w:tc>
                <w:tcPr>
                  <w:tcW w:w="1526" w:type="pct"/>
                  <w:tcBorders>
                    <w:top w:val="single" w:color="000000" w:sz="4" w:space="0"/>
                    <w:left w:val="single" w:color="000000" w:sz="4" w:space="0"/>
                    <w:bottom w:val="single" w:color="000000" w:sz="4" w:space="0"/>
                    <w:right w:val="single" w:color="000000" w:sz="4" w:space="0"/>
                  </w:tcBorders>
                  <w:vAlign w:val="center"/>
                </w:tcPr>
                <w:p>
                  <w:pPr>
                    <w:pStyle w:val="580"/>
                    <w:rPr>
                      <w:rFonts w:ascii="Times New Roman" w:hAnsi="Times New Roman" w:eastAsia="宋体" w:cs="Times New Roman"/>
                    </w:rPr>
                  </w:pPr>
                  <w:r>
                    <w:rPr>
                      <w:rFonts w:ascii="Times New Roman" w:hAnsi="Times New Roman" w:eastAsia="宋体" w:cs="Times New Roman"/>
                    </w:rPr>
                    <w:t>水泥抽料车气泵紧急关闭装置，筒仓进料阀门</w:t>
                  </w:r>
                </w:p>
              </w:tc>
              <w:tc>
                <w:tcPr>
                  <w:tcW w:w="1593" w:type="pct"/>
                  <w:tcBorders>
                    <w:top w:val="single" w:color="000000" w:sz="4" w:space="0"/>
                    <w:left w:val="single" w:color="000000" w:sz="4" w:space="0"/>
                    <w:bottom w:val="single" w:color="000000" w:sz="4" w:space="0"/>
                    <w:right w:val="single" w:color="000000" w:sz="4" w:space="0"/>
                  </w:tcBorders>
                  <w:vAlign w:val="center"/>
                </w:tcPr>
                <w:p>
                  <w:pPr>
                    <w:pStyle w:val="580"/>
                    <w:rPr>
                      <w:rFonts w:ascii="Times New Roman" w:hAnsi="Times New Roman" w:eastAsia="宋体" w:cs="Times New Roman"/>
                    </w:rPr>
                  </w:pPr>
                  <w:r>
                    <w:rPr>
                      <w:rFonts w:ascii="Times New Roman" w:hAnsi="Times New Roman" w:eastAsia="宋体" w:cs="Times New Roman"/>
                    </w:rPr>
                    <w:t>防尘卫生口罩，应急救援队伍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 w:hRule="atLeast"/>
                <w:jc w:val="center"/>
              </w:trPr>
              <w:tc>
                <w:tcPr>
                  <w:tcW w:w="1879" w:type="pct"/>
                  <w:tcBorders>
                    <w:top w:val="single" w:color="000000" w:sz="4" w:space="0"/>
                    <w:left w:val="single" w:color="000000" w:sz="4" w:space="0"/>
                    <w:bottom w:val="single" w:color="000000" w:sz="4" w:space="0"/>
                    <w:right w:val="single" w:color="000000" w:sz="4" w:space="0"/>
                  </w:tcBorders>
                  <w:vAlign w:val="center"/>
                </w:tcPr>
                <w:p>
                  <w:pPr>
                    <w:pStyle w:val="580"/>
                    <w:rPr>
                      <w:rFonts w:ascii="Times New Roman" w:hAnsi="Times New Roman" w:eastAsia="宋体" w:cs="Times New Roman"/>
                    </w:rPr>
                  </w:pPr>
                  <w:r>
                    <w:rPr>
                      <w:rFonts w:ascii="Times New Roman" w:hAnsi="Times New Roman" w:eastAsia="宋体" w:cs="Times New Roman"/>
                    </w:rPr>
                    <w:t>清洗废水发生泄漏，形成径流，流入周边受体，影响周边土壤</w:t>
                  </w:r>
                </w:p>
              </w:tc>
              <w:tc>
                <w:tcPr>
                  <w:tcW w:w="1526" w:type="pct"/>
                  <w:tcBorders>
                    <w:top w:val="single" w:color="000000" w:sz="4" w:space="0"/>
                    <w:left w:val="single" w:color="000000" w:sz="4" w:space="0"/>
                    <w:bottom w:val="single" w:color="000000" w:sz="4" w:space="0"/>
                    <w:right w:val="single" w:color="000000" w:sz="4" w:space="0"/>
                  </w:tcBorders>
                  <w:vAlign w:val="center"/>
                </w:tcPr>
                <w:p>
                  <w:pPr>
                    <w:pStyle w:val="580"/>
                    <w:rPr>
                      <w:rFonts w:ascii="Times New Roman" w:hAnsi="Times New Roman" w:eastAsia="宋体" w:cs="Times New Roman"/>
                    </w:rPr>
                  </w:pPr>
                  <w:r>
                    <w:rPr>
                      <w:rFonts w:ascii="Times New Roman" w:hAnsi="Times New Roman" w:eastAsia="宋体" w:cs="Times New Roman"/>
                    </w:rPr>
                    <w:t>各类泄漏紧急处理设施</w:t>
                  </w:r>
                </w:p>
              </w:tc>
              <w:tc>
                <w:tcPr>
                  <w:tcW w:w="1593" w:type="pct"/>
                  <w:tcBorders>
                    <w:top w:val="single" w:color="000000" w:sz="4" w:space="0"/>
                    <w:left w:val="single" w:color="000000" w:sz="4" w:space="0"/>
                    <w:bottom w:val="single" w:color="000000" w:sz="4" w:space="0"/>
                    <w:right w:val="single" w:color="000000" w:sz="4" w:space="0"/>
                  </w:tcBorders>
                  <w:vAlign w:val="center"/>
                </w:tcPr>
                <w:p>
                  <w:pPr>
                    <w:pStyle w:val="580"/>
                    <w:rPr>
                      <w:rFonts w:ascii="Times New Roman" w:hAnsi="Times New Roman" w:eastAsia="宋体" w:cs="Times New Roman"/>
                    </w:rPr>
                  </w:pPr>
                  <w:r>
                    <w:rPr>
                      <w:rFonts w:ascii="Times New Roman" w:hAnsi="Times New Roman" w:eastAsia="宋体" w:cs="Times New Roman"/>
                    </w:rPr>
                    <w:t>沙袋、锄头、手套、铲子、大锤、应急救援队伍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 w:hRule="atLeast"/>
                <w:jc w:val="center"/>
              </w:trPr>
              <w:tc>
                <w:tcPr>
                  <w:tcW w:w="1879" w:type="pct"/>
                  <w:tcBorders>
                    <w:top w:val="single" w:color="000000" w:sz="4" w:space="0"/>
                    <w:left w:val="single" w:color="000000" w:sz="4" w:space="0"/>
                    <w:bottom w:val="single" w:color="000000" w:sz="4" w:space="0"/>
                    <w:right w:val="single" w:color="000000" w:sz="4" w:space="0"/>
                  </w:tcBorders>
                  <w:vAlign w:val="center"/>
                </w:tcPr>
                <w:p>
                  <w:pPr>
                    <w:pStyle w:val="580"/>
                    <w:rPr>
                      <w:rFonts w:ascii="Times New Roman" w:hAnsi="Times New Roman" w:eastAsia="宋体" w:cs="Times New Roman"/>
                    </w:rPr>
                  </w:pPr>
                  <w:r>
                    <w:rPr>
                      <w:rFonts w:ascii="Times New Roman" w:hAnsi="Times New Roman" w:eastAsia="宋体" w:cs="Times New Roman"/>
                    </w:rPr>
                    <w:t>废弃机油泄漏，随地形流淌，污染周边土壤</w:t>
                  </w:r>
                </w:p>
              </w:tc>
              <w:tc>
                <w:tcPr>
                  <w:tcW w:w="1526" w:type="pct"/>
                  <w:tcBorders>
                    <w:top w:val="single" w:color="000000" w:sz="4" w:space="0"/>
                    <w:left w:val="single" w:color="000000" w:sz="4" w:space="0"/>
                    <w:bottom w:val="single" w:color="000000" w:sz="4" w:space="0"/>
                    <w:right w:val="single" w:color="000000" w:sz="4" w:space="0"/>
                  </w:tcBorders>
                  <w:vAlign w:val="center"/>
                </w:tcPr>
                <w:p>
                  <w:pPr>
                    <w:pStyle w:val="580"/>
                    <w:rPr>
                      <w:rFonts w:ascii="Times New Roman" w:hAnsi="Times New Roman" w:eastAsia="宋体" w:cs="Times New Roman"/>
                    </w:rPr>
                  </w:pPr>
                  <w:r>
                    <w:rPr>
                      <w:rFonts w:ascii="Times New Roman" w:hAnsi="Times New Roman" w:eastAsia="宋体" w:cs="Times New Roman"/>
                    </w:rPr>
                    <w:t>专人看管，立即更换废弃机油收集桶，砂石料吸附。围堵</w:t>
                  </w:r>
                </w:p>
              </w:tc>
              <w:tc>
                <w:tcPr>
                  <w:tcW w:w="1593" w:type="pct"/>
                  <w:tcBorders>
                    <w:top w:val="single" w:color="000000" w:sz="4" w:space="0"/>
                    <w:left w:val="single" w:color="000000" w:sz="4" w:space="0"/>
                    <w:bottom w:val="single" w:color="000000" w:sz="4" w:space="0"/>
                    <w:right w:val="single" w:color="000000" w:sz="4" w:space="0"/>
                  </w:tcBorders>
                  <w:vAlign w:val="center"/>
                </w:tcPr>
                <w:p>
                  <w:pPr>
                    <w:pStyle w:val="580"/>
                    <w:rPr>
                      <w:rFonts w:ascii="Times New Roman" w:hAnsi="Times New Roman" w:eastAsia="宋体" w:cs="Times New Roman"/>
                    </w:rPr>
                  </w:pPr>
                  <w:r>
                    <w:rPr>
                      <w:rFonts w:ascii="Times New Roman" w:hAnsi="Times New Roman" w:eastAsia="宋体" w:cs="Times New Roman"/>
                    </w:rPr>
                    <w:t>空闲的废弃机油收集桶，十字撬、应急救援队伍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 w:hRule="atLeast"/>
                <w:jc w:val="center"/>
              </w:trPr>
              <w:tc>
                <w:tcPr>
                  <w:tcW w:w="1879" w:type="pct"/>
                  <w:tcBorders>
                    <w:top w:val="single" w:color="000000" w:sz="4" w:space="0"/>
                    <w:left w:val="single" w:color="000000" w:sz="4" w:space="0"/>
                    <w:bottom w:val="single" w:color="000000" w:sz="4" w:space="0"/>
                    <w:right w:val="single" w:color="000000" w:sz="4" w:space="0"/>
                  </w:tcBorders>
                  <w:vAlign w:val="center"/>
                </w:tcPr>
                <w:p>
                  <w:pPr>
                    <w:pStyle w:val="580"/>
                    <w:rPr>
                      <w:rFonts w:ascii="Times New Roman" w:hAnsi="Times New Roman" w:eastAsia="宋体" w:cs="Times New Roman"/>
                    </w:rPr>
                  </w:pPr>
                  <w:r>
                    <w:rPr>
                      <w:rFonts w:ascii="Times New Roman" w:hAnsi="Times New Roman" w:eastAsia="宋体" w:cs="Times New Roman"/>
                    </w:rPr>
                    <w:t>废弃机油导致火灾、爆炸</w:t>
                  </w:r>
                </w:p>
              </w:tc>
              <w:tc>
                <w:tcPr>
                  <w:tcW w:w="1526" w:type="pct"/>
                  <w:tcBorders>
                    <w:top w:val="single" w:color="000000" w:sz="4" w:space="0"/>
                    <w:left w:val="single" w:color="000000" w:sz="4" w:space="0"/>
                    <w:bottom w:val="single" w:color="000000" w:sz="4" w:space="0"/>
                    <w:right w:val="single" w:color="000000" w:sz="4" w:space="0"/>
                  </w:tcBorders>
                  <w:vAlign w:val="center"/>
                </w:tcPr>
                <w:p>
                  <w:pPr>
                    <w:pStyle w:val="580"/>
                    <w:rPr>
                      <w:rFonts w:ascii="Times New Roman" w:hAnsi="Times New Roman" w:eastAsia="宋体" w:cs="Times New Roman"/>
                    </w:rPr>
                  </w:pPr>
                  <w:r>
                    <w:rPr>
                      <w:rFonts w:ascii="Times New Roman" w:hAnsi="Times New Roman" w:eastAsia="宋体" w:cs="Times New Roman"/>
                    </w:rPr>
                    <w:t>专人管理，发现火灾、爆炸，立即进预警、并且采取相应的紧急救援措施。</w:t>
                  </w:r>
                </w:p>
              </w:tc>
              <w:tc>
                <w:tcPr>
                  <w:tcW w:w="1593" w:type="pct"/>
                  <w:tcBorders>
                    <w:top w:val="single" w:color="000000" w:sz="4" w:space="0"/>
                    <w:left w:val="single" w:color="000000" w:sz="4" w:space="0"/>
                    <w:bottom w:val="single" w:color="000000" w:sz="4" w:space="0"/>
                    <w:right w:val="single" w:color="000000" w:sz="4" w:space="0"/>
                  </w:tcBorders>
                  <w:vAlign w:val="center"/>
                </w:tcPr>
                <w:p>
                  <w:pPr>
                    <w:pStyle w:val="580"/>
                    <w:rPr>
                      <w:rFonts w:ascii="Times New Roman" w:hAnsi="Times New Roman" w:eastAsia="宋体" w:cs="Times New Roman"/>
                    </w:rPr>
                  </w:pPr>
                  <w:r>
                    <w:rPr>
                      <w:rFonts w:ascii="Times New Roman" w:hAnsi="Times New Roman" w:eastAsia="宋体" w:cs="Times New Roman"/>
                    </w:rPr>
                    <w:t>配备相应的消防设施（灭火器、消防栓、消防沙箱）</w:t>
                  </w:r>
                </w:p>
              </w:tc>
            </w:tr>
          </w:tbl>
          <w:p>
            <w:pPr>
              <w:autoSpaceDE w:val="0"/>
              <w:autoSpaceDN w:val="0"/>
              <w:adjustRightInd w:val="0"/>
              <w:spacing w:line="360" w:lineRule="auto"/>
              <w:ind w:firstLine="480" w:firstLineChars="200"/>
              <w:jc w:val="left"/>
              <w:rPr>
                <w:sz w:val="24"/>
                <w:szCs w:val="21"/>
              </w:rPr>
            </w:pPr>
            <w:r>
              <w:rPr>
                <w:sz w:val="24"/>
              </w:rPr>
              <w:t>目前存在的环境风险主要为筒仓除尘器失效，粉尘超标排放；生产废水沉淀池溢流；废机油泄漏</w:t>
            </w:r>
            <w:r>
              <w:rPr>
                <w:rFonts w:hint="eastAsia"/>
                <w:sz w:val="24"/>
              </w:rPr>
              <w:t>、火灾、爆炸</w:t>
            </w:r>
            <w:r>
              <w:rPr>
                <w:sz w:val="24"/>
              </w:rPr>
              <w:t>。</w:t>
            </w:r>
          </w:p>
          <w:p>
            <w:pPr>
              <w:autoSpaceDE w:val="0"/>
              <w:autoSpaceDN w:val="0"/>
              <w:adjustRightInd w:val="0"/>
              <w:spacing w:line="360" w:lineRule="auto"/>
              <w:ind w:firstLine="480" w:firstLineChars="200"/>
              <w:jc w:val="left"/>
              <w:rPr>
                <w:sz w:val="24"/>
              </w:rPr>
            </w:pPr>
            <w:r>
              <w:rPr>
                <w:sz w:val="24"/>
              </w:rPr>
              <w:t>①为了防止筒仓粉尘超标排放、搅拌站设有专人负责检查维修仓顶除尘器，发现除尘器损坏及时维修或更换。在筒仓装料环节，若除尘器突然失效，则采取立即停止抽料，待除尘器检修完毕后恢复抽料。并应增设备用除尘袋，如发生滤袋破损现象，及时用备用除尘袋更换破损的滤袋，减少粉尘的非正常排放事故的污染影响程度和范围。</w:t>
            </w:r>
          </w:p>
          <w:p>
            <w:pPr>
              <w:autoSpaceDE w:val="0"/>
              <w:autoSpaceDN w:val="0"/>
              <w:adjustRightInd w:val="0"/>
              <w:spacing w:line="360" w:lineRule="auto"/>
              <w:ind w:firstLine="480" w:firstLineChars="200"/>
              <w:jc w:val="left"/>
              <w:rPr>
                <w:sz w:val="24"/>
              </w:rPr>
            </w:pPr>
            <w:r>
              <w:rPr>
                <w:sz w:val="24"/>
              </w:rPr>
              <w:t>②生产废水沉淀池设有兼职人员看管，每天对池子进行检查，发现泄漏及时修补。若沉淀池突然发现溃坝，可在站区地势较低处拦堵。</w:t>
            </w:r>
          </w:p>
          <w:p>
            <w:pPr>
              <w:autoSpaceDE w:val="0"/>
              <w:autoSpaceDN w:val="0"/>
              <w:adjustRightInd w:val="0"/>
              <w:spacing w:line="360" w:lineRule="auto"/>
              <w:ind w:firstLine="480" w:firstLineChars="200"/>
              <w:jc w:val="left"/>
              <w:rPr>
                <w:sz w:val="24"/>
              </w:rPr>
            </w:pPr>
            <w:r>
              <w:rPr>
                <w:sz w:val="24"/>
              </w:rPr>
              <w:t>③站内废机油由专人看管，废机油均分装于废机油桶内，并存放于危险废物收集间。危险废物暂存间内设有空闲的废机油收集桶，发生泄漏事故时可及时将废弃机油抽至空桶内。</w:t>
            </w:r>
          </w:p>
          <w:p>
            <w:pPr>
              <w:autoSpaceDE w:val="0"/>
              <w:autoSpaceDN w:val="0"/>
              <w:adjustRightInd w:val="0"/>
              <w:spacing w:line="360" w:lineRule="auto"/>
              <w:ind w:firstLine="480" w:firstLineChars="200"/>
              <w:jc w:val="left"/>
              <w:rPr>
                <w:sz w:val="24"/>
              </w:rPr>
            </w:pPr>
            <w:r>
              <w:rPr>
                <w:rFonts w:hint="eastAsia"/>
                <w:sz w:val="24"/>
              </w:rPr>
              <w:t>④废机油</w:t>
            </w:r>
            <w:r>
              <w:rPr>
                <w:sz w:val="24"/>
              </w:rPr>
              <w:t>爆炸、火灾引发及次生的环境事件</w:t>
            </w:r>
            <w:bookmarkStart w:id="36" w:name="OLE_LINK8"/>
            <w:r>
              <w:rPr>
                <w:sz w:val="24"/>
              </w:rPr>
              <w:t>应急处理措施</w:t>
            </w:r>
            <w:bookmarkEnd w:id="36"/>
          </w:p>
          <w:p>
            <w:pPr>
              <w:autoSpaceDE w:val="0"/>
              <w:autoSpaceDN w:val="0"/>
              <w:adjustRightInd w:val="0"/>
              <w:spacing w:line="360" w:lineRule="auto"/>
              <w:ind w:firstLine="480" w:firstLineChars="200"/>
              <w:jc w:val="left"/>
              <w:rPr>
                <w:sz w:val="24"/>
              </w:rPr>
            </w:pPr>
            <w:r>
              <w:rPr>
                <w:sz w:val="24"/>
              </w:rPr>
              <w:t>1）一旦发现起火，第一事故发现人立即向值班人员报警，并迅速用事故现场的消防设施进行灭火。由值班人员联系消防队。公司厂区各部门立即停止正常工作，处于全面警戒状态。当班电工切断电源，关闭厂内雨污排水口。</w:t>
            </w:r>
          </w:p>
          <w:p>
            <w:pPr>
              <w:autoSpaceDE w:val="0"/>
              <w:autoSpaceDN w:val="0"/>
              <w:adjustRightInd w:val="0"/>
              <w:spacing w:line="360" w:lineRule="auto"/>
              <w:ind w:firstLine="480" w:firstLineChars="200"/>
              <w:jc w:val="left"/>
              <w:rPr>
                <w:sz w:val="24"/>
              </w:rPr>
            </w:pPr>
            <w:r>
              <w:rPr>
                <w:sz w:val="24"/>
              </w:rPr>
              <w:t>2）根据火灾范围划分警戒区域并设立警戒标志，疏散现场无关人员，保持消防通道的通畅，引导消防车辆进库灭火。</w:t>
            </w:r>
          </w:p>
          <w:p>
            <w:pPr>
              <w:autoSpaceDE w:val="0"/>
              <w:autoSpaceDN w:val="0"/>
              <w:adjustRightInd w:val="0"/>
              <w:spacing w:line="360" w:lineRule="auto"/>
              <w:ind w:firstLine="480" w:firstLineChars="200"/>
              <w:jc w:val="left"/>
              <w:rPr>
                <w:sz w:val="24"/>
              </w:rPr>
            </w:pPr>
            <w:r>
              <w:rPr>
                <w:sz w:val="24"/>
              </w:rPr>
              <w:t>3）迅速使用邻近消防栓或者移动灭火器进行喷淋灭火、冷却，若火势未得到有效控制，待消防队赶赴现场后，主动配合消防人员进行扑救，避免火灾扩大。</w:t>
            </w:r>
          </w:p>
          <w:p>
            <w:pPr>
              <w:autoSpaceDE w:val="0"/>
              <w:autoSpaceDN w:val="0"/>
              <w:adjustRightInd w:val="0"/>
              <w:spacing w:line="360" w:lineRule="auto"/>
              <w:ind w:firstLine="480" w:firstLineChars="200"/>
              <w:jc w:val="left"/>
              <w:rPr>
                <w:sz w:val="24"/>
              </w:rPr>
            </w:pPr>
            <w:r>
              <w:rPr>
                <w:sz w:val="24"/>
              </w:rPr>
              <w:t>4）组织供应救灾物资、保证通讯的畅通、安排交通车辆、救护伤员、抢修设备以及其他后勤保障。</w:t>
            </w:r>
          </w:p>
          <w:p>
            <w:pPr>
              <w:autoSpaceDE w:val="0"/>
              <w:autoSpaceDN w:val="0"/>
              <w:adjustRightInd w:val="0"/>
              <w:spacing w:line="360" w:lineRule="auto"/>
              <w:ind w:firstLine="480" w:firstLineChars="200"/>
              <w:jc w:val="left"/>
              <w:rPr>
                <w:sz w:val="24"/>
              </w:rPr>
            </w:pPr>
            <w:r>
              <w:rPr>
                <w:sz w:val="24"/>
              </w:rPr>
              <w:t>5）如发生较大火灾，且灾情一时又难以控制，为防止可燃物在大火烘烤下造成爆炸，公司应急指挥部应及时与赶来救援的消防队联系是否需要将可燃物排清（一般情况下不会产生这种现象，但在大火漫延失控时也要及时作出决断），防止发生爆炸造成重大次生灾难，应启用临时储存设施，事后做好物料的回收和清理处置工作。</w:t>
            </w:r>
          </w:p>
          <w:p>
            <w:pPr>
              <w:spacing w:line="360" w:lineRule="auto"/>
              <w:rPr>
                <w:b/>
                <w:bCs/>
                <w:sz w:val="24"/>
              </w:rPr>
            </w:pPr>
            <w:r>
              <w:rPr>
                <w:b/>
                <w:bCs/>
                <w:sz w:val="24"/>
              </w:rPr>
              <w:t>7</w:t>
            </w:r>
            <w:r>
              <w:rPr>
                <w:rFonts w:hint="eastAsia"/>
                <w:b/>
                <w:bCs/>
                <w:sz w:val="24"/>
              </w:rPr>
              <w:t>、落实排污许可制度</w:t>
            </w:r>
          </w:p>
          <w:p>
            <w:pPr>
              <w:spacing w:line="360" w:lineRule="auto"/>
              <w:ind w:firstLine="480" w:firstLineChars="200"/>
              <w:rPr>
                <w:sz w:val="24"/>
              </w:rPr>
            </w:pPr>
            <w:r>
              <w:rPr>
                <w:rFonts w:hint="eastAsia"/>
                <w:sz w:val="24"/>
              </w:rPr>
              <w:t>本项目与排污许可制度的衔接为贯彻落实《国务院办公厅关于印发控制污染物排放许可制实施方案的通知》（国办发〔2016〕81号）和《环境保护部关于印发〈“十三五”环境影响评价改革实施方案〉的通知》（环环评〔2016〕95号），推进环境质量改善，现就做好建设项目环境影响评价制度与排污许可制有机衔接。建设项目发生实际排污行为之前，排污单位应当按照国家环境保护相关法律法规以及排污许可证申请与核发技术规范要求申请排污许可证，不得无证排污或不按证排污。环境影响报告书（表）2015年1月1日（含）后获得批准的建设项目，其环境影响报告书（表）以及审批文件中与污染物排放相关的主要内容应当纳入排污许可证。建设项目无证排污或不按证排污的，建设单位不得出具该项目验收合格的意见，验收报告中与污染物排放相关的主要内容应当纳入该项目验收完成当年排污许可证执行年报。排污许可证执行报告、台账记录以及自行监测执行情况等应作为开展建设项目环境影响后评价的重要依据。</w:t>
            </w:r>
          </w:p>
          <w:p>
            <w:pPr>
              <w:spacing w:line="360" w:lineRule="auto"/>
              <w:ind w:firstLine="480" w:firstLineChars="200"/>
              <w:rPr>
                <w:sz w:val="24"/>
              </w:rPr>
            </w:pPr>
            <w:r>
              <w:rPr>
                <w:rFonts w:hint="eastAsia"/>
                <w:sz w:val="24"/>
              </w:rPr>
              <w:t>对照《固定污染源排污许可分类管理名录（2019年版）》，本项目属于“二十五、非金属矿物制品业3021-水泥制品制造”，属于排污许可分类管理中登记管理，项目应在取得环评批复后，应当在启动生产设施或者发生实际排污之前进行排污许可登记。</w:t>
            </w:r>
          </w:p>
          <w:p>
            <w:pPr>
              <w:spacing w:line="360" w:lineRule="auto"/>
              <w:rPr>
                <w:rFonts w:eastAsiaTheme="minorEastAsia"/>
                <w:b/>
                <w:bCs/>
                <w:sz w:val="24"/>
              </w:rPr>
            </w:pPr>
            <w:r>
              <w:rPr>
                <w:rFonts w:eastAsiaTheme="minorEastAsia"/>
                <w:b/>
                <w:bCs/>
                <w:sz w:val="24"/>
              </w:rPr>
              <w:t>8、竣工验收</w:t>
            </w:r>
          </w:p>
          <w:p>
            <w:pPr>
              <w:spacing w:line="360" w:lineRule="auto"/>
              <w:ind w:firstLine="480" w:firstLineChars="200"/>
              <w:rPr>
                <w:sz w:val="24"/>
              </w:rPr>
            </w:pPr>
            <w:r>
              <w:rPr>
                <w:rFonts w:hint="eastAsia"/>
                <w:sz w:val="24"/>
              </w:rPr>
              <w:t>根据《中华人民共和国环境保护法》规定，建设项目污染防治设施必须与主体工程同时设计、同时施工、同时投入运行，本项目为新建项目，项目建成后，建设单位应尽快落实本环评中提出的各项环保措施，并按相关规定及时自行组织竣工环境保护验收，项目环境保护竣工验收内容如表4-</w:t>
            </w:r>
            <w:r>
              <w:rPr>
                <w:sz w:val="24"/>
              </w:rPr>
              <w:t>15</w:t>
            </w:r>
            <w:r>
              <w:rPr>
                <w:rFonts w:hint="eastAsia"/>
                <w:sz w:val="24"/>
              </w:rPr>
              <w:t>。</w:t>
            </w:r>
          </w:p>
          <w:p>
            <w:pPr>
              <w:spacing w:line="360" w:lineRule="auto"/>
              <w:jc w:val="center"/>
              <w:rPr>
                <w:b/>
                <w:bCs/>
              </w:rPr>
            </w:pPr>
            <w:r>
              <w:rPr>
                <w:rFonts w:hint="eastAsia"/>
                <w:b/>
                <w:bCs/>
              </w:rPr>
              <w:t>表4-</w:t>
            </w:r>
            <w:r>
              <w:rPr>
                <w:b/>
                <w:bCs/>
              </w:rPr>
              <w:t xml:space="preserve">17  </w:t>
            </w:r>
            <w:r>
              <w:rPr>
                <w:rFonts w:hint="eastAsia"/>
                <w:b/>
                <w:bCs/>
              </w:rPr>
              <w:t>项目环境保护竣工验收竣工验收一览表</w:t>
            </w:r>
          </w:p>
          <w:tbl>
            <w:tblPr>
              <w:tblStyle w:val="88"/>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03"/>
              <w:gridCol w:w="1075"/>
              <w:gridCol w:w="3610"/>
              <w:gridCol w:w="25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before="100"/>
                    <w:jc w:val="center"/>
                    <w:rPr>
                      <w:rFonts w:ascii="Times New Roman" w:hAnsi="Times New Roman" w:cs="Times New Roman"/>
                      <w:b/>
                      <w:bCs/>
                      <w:szCs w:val="21"/>
                    </w:rPr>
                  </w:pPr>
                  <w:r>
                    <w:rPr>
                      <w:rFonts w:ascii="Times New Roman" w:hAnsi="Times New Roman" w:cs="Times New Roman"/>
                      <w:b/>
                      <w:bCs/>
                      <w:szCs w:val="21"/>
                    </w:rPr>
                    <w:t>项目</w:t>
                  </w: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line="239" w:lineRule="exact"/>
                    <w:jc w:val="center"/>
                    <w:rPr>
                      <w:rFonts w:ascii="Times New Roman" w:hAnsi="Times New Roman" w:cs="Times New Roman"/>
                      <w:b/>
                      <w:bCs/>
                      <w:szCs w:val="21"/>
                    </w:rPr>
                  </w:pPr>
                  <w:r>
                    <w:rPr>
                      <w:rFonts w:ascii="Times New Roman" w:hAnsi="Times New Roman" w:cs="Times New Roman"/>
                      <w:b/>
                      <w:bCs/>
                      <w:szCs w:val="21"/>
                    </w:rPr>
                    <w:t>环保设施</w:t>
                  </w:r>
                </w:p>
                <w:p>
                  <w:pPr>
                    <w:pStyle w:val="191"/>
                    <w:kinsoku w:val="0"/>
                    <w:overflowPunct w:val="0"/>
                    <w:spacing w:line="273" w:lineRule="exact"/>
                    <w:jc w:val="center"/>
                    <w:rPr>
                      <w:rFonts w:ascii="Times New Roman" w:hAnsi="Times New Roman" w:cs="Times New Roman"/>
                      <w:b/>
                      <w:bCs/>
                      <w:szCs w:val="21"/>
                    </w:rPr>
                  </w:pPr>
                  <w:r>
                    <w:rPr>
                      <w:rFonts w:ascii="Times New Roman" w:hAnsi="Times New Roman" w:cs="Times New Roman"/>
                      <w:b/>
                      <w:bCs/>
                      <w:szCs w:val="21"/>
                    </w:rPr>
                    <w:t>名称</w:t>
                  </w:r>
                </w:p>
              </w:tc>
              <w:tc>
                <w:tcPr>
                  <w:tcW w:w="2303" w:type="pct"/>
                  <w:tcBorders>
                    <w:top w:val="single" w:color="000000" w:sz="4" w:space="0"/>
                    <w:left w:val="single" w:color="000000" w:sz="4" w:space="0"/>
                    <w:bottom w:val="single" w:color="000000" w:sz="4" w:space="0"/>
                    <w:right w:val="single" w:color="000000" w:sz="4" w:space="0"/>
                  </w:tcBorders>
                  <w:vAlign w:val="center"/>
                </w:tcPr>
                <w:p>
                  <w:pPr>
                    <w:jc w:val="center"/>
                    <w:rPr>
                      <w:b/>
                      <w:bCs/>
                      <w:kern w:val="0"/>
                      <w:szCs w:val="21"/>
                    </w:rPr>
                  </w:pPr>
                  <w:r>
                    <w:rPr>
                      <w:b/>
                      <w:bCs/>
                      <w:kern w:val="0"/>
                      <w:szCs w:val="21"/>
                    </w:rPr>
                    <w:t>规模及要求</w:t>
                  </w:r>
                </w:p>
              </w:tc>
              <w:tc>
                <w:tcPr>
                  <w:tcW w:w="1626" w:type="pct"/>
                  <w:tcBorders>
                    <w:top w:val="single" w:color="000000" w:sz="4" w:space="0"/>
                    <w:left w:val="single" w:color="000000" w:sz="4" w:space="0"/>
                    <w:bottom w:val="single" w:color="000000" w:sz="4" w:space="0"/>
                    <w:right w:val="single" w:color="000000" w:sz="4" w:space="0"/>
                  </w:tcBorders>
                  <w:vAlign w:val="center"/>
                </w:tcPr>
                <w:p>
                  <w:pPr>
                    <w:jc w:val="center"/>
                    <w:rPr>
                      <w:b/>
                      <w:bCs/>
                      <w:kern w:val="0"/>
                      <w:szCs w:val="21"/>
                    </w:rPr>
                  </w:pPr>
                  <w:r>
                    <w:rPr>
                      <w:b/>
                      <w:bCs/>
                      <w:kern w:val="0"/>
                      <w:szCs w:val="21"/>
                    </w:rPr>
                    <w:t>预期效果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5" w:type="pct"/>
                  <w:vMerge w:val="restar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rPr>
                      <w:rFonts w:ascii="Times New Roman" w:hAnsi="Times New Roman" w:cs="Times New Roman"/>
                      <w:szCs w:val="21"/>
                    </w:rPr>
                  </w:pPr>
                  <w:r>
                    <w:rPr>
                      <w:rFonts w:ascii="Times New Roman" w:hAnsi="Times New Roman" w:cs="Times New Roman"/>
                      <w:szCs w:val="21"/>
                    </w:rPr>
                    <w:t>废气</w:t>
                  </w:r>
                </w:p>
              </w:tc>
              <w:tc>
                <w:tcPr>
                  <w:tcW w:w="686" w:type="pct"/>
                  <w:tcBorders>
                    <w:top w:val="single" w:color="000000" w:sz="4" w:space="0"/>
                    <w:left w:val="single" w:color="000000" w:sz="4" w:space="0"/>
                    <w:right w:val="single" w:color="000000" w:sz="4" w:space="0"/>
                  </w:tcBorders>
                  <w:vAlign w:val="center"/>
                </w:tcPr>
                <w:p>
                  <w:pPr>
                    <w:pStyle w:val="191"/>
                    <w:kinsoku w:val="0"/>
                    <w:overflowPunct w:val="0"/>
                    <w:spacing w:before="130" w:line="272" w:lineRule="exact"/>
                    <w:ind w:right="189"/>
                    <w:jc w:val="center"/>
                    <w:rPr>
                      <w:rFonts w:ascii="Times New Roman" w:hAnsi="Times New Roman" w:cs="Times New Roman"/>
                      <w:szCs w:val="21"/>
                    </w:rPr>
                  </w:pPr>
                  <w:r>
                    <w:rPr>
                      <w:rFonts w:ascii="Times New Roman" w:hAnsi="Times New Roman" w:cs="Times New Roman"/>
                      <w:szCs w:val="21"/>
                    </w:rPr>
                    <w:t>细粉料仓除尘设施</w:t>
                  </w:r>
                </w:p>
              </w:tc>
              <w:tc>
                <w:tcPr>
                  <w:tcW w:w="2303" w:type="pct"/>
                  <w:tcBorders>
                    <w:top w:val="single" w:color="000000" w:sz="4" w:space="0"/>
                    <w:left w:val="single" w:color="000000" w:sz="4" w:space="0"/>
                    <w:right w:val="single" w:color="000000" w:sz="4" w:space="0"/>
                  </w:tcBorders>
                  <w:vAlign w:val="center"/>
                </w:tcPr>
                <w:p>
                  <w:pPr>
                    <w:pStyle w:val="191"/>
                    <w:kinsoku w:val="0"/>
                    <w:overflowPunct w:val="0"/>
                    <w:spacing w:line="247" w:lineRule="exact"/>
                    <w:rPr>
                      <w:rFonts w:ascii="Times New Roman" w:hAnsi="Times New Roman" w:cs="Times New Roman"/>
                      <w:szCs w:val="21"/>
                    </w:rPr>
                  </w:pPr>
                  <w:r>
                    <w:rPr>
                      <w:rFonts w:ascii="Times New Roman" w:hAnsi="Times New Roman" w:cs="Times New Roman"/>
                      <w:szCs w:val="21"/>
                    </w:rPr>
                    <w:t>每个粉料储罐顶均配套1台脉冲布袋除尘器（共6套），</w:t>
                  </w:r>
                  <w:r>
                    <w:rPr>
                      <w:rFonts w:hint="eastAsia" w:ascii="Times New Roman" w:hAnsi="Times New Roman" w:cs="Times New Roman"/>
                      <w:szCs w:val="21"/>
                    </w:rPr>
                    <w:t>废气排放口</w:t>
                  </w:r>
                  <w:r>
                    <w:rPr>
                      <w:rFonts w:ascii="Times New Roman" w:hAnsi="Times New Roman" w:cs="Times New Roman"/>
                      <w:szCs w:val="21"/>
                    </w:rPr>
                    <w:t>高15m</w:t>
                  </w:r>
                  <w:r>
                    <w:rPr>
                      <w:rFonts w:hint="eastAsia" w:ascii="Times New Roman" w:hAnsi="Times New Roman" w:cs="Times New Roman"/>
                      <w:szCs w:val="21"/>
                    </w:rPr>
                    <w:t>（有效高度）</w:t>
                  </w:r>
                  <w:r>
                    <w:rPr>
                      <w:rFonts w:ascii="Times New Roman" w:hAnsi="Times New Roman" w:cs="Times New Roman"/>
                      <w:szCs w:val="21"/>
                    </w:rPr>
                    <w:t>，除尘效率不低于99%。</w:t>
                  </w:r>
                </w:p>
              </w:tc>
              <w:tc>
                <w:tcPr>
                  <w:tcW w:w="1626" w:type="pct"/>
                  <w:tcBorders>
                    <w:top w:val="single" w:color="000000" w:sz="4" w:space="0"/>
                    <w:left w:val="single" w:color="000000" w:sz="4" w:space="0"/>
                    <w:right w:val="single" w:color="000000" w:sz="4" w:space="0"/>
                  </w:tcBorders>
                  <w:vAlign w:val="center"/>
                </w:tcPr>
                <w:p>
                  <w:pPr>
                    <w:pStyle w:val="191"/>
                    <w:kinsoku w:val="0"/>
                    <w:overflowPunct w:val="0"/>
                    <w:spacing w:line="239" w:lineRule="exact"/>
                    <w:ind w:right="48"/>
                    <w:rPr>
                      <w:rFonts w:ascii="Times New Roman" w:hAnsi="Times New Roman" w:cs="Times New Roman"/>
                      <w:szCs w:val="21"/>
                    </w:rPr>
                  </w:pPr>
                  <w:r>
                    <w:rPr>
                      <w:rFonts w:ascii="Times New Roman" w:hAnsi="Times New Roman" w:cs="Times New Roman"/>
                      <w:szCs w:val="21"/>
                    </w:rPr>
                    <w:t>达《水泥工业大气污染物排放标准》（GB4915-2013）表1大气污染物有组织排放限值。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vMerge w:val="restart"/>
                  <w:tcBorders>
                    <w:top w:val="single" w:color="000000" w:sz="4" w:space="0"/>
                    <w:left w:val="single" w:color="000000" w:sz="4" w:space="0"/>
                    <w:right w:val="single" w:color="000000" w:sz="4" w:space="0"/>
                  </w:tcBorders>
                  <w:vAlign w:val="center"/>
                </w:tcPr>
                <w:p>
                  <w:pPr>
                    <w:pStyle w:val="191"/>
                    <w:kinsoku w:val="0"/>
                    <w:overflowPunct w:val="0"/>
                    <w:spacing w:line="235" w:lineRule="auto"/>
                    <w:ind w:right="81"/>
                    <w:jc w:val="center"/>
                    <w:rPr>
                      <w:rFonts w:ascii="Times New Roman" w:hAnsi="Times New Roman" w:cs="Times New Roman"/>
                      <w:szCs w:val="21"/>
                    </w:rPr>
                  </w:pPr>
                  <w:r>
                    <w:rPr>
                      <w:rFonts w:ascii="Times New Roman" w:hAnsi="Times New Roman" w:cs="Times New Roman"/>
                      <w:szCs w:val="21"/>
                    </w:rPr>
                    <w:t>硬化场地、骨料料仓、皮带输送机封闭式处理</w:t>
                  </w: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before="5" w:line="272" w:lineRule="exact"/>
                    <w:ind w:right="101"/>
                    <w:rPr>
                      <w:rFonts w:ascii="Times New Roman" w:hAnsi="Times New Roman" w:cs="Times New Roman"/>
                      <w:szCs w:val="21"/>
                    </w:rPr>
                  </w:pPr>
                  <w:r>
                    <w:rPr>
                      <w:rFonts w:hint="eastAsia"/>
                      <w:szCs w:val="21"/>
                    </w:rPr>
                    <w:t>①</w:t>
                  </w:r>
                  <w:r>
                    <w:rPr>
                      <w:rFonts w:ascii="Times New Roman" w:hAnsi="Times New Roman" w:cs="Times New Roman"/>
                      <w:szCs w:val="21"/>
                    </w:rPr>
                    <w:t>骨料料场地面进行硬化处理，料堆采用带顶棚的彩钢瓦进行全封闭遮挡降尘，并采用自动喷淋系统进行降尘。</w:t>
                  </w:r>
                </w:p>
              </w:tc>
              <w:tc>
                <w:tcPr>
                  <w:tcW w:w="1626" w:type="pct"/>
                  <w:vMerge w:val="restart"/>
                  <w:tcBorders>
                    <w:left w:val="single" w:color="000000" w:sz="4" w:space="0"/>
                    <w:right w:val="single" w:color="000000" w:sz="4" w:space="0"/>
                  </w:tcBorders>
                  <w:vAlign w:val="center"/>
                </w:tcPr>
                <w:p>
                  <w:pPr>
                    <w:widowControl/>
                    <w:jc w:val="left"/>
                    <w:rPr>
                      <w:kern w:val="0"/>
                      <w:szCs w:val="21"/>
                    </w:rPr>
                  </w:pPr>
                  <w:r>
                    <w:rPr>
                      <w:szCs w:val="21"/>
                    </w:rPr>
                    <w:t>达《水泥工业大气污染物排放标准》（GB4915-2013）表3中大气污染物无组织排放限值。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vMerge w:val="continue"/>
                  <w:tcBorders>
                    <w:left w:val="single" w:color="000000" w:sz="4" w:space="0"/>
                    <w:right w:val="single" w:color="000000" w:sz="4" w:space="0"/>
                  </w:tcBorders>
                  <w:vAlign w:val="center"/>
                </w:tcPr>
                <w:p>
                  <w:pPr>
                    <w:widowControl/>
                    <w:jc w:val="left"/>
                    <w:rPr>
                      <w:kern w:val="0"/>
                      <w:szCs w:val="21"/>
                    </w:rPr>
                  </w:pP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before="30" w:line="272" w:lineRule="exact"/>
                    <w:ind w:right="84"/>
                    <w:rPr>
                      <w:rFonts w:ascii="Times New Roman" w:hAnsi="Times New Roman" w:cs="Times New Roman"/>
                      <w:szCs w:val="21"/>
                    </w:rPr>
                  </w:pPr>
                  <w:r>
                    <w:rPr>
                      <w:rFonts w:hint="eastAsia"/>
                      <w:szCs w:val="21"/>
                    </w:rPr>
                    <w:t>②</w:t>
                  </w:r>
                  <w:r>
                    <w:rPr>
                      <w:rFonts w:ascii="Times New Roman" w:hAnsi="Times New Roman" w:cs="Times New Roman"/>
                      <w:szCs w:val="21"/>
                    </w:rPr>
                    <w:t>皮带输送机廊道上部加盖侧面密封，下部设有收料盘，对皮带输送机进行封闭处理。</w:t>
                  </w:r>
                </w:p>
              </w:tc>
              <w:tc>
                <w:tcPr>
                  <w:tcW w:w="1626" w:type="pct"/>
                  <w:vMerge w:val="continue"/>
                  <w:tcBorders>
                    <w:left w:val="single" w:color="000000" w:sz="4" w:space="0"/>
                    <w:right w:val="single" w:color="000000" w:sz="4" w:space="0"/>
                  </w:tcBorders>
                  <w:vAlign w:val="center"/>
                </w:tcPr>
                <w:p>
                  <w:pPr>
                    <w:widowControl/>
                    <w:jc w:val="left"/>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vMerge w:val="continue"/>
                  <w:tcBorders>
                    <w:left w:val="single" w:color="000000" w:sz="4" w:space="0"/>
                    <w:right w:val="single" w:color="000000" w:sz="4" w:space="0"/>
                  </w:tcBorders>
                  <w:vAlign w:val="center"/>
                </w:tcPr>
                <w:p>
                  <w:pPr>
                    <w:widowControl/>
                    <w:jc w:val="left"/>
                    <w:rPr>
                      <w:kern w:val="0"/>
                      <w:szCs w:val="21"/>
                    </w:rPr>
                  </w:pP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before="12" w:line="272" w:lineRule="exact"/>
                    <w:ind w:right="101"/>
                    <w:rPr>
                      <w:rFonts w:ascii="Times New Roman" w:hAnsi="Times New Roman" w:cs="Times New Roman"/>
                      <w:szCs w:val="21"/>
                    </w:rPr>
                  </w:pPr>
                  <w:r>
                    <w:rPr>
                      <w:rFonts w:hint="eastAsia"/>
                      <w:szCs w:val="21"/>
                    </w:rPr>
                    <w:t>③</w:t>
                  </w:r>
                  <w:r>
                    <w:rPr>
                      <w:rFonts w:ascii="Times New Roman" w:hAnsi="Times New Roman" w:cs="Times New Roman"/>
                      <w:szCs w:val="21"/>
                    </w:rPr>
                    <w:t>料仓运输道路</w:t>
                  </w:r>
                  <w:r>
                    <w:rPr>
                      <w:rFonts w:hint="eastAsia" w:ascii="Times New Roman" w:hAnsi="Times New Roman" w:cs="Times New Roman"/>
                      <w:szCs w:val="21"/>
                    </w:rPr>
                    <w:t>设置炮雾机</w:t>
                  </w:r>
                  <w:r>
                    <w:rPr>
                      <w:rFonts w:ascii="Times New Roman" w:hAnsi="Times New Roman" w:cs="Times New Roman"/>
                      <w:szCs w:val="21"/>
                    </w:rPr>
                    <w:t>进行降尘，在料仓入口设置洒水软管进行降尘。</w:t>
                  </w:r>
                </w:p>
              </w:tc>
              <w:tc>
                <w:tcPr>
                  <w:tcW w:w="1626" w:type="pct"/>
                  <w:vMerge w:val="continue"/>
                  <w:tcBorders>
                    <w:left w:val="single" w:color="000000" w:sz="4" w:space="0"/>
                    <w:right w:val="single" w:color="000000" w:sz="4" w:space="0"/>
                  </w:tcBorders>
                  <w:vAlign w:val="center"/>
                </w:tcPr>
                <w:p>
                  <w:pPr>
                    <w:widowControl/>
                    <w:jc w:val="left"/>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vMerge w:val="continue"/>
                  <w:tcBorders>
                    <w:left w:val="single" w:color="000000" w:sz="4" w:space="0"/>
                    <w:right w:val="single" w:color="000000" w:sz="4" w:space="0"/>
                  </w:tcBorders>
                  <w:vAlign w:val="center"/>
                </w:tcPr>
                <w:p>
                  <w:pPr>
                    <w:widowControl/>
                    <w:jc w:val="left"/>
                    <w:rPr>
                      <w:kern w:val="0"/>
                      <w:szCs w:val="21"/>
                    </w:rPr>
                  </w:pPr>
                </w:p>
              </w:tc>
              <w:tc>
                <w:tcPr>
                  <w:tcW w:w="2303" w:type="pct"/>
                  <w:tcBorders>
                    <w:top w:val="single" w:color="000000" w:sz="4" w:space="0"/>
                    <w:left w:val="single" w:color="000000" w:sz="4" w:space="0"/>
                    <w:right w:val="single" w:color="000000" w:sz="4" w:space="0"/>
                  </w:tcBorders>
                  <w:vAlign w:val="center"/>
                </w:tcPr>
                <w:p>
                  <w:pPr>
                    <w:pStyle w:val="191"/>
                    <w:kinsoku w:val="0"/>
                    <w:overflowPunct w:val="0"/>
                    <w:spacing w:before="16" w:line="290" w:lineRule="exact"/>
                    <w:rPr>
                      <w:rFonts w:ascii="Times New Roman" w:hAnsi="Times New Roman" w:cs="Times New Roman"/>
                      <w:szCs w:val="21"/>
                    </w:rPr>
                  </w:pPr>
                  <w:r>
                    <w:rPr>
                      <w:rFonts w:hint="eastAsia"/>
                      <w:szCs w:val="21"/>
                    </w:rPr>
                    <w:t>④项目设一辆洒水车，</w:t>
                  </w:r>
                  <w:r>
                    <w:rPr>
                      <w:rFonts w:hint="eastAsia" w:ascii="Times New Roman" w:hAnsi="Times New Roman" w:cs="Times New Roman"/>
                      <w:szCs w:val="21"/>
                    </w:rPr>
                    <w:t>对项目区域内</w:t>
                  </w:r>
                  <w:r>
                    <w:rPr>
                      <w:rFonts w:ascii="Times New Roman" w:hAnsi="Times New Roman" w:cs="Times New Roman"/>
                      <w:szCs w:val="21"/>
                    </w:rPr>
                    <w:t>硬化场地进行</w:t>
                  </w:r>
                  <w:r>
                    <w:rPr>
                      <w:rFonts w:hint="eastAsia" w:ascii="Times New Roman" w:hAnsi="Times New Roman" w:cs="Times New Roman"/>
                      <w:szCs w:val="21"/>
                    </w:rPr>
                    <w:t>洒水</w:t>
                  </w:r>
                  <w:r>
                    <w:rPr>
                      <w:rFonts w:ascii="Times New Roman" w:hAnsi="Times New Roman" w:cs="Times New Roman"/>
                      <w:szCs w:val="21"/>
                    </w:rPr>
                    <w:t>降尘。</w:t>
                  </w:r>
                </w:p>
              </w:tc>
              <w:tc>
                <w:tcPr>
                  <w:tcW w:w="1626" w:type="pct"/>
                  <w:vMerge w:val="continue"/>
                  <w:tcBorders>
                    <w:left w:val="single" w:color="000000" w:sz="4" w:space="0"/>
                    <w:right w:val="single" w:color="000000" w:sz="4" w:space="0"/>
                  </w:tcBorders>
                  <w:vAlign w:val="center"/>
                </w:tcPr>
                <w:p>
                  <w:pPr>
                    <w:widowControl/>
                    <w:jc w:val="left"/>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line="246" w:lineRule="exact"/>
                    <w:jc w:val="center"/>
                    <w:rPr>
                      <w:rFonts w:ascii="Times New Roman" w:hAnsi="Times New Roman" w:cs="Times New Roman"/>
                      <w:szCs w:val="21"/>
                    </w:rPr>
                  </w:pPr>
                  <w:r>
                    <w:rPr>
                      <w:rFonts w:ascii="Times New Roman" w:hAnsi="Times New Roman" w:cs="Times New Roman"/>
                      <w:szCs w:val="21"/>
                    </w:rPr>
                    <w:t>油烟净化</w:t>
                  </w:r>
                </w:p>
                <w:p>
                  <w:pPr>
                    <w:pStyle w:val="191"/>
                    <w:kinsoku w:val="0"/>
                    <w:overflowPunct w:val="0"/>
                    <w:spacing w:line="274" w:lineRule="exact"/>
                    <w:jc w:val="center"/>
                    <w:rPr>
                      <w:rFonts w:ascii="Times New Roman" w:hAnsi="Times New Roman" w:cs="Times New Roman"/>
                      <w:szCs w:val="21"/>
                    </w:rPr>
                  </w:pPr>
                  <w:r>
                    <w:rPr>
                      <w:rFonts w:ascii="Times New Roman" w:hAnsi="Times New Roman" w:cs="Times New Roman"/>
                      <w:szCs w:val="21"/>
                    </w:rPr>
                    <w:t>器</w:t>
                  </w: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line="253" w:lineRule="exact"/>
                    <w:rPr>
                      <w:rFonts w:ascii="Times New Roman" w:hAnsi="Times New Roman" w:cs="Times New Roman"/>
                      <w:szCs w:val="21"/>
                    </w:rPr>
                  </w:pPr>
                  <w:r>
                    <w:rPr>
                      <w:rFonts w:ascii="Times New Roman" w:hAnsi="Times New Roman" w:cs="Times New Roman"/>
                      <w:szCs w:val="21"/>
                    </w:rPr>
                    <w:t>食堂内安装1套处理效率不低于60%的油烟净化器，油烟废气通过排烟管道排放。</w:t>
                  </w:r>
                </w:p>
              </w:tc>
              <w:tc>
                <w:tcPr>
                  <w:tcW w:w="1626"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line="253" w:lineRule="exact"/>
                    <w:ind w:right="1"/>
                    <w:jc w:val="center"/>
                    <w:rPr>
                      <w:rFonts w:ascii="Times New Roman" w:hAnsi="Times New Roman" w:cs="Times New Roman"/>
                      <w:szCs w:val="21"/>
                    </w:rPr>
                  </w:pPr>
                  <w:r>
                    <w:rPr>
                      <w:rFonts w:ascii="Times New Roman" w:hAnsi="Times New Roman" w:cs="Times New Roman"/>
                      <w:szCs w:val="21"/>
                    </w:rPr>
                    <w:t>GB18483-2001《饮食业油烟</w:t>
                  </w:r>
                </w:p>
                <w:p>
                  <w:pPr>
                    <w:jc w:val="center"/>
                    <w:rPr>
                      <w:kern w:val="0"/>
                      <w:szCs w:val="21"/>
                    </w:rPr>
                  </w:pPr>
                  <w:r>
                    <w:rPr>
                      <w:kern w:val="0"/>
                      <w:szCs w:val="21"/>
                    </w:rPr>
                    <w:t>排放标准（试行）》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restar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before="129"/>
                    <w:rPr>
                      <w:rFonts w:ascii="Times New Roman" w:hAnsi="Times New Roman" w:cs="Times New Roman"/>
                      <w:szCs w:val="21"/>
                    </w:rPr>
                  </w:pPr>
                  <w:r>
                    <w:rPr>
                      <w:rFonts w:ascii="Times New Roman" w:hAnsi="Times New Roman" w:cs="Times New Roman"/>
                      <w:szCs w:val="21"/>
                    </w:rPr>
                    <w:t>废水</w:t>
                  </w: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before="153"/>
                    <w:jc w:val="center"/>
                    <w:rPr>
                      <w:rFonts w:ascii="Times New Roman" w:hAnsi="Times New Roman" w:cs="Times New Roman"/>
                      <w:szCs w:val="21"/>
                    </w:rPr>
                  </w:pPr>
                  <w:r>
                    <w:rPr>
                      <w:rFonts w:ascii="Times New Roman" w:hAnsi="Times New Roman" w:cs="Times New Roman"/>
                      <w:szCs w:val="21"/>
                    </w:rPr>
                    <w:t>雨污分流</w:t>
                  </w: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before="16"/>
                    <w:ind w:right="103"/>
                    <w:rPr>
                      <w:rFonts w:ascii="Times New Roman" w:hAnsi="Times New Roman" w:cs="Times New Roman"/>
                      <w:szCs w:val="21"/>
                    </w:rPr>
                  </w:pPr>
                  <w:r>
                    <w:rPr>
                      <w:rFonts w:hint="eastAsia" w:ascii="Times New Roman" w:hAnsi="Times New Roman" w:cs="Times New Roman"/>
                      <w:szCs w:val="21"/>
                    </w:rPr>
                    <w:t>在项目生活区域</w:t>
                  </w:r>
                  <w:r>
                    <w:rPr>
                      <w:rFonts w:ascii="Times New Roman" w:hAnsi="Times New Roman" w:cs="Times New Roman"/>
                      <w:szCs w:val="21"/>
                    </w:rPr>
                    <w:t>布设雨污分流管网，</w:t>
                  </w:r>
                  <w:r>
                    <w:rPr>
                      <w:rFonts w:hint="eastAsia" w:ascii="Times New Roman" w:hAnsi="Times New Roman" w:cs="Times New Roman"/>
                      <w:szCs w:val="21"/>
                    </w:rPr>
                    <w:t>将甚或区域雨水进行外排</w:t>
                  </w:r>
                  <w:r>
                    <w:rPr>
                      <w:rFonts w:ascii="Times New Roman" w:hAnsi="Times New Roman" w:cs="Times New Roman"/>
                      <w:szCs w:val="21"/>
                    </w:rPr>
                    <w:t>。</w:t>
                  </w:r>
                </w:p>
              </w:tc>
              <w:tc>
                <w:tcPr>
                  <w:tcW w:w="1626"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kern w:val="0"/>
                      <w:szCs w:val="21"/>
                    </w:rPr>
                    <w:t>按设计要求进行建设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tcBorders>
                    <w:top w:val="single" w:color="000000" w:sz="4" w:space="0"/>
                    <w:left w:val="single" w:color="000000" w:sz="4" w:space="0"/>
                    <w:right w:val="single" w:color="000000" w:sz="4" w:space="0"/>
                  </w:tcBorders>
                  <w:vAlign w:val="center"/>
                </w:tcPr>
                <w:p>
                  <w:pPr>
                    <w:pStyle w:val="191"/>
                    <w:kinsoku w:val="0"/>
                    <w:overflowPunct w:val="0"/>
                    <w:ind w:right="196"/>
                    <w:jc w:val="center"/>
                    <w:rPr>
                      <w:rFonts w:ascii="Times New Roman" w:hAnsi="Times New Roman" w:cs="Times New Roman"/>
                      <w:szCs w:val="21"/>
                    </w:rPr>
                  </w:pPr>
                  <w:r>
                    <w:rPr>
                      <w:rFonts w:ascii="Times New Roman" w:hAnsi="Times New Roman" w:cs="Times New Roman"/>
                      <w:szCs w:val="21"/>
                    </w:rPr>
                    <w:t>初期雨水收集</w:t>
                  </w:r>
                  <w:r>
                    <w:rPr>
                      <w:rFonts w:hint="eastAsia" w:ascii="Times New Roman" w:hAnsi="Times New Roman" w:cs="Times New Roman"/>
                      <w:szCs w:val="21"/>
                    </w:rPr>
                    <w:t>、</w:t>
                  </w:r>
                  <w:r>
                    <w:rPr>
                      <w:rFonts w:ascii="Times New Roman" w:hAnsi="Times New Roman" w:cs="Times New Roman"/>
                      <w:szCs w:val="21"/>
                    </w:rPr>
                    <w:t>生产废水沉淀池</w:t>
                  </w:r>
                </w:p>
              </w:tc>
              <w:tc>
                <w:tcPr>
                  <w:tcW w:w="2303" w:type="pct"/>
                  <w:tcBorders>
                    <w:top w:val="single" w:color="000000" w:sz="4" w:space="0"/>
                    <w:left w:val="single" w:color="000000" w:sz="4" w:space="0"/>
                    <w:right w:val="single" w:color="000000" w:sz="4" w:space="0"/>
                  </w:tcBorders>
                  <w:vAlign w:val="center"/>
                </w:tcPr>
                <w:p>
                  <w:pPr>
                    <w:pStyle w:val="191"/>
                    <w:kinsoku w:val="0"/>
                    <w:overflowPunct w:val="0"/>
                    <w:spacing w:line="247" w:lineRule="exact"/>
                    <w:rPr>
                      <w:rFonts w:ascii="Times New Roman" w:hAnsi="Times New Roman" w:cs="Times New Roman"/>
                      <w:szCs w:val="21"/>
                    </w:rPr>
                  </w:pPr>
                  <w:r>
                    <w:rPr>
                      <w:rFonts w:hint="eastAsia" w:ascii="Times New Roman" w:hAnsi="Times New Roman" w:cs="Times New Roman"/>
                      <w:szCs w:val="21"/>
                    </w:rPr>
                    <w:t>在项目东侧建设一个1</w:t>
                  </w:r>
                  <w:r>
                    <w:rPr>
                      <w:rFonts w:ascii="Times New Roman" w:hAnsi="Times New Roman" w:cs="Times New Roman"/>
                      <w:szCs w:val="21"/>
                    </w:rPr>
                    <w:t>05</w:t>
                  </w:r>
                  <w:r>
                    <w:rPr>
                      <w:rFonts w:hint="eastAsia" w:ascii="Times New Roman" w:hAnsi="Times New Roman" w:cs="Times New Roman"/>
                      <w:szCs w:val="21"/>
                    </w:rPr>
                    <w:t>m³的三级沉淀池</w:t>
                  </w:r>
                  <w:r>
                    <w:rPr>
                      <w:rFonts w:ascii="Times New Roman" w:hAnsi="Times New Roman" w:cs="Times New Roman"/>
                      <w:szCs w:val="21"/>
                    </w:rPr>
                    <w:t>，初期雨水经过沉淀处理后回用于生产过程。</w:t>
                  </w:r>
                  <w:r>
                    <w:rPr>
                      <w:rFonts w:hint="eastAsia" w:ascii="Times New Roman" w:hAnsi="Times New Roman" w:cs="Times New Roman"/>
                      <w:szCs w:val="21"/>
                    </w:rPr>
                    <w:t>同时用于平时项目生产废水的收集沉淀。</w:t>
                  </w:r>
                </w:p>
              </w:tc>
              <w:tc>
                <w:tcPr>
                  <w:tcW w:w="1626" w:type="pct"/>
                  <w:tcBorders>
                    <w:top w:val="single" w:color="000000" w:sz="4" w:space="0"/>
                    <w:left w:val="single" w:color="000000" w:sz="4" w:space="0"/>
                    <w:right w:val="single" w:color="000000" w:sz="4" w:space="0"/>
                  </w:tcBorders>
                  <w:vAlign w:val="center"/>
                </w:tcPr>
                <w:p>
                  <w:pPr>
                    <w:jc w:val="center"/>
                    <w:rPr>
                      <w:kern w:val="0"/>
                      <w:szCs w:val="21"/>
                    </w:rPr>
                  </w:pPr>
                  <w:r>
                    <w:rPr>
                      <w:rFonts w:hint="eastAsia"/>
                      <w:kern w:val="0"/>
                      <w:szCs w:val="21"/>
                    </w:rPr>
                    <w:t>项目生产区域</w:t>
                  </w:r>
                  <w:r>
                    <w:rPr>
                      <w:kern w:val="0"/>
                      <w:szCs w:val="21"/>
                    </w:rPr>
                    <w:t>雨水收集</w:t>
                  </w:r>
                  <w:r>
                    <w:rPr>
                      <w:rFonts w:hint="eastAsia"/>
                      <w:kern w:val="0"/>
                      <w:szCs w:val="21"/>
                    </w:rPr>
                    <w:t>、</w:t>
                  </w:r>
                  <w:r>
                    <w:rPr>
                      <w:szCs w:val="21"/>
                    </w:rPr>
                    <w:t>搅拌机清洗废水、混凝土运输罐车内部清洗废水、混凝土运输车辆外部清洗废水、厂区硬化地面冲洗废水进行收集处理，通过厂区污水收集沟收集后进入沉淀系统，沉淀后回用于生产。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kern w:val="0"/>
                      <w:szCs w:val="21"/>
                    </w:rPr>
                    <w:t>隔油池</w:t>
                  </w:r>
                </w:p>
              </w:tc>
              <w:tc>
                <w:tcPr>
                  <w:tcW w:w="2303" w:type="pct"/>
                  <w:tcBorders>
                    <w:top w:val="single" w:color="000000" w:sz="4" w:space="0"/>
                    <w:left w:val="single" w:color="000000" w:sz="4" w:space="0"/>
                    <w:bottom w:val="single" w:color="000000" w:sz="4" w:space="0"/>
                    <w:right w:val="single" w:color="000000" w:sz="4" w:space="0"/>
                  </w:tcBorders>
                  <w:vAlign w:val="center"/>
                </w:tcPr>
                <w:p>
                  <w:pPr>
                    <w:jc w:val="center"/>
                    <w:rPr>
                      <w:kern w:val="0"/>
                      <w:szCs w:val="21"/>
                    </w:rPr>
                  </w:pPr>
                  <w:r>
                    <w:rPr>
                      <w:kern w:val="0"/>
                      <w:szCs w:val="21"/>
                    </w:rPr>
                    <w:t>1个，容积为1m</w:t>
                  </w:r>
                  <w:r>
                    <w:rPr>
                      <w:kern w:val="0"/>
                      <w:szCs w:val="21"/>
                      <w:vertAlign w:val="superscript"/>
                    </w:rPr>
                    <w:t>3</w:t>
                  </w:r>
                  <w:r>
                    <w:rPr>
                      <w:kern w:val="0"/>
                      <w:szCs w:val="21"/>
                    </w:rPr>
                    <w:t>。</w:t>
                  </w:r>
                </w:p>
              </w:tc>
              <w:tc>
                <w:tcPr>
                  <w:tcW w:w="1626" w:type="pct"/>
                  <w:tcBorders>
                    <w:top w:val="single" w:color="000000" w:sz="4" w:space="0"/>
                    <w:left w:val="single" w:color="000000" w:sz="4" w:space="0"/>
                    <w:bottom w:val="single" w:color="000000" w:sz="4" w:space="0"/>
                    <w:right w:val="single" w:color="000000" w:sz="4" w:space="0"/>
                  </w:tcBorders>
                  <w:vAlign w:val="center"/>
                </w:tcPr>
                <w:p>
                  <w:pPr>
                    <w:rPr>
                      <w:kern w:val="0"/>
                      <w:szCs w:val="21"/>
                    </w:rPr>
                  </w:pPr>
                  <w:r>
                    <w:rPr>
                      <w:kern w:val="0"/>
                      <w:szCs w:val="21"/>
                    </w:rPr>
                    <w:t>食堂餐饮废水隔油预处理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before="35"/>
                    <w:jc w:val="center"/>
                    <w:rPr>
                      <w:rFonts w:ascii="Times New Roman" w:hAnsi="Times New Roman" w:cs="Times New Roman"/>
                      <w:szCs w:val="21"/>
                    </w:rPr>
                  </w:pPr>
                  <w:r>
                    <w:rPr>
                      <w:rFonts w:ascii="Times New Roman" w:hAnsi="Times New Roman" w:cs="Times New Roman"/>
                      <w:szCs w:val="21"/>
                    </w:rPr>
                    <w:t>化粪池</w:t>
                  </w: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before="35"/>
                    <w:jc w:val="center"/>
                    <w:rPr>
                      <w:rFonts w:ascii="Times New Roman" w:hAnsi="Times New Roman" w:cs="Times New Roman"/>
                      <w:szCs w:val="21"/>
                    </w:rPr>
                  </w:pPr>
                  <w:r>
                    <w:rPr>
                      <w:rFonts w:ascii="Times New Roman" w:hAnsi="Times New Roman" w:cs="Times New Roman"/>
                      <w:szCs w:val="21"/>
                    </w:rPr>
                    <w:t>2个，</w:t>
                  </w:r>
                  <w:r>
                    <w:rPr>
                      <w:rFonts w:hint="eastAsia" w:ascii="Times New Roman" w:hAnsi="Times New Roman" w:cs="Times New Roman"/>
                      <w:szCs w:val="21"/>
                    </w:rPr>
                    <w:t>总</w:t>
                  </w:r>
                  <w:r>
                    <w:rPr>
                      <w:rFonts w:ascii="Times New Roman" w:hAnsi="Times New Roman" w:cs="Times New Roman"/>
                      <w:szCs w:val="21"/>
                    </w:rPr>
                    <w:t>容积为</w:t>
                  </w:r>
                  <w:r>
                    <w:rPr>
                      <w:rFonts w:ascii="Times New Roman" w:hAnsi="Times New Roman" w:cs="Times New Roman"/>
                      <w:color w:val="000000" w:themeColor="text1"/>
                      <w:szCs w:val="21"/>
                      <w14:textFill>
                        <w14:solidFill>
                          <w14:schemeClr w14:val="tx1"/>
                        </w14:solidFill>
                      </w14:textFill>
                    </w:rPr>
                    <w:t>100m</w:t>
                  </w:r>
                  <w:r>
                    <w:rPr>
                      <w:rFonts w:ascii="Times New Roman" w:hAnsi="Times New Roman" w:cs="Times New Roman"/>
                      <w:color w:val="000000" w:themeColor="text1"/>
                      <w:szCs w:val="21"/>
                      <w:vertAlign w:val="superscript"/>
                      <w14:textFill>
                        <w14:solidFill>
                          <w14:schemeClr w14:val="tx1"/>
                        </w14:solidFill>
                      </w14:textFill>
                    </w:rPr>
                    <w:t>3</w:t>
                  </w:r>
                  <w:r>
                    <w:rPr>
                      <w:rFonts w:ascii="Times New Roman" w:hAnsi="Times New Roman" w:cs="Times New Roman"/>
                      <w:szCs w:val="21"/>
                    </w:rPr>
                    <w:t>。</w:t>
                  </w:r>
                </w:p>
              </w:tc>
              <w:tc>
                <w:tcPr>
                  <w:tcW w:w="1626" w:type="pct"/>
                  <w:tcBorders>
                    <w:top w:val="single" w:color="000000" w:sz="4" w:space="0"/>
                    <w:left w:val="single" w:color="000000" w:sz="4" w:space="0"/>
                    <w:bottom w:val="single" w:color="000000" w:sz="4" w:space="0"/>
                    <w:right w:val="single" w:color="000000" w:sz="4" w:space="0"/>
                  </w:tcBorders>
                  <w:vAlign w:val="center"/>
                </w:tcPr>
                <w:p>
                  <w:pPr>
                    <w:rPr>
                      <w:kern w:val="0"/>
                      <w:szCs w:val="21"/>
                    </w:rPr>
                  </w:pPr>
                  <w:r>
                    <w:rPr>
                      <w:kern w:val="0"/>
                      <w:szCs w:val="21"/>
                    </w:rPr>
                    <w:t>生活废水处理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restar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rPr>
                      <w:rFonts w:ascii="Times New Roman" w:hAnsi="Times New Roman" w:cs="Times New Roman"/>
                      <w:szCs w:val="21"/>
                    </w:rPr>
                  </w:pPr>
                  <w:r>
                    <w:rPr>
                      <w:rFonts w:ascii="Times New Roman" w:hAnsi="Times New Roman" w:cs="Times New Roman"/>
                      <w:szCs w:val="21"/>
                    </w:rPr>
                    <w:t>噪声</w:t>
                  </w: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line="240" w:lineRule="exact"/>
                    <w:jc w:val="center"/>
                    <w:rPr>
                      <w:rFonts w:ascii="Times New Roman" w:hAnsi="Times New Roman" w:cs="Times New Roman"/>
                      <w:szCs w:val="21"/>
                    </w:rPr>
                  </w:pPr>
                  <w:r>
                    <w:rPr>
                      <w:rFonts w:ascii="Times New Roman" w:hAnsi="Times New Roman" w:cs="Times New Roman"/>
                      <w:szCs w:val="21"/>
                    </w:rPr>
                    <w:t>建筑物隔声、吸声</w:t>
                  </w: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before="17" w:line="274" w:lineRule="exact"/>
                    <w:ind w:right="101"/>
                    <w:rPr>
                      <w:rFonts w:ascii="Times New Roman" w:hAnsi="Times New Roman" w:cs="Times New Roman"/>
                      <w:szCs w:val="21"/>
                    </w:rPr>
                  </w:pPr>
                  <w:r>
                    <w:rPr>
                      <w:rFonts w:ascii="Times New Roman" w:hAnsi="Times New Roman" w:cs="Times New Roman"/>
                      <w:szCs w:val="21"/>
                    </w:rPr>
                    <w:t>优化厂区布局，对堆场、搅拌机楼进行封闭处理。</w:t>
                  </w:r>
                </w:p>
              </w:tc>
              <w:tc>
                <w:tcPr>
                  <w:tcW w:w="1626" w:type="pct"/>
                  <w:vMerge w:val="restar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ind w:right="152"/>
                    <w:jc w:val="center"/>
                    <w:rPr>
                      <w:rFonts w:ascii="Times New Roman" w:hAnsi="Times New Roman" w:cs="Times New Roman"/>
                      <w:szCs w:val="21"/>
                    </w:rPr>
                  </w:pPr>
                  <w:r>
                    <w:rPr>
                      <w:rFonts w:ascii="Times New Roman" w:hAnsi="Times New Roman" w:cs="Times New Roman"/>
                      <w:szCs w:val="21"/>
                    </w:rPr>
                    <w:t>厂界东、南、</w:t>
                  </w:r>
                  <w:r>
                    <w:rPr>
                      <w:rFonts w:hint="eastAsia" w:ascii="Times New Roman" w:hAnsi="Times New Roman" w:cs="Times New Roman"/>
                      <w:szCs w:val="21"/>
                    </w:rPr>
                    <w:t>西、</w:t>
                  </w:r>
                  <w:r>
                    <w:rPr>
                      <w:rFonts w:ascii="Times New Roman" w:hAnsi="Times New Roman" w:cs="Times New Roman"/>
                      <w:szCs w:val="21"/>
                    </w:rPr>
                    <w:t xml:space="preserve">北噪声达（GB12348-2008）《工业企业厂界环境噪声排放标准》2类标准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tcBorders>
                    <w:top w:val="single" w:color="000000" w:sz="4" w:space="0"/>
                    <w:left w:val="single" w:color="000000" w:sz="4" w:space="0"/>
                    <w:right w:val="single" w:color="000000" w:sz="4" w:space="0"/>
                  </w:tcBorders>
                  <w:vAlign w:val="center"/>
                </w:tcPr>
                <w:p>
                  <w:pPr>
                    <w:pStyle w:val="191"/>
                    <w:kinsoku w:val="0"/>
                    <w:overflowPunct w:val="0"/>
                    <w:spacing w:line="265" w:lineRule="exact"/>
                    <w:jc w:val="center"/>
                    <w:rPr>
                      <w:rFonts w:ascii="Times New Roman" w:hAnsi="Times New Roman" w:cs="Times New Roman"/>
                      <w:szCs w:val="21"/>
                    </w:rPr>
                  </w:pPr>
                  <w:r>
                    <w:rPr>
                      <w:rFonts w:ascii="Times New Roman" w:hAnsi="Times New Roman" w:cs="Times New Roman"/>
                      <w:szCs w:val="21"/>
                    </w:rPr>
                    <w:t>基础减震</w:t>
                  </w:r>
                </w:p>
              </w:tc>
              <w:tc>
                <w:tcPr>
                  <w:tcW w:w="2303" w:type="pct"/>
                  <w:tcBorders>
                    <w:top w:val="single" w:color="000000" w:sz="4" w:space="0"/>
                    <w:left w:val="single" w:color="000000" w:sz="4" w:space="0"/>
                    <w:right w:val="single" w:color="000000" w:sz="4" w:space="0"/>
                  </w:tcBorders>
                  <w:vAlign w:val="center"/>
                </w:tcPr>
                <w:p>
                  <w:pPr>
                    <w:pStyle w:val="191"/>
                    <w:kinsoku w:val="0"/>
                    <w:overflowPunct w:val="0"/>
                    <w:spacing w:line="265" w:lineRule="exact"/>
                    <w:rPr>
                      <w:rFonts w:ascii="Times New Roman" w:hAnsi="Times New Roman" w:cs="Times New Roman"/>
                      <w:szCs w:val="21"/>
                    </w:rPr>
                  </w:pPr>
                  <w:r>
                    <w:rPr>
                      <w:rFonts w:ascii="Times New Roman" w:hAnsi="Times New Roman" w:cs="Times New Roman"/>
                      <w:szCs w:val="21"/>
                    </w:rPr>
                    <w:t>在产噪设备上安装基础减振垫。</w:t>
                  </w:r>
                </w:p>
              </w:tc>
              <w:tc>
                <w:tcPr>
                  <w:tcW w:w="162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85" w:type="pct"/>
                  <w:vMerge w:val="restar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before="4"/>
                    <w:ind w:firstLine="420"/>
                    <w:rPr>
                      <w:rFonts w:ascii="Times New Roman" w:hAnsi="Times New Roman" w:cs="Times New Roman"/>
                      <w:szCs w:val="21"/>
                    </w:rPr>
                  </w:pPr>
                </w:p>
                <w:p>
                  <w:pPr>
                    <w:pStyle w:val="191"/>
                    <w:kinsoku w:val="0"/>
                    <w:overflowPunct w:val="0"/>
                    <w:spacing w:line="272" w:lineRule="exact"/>
                    <w:ind w:right="140"/>
                    <w:rPr>
                      <w:rFonts w:ascii="Times New Roman" w:hAnsi="Times New Roman" w:cs="Times New Roman"/>
                      <w:szCs w:val="21"/>
                    </w:rPr>
                  </w:pPr>
                  <w:r>
                    <w:rPr>
                      <w:rFonts w:ascii="Times New Roman" w:hAnsi="Times New Roman" w:cs="Times New Roman"/>
                      <w:szCs w:val="21"/>
                    </w:rPr>
                    <w:t>固体废物</w:t>
                  </w: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line="267" w:lineRule="exact"/>
                    <w:jc w:val="center"/>
                    <w:rPr>
                      <w:rFonts w:ascii="Times New Roman" w:hAnsi="Times New Roman" w:cs="Times New Roman"/>
                      <w:szCs w:val="21"/>
                    </w:rPr>
                  </w:pPr>
                  <w:r>
                    <w:rPr>
                      <w:rFonts w:ascii="Times New Roman" w:hAnsi="Times New Roman" w:cs="Times New Roman"/>
                      <w:szCs w:val="21"/>
                    </w:rPr>
                    <w:t>生活固废</w:t>
                  </w: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line="282" w:lineRule="exact"/>
                    <w:rPr>
                      <w:rFonts w:ascii="Times New Roman" w:hAnsi="Times New Roman" w:cs="Times New Roman"/>
                      <w:szCs w:val="21"/>
                    </w:rPr>
                  </w:pPr>
                  <w:r>
                    <w:rPr>
                      <w:rFonts w:hint="eastAsia" w:ascii="Times New Roman" w:hAnsi="Times New Roman" w:cs="Times New Roman"/>
                      <w:szCs w:val="21"/>
                    </w:rPr>
                    <w:t>设一封闭式垃圾箱</w:t>
                  </w:r>
                  <w:r>
                    <w:rPr>
                      <w:rFonts w:ascii="Times New Roman" w:hAnsi="Times New Roman" w:cs="Times New Roman"/>
                      <w:szCs w:val="21"/>
                    </w:rPr>
                    <w:t>，设1个带盖泔水收集桶。</w:t>
                  </w:r>
                </w:p>
              </w:tc>
              <w:tc>
                <w:tcPr>
                  <w:tcW w:w="1626" w:type="pct"/>
                  <w:vMerge w:val="restart"/>
                  <w:tcBorders>
                    <w:top w:val="single" w:color="000000" w:sz="4" w:space="0"/>
                    <w:left w:val="single" w:color="000000" w:sz="4" w:space="0"/>
                    <w:bottom w:val="single" w:color="000000" w:sz="4" w:space="0"/>
                    <w:right w:val="single" w:color="000000" w:sz="4" w:space="0"/>
                  </w:tcBorders>
                  <w:vAlign w:val="center"/>
                </w:tcPr>
                <w:p>
                  <w:pPr>
                    <w:rPr>
                      <w:kern w:val="0"/>
                      <w:szCs w:val="21"/>
                    </w:rPr>
                  </w:pPr>
                  <w:r>
                    <w:rPr>
                      <w:kern w:val="0"/>
                      <w:szCs w:val="21"/>
                    </w:rPr>
                    <w:t>固体废物处理率100%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line="265" w:lineRule="exact"/>
                    <w:jc w:val="center"/>
                    <w:rPr>
                      <w:rFonts w:ascii="Times New Roman" w:hAnsi="Times New Roman" w:cs="Times New Roman"/>
                      <w:szCs w:val="21"/>
                    </w:rPr>
                  </w:pPr>
                  <w:r>
                    <w:rPr>
                      <w:rFonts w:ascii="Times New Roman" w:hAnsi="Times New Roman" w:cs="Times New Roman"/>
                      <w:szCs w:val="21"/>
                    </w:rPr>
                    <w:t>一般固废</w:t>
                  </w: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line="281" w:lineRule="exact"/>
                    <w:rPr>
                      <w:rFonts w:ascii="Times New Roman" w:hAnsi="Times New Roman" w:cs="Times New Roman"/>
                      <w:szCs w:val="21"/>
                    </w:rPr>
                  </w:pPr>
                  <w:r>
                    <w:rPr>
                      <w:rFonts w:ascii="Times New Roman" w:hAnsi="Times New Roman" w:cs="Times New Roman"/>
                      <w:szCs w:val="21"/>
                    </w:rPr>
                    <w:t>设2个</w:t>
                  </w:r>
                  <w:r>
                    <w:rPr>
                      <w:rFonts w:hint="eastAsia" w:ascii="Times New Roman" w:hAnsi="Times New Roman" w:cs="Times New Roman"/>
                      <w:szCs w:val="21"/>
                    </w:rPr>
                    <w:t>一般固废收集桶</w:t>
                  </w:r>
                  <w:r>
                    <w:rPr>
                      <w:rFonts w:ascii="Times New Roman" w:hAnsi="Times New Roman" w:cs="Times New Roman"/>
                      <w:szCs w:val="21"/>
                    </w:rPr>
                    <w:t>。</w:t>
                  </w:r>
                </w:p>
              </w:tc>
              <w:tc>
                <w:tcPr>
                  <w:tcW w:w="162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line="265" w:lineRule="exact"/>
                    <w:rPr>
                      <w:rFonts w:ascii="Times New Roman" w:hAnsi="Times New Roman" w:cs="Times New Roman"/>
                      <w:szCs w:val="21"/>
                    </w:rPr>
                  </w:pPr>
                  <w:r>
                    <w:rPr>
                      <w:rFonts w:hint="eastAsia" w:ascii="Times New Roman" w:hAnsi="Times New Roman" w:cs="Times New Roman"/>
                      <w:szCs w:val="21"/>
                    </w:rPr>
                    <w:t>干渣暂堆场</w:t>
                  </w: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line="265" w:lineRule="exact"/>
                    <w:rPr>
                      <w:rFonts w:ascii="Times New Roman" w:hAnsi="Times New Roman" w:cs="Times New Roman"/>
                      <w:szCs w:val="21"/>
                    </w:rPr>
                  </w:pPr>
                  <w:r>
                    <w:rPr>
                      <w:rFonts w:hint="eastAsia" w:ascii="Times New Roman" w:hAnsi="Times New Roman" w:cs="Times New Roman"/>
                      <w:szCs w:val="21"/>
                    </w:rPr>
                    <w:t>场地硬化处理、干渣进行覆盖。</w:t>
                  </w:r>
                </w:p>
              </w:tc>
              <w:tc>
                <w:tcPr>
                  <w:tcW w:w="162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385"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c>
                <w:tcPr>
                  <w:tcW w:w="686"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line="265" w:lineRule="exact"/>
                    <w:jc w:val="center"/>
                    <w:rPr>
                      <w:rFonts w:ascii="Times New Roman" w:hAnsi="Times New Roman" w:cs="Times New Roman"/>
                      <w:szCs w:val="21"/>
                    </w:rPr>
                  </w:pPr>
                  <w:r>
                    <w:rPr>
                      <w:rFonts w:ascii="Times New Roman" w:hAnsi="Times New Roman" w:cs="Times New Roman"/>
                      <w:szCs w:val="21"/>
                    </w:rPr>
                    <w:t>废机油</w:t>
                  </w:r>
                </w:p>
              </w:tc>
              <w:tc>
                <w:tcPr>
                  <w:tcW w:w="2303" w:type="pct"/>
                  <w:tcBorders>
                    <w:top w:val="single" w:color="000000" w:sz="4" w:space="0"/>
                    <w:left w:val="single" w:color="000000" w:sz="4" w:space="0"/>
                    <w:bottom w:val="single" w:color="000000" w:sz="4" w:space="0"/>
                    <w:right w:val="single" w:color="000000" w:sz="4" w:space="0"/>
                  </w:tcBorders>
                  <w:vAlign w:val="center"/>
                </w:tcPr>
                <w:p>
                  <w:pPr>
                    <w:pStyle w:val="191"/>
                    <w:kinsoku w:val="0"/>
                    <w:overflowPunct w:val="0"/>
                    <w:spacing w:line="265" w:lineRule="exact"/>
                    <w:rPr>
                      <w:rFonts w:ascii="Times New Roman" w:hAnsi="Times New Roman" w:cs="Times New Roman"/>
                      <w:szCs w:val="21"/>
                    </w:rPr>
                  </w:pPr>
                  <w:r>
                    <w:rPr>
                      <w:rFonts w:ascii="Times New Roman" w:hAnsi="Times New Roman" w:cs="Times New Roman"/>
                      <w:szCs w:val="21"/>
                    </w:rPr>
                    <w:t>危废暂存间1座，建筑面积4m</w:t>
                  </w:r>
                  <w:r>
                    <w:rPr>
                      <w:rFonts w:ascii="Times New Roman" w:hAnsi="Times New Roman" w:cs="Times New Roman"/>
                      <w:szCs w:val="21"/>
                      <w:vertAlign w:val="superscript"/>
                    </w:rPr>
                    <w:t>2</w:t>
                  </w:r>
                  <w:r>
                    <w:rPr>
                      <w:rFonts w:ascii="Times New Roman" w:hAnsi="Times New Roman" w:cs="Times New Roman"/>
                      <w:szCs w:val="21"/>
                    </w:rPr>
                    <w:t>，废机油经高密度的聚丙烯桶收集后，暂存于危废间，委托有资质的单位处置。</w:t>
                  </w:r>
                  <w:r>
                    <w:rPr>
                      <w:rFonts w:hint="eastAsia" w:ascii="Times New Roman" w:hAnsi="Times New Roman" w:cs="Times New Roman"/>
                      <w:szCs w:val="21"/>
                    </w:rPr>
                    <w:t>危险废物暂存间地面采用2mm厚的高密度聚乙烯或其他人工材料进行防渗处理，渗透系数≤10</w:t>
                  </w:r>
                  <w:r>
                    <w:rPr>
                      <w:rFonts w:hint="eastAsia" w:ascii="Times New Roman" w:hAnsi="Times New Roman" w:cs="Times New Roman"/>
                      <w:szCs w:val="21"/>
                      <w:vertAlign w:val="superscript"/>
                    </w:rPr>
                    <w:t>-10</w:t>
                  </w:r>
                  <w:r>
                    <w:rPr>
                      <w:rFonts w:hint="eastAsia" w:ascii="Times New Roman" w:hAnsi="Times New Roman" w:cs="Times New Roman"/>
                      <w:szCs w:val="21"/>
                    </w:rPr>
                    <w:t>cm/s，危废暂存间内设高密度的聚丙烯桶对废机油进行收集，并将收集容器贴上标签，危废间粘贴标识标牌，并建立危废管理台账。</w:t>
                  </w:r>
                </w:p>
              </w:tc>
              <w:tc>
                <w:tcPr>
                  <w:tcW w:w="1626" w:type="pct"/>
                  <w:vMerge w:val="continue"/>
                  <w:tcBorders>
                    <w:top w:val="single" w:color="000000" w:sz="4" w:space="0"/>
                    <w:left w:val="single" w:color="000000" w:sz="4" w:space="0"/>
                    <w:bottom w:val="single" w:color="000000" w:sz="4" w:space="0"/>
                    <w:right w:val="single" w:color="000000" w:sz="4" w:space="0"/>
                  </w:tcBorders>
                  <w:vAlign w:val="center"/>
                </w:tcPr>
                <w:p>
                  <w:pPr>
                    <w:widowControl/>
                    <w:jc w:val="left"/>
                    <w:rPr>
                      <w:kern w:val="0"/>
                      <w:szCs w:val="21"/>
                    </w:rPr>
                  </w:pPr>
                </w:p>
              </w:tc>
            </w:tr>
          </w:tbl>
          <w:p>
            <w:pPr>
              <w:spacing w:line="360" w:lineRule="auto"/>
              <w:rPr>
                <w:b/>
                <w:bCs/>
              </w:rPr>
            </w:pPr>
          </w:p>
        </w:tc>
      </w:tr>
    </w:tbl>
    <w:p>
      <w:pPr>
        <w:jc w:val="center"/>
        <w:rPr>
          <w:b/>
          <w:bCs/>
          <w:sz w:val="30"/>
          <w:szCs w:val="30"/>
        </w:rPr>
      </w:pPr>
    </w:p>
    <w:p>
      <w:pPr>
        <w:jc w:val="center"/>
        <w:rPr>
          <w:b/>
          <w:bCs/>
          <w:sz w:val="30"/>
          <w:szCs w:val="30"/>
        </w:rPr>
        <w:sectPr>
          <w:pgSz w:w="11906" w:h="16838"/>
          <w:pgMar w:top="1440" w:right="1800" w:bottom="1440" w:left="1800" w:header="851" w:footer="992" w:gutter="0"/>
          <w:cols w:space="425" w:num="1"/>
          <w:docGrid w:type="lines" w:linePitch="312" w:charSpace="0"/>
        </w:sectPr>
      </w:pPr>
    </w:p>
    <w:p>
      <w:pPr>
        <w:jc w:val="center"/>
        <w:outlineLvl w:val="0"/>
        <w:rPr>
          <w:b/>
          <w:bCs/>
          <w:sz w:val="30"/>
          <w:szCs w:val="30"/>
        </w:rPr>
      </w:pPr>
      <w:bookmarkStart w:id="37" w:name="_Toc31394"/>
      <w:r>
        <w:rPr>
          <w:rFonts w:hint="eastAsia"/>
          <w:b/>
          <w:bCs/>
          <w:sz w:val="30"/>
          <w:szCs w:val="30"/>
        </w:rPr>
        <w:t>五、环境保护措施监督检查清单</w:t>
      </w:r>
      <w:bookmarkEnd w:id="37"/>
    </w:p>
    <w:tbl>
      <w:tblPr>
        <w:tblStyle w:val="8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52"/>
        <w:gridCol w:w="1385"/>
        <w:gridCol w:w="1021"/>
        <w:gridCol w:w="3034"/>
        <w:gridCol w:w="21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9" w:type="pct"/>
            <w:tcBorders>
              <w:tl2br w:val="single" w:color="auto" w:sz="4" w:space="0"/>
            </w:tcBorders>
          </w:tcPr>
          <w:p>
            <w:pPr>
              <w:adjustRightInd w:val="0"/>
              <w:snapToGrid w:val="0"/>
              <w:rPr>
                <w:color w:val="000000"/>
                <w:szCs w:val="21"/>
              </w:rPr>
            </w:pPr>
            <w:r>
              <w:rPr>
                <w:rFonts w:hint="eastAsia"/>
                <w:color w:val="000000"/>
                <w:szCs w:val="21"/>
              </w:rPr>
              <w:t>内容</w:t>
            </w:r>
          </w:p>
          <w:p>
            <w:pPr>
              <w:adjustRightInd w:val="0"/>
              <w:snapToGrid w:val="0"/>
              <w:rPr>
                <w:color w:val="000000"/>
                <w:szCs w:val="21"/>
              </w:rPr>
            </w:pPr>
          </w:p>
          <w:p>
            <w:pPr>
              <w:adjustRightInd w:val="0"/>
              <w:snapToGrid w:val="0"/>
              <w:rPr>
                <w:color w:val="000000"/>
                <w:szCs w:val="21"/>
              </w:rPr>
            </w:pPr>
            <w:r>
              <w:rPr>
                <w:rFonts w:hint="eastAsia"/>
                <w:color w:val="000000"/>
                <w:szCs w:val="21"/>
              </w:rPr>
              <w:t>要素</w:t>
            </w:r>
          </w:p>
        </w:tc>
        <w:tc>
          <w:tcPr>
            <w:tcW w:w="813" w:type="pct"/>
            <w:vAlign w:val="center"/>
          </w:tcPr>
          <w:p>
            <w:pPr>
              <w:adjustRightInd w:val="0"/>
              <w:snapToGrid w:val="0"/>
              <w:jc w:val="center"/>
              <w:rPr>
                <w:color w:val="000000"/>
                <w:szCs w:val="21"/>
              </w:rPr>
            </w:pPr>
            <w:r>
              <w:rPr>
                <w:color w:val="000000"/>
                <w:szCs w:val="21"/>
              </w:rPr>
              <w:t>排放口</w:t>
            </w:r>
            <w:r>
              <w:rPr>
                <w:rFonts w:hint="eastAsia"/>
                <w:color w:val="000000"/>
                <w:szCs w:val="21"/>
              </w:rPr>
              <w:t>（</w:t>
            </w:r>
            <w:r>
              <w:rPr>
                <w:color w:val="000000"/>
                <w:szCs w:val="21"/>
              </w:rPr>
              <w:t>编号、名称</w:t>
            </w:r>
            <w:r>
              <w:rPr>
                <w:rFonts w:hint="eastAsia"/>
                <w:color w:val="000000"/>
                <w:szCs w:val="21"/>
              </w:rPr>
              <w:t>）</w:t>
            </w:r>
            <w:r>
              <w:rPr>
                <w:color w:val="000000"/>
                <w:szCs w:val="21"/>
              </w:rPr>
              <w:t>/污染源</w:t>
            </w:r>
          </w:p>
        </w:tc>
        <w:tc>
          <w:tcPr>
            <w:tcW w:w="599" w:type="pct"/>
            <w:vAlign w:val="center"/>
          </w:tcPr>
          <w:p>
            <w:pPr>
              <w:adjustRightInd w:val="0"/>
              <w:snapToGrid w:val="0"/>
              <w:jc w:val="center"/>
              <w:rPr>
                <w:color w:val="000000"/>
                <w:szCs w:val="21"/>
              </w:rPr>
            </w:pPr>
            <w:r>
              <w:rPr>
                <w:color w:val="000000"/>
                <w:szCs w:val="21"/>
              </w:rPr>
              <w:t>污染物</w:t>
            </w:r>
          </w:p>
          <w:p>
            <w:pPr>
              <w:adjustRightInd w:val="0"/>
              <w:snapToGrid w:val="0"/>
              <w:jc w:val="center"/>
              <w:rPr>
                <w:color w:val="000000"/>
                <w:szCs w:val="21"/>
              </w:rPr>
            </w:pPr>
            <w:r>
              <w:rPr>
                <w:color w:val="000000"/>
                <w:szCs w:val="21"/>
              </w:rPr>
              <w:t>项目</w:t>
            </w:r>
          </w:p>
        </w:tc>
        <w:tc>
          <w:tcPr>
            <w:tcW w:w="1780" w:type="pct"/>
            <w:vAlign w:val="center"/>
          </w:tcPr>
          <w:p>
            <w:pPr>
              <w:adjustRightInd w:val="0"/>
              <w:snapToGrid w:val="0"/>
              <w:jc w:val="center"/>
              <w:rPr>
                <w:color w:val="000000"/>
                <w:szCs w:val="21"/>
              </w:rPr>
            </w:pPr>
            <w:r>
              <w:rPr>
                <w:color w:val="000000"/>
                <w:szCs w:val="21"/>
              </w:rPr>
              <w:t>环境保护措施</w:t>
            </w:r>
          </w:p>
        </w:tc>
        <w:tc>
          <w:tcPr>
            <w:tcW w:w="1250" w:type="pct"/>
            <w:vAlign w:val="center"/>
          </w:tcPr>
          <w:p>
            <w:pPr>
              <w:adjustRightInd w:val="0"/>
              <w:snapToGrid w:val="0"/>
              <w:jc w:val="center"/>
              <w:rPr>
                <w:color w:val="000000"/>
                <w:szCs w:val="21"/>
              </w:rPr>
            </w:pPr>
            <w:r>
              <w:rPr>
                <w:color w:val="000000"/>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23" w:hRule="atLeast"/>
          <w:jc w:val="center"/>
        </w:trPr>
        <w:tc>
          <w:tcPr>
            <w:tcW w:w="559" w:type="pct"/>
            <w:vMerge w:val="restart"/>
            <w:vAlign w:val="center"/>
          </w:tcPr>
          <w:p>
            <w:pPr>
              <w:adjustRightInd w:val="0"/>
              <w:snapToGrid w:val="0"/>
              <w:jc w:val="center"/>
              <w:rPr>
                <w:color w:val="000000"/>
                <w:szCs w:val="21"/>
              </w:rPr>
            </w:pPr>
            <w:r>
              <w:rPr>
                <w:rFonts w:hint="eastAsia"/>
                <w:color w:val="000000"/>
                <w:szCs w:val="21"/>
              </w:rPr>
              <w:t>大气环境</w:t>
            </w:r>
          </w:p>
        </w:tc>
        <w:tc>
          <w:tcPr>
            <w:tcW w:w="813" w:type="pct"/>
            <w:vAlign w:val="center"/>
          </w:tcPr>
          <w:p>
            <w:pPr>
              <w:adjustRightInd w:val="0"/>
              <w:snapToGrid w:val="0"/>
              <w:jc w:val="center"/>
              <w:rPr>
                <w:color w:val="000000"/>
                <w:szCs w:val="21"/>
              </w:rPr>
            </w:pPr>
            <w:r>
              <w:rPr>
                <w:rFonts w:hint="eastAsia"/>
                <w:color w:val="000000"/>
                <w:szCs w:val="21"/>
              </w:rPr>
              <w:t>粉料储罐除尘设施</w:t>
            </w:r>
          </w:p>
        </w:tc>
        <w:tc>
          <w:tcPr>
            <w:tcW w:w="599" w:type="pct"/>
            <w:vAlign w:val="center"/>
          </w:tcPr>
          <w:p>
            <w:pPr>
              <w:adjustRightInd w:val="0"/>
              <w:snapToGrid w:val="0"/>
              <w:jc w:val="center"/>
              <w:rPr>
                <w:color w:val="000000"/>
                <w:kern w:val="0"/>
                <w:szCs w:val="21"/>
              </w:rPr>
            </w:pPr>
            <w:r>
              <w:rPr>
                <w:rFonts w:hint="eastAsia"/>
                <w:color w:val="000000"/>
              </w:rPr>
              <w:t>粉尘</w:t>
            </w:r>
          </w:p>
        </w:tc>
        <w:tc>
          <w:tcPr>
            <w:tcW w:w="1780" w:type="pct"/>
            <w:vAlign w:val="center"/>
          </w:tcPr>
          <w:p>
            <w:pPr>
              <w:adjustRightInd w:val="0"/>
              <w:snapToGrid w:val="0"/>
              <w:jc w:val="center"/>
              <w:rPr>
                <w:color w:val="000000"/>
                <w:szCs w:val="21"/>
              </w:rPr>
            </w:pPr>
            <w:r>
              <w:rPr>
                <w:rFonts w:hint="eastAsia"/>
                <w:color w:val="000000"/>
                <w:szCs w:val="21"/>
              </w:rPr>
              <w:t>每个粉料储罐顶均配套1台脉冲布袋除尘器（共6套），排气口有效高度15m，除尘效率不低于99.9%。</w:t>
            </w:r>
          </w:p>
        </w:tc>
        <w:tc>
          <w:tcPr>
            <w:tcW w:w="1250" w:type="pct"/>
            <w:vAlign w:val="center"/>
          </w:tcPr>
          <w:p>
            <w:pPr>
              <w:adjustRightInd w:val="0"/>
              <w:snapToGrid w:val="0"/>
              <w:jc w:val="center"/>
              <w:rPr>
                <w:color w:val="000000"/>
                <w:szCs w:val="21"/>
              </w:rPr>
            </w:pPr>
            <w:r>
              <w:rPr>
                <w:rFonts w:hint="eastAsia"/>
                <w:color w:val="000000"/>
                <w:szCs w:val="21"/>
              </w:rPr>
              <w:t>《水泥工业大气污染物排放标准》（GB4915-2013）表1大气污染物排放限值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Merge w:val="continue"/>
            <w:vAlign w:val="center"/>
          </w:tcPr>
          <w:p>
            <w:pPr>
              <w:adjustRightInd w:val="0"/>
              <w:snapToGrid w:val="0"/>
              <w:jc w:val="center"/>
              <w:rPr>
                <w:color w:val="000000"/>
                <w:szCs w:val="21"/>
              </w:rPr>
            </w:pPr>
          </w:p>
        </w:tc>
        <w:tc>
          <w:tcPr>
            <w:tcW w:w="813" w:type="pct"/>
            <w:vMerge w:val="restart"/>
            <w:vAlign w:val="center"/>
          </w:tcPr>
          <w:p>
            <w:pPr>
              <w:adjustRightInd w:val="0"/>
              <w:snapToGrid w:val="0"/>
              <w:jc w:val="center"/>
              <w:rPr>
                <w:color w:val="000000"/>
                <w:szCs w:val="21"/>
              </w:rPr>
            </w:pPr>
            <w:r>
              <w:rPr>
                <w:rFonts w:hint="eastAsia"/>
                <w:color w:val="000000"/>
                <w:szCs w:val="21"/>
              </w:rPr>
              <w:t>原料库、皮带输送机</w:t>
            </w:r>
          </w:p>
        </w:tc>
        <w:tc>
          <w:tcPr>
            <w:tcW w:w="599" w:type="pct"/>
            <w:vMerge w:val="restart"/>
            <w:vAlign w:val="center"/>
          </w:tcPr>
          <w:p>
            <w:pPr>
              <w:adjustRightInd w:val="0"/>
              <w:snapToGrid w:val="0"/>
              <w:jc w:val="center"/>
              <w:rPr>
                <w:color w:val="000000"/>
                <w:kern w:val="0"/>
                <w:szCs w:val="21"/>
              </w:rPr>
            </w:pPr>
            <w:r>
              <w:rPr>
                <w:rFonts w:hint="eastAsia"/>
                <w:color w:val="000000"/>
                <w:szCs w:val="21"/>
              </w:rPr>
              <w:t>粉尘</w:t>
            </w:r>
          </w:p>
        </w:tc>
        <w:tc>
          <w:tcPr>
            <w:tcW w:w="1780" w:type="pct"/>
          </w:tcPr>
          <w:p>
            <w:pPr>
              <w:adjustRightInd w:val="0"/>
              <w:snapToGrid w:val="0"/>
              <w:jc w:val="center"/>
              <w:rPr>
                <w:color w:val="000000"/>
                <w:szCs w:val="21"/>
              </w:rPr>
            </w:pPr>
            <w:r>
              <w:rPr>
                <w:rFonts w:hint="eastAsia"/>
                <w:color w:val="000000"/>
              </w:rPr>
              <w:t>原料库地面硬化处理，带顶棚彩钢瓦进行半封闭遮挡降尘，并设置喷淋降尘系统。</w:t>
            </w:r>
          </w:p>
        </w:tc>
        <w:tc>
          <w:tcPr>
            <w:tcW w:w="1250" w:type="pct"/>
            <w:vMerge w:val="restart"/>
            <w:vAlign w:val="center"/>
          </w:tcPr>
          <w:p>
            <w:pPr>
              <w:adjustRightInd w:val="0"/>
              <w:snapToGrid w:val="0"/>
              <w:jc w:val="center"/>
              <w:rPr>
                <w:color w:val="000000"/>
                <w:szCs w:val="21"/>
              </w:rPr>
            </w:pPr>
            <w:r>
              <w:rPr>
                <w:rFonts w:hint="eastAsia"/>
                <w:color w:val="000000"/>
              </w:rPr>
              <w:t>《水泥工业大气污染物排放标准》（</w:t>
            </w:r>
            <w:r>
              <w:rPr>
                <w:color w:val="000000"/>
              </w:rPr>
              <w:t>GB4915-2013</w:t>
            </w:r>
            <w:r>
              <w:rPr>
                <w:rFonts w:hint="eastAsia"/>
                <w:color w:val="000000"/>
              </w:rPr>
              <w:t>）表</w:t>
            </w:r>
            <w:r>
              <w:rPr>
                <w:color w:val="000000"/>
              </w:rPr>
              <w:t>3</w:t>
            </w:r>
            <w:r>
              <w:rPr>
                <w:rFonts w:hint="eastAsia"/>
                <w:color w:val="000000"/>
              </w:rPr>
              <w:t>中大气污染物无组织排放限值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Merge w:val="continue"/>
            <w:tcBorders>
              <w:bottom w:val="single" w:color="auto" w:sz="4" w:space="0"/>
            </w:tcBorders>
            <w:vAlign w:val="center"/>
          </w:tcPr>
          <w:p>
            <w:pPr>
              <w:adjustRightInd w:val="0"/>
              <w:snapToGrid w:val="0"/>
              <w:jc w:val="center"/>
              <w:rPr>
                <w:color w:val="000000"/>
                <w:szCs w:val="21"/>
              </w:rPr>
            </w:pPr>
          </w:p>
        </w:tc>
        <w:tc>
          <w:tcPr>
            <w:tcW w:w="813" w:type="pct"/>
            <w:vMerge w:val="continue"/>
            <w:tcBorders>
              <w:bottom w:val="single" w:color="auto" w:sz="4" w:space="0"/>
            </w:tcBorders>
            <w:vAlign w:val="center"/>
          </w:tcPr>
          <w:p>
            <w:pPr>
              <w:adjustRightInd w:val="0"/>
              <w:snapToGrid w:val="0"/>
              <w:jc w:val="center"/>
              <w:rPr>
                <w:color w:val="000000"/>
                <w:szCs w:val="21"/>
              </w:rPr>
            </w:pPr>
          </w:p>
        </w:tc>
        <w:tc>
          <w:tcPr>
            <w:tcW w:w="599" w:type="pct"/>
            <w:vMerge w:val="continue"/>
            <w:tcBorders>
              <w:bottom w:val="single" w:color="auto" w:sz="4" w:space="0"/>
            </w:tcBorders>
            <w:vAlign w:val="center"/>
          </w:tcPr>
          <w:p>
            <w:pPr>
              <w:adjustRightInd w:val="0"/>
              <w:snapToGrid w:val="0"/>
              <w:jc w:val="center"/>
              <w:rPr>
                <w:color w:val="000000"/>
                <w:szCs w:val="21"/>
              </w:rPr>
            </w:pPr>
          </w:p>
        </w:tc>
        <w:tc>
          <w:tcPr>
            <w:tcW w:w="1780" w:type="pct"/>
            <w:tcBorders>
              <w:bottom w:val="single" w:color="auto" w:sz="4" w:space="0"/>
            </w:tcBorders>
          </w:tcPr>
          <w:p>
            <w:pPr>
              <w:adjustRightInd w:val="0"/>
              <w:snapToGrid w:val="0"/>
              <w:jc w:val="center"/>
              <w:rPr>
                <w:color w:val="000000"/>
                <w:szCs w:val="21"/>
              </w:rPr>
            </w:pPr>
            <w:r>
              <w:rPr>
                <w:rFonts w:hint="eastAsia"/>
                <w:color w:val="000000"/>
              </w:rPr>
              <w:t>皮带输送机廊道上部加盖侧面密封，下部设有收料盘，对皮带输送机进行封闭处理。</w:t>
            </w:r>
          </w:p>
        </w:tc>
        <w:tc>
          <w:tcPr>
            <w:tcW w:w="1250" w:type="pct"/>
            <w:vMerge w:val="continue"/>
            <w:vAlign w:val="center"/>
          </w:tcPr>
          <w:p>
            <w:pPr>
              <w:adjustRightInd w:val="0"/>
              <w:snapToGrid w:val="0"/>
              <w:jc w:val="center"/>
              <w:rPr>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559" w:type="pct"/>
            <w:vMerge w:val="continue"/>
            <w:vAlign w:val="center"/>
          </w:tcPr>
          <w:p>
            <w:pPr>
              <w:adjustRightInd w:val="0"/>
              <w:snapToGrid w:val="0"/>
              <w:jc w:val="center"/>
              <w:rPr>
                <w:color w:val="000000"/>
                <w:szCs w:val="21"/>
              </w:rPr>
            </w:pPr>
          </w:p>
        </w:tc>
        <w:tc>
          <w:tcPr>
            <w:tcW w:w="813" w:type="pct"/>
            <w:vMerge w:val="continue"/>
            <w:vAlign w:val="center"/>
          </w:tcPr>
          <w:p>
            <w:pPr>
              <w:adjustRightInd w:val="0"/>
              <w:snapToGrid w:val="0"/>
              <w:jc w:val="center"/>
              <w:rPr>
                <w:color w:val="000000"/>
                <w:szCs w:val="21"/>
              </w:rPr>
            </w:pPr>
          </w:p>
        </w:tc>
        <w:tc>
          <w:tcPr>
            <w:tcW w:w="599" w:type="pct"/>
            <w:vMerge w:val="continue"/>
            <w:vAlign w:val="center"/>
          </w:tcPr>
          <w:p>
            <w:pPr>
              <w:adjustRightInd w:val="0"/>
              <w:snapToGrid w:val="0"/>
              <w:jc w:val="center"/>
              <w:rPr>
                <w:color w:val="000000"/>
                <w:szCs w:val="21"/>
              </w:rPr>
            </w:pPr>
          </w:p>
        </w:tc>
        <w:tc>
          <w:tcPr>
            <w:tcW w:w="1780" w:type="pct"/>
            <w:tcBorders>
              <w:top w:val="single" w:color="auto" w:sz="4" w:space="0"/>
            </w:tcBorders>
          </w:tcPr>
          <w:p>
            <w:pPr>
              <w:adjustRightInd w:val="0"/>
              <w:snapToGrid w:val="0"/>
              <w:jc w:val="center"/>
              <w:rPr>
                <w:color w:val="000000"/>
                <w:szCs w:val="21"/>
              </w:rPr>
            </w:pPr>
            <w:r>
              <w:rPr>
                <w:rFonts w:hint="eastAsia"/>
                <w:color w:val="000000"/>
              </w:rPr>
              <w:t>设置喷雾桩进行降尘，对生产区域及场地硬化区域每天洒水2次</w:t>
            </w:r>
          </w:p>
        </w:tc>
        <w:tc>
          <w:tcPr>
            <w:tcW w:w="1250" w:type="pct"/>
            <w:vMerge w:val="continue"/>
            <w:vAlign w:val="center"/>
          </w:tcPr>
          <w:p>
            <w:pPr>
              <w:adjustRightInd w:val="0"/>
              <w:snapToGrid w:val="0"/>
              <w:jc w:val="center"/>
              <w:rPr>
                <w:color w:val="00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Merge w:val="continue"/>
            <w:tcBorders>
              <w:bottom w:val="single" w:color="auto" w:sz="8" w:space="0"/>
            </w:tcBorders>
            <w:vAlign w:val="center"/>
          </w:tcPr>
          <w:p>
            <w:pPr>
              <w:adjustRightInd w:val="0"/>
              <w:snapToGrid w:val="0"/>
              <w:jc w:val="center"/>
              <w:rPr>
                <w:color w:val="000000"/>
                <w:szCs w:val="21"/>
              </w:rPr>
            </w:pPr>
          </w:p>
        </w:tc>
        <w:tc>
          <w:tcPr>
            <w:tcW w:w="813" w:type="pct"/>
            <w:tcBorders>
              <w:top w:val="single" w:color="auto" w:sz="4" w:space="0"/>
              <w:bottom w:val="single" w:color="auto" w:sz="4" w:space="0"/>
            </w:tcBorders>
            <w:vAlign w:val="center"/>
          </w:tcPr>
          <w:p>
            <w:pPr>
              <w:adjustRightInd w:val="0"/>
              <w:snapToGrid w:val="0"/>
              <w:jc w:val="center"/>
              <w:rPr>
                <w:color w:val="000000"/>
                <w:szCs w:val="21"/>
              </w:rPr>
            </w:pPr>
            <w:r>
              <w:rPr>
                <w:rFonts w:hint="eastAsia"/>
                <w:color w:val="000000"/>
                <w:szCs w:val="21"/>
              </w:rPr>
              <w:t>食堂</w:t>
            </w:r>
          </w:p>
        </w:tc>
        <w:tc>
          <w:tcPr>
            <w:tcW w:w="599" w:type="pct"/>
            <w:tcBorders>
              <w:top w:val="single" w:color="auto" w:sz="4" w:space="0"/>
              <w:bottom w:val="single" w:color="auto" w:sz="4" w:space="0"/>
            </w:tcBorders>
            <w:vAlign w:val="center"/>
          </w:tcPr>
          <w:p>
            <w:pPr>
              <w:adjustRightInd w:val="0"/>
              <w:snapToGrid w:val="0"/>
              <w:jc w:val="center"/>
              <w:rPr>
                <w:color w:val="000000"/>
                <w:szCs w:val="21"/>
              </w:rPr>
            </w:pPr>
            <w:r>
              <w:rPr>
                <w:rFonts w:hint="eastAsia"/>
                <w:color w:val="000000"/>
              </w:rPr>
              <w:t>油烟</w:t>
            </w:r>
          </w:p>
        </w:tc>
        <w:tc>
          <w:tcPr>
            <w:tcW w:w="1780" w:type="pct"/>
            <w:tcBorders>
              <w:top w:val="single" w:color="auto" w:sz="4" w:space="0"/>
              <w:bottom w:val="single" w:color="auto" w:sz="4" w:space="0"/>
            </w:tcBorders>
            <w:vAlign w:val="center"/>
          </w:tcPr>
          <w:p>
            <w:pPr>
              <w:adjustRightInd w:val="0"/>
              <w:snapToGrid w:val="0"/>
              <w:jc w:val="center"/>
              <w:rPr>
                <w:color w:val="000000"/>
                <w:szCs w:val="21"/>
              </w:rPr>
            </w:pPr>
            <w:r>
              <w:rPr>
                <w:rFonts w:hint="eastAsia"/>
                <w:color w:val="000000"/>
              </w:rPr>
              <w:t>1套油烟净化设施处理后，通过油烟排放管道排放</w:t>
            </w:r>
          </w:p>
        </w:tc>
        <w:tc>
          <w:tcPr>
            <w:tcW w:w="1250" w:type="pct"/>
            <w:tcBorders>
              <w:top w:val="single" w:color="auto" w:sz="4" w:space="0"/>
              <w:bottom w:val="single" w:color="auto" w:sz="4" w:space="0"/>
              <w:right w:val="single" w:color="auto" w:sz="4" w:space="0"/>
            </w:tcBorders>
          </w:tcPr>
          <w:p>
            <w:pPr>
              <w:adjustRightInd w:val="0"/>
              <w:snapToGrid w:val="0"/>
              <w:jc w:val="center"/>
              <w:rPr>
                <w:color w:val="000000"/>
                <w:szCs w:val="21"/>
              </w:rPr>
            </w:pPr>
            <w:r>
              <w:rPr>
                <w:rFonts w:hint="eastAsia"/>
                <w:color w:val="000000"/>
              </w:rPr>
              <w:t>达《饮食业油烟排放标准》GB18483-2001（试行）小型规模标准要求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Merge w:val="restart"/>
            <w:vAlign w:val="center"/>
          </w:tcPr>
          <w:p>
            <w:pPr>
              <w:adjustRightInd w:val="0"/>
              <w:snapToGrid w:val="0"/>
              <w:jc w:val="center"/>
              <w:rPr>
                <w:color w:val="000000"/>
                <w:szCs w:val="21"/>
              </w:rPr>
            </w:pPr>
            <w:r>
              <w:rPr>
                <w:color w:val="000000"/>
                <w:szCs w:val="21"/>
              </w:rPr>
              <w:t>地表水环境</w:t>
            </w:r>
          </w:p>
        </w:tc>
        <w:tc>
          <w:tcPr>
            <w:tcW w:w="813" w:type="pct"/>
            <w:tcBorders>
              <w:top w:val="single" w:color="auto" w:sz="4" w:space="0"/>
              <w:bottom w:val="single" w:color="auto" w:sz="4" w:space="0"/>
            </w:tcBorders>
            <w:vAlign w:val="center"/>
          </w:tcPr>
          <w:p>
            <w:pPr>
              <w:adjustRightInd w:val="0"/>
              <w:snapToGrid w:val="0"/>
              <w:jc w:val="center"/>
              <w:rPr>
                <w:color w:val="000000"/>
                <w:szCs w:val="21"/>
              </w:rPr>
            </w:pPr>
            <w:r>
              <w:rPr>
                <w:rFonts w:hint="eastAsia"/>
                <w:color w:val="000000"/>
                <w:szCs w:val="21"/>
              </w:rPr>
              <w:t>生活污水</w:t>
            </w:r>
          </w:p>
        </w:tc>
        <w:tc>
          <w:tcPr>
            <w:tcW w:w="599" w:type="pct"/>
            <w:tcBorders>
              <w:top w:val="single" w:color="auto" w:sz="4" w:space="0"/>
              <w:bottom w:val="single" w:color="auto" w:sz="4" w:space="0"/>
            </w:tcBorders>
            <w:vAlign w:val="center"/>
          </w:tcPr>
          <w:p>
            <w:pPr>
              <w:adjustRightInd w:val="0"/>
              <w:snapToGrid w:val="0"/>
              <w:jc w:val="center"/>
              <w:rPr>
                <w:color w:val="000000"/>
                <w:szCs w:val="21"/>
              </w:rPr>
            </w:pPr>
            <w:r>
              <w:rPr>
                <w:rFonts w:hint="eastAsia"/>
                <w:color w:val="000000"/>
                <w:szCs w:val="21"/>
              </w:rPr>
              <w:t>COD、BOD</w:t>
            </w:r>
            <w:r>
              <w:rPr>
                <w:rFonts w:hint="eastAsia"/>
                <w:color w:val="000000"/>
                <w:szCs w:val="21"/>
                <w:vertAlign w:val="subscript"/>
              </w:rPr>
              <w:t>5、</w:t>
            </w:r>
            <w:r>
              <w:rPr>
                <w:rFonts w:hint="eastAsia"/>
                <w:color w:val="000000"/>
                <w:szCs w:val="21"/>
              </w:rPr>
              <w:t>SS、NH</w:t>
            </w:r>
            <w:r>
              <w:rPr>
                <w:rFonts w:hint="eastAsia"/>
                <w:color w:val="000000"/>
                <w:szCs w:val="21"/>
                <w:vertAlign w:val="subscript"/>
              </w:rPr>
              <w:t>3</w:t>
            </w:r>
            <w:r>
              <w:rPr>
                <w:rFonts w:hint="eastAsia"/>
                <w:color w:val="000000"/>
                <w:szCs w:val="21"/>
              </w:rPr>
              <w:t>-N、动植物油</w:t>
            </w:r>
          </w:p>
        </w:tc>
        <w:tc>
          <w:tcPr>
            <w:tcW w:w="1780" w:type="pct"/>
            <w:tcBorders>
              <w:top w:val="single" w:color="auto" w:sz="4" w:space="0"/>
              <w:bottom w:val="single" w:color="auto" w:sz="4" w:space="0"/>
            </w:tcBorders>
            <w:vAlign w:val="center"/>
          </w:tcPr>
          <w:p>
            <w:pPr>
              <w:adjustRightInd w:val="0"/>
              <w:snapToGrid w:val="0"/>
              <w:jc w:val="center"/>
              <w:rPr>
                <w:color w:val="000000"/>
                <w:szCs w:val="21"/>
              </w:rPr>
            </w:pPr>
            <w:r>
              <w:rPr>
                <w:rFonts w:hint="eastAsia"/>
                <w:color w:val="000000"/>
                <w:szCs w:val="21"/>
              </w:rPr>
              <w:t>设置1个容积为1m</w:t>
            </w:r>
            <w:r>
              <w:rPr>
                <w:rFonts w:hint="eastAsia"/>
                <w:color w:val="000000"/>
                <w:szCs w:val="21"/>
                <w:vertAlign w:val="superscript"/>
              </w:rPr>
              <w:t>3</w:t>
            </w:r>
            <w:r>
              <w:rPr>
                <w:rFonts w:hint="eastAsia"/>
                <w:color w:val="000000"/>
                <w:szCs w:val="21"/>
              </w:rPr>
              <w:t>的隔油池</w:t>
            </w:r>
            <w:r>
              <w:rPr>
                <w:rFonts w:hint="eastAsia"/>
                <w:color w:val="000000" w:themeColor="text1"/>
                <w:szCs w:val="21"/>
                <w14:textFill>
                  <w14:solidFill>
                    <w14:schemeClr w14:val="tx1"/>
                  </w14:solidFill>
                </w14:textFill>
              </w:rPr>
              <w:t>，2个总容积为1</w:t>
            </w:r>
            <w:r>
              <w:rPr>
                <w:color w:val="000000" w:themeColor="text1"/>
                <w:szCs w:val="21"/>
                <w14:textFill>
                  <w14:solidFill>
                    <w14:schemeClr w14:val="tx1"/>
                  </w14:solidFill>
                </w14:textFill>
              </w:rPr>
              <w:t>0</w:t>
            </w:r>
            <w:r>
              <w:rPr>
                <w:rFonts w:hint="eastAsia"/>
                <w:color w:val="000000" w:themeColor="text1"/>
                <w:szCs w:val="21"/>
                <w14:textFill>
                  <w14:solidFill>
                    <w14:schemeClr w14:val="tx1"/>
                  </w14:solidFill>
                </w14:textFill>
              </w:rPr>
              <w:t>0m</w:t>
            </w:r>
            <w:r>
              <w:rPr>
                <w:rFonts w:hint="eastAsia"/>
                <w:color w:val="000000" w:themeColor="text1"/>
                <w:szCs w:val="21"/>
                <w:vertAlign w:val="superscript"/>
                <w14:textFill>
                  <w14:solidFill>
                    <w14:schemeClr w14:val="tx1"/>
                  </w14:solidFill>
                </w14:textFill>
              </w:rPr>
              <w:t>3</w:t>
            </w:r>
            <w:r>
              <w:rPr>
                <w:rFonts w:hint="eastAsia"/>
                <w:color w:val="000000" w:themeColor="text1"/>
                <w:szCs w:val="21"/>
                <w14:textFill>
                  <w14:solidFill>
                    <w14:schemeClr w14:val="tx1"/>
                  </w14:solidFill>
                </w14:textFill>
              </w:rPr>
              <w:t>的化粪池，</w:t>
            </w:r>
            <w:r>
              <w:rPr>
                <w:rFonts w:hint="eastAsia"/>
                <w:color w:val="000000"/>
                <w:szCs w:val="21"/>
              </w:rPr>
              <w:t>项目食堂废水先经隔油池处理后，再同其他生活污水排入化粪池，经化粪池处理后用槽罐车外送污水处理厂进行处理。</w:t>
            </w:r>
          </w:p>
        </w:tc>
        <w:tc>
          <w:tcPr>
            <w:tcW w:w="1250" w:type="pct"/>
            <w:tcBorders>
              <w:top w:val="single" w:color="auto" w:sz="4" w:space="0"/>
              <w:bottom w:val="single" w:color="auto" w:sz="4" w:space="0"/>
              <w:right w:val="single" w:color="auto" w:sz="4" w:space="0"/>
            </w:tcBorders>
            <w:vAlign w:val="center"/>
          </w:tcPr>
          <w:p>
            <w:pPr>
              <w:adjustRightInd w:val="0"/>
              <w:snapToGrid w:val="0"/>
              <w:jc w:val="center"/>
              <w:rPr>
                <w:color w:val="000000"/>
                <w:szCs w:val="21"/>
              </w:rPr>
            </w:pPr>
            <w:r>
              <w:rPr>
                <w:rFonts w:hint="eastAsia"/>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Merge w:val="continue"/>
            <w:vAlign w:val="center"/>
          </w:tcPr>
          <w:p>
            <w:pPr>
              <w:adjustRightInd w:val="0"/>
              <w:snapToGrid w:val="0"/>
              <w:jc w:val="center"/>
              <w:rPr>
                <w:color w:val="000000"/>
                <w:szCs w:val="21"/>
              </w:rPr>
            </w:pPr>
          </w:p>
        </w:tc>
        <w:tc>
          <w:tcPr>
            <w:tcW w:w="813" w:type="pct"/>
            <w:tcBorders>
              <w:top w:val="single" w:color="auto" w:sz="4" w:space="0"/>
              <w:bottom w:val="single" w:color="auto" w:sz="4" w:space="0"/>
            </w:tcBorders>
            <w:vAlign w:val="center"/>
          </w:tcPr>
          <w:p>
            <w:pPr>
              <w:adjustRightInd w:val="0"/>
              <w:snapToGrid w:val="0"/>
              <w:jc w:val="center"/>
              <w:rPr>
                <w:color w:val="000000"/>
                <w:szCs w:val="21"/>
              </w:rPr>
            </w:pPr>
            <w:r>
              <w:rPr>
                <w:rFonts w:hint="eastAsia"/>
                <w:color w:val="000000"/>
                <w:szCs w:val="21"/>
              </w:rPr>
              <w:t>初期雨水收集</w:t>
            </w:r>
          </w:p>
        </w:tc>
        <w:tc>
          <w:tcPr>
            <w:tcW w:w="599" w:type="pct"/>
            <w:tcBorders>
              <w:top w:val="single" w:color="auto" w:sz="4" w:space="0"/>
              <w:bottom w:val="single" w:color="auto" w:sz="4" w:space="0"/>
            </w:tcBorders>
            <w:vAlign w:val="center"/>
          </w:tcPr>
          <w:p>
            <w:pPr>
              <w:adjustRightInd w:val="0"/>
              <w:snapToGrid w:val="0"/>
              <w:jc w:val="center"/>
              <w:rPr>
                <w:color w:val="000000"/>
                <w:szCs w:val="21"/>
              </w:rPr>
            </w:pPr>
            <w:r>
              <w:rPr>
                <w:rFonts w:hint="eastAsia"/>
                <w:color w:val="000000"/>
                <w:szCs w:val="21"/>
              </w:rPr>
              <w:t>S</w:t>
            </w:r>
            <w:r>
              <w:rPr>
                <w:color w:val="000000"/>
                <w:szCs w:val="21"/>
              </w:rPr>
              <w:t>S</w:t>
            </w:r>
          </w:p>
        </w:tc>
        <w:tc>
          <w:tcPr>
            <w:tcW w:w="1780" w:type="pct"/>
            <w:tcBorders>
              <w:top w:val="single" w:color="auto" w:sz="4" w:space="0"/>
            </w:tcBorders>
            <w:vAlign w:val="center"/>
          </w:tcPr>
          <w:p>
            <w:pPr>
              <w:adjustRightInd w:val="0"/>
              <w:snapToGrid w:val="0"/>
              <w:jc w:val="center"/>
              <w:rPr>
                <w:color w:val="000000"/>
                <w:szCs w:val="21"/>
              </w:rPr>
            </w:pPr>
            <w:r>
              <w:rPr>
                <w:rFonts w:hint="eastAsia"/>
                <w:color w:val="000000"/>
                <w:szCs w:val="21"/>
              </w:rPr>
              <w:t>在厂区出入口低洼处建设1个容积为105m</w:t>
            </w:r>
            <w:r>
              <w:rPr>
                <w:rFonts w:hint="eastAsia"/>
                <w:color w:val="000000"/>
                <w:szCs w:val="21"/>
                <w:vertAlign w:val="superscript"/>
              </w:rPr>
              <w:t>3</w:t>
            </w:r>
            <w:r>
              <w:rPr>
                <w:rFonts w:hint="eastAsia"/>
                <w:color w:val="000000"/>
                <w:szCs w:val="21"/>
              </w:rPr>
              <w:t>的雨水收集池，并在初期雨水收集池处设置分流阀门，根据地面集流时间与管道流行时间进行初期雨水的收集。初期雨水经过雨水收集池沉淀处理后回用于生产过程。</w:t>
            </w:r>
          </w:p>
        </w:tc>
        <w:tc>
          <w:tcPr>
            <w:tcW w:w="1250" w:type="pct"/>
            <w:tcBorders>
              <w:top w:val="single" w:color="auto" w:sz="4" w:space="0"/>
            </w:tcBorders>
            <w:vAlign w:val="center"/>
          </w:tcPr>
          <w:p>
            <w:pPr>
              <w:adjustRightInd w:val="0"/>
              <w:snapToGrid w:val="0"/>
              <w:jc w:val="center"/>
              <w:rPr>
                <w:color w:val="000000"/>
                <w:szCs w:val="21"/>
              </w:rPr>
            </w:pPr>
            <w:r>
              <w:rPr>
                <w:rFonts w:hint="eastAsia"/>
                <w:color w:val="000000"/>
                <w:szCs w:val="21"/>
              </w:rPr>
              <w:t>厂区雨水进行收集处理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Merge w:val="continue"/>
            <w:tcBorders>
              <w:bottom w:val="single" w:color="auto" w:sz="4" w:space="0"/>
            </w:tcBorders>
            <w:vAlign w:val="center"/>
          </w:tcPr>
          <w:p>
            <w:pPr>
              <w:adjustRightInd w:val="0"/>
              <w:snapToGrid w:val="0"/>
              <w:jc w:val="center"/>
              <w:rPr>
                <w:color w:val="000000"/>
                <w:szCs w:val="21"/>
              </w:rPr>
            </w:pPr>
          </w:p>
        </w:tc>
        <w:tc>
          <w:tcPr>
            <w:tcW w:w="813" w:type="pct"/>
            <w:tcBorders>
              <w:bottom w:val="single" w:color="auto" w:sz="4" w:space="0"/>
            </w:tcBorders>
            <w:vAlign w:val="center"/>
          </w:tcPr>
          <w:p>
            <w:pPr>
              <w:adjustRightInd w:val="0"/>
              <w:snapToGrid w:val="0"/>
              <w:jc w:val="center"/>
              <w:rPr>
                <w:color w:val="000000"/>
                <w:szCs w:val="21"/>
              </w:rPr>
            </w:pPr>
            <w:r>
              <w:rPr>
                <w:rFonts w:hint="eastAsia"/>
                <w:color w:val="000000"/>
                <w:szCs w:val="21"/>
              </w:rPr>
              <w:t>生产废水处理设施</w:t>
            </w:r>
          </w:p>
        </w:tc>
        <w:tc>
          <w:tcPr>
            <w:tcW w:w="599" w:type="pct"/>
            <w:tcBorders>
              <w:bottom w:val="single" w:color="auto" w:sz="4" w:space="0"/>
            </w:tcBorders>
            <w:vAlign w:val="center"/>
          </w:tcPr>
          <w:p>
            <w:pPr>
              <w:adjustRightInd w:val="0"/>
              <w:snapToGrid w:val="0"/>
              <w:jc w:val="center"/>
              <w:rPr>
                <w:color w:val="000000"/>
                <w:szCs w:val="21"/>
              </w:rPr>
            </w:pPr>
            <w:r>
              <w:rPr>
                <w:rFonts w:hint="eastAsia"/>
                <w:color w:val="000000"/>
                <w:szCs w:val="21"/>
              </w:rPr>
              <w:t>SS</w:t>
            </w:r>
          </w:p>
        </w:tc>
        <w:tc>
          <w:tcPr>
            <w:tcW w:w="1780" w:type="pct"/>
            <w:vAlign w:val="center"/>
          </w:tcPr>
          <w:p>
            <w:pPr>
              <w:adjustRightInd w:val="0"/>
              <w:snapToGrid w:val="0"/>
              <w:jc w:val="center"/>
              <w:rPr>
                <w:color w:val="000000"/>
                <w:szCs w:val="21"/>
              </w:rPr>
            </w:pPr>
            <w:r>
              <w:rPr>
                <w:rFonts w:hint="eastAsia"/>
                <w:color w:val="000000"/>
                <w:szCs w:val="21"/>
              </w:rPr>
              <w:t>1个三级沉淀池（</w:t>
            </w:r>
            <w:r>
              <w:rPr>
                <w:color w:val="000000"/>
                <w:szCs w:val="21"/>
              </w:rPr>
              <w:t>105</w:t>
            </w:r>
            <w:r>
              <w:rPr>
                <w:rFonts w:hint="eastAsia"/>
                <w:color w:val="000000"/>
                <w:szCs w:val="21"/>
              </w:rPr>
              <w:t>m</w:t>
            </w:r>
            <w:r>
              <w:rPr>
                <w:rFonts w:hint="eastAsia"/>
                <w:color w:val="000000"/>
                <w:szCs w:val="21"/>
                <w:vertAlign w:val="superscript"/>
              </w:rPr>
              <w:t>3</w:t>
            </w:r>
            <w:r>
              <w:rPr>
                <w:rFonts w:hint="eastAsia"/>
                <w:color w:val="000000"/>
                <w:szCs w:val="21"/>
              </w:rPr>
              <w:t>）；</w:t>
            </w:r>
            <w:r>
              <w:rPr>
                <w:rFonts w:hint="eastAsia"/>
                <w:color w:val="000000"/>
              </w:rPr>
              <w:t>搅拌机清洗废水、混凝土运输罐车内部、外部清洗废水进行收集处理，通过厂区污水收集沟收集后进入沉淀池</w:t>
            </w:r>
          </w:p>
        </w:tc>
        <w:tc>
          <w:tcPr>
            <w:tcW w:w="1250" w:type="pct"/>
            <w:vAlign w:val="center"/>
          </w:tcPr>
          <w:p>
            <w:pPr>
              <w:adjustRightInd w:val="0"/>
              <w:snapToGrid w:val="0"/>
              <w:jc w:val="center"/>
              <w:rPr>
                <w:color w:val="000000"/>
                <w:szCs w:val="21"/>
              </w:rPr>
            </w:pPr>
            <w:r>
              <w:rPr>
                <w:rFonts w:hint="eastAsia"/>
                <w:color w:val="000000"/>
              </w:rPr>
              <w:t>《城市污水再生利用工业用水水质》（GB/T19923-2005）标准中的工艺与产品用水标准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9" w:type="pct"/>
            <w:vAlign w:val="center"/>
          </w:tcPr>
          <w:p>
            <w:pPr>
              <w:adjustRightInd w:val="0"/>
              <w:snapToGrid w:val="0"/>
              <w:jc w:val="center"/>
              <w:rPr>
                <w:color w:val="000000"/>
                <w:szCs w:val="21"/>
              </w:rPr>
            </w:pPr>
            <w:r>
              <w:rPr>
                <w:color w:val="000000"/>
                <w:szCs w:val="21"/>
              </w:rPr>
              <w:t>声环境</w:t>
            </w:r>
          </w:p>
        </w:tc>
        <w:tc>
          <w:tcPr>
            <w:tcW w:w="813" w:type="pct"/>
            <w:vAlign w:val="center"/>
          </w:tcPr>
          <w:p>
            <w:pPr>
              <w:adjustRightInd w:val="0"/>
              <w:snapToGrid w:val="0"/>
              <w:jc w:val="center"/>
              <w:rPr>
                <w:color w:val="000000"/>
                <w:szCs w:val="21"/>
              </w:rPr>
            </w:pPr>
            <w:r>
              <w:rPr>
                <w:rFonts w:hint="eastAsia"/>
                <w:color w:val="000000"/>
                <w:szCs w:val="21"/>
              </w:rPr>
              <w:t>生产设备</w:t>
            </w:r>
          </w:p>
        </w:tc>
        <w:tc>
          <w:tcPr>
            <w:tcW w:w="2379" w:type="pct"/>
            <w:gridSpan w:val="2"/>
            <w:vAlign w:val="center"/>
          </w:tcPr>
          <w:p>
            <w:pPr>
              <w:adjustRightInd w:val="0"/>
              <w:snapToGrid w:val="0"/>
              <w:jc w:val="center"/>
              <w:rPr>
                <w:color w:val="000000"/>
                <w:szCs w:val="21"/>
              </w:rPr>
            </w:pPr>
            <w:r>
              <w:rPr>
                <w:rFonts w:hint="eastAsia"/>
                <w:color w:val="000000"/>
                <w:szCs w:val="21"/>
              </w:rPr>
              <w:t>搅拌机楼进行封闭处理，产噪设备上安装基础减振垫。</w:t>
            </w:r>
          </w:p>
        </w:tc>
        <w:tc>
          <w:tcPr>
            <w:tcW w:w="1250" w:type="pct"/>
            <w:vAlign w:val="center"/>
          </w:tcPr>
          <w:p>
            <w:pPr>
              <w:adjustRightInd w:val="0"/>
              <w:snapToGrid w:val="0"/>
              <w:jc w:val="center"/>
              <w:rPr>
                <w:color w:val="000000"/>
                <w:szCs w:val="21"/>
              </w:rPr>
            </w:pPr>
            <w:r>
              <w:rPr>
                <w:rFonts w:hint="eastAsia"/>
                <w:color w:val="000000"/>
                <w:szCs w:val="21"/>
              </w:rPr>
              <w:t>达到</w:t>
            </w:r>
            <w:r>
              <w:rPr>
                <w:color w:val="000000"/>
                <w:szCs w:val="21"/>
              </w:rPr>
              <w:t>《工业企业厂界环境噪声排放标准》（GB12348-2008）中的2类标准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9" w:type="pct"/>
            <w:vAlign w:val="center"/>
          </w:tcPr>
          <w:p>
            <w:pPr>
              <w:adjustRightInd w:val="0"/>
              <w:snapToGrid w:val="0"/>
              <w:jc w:val="center"/>
              <w:rPr>
                <w:color w:val="000000"/>
                <w:szCs w:val="21"/>
              </w:rPr>
            </w:pPr>
            <w:r>
              <w:rPr>
                <w:color w:val="000000"/>
                <w:szCs w:val="21"/>
              </w:rPr>
              <w:t>电磁辐射</w:t>
            </w:r>
          </w:p>
        </w:tc>
        <w:tc>
          <w:tcPr>
            <w:tcW w:w="813" w:type="pct"/>
            <w:vAlign w:val="center"/>
          </w:tcPr>
          <w:p>
            <w:pPr>
              <w:adjustRightInd w:val="0"/>
              <w:snapToGrid w:val="0"/>
              <w:jc w:val="center"/>
              <w:rPr>
                <w:color w:val="000000"/>
                <w:szCs w:val="21"/>
              </w:rPr>
            </w:pPr>
            <w:r>
              <w:rPr>
                <w:color w:val="000000"/>
                <w:szCs w:val="21"/>
              </w:rPr>
              <w:t>/</w:t>
            </w:r>
          </w:p>
        </w:tc>
        <w:tc>
          <w:tcPr>
            <w:tcW w:w="599" w:type="pct"/>
            <w:vAlign w:val="center"/>
          </w:tcPr>
          <w:p>
            <w:pPr>
              <w:adjustRightInd w:val="0"/>
              <w:snapToGrid w:val="0"/>
              <w:jc w:val="center"/>
              <w:rPr>
                <w:color w:val="000000"/>
                <w:szCs w:val="21"/>
              </w:rPr>
            </w:pPr>
            <w:r>
              <w:rPr>
                <w:color w:val="000000"/>
                <w:szCs w:val="21"/>
              </w:rPr>
              <w:t>/</w:t>
            </w:r>
          </w:p>
        </w:tc>
        <w:tc>
          <w:tcPr>
            <w:tcW w:w="1780" w:type="pct"/>
            <w:vAlign w:val="center"/>
          </w:tcPr>
          <w:p>
            <w:pPr>
              <w:adjustRightInd w:val="0"/>
              <w:snapToGrid w:val="0"/>
              <w:jc w:val="center"/>
              <w:rPr>
                <w:color w:val="000000"/>
                <w:szCs w:val="21"/>
              </w:rPr>
            </w:pPr>
            <w:r>
              <w:rPr>
                <w:color w:val="000000"/>
                <w:szCs w:val="21"/>
              </w:rPr>
              <w:t>/</w:t>
            </w:r>
          </w:p>
        </w:tc>
        <w:tc>
          <w:tcPr>
            <w:tcW w:w="1250" w:type="pct"/>
            <w:vAlign w:val="center"/>
          </w:tcPr>
          <w:p>
            <w:pPr>
              <w:adjustRightInd w:val="0"/>
              <w:snapToGrid w:val="0"/>
              <w:jc w:val="center"/>
              <w:rPr>
                <w:color w:val="000000"/>
                <w:szCs w:val="21"/>
              </w:rPr>
            </w:pPr>
            <w:r>
              <w:rPr>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9" w:type="pct"/>
            <w:vMerge w:val="restart"/>
            <w:vAlign w:val="center"/>
          </w:tcPr>
          <w:p>
            <w:pPr>
              <w:adjustRightInd w:val="0"/>
              <w:snapToGrid w:val="0"/>
              <w:jc w:val="center"/>
              <w:rPr>
                <w:color w:val="000000"/>
                <w:szCs w:val="21"/>
              </w:rPr>
            </w:pPr>
            <w:r>
              <w:rPr>
                <w:color w:val="000000"/>
                <w:szCs w:val="21"/>
              </w:rPr>
              <w:t>固体废物</w:t>
            </w:r>
          </w:p>
        </w:tc>
        <w:tc>
          <w:tcPr>
            <w:tcW w:w="813" w:type="pct"/>
            <w:vAlign w:val="center"/>
          </w:tcPr>
          <w:p>
            <w:pPr>
              <w:adjustRightInd w:val="0"/>
              <w:snapToGrid w:val="0"/>
              <w:jc w:val="center"/>
              <w:rPr>
                <w:color w:val="000000"/>
                <w:szCs w:val="21"/>
              </w:rPr>
            </w:pPr>
            <w:r>
              <w:rPr>
                <w:rFonts w:hint="eastAsia"/>
                <w:color w:val="000000"/>
                <w:szCs w:val="21"/>
              </w:rPr>
              <w:t>职工生活</w:t>
            </w:r>
          </w:p>
        </w:tc>
        <w:tc>
          <w:tcPr>
            <w:tcW w:w="599" w:type="pct"/>
            <w:vAlign w:val="center"/>
          </w:tcPr>
          <w:p>
            <w:pPr>
              <w:adjustRightInd w:val="0"/>
              <w:snapToGrid w:val="0"/>
              <w:jc w:val="center"/>
              <w:rPr>
                <w:color w:val="000000"/>
                <w:szCs w:val="21"/>
              </w:rPr>
            </w:pPr>
            <w:r>
              <w:rPr>
                <w:rFonts w:hint="eastAsia"/>
                <w:color w:val="000000"/>
                <w:szCs w:val="21"/>
              </w:rPr>
              <w:t>生活</w:t>
            </w:r>
          </w:p>
          <w:p>
            <w:pPr>
              <w:adjustRightInd w:val="0"/>
              <w:snapToGrid w:val="0"/>
              <w:jc w:val="center"/>
              <w:rPr>
                <w:color w:val="000000"/>
                <w:szCs w:val="21"/>
              </w:rPr>
            </w:pPr>
            <w:r>
              <w:rPr>
                <w:rFonts w:hint="eastAsia"/>
                <w:color w:val="000000"/>
                <w:szCs w:val="21"/>
              </w:rPr>
              <w:t>垃圾</w:t>
            </w:r>
          </w:p>
        </w:tc>
        <w:tc>
          <w:tcPr>
            <w:tcW w:w="1780" w:type="pct"/>
            <w:vAlign w:val="center"/>
          </w:tcPr>
          <w:p>
            <w:pPr>
              <w:adjustRightInd w:val="0"/>
              <w:snapToGrid w:val="0"/>
              <w:jc w:val="center"/>
              <w:rPr>
                <w:color w:val="000000"/>
                <w:szCs w:val="21"/>
              </w:rPr>
            </w:pPr>
            <w:r>
              <w:rPr>
                <w:rFonts w:hint="eastAsia"/>
                <w:color w:val="000000"/>
                <w:szCs w:val="21"/>
              </w:rPr>
              <w:t>设置垃圾收集桶收集后委托当地环卫部门定期清运</w:t>
            </w:r>
          </w:p>
        </w:tc>
        <w:tc>
          <w:tcPr>
            <w:tcW w:w="1250" w:type="pct"/>
            <w:vAlign w:val="center"/>
          </w:tcPr>
          <w:p>
            <w:pPr>
              <w:adjustRightInd w:val="0"/>
              <w:snapToGrid w:val="0"/>
              <w:jc w:val="center"/>
              <w:rPr>
                <w:color w:val="000000"/>
                <w:szCs w:val="21"/>
              </w:rPr>
            </w:pPr>
            <w:r>
              <w:rPr>
                <w:rFonts w:hint="eastAsia"/>
                <w:color w:val="000000"/>
                <w:szCs w:val="21"/>
              </w:rPr>
              <w:t>1</w:t>
            </w:r>
            <w:r>
              <w:rPr>
                <w:color w:val="000000"/>
                <w:szCs w:val="21"/>
              </w:rPr>
              <w:t>00%</w:t>
            </w:r>
            <w:r>
              <w:rPr>
                <w:rFonts w:hint="eastAsia"/>
                <w:color w:val="000000"/>
                <w:szCs w:val="21"/>
              </w:rPr>
              <w:t>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9" w:type="pct"/>
            <w:vMerge w:val="continue"/>
            <w:vAlign w:val="center"/>
          </w:tcPr>
          <w:p>
            <w:pPr>
              <w:adjustRightInd w:val="0"/>
              <w:snapToGrid w:val="0"/>
              <w:jc w:val="center"/>
              <w:rPr>
                <w:color w:val="000000"/>
                <w:szCs w:val="21"/>
              </w:rPr>
            </w:pPr>
          </w:p>
        </w:tc>
        <w:tc>
          <w:tcPr>
            <w:tcW w:w="813" w:type="pct"/>
            <w:vAlign w:val="center"/>
          </w:tcPr>
          <w:p>
            <w:pPr>
              <w:jc w:val="center"/>
              <w:rPr>
                <w:color w:val="000000"/>
              </w:rPr>
            </w:pPr>
            <w:r>
              <w:rPr>
                <w:rFonts w:hint="eastAsia"/>
                <w:color w:val="000000"/>
              </w:rPr>
              <w:t>食堂</w:t>
            </w:r>
          </w:p>
        </w:tc>
        <w:tc>
          <w:tcPr>
            <w:tcW w:w="599" w:type="pct"/>
            <w:vAlign w:val="center"/>
          </w:tcPr>
          <w:p>
            <w:pPr>
              <w:jc w:val="center"/>
              <w:rPr>
                <w:color w:val="000000"/>
              </w:rPr>
            </w:pPr>
            <w:r>
              <w:rPr>
                <w:rFonts w:hint="eastAsia"/>
                <w:color w:val="000000"/>
              </w:rPr>
              <w:t>食堂泔水及隔油池废油</w:t>
            </w:r>
          </w:p>
        </w:tc>
        <w:tc>
          <w:tcPr>
            <w:tcW w:w="1780" w:type="pct"/>
            <w:vAlign w:val="center"/>
          </w:tcPr>
          <w:p>
            <w:pPr>
              <w:adjustRightInd w:val="0"/>
              <w:snapToGrid w:val="0"/>
              <w:jc w:val="center"/>
              <w:rPr>
                <w:color w:val="000000"/>
                <w:szCs w:val="21"/>
              </w:rPr>
            </w:pPr>
            <w:r>
              <w:rPr>
                <w:rFonts w:hint="eastAsia"/>
                <w:color w:val="000000"/>
                <w:szCs w:val="21"/>
              </w:rPr>
              <w:t>设置泔水收集桶，委托有资质单位定期清掏清运处置</w:t>
            </w:r>
          </w:p>
        </w:tc>
        <w:tc>
          <w:tcPr>
            <w:tcW w:w="1250" w:type="pct"/>
            <w:vAlign w:val="center"/>
          </w:tcPr>
          <w:p>
            <w:pPr>
              <w:adjustRightInd w:val="0"/>
              <w:snapToGrid w:val="0"/>
              <w:jc w:val="center"/>
              <w:rPr>
                <w:color w:val="000000"/>
                <w:szCs w:val="21"/>
              </w:rPr>
            </w:pPr>
            <w:r>
              <w:rPr>
                <w:rFonts w:hint="eastAsia"/>
                <w:color w:val="000000"/>
                <w:szCs w:val="21"/>
              </w:rPr>
              <w:t>100%处置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9" w:type="pct"/>
            <w:vMerge w:val="continue"/>
            <w:vAlign w:val="center"/>
          </w:tcPr>
          <w:p>
            <w:pPr>
              <w:adjustRightInd w:val="0"/>
              <w:snapToGrid w:val="0"/>
              <w:jc w:val="center"/>
              <w:rPr>
                <w:color w:val="000000"/>
                <w:szCs w:val="21"/>
              </w:rPr>
            </w:pPr>
          </w:p>
        </w:tc>
        <w:tc>
          <w:tcPr>
            <w:tcW w:w="813" w:type="pct"/>
            <w:vAlign w:val="center"/>
          </w:tcPr>
          <w:p>
            <w:pPr>
              <w:jc w:val="center"/>
              <w:rPr>
                <w:color w:val="000000"/>
              </w:rPr>
            </w:pPr>
            <w:r>
              <w:rPr>
                <w:rFonts w:hint="eastAsia"/>
                <w:color w:val="000000"/>
              </w:rPr>
              <w:t>化粪池</w:t>
            </w:r>
          </w:p>
        </w:tc>
        <w:tc>
          <w:tcPr>
            <w:tcW w:w="599" w:type="pct"/>
            <w:vAlign w:val="center"/>
          </w:tcPr>
          <w:p>
            <w:pPr>
              <w:jc w:val="center"/>
              <w:rPr>
                <w:color w:val="000000"/>
              </w:rPr>
            </w:pPr>
            <w:r>
              <w:rPr>
                <w:rFonts w:hint="eastAsia"/>
                <w:color w:val="000000"/>
              </w:rPr>
              <w:t>污泥</w:t>
            </w:r>
          </w:p>
        </w:tc>
        <w:tc>
          <w:tcPr>
            <w:tcW w:w="1780" w:type="pct"/>
            <w:vAlign w:val="center"/>
          </w:tcPr>
          <w:p>
            <w:pPr>
              <w:adjustRightInd w:val="0"/>
              <w:snapToGrid w:val="0"/>
              <w:jc w:val="center"/>
              <w:rPr>
                <w:color w:val="000000"/>
                <w:szCs w:val="21"/>
              </w:rPr>
            </w:pPr>
            <w:r>
              <w:rPr>
                <w:rFonts w:hint="eastAsia"/>
                <w:color w:val="000000"/>
                <w:szCs w:val="21"/>
              </w:rPr>
              <w:t>环卫部门定期清运处理</w:t>
            </w:r>
          </w:p>
        </w:tc>
        <w:tc>
          <w:tcPr>
            <w:tcW w:w="1250" w:type="pct"/>
            <w:vAlign w:val="center"/>
          </w:tcPr>
          <w:p>
            <w:pPr>
              <w:adjustRightInd w:val="0"/>
              <w:snapToGrid w:val="0"/>
              <w:jc w:val="center"/>
              <w:rPr>
                <w:color w:val="000000"/>
                <w:szCs w:val="21"/>
              </w:rPr>
            </w:pPr>
            <w:r>
              <w:rPr>
                <w:rFonts w:hint="eastAsia"/>
                <w:color w:val="000000"/>
                <w:szCs w:val="21"/>
              </w:rPr>
              <w:t>100%处置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559" w:type="pct"/>
            <w:vMerge w:val="continue"/>
            <w:vAlign w:val="center"/>
          </w:tcPr>
          <w:p>
            <w:pPr>
              <w:adjustRightInd w:val="0"/>
              <w:snapToGrid w:val="0"/>
              <w:jc w:val="center"/>
              <w:rPr>
                <w:color w:val="000000"/>
                <w:szCs w:val="21"/>
              </w:rPr>
            </w:pPr>
          </w:p>
        </w:tc>
        <w:tc>
          <w:tcPr>
            <w:tcW w:w="813" w:type="pct"/>
            <w:vAlign w:val="center"/>
          </w:tcPr>
          <w:p>
            <w:pPr>
              <w:jc w:val="center"/>
              <w:rPr>
                <w:color w:val="000000"/>
              </w:rPr>
            </w:pPr>
            <w:r>
              <w:rPr>
                <w:rFonts w:hint="eastAsia"/>
                <w:color w:val="000000"/>
              </w:rPr>
              <w:t>搅拌机清洗</w:t>
            </w:r>
          </w:p>
        </w:tc>
        <w:tc>
          <w:tcPr>
            <w:tcW w:w="599" w:type="pct"/>
            <w:vAlign w:val="center"/>
          </w:tcPr>
          <w:p>
            <w:pPr>
              <w:jc w:val="center"/>
              <w:rPr>
                <w:color w:val="000000"/>
              </w:rPr>
            </w:pPr>
            <w:r>
              <w:rPr>
                <w:rFonts w:hint="eastAsia"/>
                <w:color w:val="000000"/>
              </w:rPr>
              <w:t>残余混凝土</w:t>
            </w:r>
          </w:p>
        </w:tc>
        <w:tc>
          <w:tcPr>
            <w:tcW w:w="1780" w:type="pct"/>
            <w:vMerge w:val="restart"/>
            <w:vAlign w:val="center"/>
          </w:tcPr>
          <w:p>
            <w:pPr>
              <w:adjustRightInd w:val="0"/>
              <w:snapToGrid w:val="0"/>
              <w:rPr>
                <w:color w:val="000000"/>
                <w:szCs w:val="21"/>
              </w:rPr>
            </w:pPr>
            <w:r>
              <w:rPr>
                <w:rFonts w:hint="eastAsia"/>
                <w:color w:val="000000"/>
                <w:szCs w:val="21"/>
              </w:rPr>
              <w:t>堆存于生产固废临时堆存场所，委托有资质单位定期清运处理</w:t>
            </w:r>
          </w:p>
        </w:tc>
        <w:tc>
          <w:tcPr>
            <w:tcW w:w="1250" w:type="pct"/>
            <w:vAlign w:val="center"/>
          </w:tcPr>
          <w:p>
            <w:pPr>
              <w:adjustRightInd w:val="0"/>
              <w:snapToGrid w:val="0"/>
              <w:jc w:val="center"/>
              <w:rPr>
                <w:color w:val="000000"/>
                <w:szCs w:val="21"/>
              </w:rPr>
            </w:pPr>
            <w:r>
              <w:rPr>
                <w:rFonts w:hint="eastAsia"/>
                <w:color w:val="000000"/>
                <w:szCs w:val="21"/>
              </w:rPr>
              <w:t>100%处置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9" w:type="pct"/>
            <w:vMerge w:val="continue"/>
            <w:vAlign w:val="center"/>
          </w:tcPr>
          <w:p>
            <w:pPr>
              <w:adjustRightInd w:val="0"/>
              <w:snapToGrid w:val="0"/>
              <w:jc w:val="center"/>
              <w:rPr>
                <w:color w:val="000000"/>
                <w:szCs w:val="21"/>
              </w:rPr>
            </w:pPr>
          </w:p>
        </w:tc>
        <w:tc>
          <w:tcPr>
            <w:tcW w:w="813" w:type="pct"/>
            <w:vAlign w:val="center"/>
          </w:tcPr>
          <w:p>
            <w:pPr>
              <w:jc w:val="center"/>
              <w:rPr>
                <w:color w:val="000000"/>
              </w:rPr>
            </w:pPr>
            <w:r>
              <w:rPr>
                <w:rFonts w:hint="eastAsia"/>
                <w:color w:val="000000"/>
              </w:rPr>
              <w:t>混凝土运输罐车清洗</w:t>
            </w:r>
          </w:p>
        </w:tc>
        <w:tc>
          <w:tcPr>
            <w:tcW w:w="599" w:type="pct"/>
          </w:tcPr>
          <w:p>
            <w:pPr>
              <w:jc w:val="center"/>
              <w:rPr>
                <w:color w:val="000000"/>
              </w:rPr>
            </w:pPr>
            <w:r>
              <w:rPr>
                <w:rFonts w:hint="eastAsia"/>
                <w:color w:val="000000"/>
              </w:rPr>
              <w:t>残余混凝土</w:t>
            </w:r>
          </w:p>
        </w:tc>
        <w:tc>
          <w:tcPr>
            <w:tcW w:w="1780" w:type="pct"/>
            <w:vMerge w:val="continue"/>
            <w:vAlign w:val="center"/>
          </w:tcPr>
          <w:p>
            <w:pPr>
              <w:adjustRightInd w:val="0"/>
              <w:snapToGrid w:val="0"/>
              <w:rPr>
                <w:color w:val="000000"/>
                <w:szCs w:val="21"/>
              </w:rPr>
            </w:pPr>
          </w:p>
        </w:tc>
        <w:tc>
          <w:tcPr>
            <w:tcW w:w="1250" w:type="pct"/>
            <w:vAlign w:val="center"/>
          </w:tcPr>
          <w:p>
            <w:pPr>
              <w:adjustRightInd w:val="0"/>
              <w:snapToGrid w:val="0"/>
              <w:jc w:val="center"/>
              <w:rPr>
                <w:color w:val="000000"/>
                <w:szCs w:val="21"/>
              </w:rPr>
            </w:pPr>
            <w:r>
              <w:rPr>
                <w:rFonts w:hint="eastAsia"/>
                <w:color w:val="000000"/>
                <w:szCs w:val="21"/>
              </w:rPr>
              <w:t>100%处置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9" w:type="pct"/>
            <w:vMerge w:val="continue"/>
            <w:vAlign w:val="center"/>
          </w:tcPr>
          <w:p>
            <w:pPr>
              <w:adjustRightInd w:val="0"/>
              <w:snapToGrid w:val="0"/>
              <w:jc w:val="center"/>
              <w:rPr>
                <w:color w:val="000000"/>
                <w:szCs w:val="21"/>
              </w:rPr>
            </w:pPr>
          </w:p>
        </w:tc>
        <w:tc>
          <w:tcPr>
            <w:tcW w:w="813" w:type="pct"/>
            <w:vAlign w:val="center"/>
          </w:tcPr>
          <w:p>
            <w:pPr>
              <w:jc w:val="center"/>
              <w:rPr>
                <w:color w:val="000000"/>
              </w:rPr>
            </w:pPr>
            <w:r>
              <w:rPr>
                <w:rFonts w:hint="eastAsia"/>
                <w:color w:val="000000"/>
              </w:rPr>
              <w:t>试验固废</w:t>
            </w:r>
          </w:p>
        </w:tc>
        <w:tc>
          <w:tcPr>
            <w:tcW w:w="599" w:type="pct"/>
          </w:tcPr>
          <w:p>
            <w:pPr>
              <w:jc w:val="center"/>
              <w:rPr>
                <w:color w:val="000000"/>
              </w:rPr>
            </w:pPr>
            <w:r>
              <w:rPr>
                <w:rFonts w:hint="eastAsia"/>
                <w:color w:val="000000"/>
              </w:rPr>
              <w:t>混凝</w:t>
            </w:r>
          </w:p>
          <w:p>
            <w:pPr>
              <w:jc w:val="center"/>
              <w:rPr>
                <w:color w:val="000000"/>
              </w:rPr>
            </w:pPr>
            <w:r>
              <w:rPr>
                <w:rFonts w:hint="eastAsia"/>
                <w:color w:val="000000"/>
              </w:rPr>
              <w:t>土块</w:t>
            </w:r>
          </w:p>
        </w:tc>
        <w:tc>
          <w:tcPr>
            <w:tcW w:w="1780" w:type="pct"/>
            <w:vMerge w:val="continue"/>
            <w:vAlign w:val="center"/>
          </w:tcPr>
          <w:p>
            <w:pPr>
              <w:adjustRightInd w:val="0"/>
              <w:snapToGrid w:val="0"/>
              <w:rPr>
                <w:color w:val="000000"/>
                <w:szCs w:val="21"/>
              </w:rPr>
            </w:pPr>
          </w:p>
        </w:tc>
        <w:tc>
          <w:tcPr>
            <w:tcW w:w="1250" w:type="pct"/>
            <w:vAlign w:val="center"/>
          </w:tcPr>
          <w:p>
            <w:pPr>
              <w:adjustRightInd w:val="0"/>
              <w:snapToGrid w:val="0"/>
              <w:jc w:val="center"/>
              <w:rPr>
                <w:color w:val="000000"/>
                <w:szCs w:val="21"/>
              </w:rPr>
            </w:pPr>
            <w:r>
              <w:rPr>
                <w:rFonts w:hint="eastAsia"/>
                <w:color w:val="000000"/>
                <w:szCs w:val="21"/>
              </w:rPr>
              <w:t>100%处置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Merge w:val="continue"/>
            <w:vAlign w:val="center"/>
          </w:tcPr>
          <w:p>
            <w:pPr>
              <w:adjustRightInd w:val="0"/>
              <w:snapToGrid w:val="0"/>
              <w:jc w:val="center"/>
              <w:rPr>
                <w:color w:val="000000"/>
                <w:szCs w:val="21"/>
              </w:rPr>
            </w:pPr>
          </w:p>
        </w:tc>
        <w:tc>
          <w:tcPr>
            <w:tcW w:w="813" w:type="pct"/>
            <w:vAlign w:val="center"/>
          </w:tcPr>
          <w:p>
            <w:pPr>
              <w:adjustRightInd w:val="0"/>
              <w:snapToGrid w:val="0"/>
              <w:jc w:val="center"/>
              <w:rPr>
                <w:color w:val="000000"/>
                <w:szCs w:val="21"/>
              </w:rPr>
            </w:pPr>
            <w:r>
              <w:rPr>
                <w:rFonts w:hint="eastAsia"/>
                <w:color w:val="000000"/>
              </w:rPr>
              <w:t>沉淀池沉渣</w:t>
            </w:r>
          </w:p>
        </w:tc>
        <w:tc>
          <w:tcPr>
            <w:tcW w:w="599" w:type="pct"/>
          </w:tcPr>
          <w:p>
            <w:pPr>
              <w:adjustRightInd w:val="0"/>
              <w:snapToGrid w:val="0"/>
              <w:jc w:val="center"/>
              <w:rPr>
                <w:color w:val="000000"/>
                <w:szCs w:val="21"/>
              </w:rPr>
            </w:pPr>
            <w:r>
              <w:rPr>
                <w:rFonts w:hint="eastAsia"/>
                <w:color w:val="000000"/>
              </w:rPr>
              <w:t>沉淀砂料</w:t>
            </w:r>
          </w:p>
        </w:tc>
        <w:tc>
          <w:tcPr>
            <w:tcW w:w="1780" w:type="pct"/>
            <w:vMerge w:val="continue"/>
          </w:tcPr>
          <w:p>
            <w:pPr>
              <w:adjustRightInd w:val="0"/>
              <w:snapToGrid w:val="0"/>
              <w:jc w:val="center"/>
              <w:rPr>
                <w:color w:val="000000"/>
                <w:szCs w:val="21"/>
              </w:rPr>
            </w:pPr>
          </w:p>
        </w:tc>
        <w:tc>
          <w:tcPr>
            <w:tcW w:w="1250" w:type="pct"/>
            <w:vAlign w:val="center"/>
          </w:tcPr>
          <w:p>
            <w:pPr>
              <w:adjustRightInd w:val="0"/>
              <w:snapToGrid w:val="0"/>
              <w:jc w:val="center"/>
              <w:rPr>
                <w:color w:val="000000"/>
                <w:szCs w:val="21"/>
              </w:rPr>
            </w:pPr>
            <w:r>
              <w:rPr>
                <w:rFonts w:hint="eastAsia"/>
                <w:color w:val="000000"/>
                <w:szCs w:val="21"/>
              </w:rPr>
              <w:t>100%处置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559" w:type="pct"/>
            <w:vMerge w:val="continue"/>
            <w:vAlign w:val="center"/>
          </w:tcPr>
          <w:p>
            <w:pPr>
              <w:adjustRightInd w:val="0"/>
              <w:snapToGrid w:val="0"/>
              <w:jc w:val="center"/>
              <w:rPr>
                <w:color w:val="000000"/>
                <w:szCs w:val="21"/>
              </w:rPr>
            </w:pPr>
          </w:p>
        </w:tc>
        <w:tc>
          <w:tcPr>
            <w:tcW w:w="813" w:type="pct"/>
            <w:vAlign w:val="center"/>
          </w:tcPr>
          <w:p>
            <w:pPr>
              <w:adjustRightInd w:val="0"/>
              <w:snapToGrid w:val="0"/>
              <w:jc w:val="center"/>
              <w:rPr>
                <w:color w:val="000000"/>
                <w:szCs w:val="21"/>
              </w:rPr>
            </w:pPr>
            <w:r>
              <w:rPr>
                <w:rFonts w:hint="eastAsia"/>
                <w:color w:val="000000"/>
              </w:rPr>
              <w:t>设备维护</w:t>
            </w:r>
          </w:p>
        </w:tc>
        <w:tc>
          <w:tcPr>
            <w:tcW w:w="599" w:type="pct"/>
            <w:vAlign w:val="center"/>
          </w:tcPr>
          <w:p>
            <w:pPr>
              <w:adjustRightInd w:val="0"/>
              <w:snapToGrid w:val="0"/>
              <w:jc w:val="center"/>
              <w:rPr>
                <w:color w:val="000000"/>
                <w:szCs w:val="21"/>
              </w:rPr>
            </w:pPr>
            <w:r>
              <w:rPr>
                <w:rFonts w:hint="eastAsia"/>
                <w:color w:val="000000"/>
              </w:rPr>
              <w:t>废机油</w:t>
            </w:r>
          </w:p>
        </w:tc>
        <w:tc>
          <w:tcPr>
            <w:tcW w:w="1780" w:type="pct"/>
            <w:vAlign w:val="center"/>
          </w:tcPr>
          <w:p>
            <w:pPr>
              <w:adjustRightInd w:val="0"/>
              <w:snapToGrid w:val="0"/>
              <w:jc w:val="center"/>
              <w:rPr>
                <w:color w:val="000000"/>
                <w:szCs w:val="21"/>
              </w:rPr>
            </w:pPr>
            <w:r>
              <w:rPr>
                <w:rFonts w:hint="eastAsia"/>
                <w:color w:val="000000"/>
                <w:szCs w:val="21"/>
              </w:rPr>
              <w:t>设置危废暂存间，地坪作防渗处理；危废暂存间暂存，委托有资质的单位处置</w:t>
            </w:r>
          </w:p>
        </w:tc>
        <w:tc>
          <w:tcPr>
            <w:tcW w:w="1250" w:type="pct"/>
            <w:vAlign w:val="center"/>
          </w:tcPr>
          <w:p>
            <w:pPr>
              <w:adjustRightInd w:val="0"/>
              <w:snapToGrid w:val="0"/>
              <w:jc w:val="center"/>
              <w:rPr>
                <w:color w:val="000000"/>
                <w:szCs w:val="21"/>
              </w:rPr>
            </w:pPr>
            <w:r>
              <w:rPr>
                <w:rFonts w:hint="eastAsia"/>
                <w:color w:val="000000"/>
                <w:szCs w:val="21"/>
              </w:rPr>
              <w:t>100%处置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559" w:type="pct"/>
            <w:vAlign w:val="center"/>
          </w:tcPr>
          <w:p>
            <w:pPr>
              <w:adjustRightInd w:val="0"/>
              <w:snapToGrid w:val="0"/>
              <w:jc w:val="center"/>
              <w:rPr>
                <w:color w:val="000000"/>
                <w:szCs w:val="21"/>
              </w:rPr>
            </w:pPr>
            <w:r>
              <w:rPr>
                <w:color w:val="000000"/>
                <w:szCs w:val="21"/>
              </w:rPr>
              <w:t>土壤及地下水污染防治措施</w:t>
            </w:r>
          </w:p>
        </w:tc>
        <w:tc>
          <w:tcPr>
            <w:tcW w:w="4441" w:type="pct"/>
            <w:gridSpan w:val="4"/>
            <w:vAlign w:val="center"/>
          </w:tcPr>
          <w:p>
            <w:pPr>
              <w:pStyle w:val="45"/>
              <w:spacing w:line="240" w:lineRule="exact"/>
              <w:ind w:firstLine="0" w:firstLineChars="0"/>
              <w:rPr>
                <w:rFonts w:ascii="Times New Roman" w:hAnsi="Times New Roman"/>
                <w:color w:val="000000"/>
                <w:sz w:val="21"/>
                <w:szCs w:val="21"/>
              </w:rPr>
            </w:pPr>
            <w:r>
              <w:rPr>
                <w:rFonts w:hint="eastAsia" w:ascii="Times New Roman" w:hAnsi="Times New Roman"/>
                <w:color w:val="000000"/>
                <w:sz w:val="21"/>
                <w:szCs w:val="21"/>
                <w:shd w:val="clear" w:color="auto" w:fill="FFFFFF"/>
              </w:rPr>
              <w:t>分区防渗，重点防渗区为危废暂存间，按照《危险废物贮存污染控制标准》（GB18597-2001）进行防渗设计；生产车间、原料仓库为一般防渗区，《环境影响评价技术导则-地下水环境》（HJ610-2016）中一般防渗区的防渗要求进行防渗设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559" w:type="pct"/>
            <w:vAlign w:val="center"/>
          </w:tcPr>
          <w:p>
            <w:pPr>
              <w:adjustRightInd w:val="0"/>
              <w:snapToGrid w:val="0"/>
              <w:jc w:val="center"/>
              <w:rPr>
                <w:color w:val="000000"/>
                <w:szCs w:val="21"/>
              </w:rPr>
            </w:pPr>
            <w:r>
              <w:rPr>
                <w:color w:val="000000"/>
                <w:szCs w:val="21"/>
              </w:rPr>
              <w:t>生态保护措施</w:t>
            </w:r>
          </w:p>
        </w:tc>
        <w:tc>
          <w:tcPr>
            <w:tcW w:w="4441" w:type="pct"/>
            <w:gridSpan w:val="4"/>
            <w:vAlign w:val="center"/>
          </w:tcPr>
          <w:p>
            <w:pPr>
              <w:adjustRightInd w:val="0"/>
              <w:snapToGrid w:val="0"/>
              <w:jc w:val="center"/>
              <w:rPr>
                <w:color w:val="000000"/>
                <w:szCs w:val="21"/>
              </w:rPr>
            </w:pPr>
            <w:r>
              <w:rPr>
                <w:rFonts w:hint="eastAsia"/>
                <w:color w:val="00000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559" w:type="pct"/>
            <w:vAlign w:val="center"/>
          </w:tcPr>
          <w:p>
            <w:pPr>
              <w:adjustRightInd w:val="0"/>
              <w:snapToGrid w:val="0"/>
              <w:jc w:val="center"/>
              <w:rPr>
                <w:color w:val="000000"/>
                <w:spacing w:val="-8"/>
                <w:szCs w:val="21"/>
              </w:rPr>
            </w:pPr>
            <w:r>
              <w:rPr>
                <w:color w:val="000000"/>
                <w:spacing w:val="-8"/>
                <w:szCs w:val="21"/>
              </w:rPr>
              <w:t>环境风险防范措施</w:t>
            </w:r>
          </w:p>
        </w:tc>
        <w:tc>
          <w:tcPr>
            <w:tcW w:w="4441" w:type="pct"/>
            <w:gridSpan w:val="4"/>
            <w:vAlign w:val="center"/>
          </w:tcPr>
          <w:p>
            <w:pPr>
              <w:adjustRightInd w:val="0"/>
              <w:snapToGrid w:val="0"/>
              <w:jc w:val="center"/>
              <w:rPr>
                <w:color w:val="000000"/>
                <w:szCs w:val="21"/>
              </w:rPr>
            </w:pPr>
            <w:r>
              <w:rPr>
                <w:rFonts w:hint="eastAsia"/>
                <w:color w:val="000000"/>
                <w:szCs w:val="21"/>
                <w:shd w:val="clear" w:color="auto" w:fill="FFFFFF"/>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59" w:type="pct"/>
            <w:vAlign w:val="center"/>
          </w:tcPr>
          <w:p>
            <w:pPr>
              <w:adjustRightInd w:val="0"/>
              <w:snapToGrid w:val="0"/>
              <w:jc w:val="center"/>
              <w:rPr>
                <w:color w:val="000000"/>
                <w:spacing w:val="-8"/>
                <w:szCs w:val="21"/>
              </w:rPr>
            </w:pPr>
            <w:r>
              <w:rPr>
                <w:color w:val="000000"/>
                <w:spacing w:val="-8"/>
                <w:szCs w:val="21"/>
              </w:rPr>
              <w:t>其他环境管理要求</w:t>
            </w:r>
          </w:p>
        </w:tc>
        <w:tc>
          <w:tcPr>
            <w:tcW w:w="4441" w:type="pct"/>
            <w:gridSpan w:val="4"/>
            <w:vAlign w:val="center"/>
          </w:tcPr>
          <w:p>
            <w:pPr>
              <w:adjustRightInd w:val="0"/>
              <w:snapToGrid w:val="0"/>
              <w:jc w:val="center"/>
              <w:rPr>
                <w:color w:val="000000"/>
                <w:szCs w:val="21"/>
              </w:rPr>
            </w:pPr>
            <w:r>
              <w:rPr>
                <w:rFonts w:hint="eastAsia"/>
                <w:color w:val="000000"/>
                <w:szCs w:val="21"/>
              </w:rPr>
              <w:t>开展台帐记录、办理排污许可证、自行监测等。</w:t>
            </w:r>
          </w:p>
        </w:tc>
      </w:tr>
    </w:tbl>
    <w:p>
      <w:pPr>
        <w:jc w:val="center"/>
        <w:rPr>
          <w:b/>
          <w:bCs/>
          <w:sz w:val="30"/>
          <w:szCs w:val="30"/>
        </w:rPr>
      </w:pPr>
    </w:p>
    <w:p>
      <w:pPr>
        <w:jc w:val="center"/>
        <w:rPr>
          <w:b/>
          <w:bCs/>
          <w:sz w:val="30"/>
          <w:szCs w:val="30"/>
        </w:rPr>
        <w:sectPr>
          <w:pgSz w:w="11906" w:h="16838"/>
          <w:pgMar w:top="1440" w:right="1800" w:bottom="1440" w:left="1800" w:header="851" w:footer="992" w:gutter="0"/>
          <w:cols w:space="425" w:num="1"/>
          <w:docGrid w:type="lines" w:linePitch="312" w:charSpace="0"/>
        </w:sectPr>
      </w:pPr>
    </w:p>
    <w:p>
      <w:pPr>
        <w:jc w:val="center"/>
        <w:outlineLvl w:val="0"/>
        <w:rPr>
          <w:b/>
          <w:bCs/>
          <w:sz w:val="30"/>
          <w:szCs w:val="30"/>
        </w:rPr>
      </w:pPr>
      <w:bookmarkStart w:id="38" w:name="_Toc17409"/>
      <w:r>
        <w:rPr>
          <w:rFonts w:hint="eastAsia"/>
          <w:b/>
          <w:bCs/>
          <w:sz w:val="30"/>
          <w:szCs w:val="30"/>
        </w:rPr>
        <w:t>六、结论</w:t>
      </w:r>
      <w:bookmarkEnd w:id="38"/>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2" w:type="dxa"/>
          </w:tcPr>
          <w:p>
            <w:pPr>
              <w:spacing w:line="360" w:lineRule="auto"/>
              <w:ind w:firstLine="480" w:firstLineChars="200"/>
              <w:rPr>
                <w:sz w:val="24"/>
              </w:rPr>
            </w:pPr>
            <w:r>
              <w:rPr>
                <w:rFonts w:hint="eastAsia"/>
                <w:sz w:val="24"/>
              </w:rPr>
              <w:t>项目符合国家及地方产业政策。施工期产生的扬尘采取洒水降尘，施工废水经沉淀后回用不外排，建筑垃圾可再生利用部分回收出售给有资质的废品收购站，余下部分由施工方统一清运至城市建设管理部门指定堆放点，对环境影响很小。运营期产生的粉尘通过采取封闭运输、洒水抑尘，在粉料筒仓顶部设置布袋除尘器等降尘措施降低粉尘的排放量；生产区域内初期雨水的收集沉淀后回用生产和洒水降尘，生活污水经化粪池处理后用槽罐车外送污水处理厂进行处理；噪声通过选择低噪声设备，减震基座；除尘器收集的粉尘量收集后回用于生产；项目设备更换润滑油产生的危险废物收集在危废暂存间暂存，最后统一交由有处置资质的单位定期进行处置。项目建设对区域的大气、地表水、声环境及生态环境的影响小，不会导致项目所在地环境功能明显改变。只要严格按照环境影响报告表和工程设计提出的环保对策及措施，严格执行“三同时”制度，确保项目所产生的污染物达标排放，则从环保角度本项目的建设运营是可行的。</w: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tc>
      </w:tr>
    </w:tbl>
    <w:p>
      <w:pPr>
        <w:jc w:val="center"/>
        <w:rPr>
          <w:b/>
          <w:bCs/>
          <w:sz w:val="30"/>
          <w:szCs w:val="30"/>
        </w:rPr>
      </w:pPr>
    </w:p>
    <w:p>
      <w:pPr>
        <w:jc w:val="center"/>
        <w:rPr>
          <w:b/>
          <w:bCs/>
          <w:sz w:val="30"/>
          <w:szCs w:val="30"/>
        </w:rPr>
        <w:sectPr>
          <w:pgSz w:w="11906" w:h="16838"/>
          <w:pgMar w:top="1440" w:right="1800" w:bottom="1440" w:left="1800" w:header="851" w:footer="992" w:gutter="0"/>
          <w:cols w:space="425" w:num="1"/>
          <w:docGrid w:type="lines" w:linePitch="312" w:charSpace="0"/>
        </w:sectPr>
      </w:pPr>
    </w:p>
    <w:p>
      <w:pPr>
        <w:rPr>
          <w:b/>
          <w:bCs/>
          <w:sz w:val="30"/>
          <w:szCs w:val="30"/>
        </w:rPr>
      </w:pPr>
      <w:r>
        <w:rPr>
          <w:rFonts w:hint="eastAsia"/>
          <w:b/>
          <w:bCs/>
          <w:sz w:val="30"/>
          <w:szCs w:val="30"/>
        </w:rPr>
        <w:t>附表</w:t>
      </w:r>
    </w:p>
    <w:p>
      <w:pPr>
        <w:jc w:val="center"/>
        <w:rPr>
          <w:b/>
          <w:bCs/>
          <w:sz w:val="32"/>
          <w:szCs w:val="32"/>
        </w:rPr>
      </w:pPr>
      <w:r>
        <w:rPr>
          <w:rFonts w:hint="eastAsia"/>
          <w:b/>
          <w:bCs/>
          <w:sz w:val="32"/>
          <w:szCs w:val="32"/>
        </w:rPr>
        <w:t>建设项目污染物排放量汇总表</w:t>
      </w:r>
    </w:p>
    <w:tbl>
      <w:tblPr>
        <w:tblStyle w:val="89"/>
        <w:tblW w:w="0" w:type="auto"/>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549"/>
        <w:gridCol w:w="1550"/>
        <w:gridCol w:w="1550"/>
        <w:gridCol w:w="1550"/>
        <w:gridCol w:w="1549"/>
        <w:gridCol w:w="1550"/>
        <w:gridCol w:w="1550"/>
        <w:gridCol w:w="2047"/>
        <w:gridCol w:w="105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tcBorders>
              <w:tl2br w:val="single" w:color="auto" w:sz="4" w:space="0"/>
            </w:tcBorders>
            <w:vAlign w:val="center"/>
          </w:tcPr>
          <w:p>
            <w:pPr>
              <w:jc w:val="right"/>
              <w:rPr>
                <w:b/>
                <w:szCs w:val="21"/>
              </w:rPr>
            </w:pPr>
            <w:r>
              <w:rPr>
                <w:b/>
                <w:szCs w:val="21"/>
              </w:rPr>
              <w:t>项目</w:t>
            </w:r>
          </w:p>
          <w:p>
            <w:pPr>
              <w:jc w:val="left"/>
              <w:rPr>
                <w:b/>
                <w:szCs w:val="21"/>
              </w:rPr>
            </w:pPr>
            <w:r>
              <w:rPr>
                <w:b/>
                <w:szCs w:val="21"/>
              </w:rPr>
              <w:t>分类</w:t>
            </w:r>
          </w:p>
        </w:tc>
        <w:tc>
          <w:tcPr>
            <w:tcW w:w="1550" w:type="dxa"/>
            <w:vAlign w:val="center"/>
          </w:tcPr>
          <w:p>
            <w:pPr>
              <w:jc w:val="center"/>
              <w:rPr>
                <w:b/>
                <w:szCs w:val="21"/>
              </w:rPr>
            </w:pPr>
            <w:r>
              <w:rPr>
                <w:b/>
                <w:szCs w:val="21"/>
              </w:rPr>
              <w:t>污染物名称</w:t>
            </w:r>
          </w:p>
        </w:tc>
        <w:tc>
          <w:tcPr>
            <w:tcW w:w="1550" w:type="dxa"/>
            <w:vAlign w:val="center"/>
          </w:tcPr>
          <w:p>
            <w:pPr>
              <w:jc w:val="center"/>
              <w:rPr>
                <w:b/>
                <w:szCs w:val="21"/>
              </w:rPr>
            </w:pPr>
            <w:r>
              <w:rPr>
                <w:b/>
                <w:szCs w:val="21"/>
              </w:rPr>
              <w:t>现有工程排放量（固体废物产生量）</w:t>
            </w:r>
            <w:r>
              <w:rPr>
                <w:rFonts w:hint="eastAsia" w:ascii="宋体" w:hAnsi="宋体" w:cs="宋体"/>
                <w:b/>
                <w:szCs w:val="21"/>
              </w:rPr>
              <w:t>①</w:t>
            </w:r>
          </w:p>
        </w:tc>
        <w:tc>
          <w:tcPr>
            <w:tcW w:w="1550" w:type="dxa"/>
            <w:vAlign w:val="center"/>
          </w:tcPr>
          <w:p>
            <w:pPr>
              <w:jc w:val="center"/>
              <w:rPr>
                <w:b/>
                <w:szCs w:val="21"/>
              </w:rPr>
            </w:pPr>
            <w:r>
              <w:rPr>
                <w:b/>
                <w:szCs w:val="21"/>
              </w:rPr>
              <w:t>现有工程许可排放量</w:t>
            </w:r>
            <w:r>
              <w:rPr>
                <w:rFonts w:hint="eastAsia" w:ascii="宋体" w:hAnsi="宋体" w:cs="宋体"/>
                <w:b/>
                <w:szCs w:val="21"/>
              </w:rPr>
              <w:t>②</w:t>
            </w:r>
          </w:p>
        </w:tc>
        <w:tc>
          <w:tcPr>
            <w:tcW w:w="1549" w:type="dxa"/>
            <w:vAlign w:val="center"/>
          </w:tcPr>
          <w:p>
            <w:pPr>
              <w:jc w:val="center"/>
              <w:rPr>
                <w:b/>
                <w:szCs w:val="21"/>
              </w:rPr>
            </w:pPr>
            <w:r>
              <w:rPr>
                <w:b/>
                <w:szCs w:val="21"/>
              </w:rPr>
              <w:t>在建工程排放量（固体废物产生量）</w:t>
            </w:r>
            <w:r>
              <w:rPr>
                <w:rFonts w:hint="eastAsia" w:ascii="宋体" w:hAnsi="宋体" w:cs="宋体"/>
                <w:b/>
                <w:szCs w:val="21"/>
              </w:rPr>
              <w:t>③</w:t>
            </w:r>
          </w:p>
        </w:tc>
        <w:tc>
          <w:tcPr>
            <w:tcW w:w="1550" w:type="dxa"/>
            <w:vAlign w:val="center"/>
          </w:tcPr>
          <w:p>
            <w:pPr>
              <w:jc w:val="center"/>
              <w:rPr>
                <w:b/>
                <w:szCs w:val="21"/>
              </w:rPr>
            </w:pPr>
            <w:r>
              <w:rPr>
                <w:b/>
                <w:szCs w:val="21"/>
              </w:rPr>
              <w:t>本项目排放量（固体废物产生量）</w:t>
            </w:r>
            <w:r>
              <w:rPr>
                <w:rFonts w:hint="eastAsia" w:ascii="宋体" w:hAnsi="宋体" w:cs="宋体"/>
                <w:b/>
                <w:szCs w:val="21"/>
              </w:rPr>
              <w:t>④</w:t>
            </w:r>
          </w:p>
        </w:tc>
        <w:tc>
          <w:tcPr>
            <w:tcW w:w="1550" w:type="dxa"/>
            <w:vAlign w:val="center"/>
          </w:tcPr>
          <w:p>
            <w:pPr>
              <w:jc w:val="center"/>
              <w:rPr>
                <w:b/>
                <w:szCs w:val="21"/>
              </w:rPr>
            </w:pPr>
            <w:r>
              <w:rPr>
                <w:b/>
                <w:szCs w:val="21"/>
              </w:rPr>
              <w:t>以新带老削减量（新建项目不填）</w:t>
            </w:r>
            <w:r>
              <w:rPr>
                <w:rFonts w:hint="eastAsia" w:ascii="宋体" w:hAnsi="宋体" w:cs="宋体"/>
                <w:b/>
                <w:szCs w:val="21"/>
              </w:rPr>
              <w:t>⑤</w:t>
            </w:r>
          </w:p>
        </w:tc>
        <w:tc>
          <w:tcPr>
            <w:tcW w:w="2047" w:type="dxa"/>
            <w:vAlign w:val="center"/>
          </w:tcPr>
          <w:p>
            <w:pPr>
              <w:jc w:val="center"/>
              <w:rPr>
                <w:b/>
                <w:szCs w:val="21"/>
              </w:rPr>
            </w:pPr>
            <w:r>
              <w:rPr>
                <w:b/>
                <w:szCs w:val="21"/>
              </w:rPr>
              <w:t>本项目建成后全厂排放量（固体废物产生量）</w:t>
            </w:r>
            <w:r>
              <w:rPr>
                <w:rFonts w:hint="eastAsia" w:ascii="宋体" w:hAnsi="宋体" w:cs="宋体"/>
                <w:b/>
                <w:szCs w:val="21"/>
              </w:rPr>
              <w:t>⑥</w:t>
            </w:r>
          </w:p>
        </w:tc>
        <w:tc>
          <w:tcPr>
            <w:tcW w:w="1053" w:type="dxa"/>
            <w:vAlign w:val="center"/>
          </w:tcPr>
          <w:p>
            <w:pPr>
              <w:jc w:val="center"/>
              <w:rPr>
                <w:b/>
                <w:szCs w:val="21"/>
              </w:rPr>
            </w:pPr>
            <w:r>
              <w:rPr>
                <w:b/>
                <w:szCs w:val="21"/>
              </w:rPr>
              <w:t>变化量</w:t>
            </w:r>
            <w:r>
              <w:rPr>
                <w:rFonts w:hint="eastAsia" w:ascii="宋体" w:hAnsi="宋体" w:cs="宋体"/>
                <w:b/>
                <w:szCs w:val="21"/>
              </w:rPr>
              <w:t>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restart"/>
            <w:vAlign w:val="center"/>
          </w:tcPr>
          <w:p>
            <w:pPr>
              <w:jc w:val="center"/>
              <w:rPr>
                <w:szCs w:val="21"/>
              </w:rPr>
            </w:pPr>
            <w:r>
              <w:rPr>
                <w:szCs w:val="21"/>
              </w:rPr>
              <w:t>废气</w:t>
            </w:r>
          </w:p>
        </w:tc>
        <w:tc>
          <w:tcPr>
            <w:tcW w:w="1550" w:type="dxa"/>
            <w:vAlign w:val="center"/>
          </w:tcPr>
          <w:p>
            <w:pPr>
              <w:jc w:val="center"/>
              <w:rPr>
                <w:szCs w:val="21"/>
              </w:rPr>
            </w:pPr>
            <w:r>
              <w:rPr>
                <w:rFonts w:hint="eastAsia"/>
                <w:szCs w:val="21"/>
              </w:rPr>
              <w:t>有组织</w:t>
            </w:r>
            <w:r>
              <w:rPr>
                <w:szCs w:val="21"/>
              </w:rPr>
              <w:t>粉尘</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szCs w:val="21"/>
              </w:rPr>
            </w:pPr>
            <w:r>
              <w:rPr>
                <w:rFonts w:hint="eastAsia"/>
                <w:szCs w:val="21"/>
              </w:rPr>
              <w:t>0</w:t>
            </w:r>
            <w:r>
              <w:rPr>
                <w:szCs w:val="21"/>
              </w:rPr>
              <w:t>.2562t/a</w:t>
            </w:r>
          </w:p>
        </w:tc>
        <w:tc>
          <w:tcPr>
            <w:tcW w:w="1550" w:type="dxa"/>
            <w:vAlign w:val="center"/>
          </w:tcPr>
          <w:p>
            <w:pPr>
              <w:jc w:val="center"/>
              <w:rPr>
                <w:szCs w:val="21"/>
              </w:rPr>
            </w:pPr>
            <w:r>
              <w:rPr>
                <w:rFonts w:hint="eastAsia"/>
                <w:szCs w:val="21"/>
              </w:rPr>
              <w:t>/</w:t>
            </w:r>
          </w:p>
        </w:tc>
        <w:tc>
          <w:tcPr>
            <w:tcW w:w="2047" w:type="dxa"/>
            <w:vAlign w:val="center"/>
          </w:tcPr>
          <w:p>
            <w:pPr>
              <w:jc w:val="center"/>
              <w:rPr>
                <w:szCs w:val="21"/>
              </w:rPr>
            </w:pPr>
            <w:r>
              <w:rPr>
                <w:rFonts w:hint="eastAsia"/>
                <w:szCs w:val="21"/>
              </w:rPr>
              <w:t>0</w:t>
            </w:r>
            <w:r>
              <w:rPr>
                <w:szCs w:val="21"/>
              </w:rPr>
              <w:t>.2562t/a</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vAlign w:val="center"/>
          </w:tcPr>
          <w:p>
            <w:pPr>
              <w:jc w:val="center"/>
              <w:rPr>
                <w:szCs w:val="21"/>
              </w:rPr>
            </w:pPr>
            <w:r>
              <w:rPr>
                <w:rFonts w:hint="eastAsia"/>
                <w:szCs w:val="21"/>
              </w:rPr>
              <w:t>无组织粉尘</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szCs w:val="21"/>
              </w:rPr>
            </w:pPr>
            <w:r>
              <w:rPr>
                <w:rFonts w:hint="eastAsia"/>
                <w:szCs w:val="21"/>
              </w:rPr>
              <w:t>0</w:t>
            </w:r>
            <w:r>
              <w:rPr>
                <w:szCs w:val="21"/>
              </w:rPr>
              <w:t>.2338t/a</w:t>
            </w:r>
          </w:p>
        </w:tc>
        <w:tc>
          <w:tcPr>
            <w:tcW w:w="1550" w:type="dxa"/>
            <w:vAlign w:val="center"/>
          </w:tcPr>
          <w:p>
            <w:pPr>
              <w:jc w:val="center"/>
              <w:rPr>
                <w:szCs w:val="21"/>
              </w:rPr>
            </w:pPr>
            <w:r>
              <w:rPr>
                <w:rFonts w:hint="eastAsia"/>
                <w:szCs w:val="21"/>
              </w:rPr>
              <w:t>/</w:t>
            </w:r>
          </w:p>
        </w:tc>
        <w:tc>
          <w:tcPr>
            <w:tcW w:w="2047" w:type="dxa"/>
            <w:vAlign w:val="center"/>
          </w:tcPr>
          <w:p>
            <w:pPr>
              <w:jc w:val="center"/>
              <w:rPr>
                <w:szCs w:val="21"/>
              </w:rPr>
            </w:pPr>
            <w:r>
              <w:rPr>
                <w:rFonts w:hint="eastAsia"/>
                <w:szCs w:val="21"/>
              </w:rPr>
              <w:t>0</w:t>
            </w:r>
            <w:r>
              <w:rPr>
                <w:szCs w:val="21"/>
              </w:rPr>
              <w:t>.2338t/a</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vAlign w:val="center"/>
          </w:tcPr>
          <w:p>
            <w:pPr>
              <w:jc w:val="center"/>
              <w:rPr>
                <w:szCs w:val="21"/>
              </w:rPr>
            </w:pPr>
            <w:r>
              <w:rPr>
                <w:rFonts w:hint="eastAsia"/>
                <w:szCs w:val="21"/>
              </w:rPr>
              <w:t>油烟</w:t>
            </w:r>
          </w:p>
        </w:tc>
        <w:tc>
          <w:tcPr>
            <w:tcW w:w="1550" w:type="dxa"/>
            <w:vAlign w:val="center"/>
          </w:tcPr>
          <w:p>
            <w:pPr>
              <w:jc w:val="center"/>
              <w:rPr>
                <w:szCs w:val="21"/>
              </w:rPr>
            </w:pPr>
          </w:p>
        </w:tc>
        <w:tc>
          <w:tcPr>
            <w:tcW w:w="1550" w:type="dxa"/>
            <w:vAlign w:val="center"/>
          </w:tcPr>
          <w:p>
            <w:pPr>
              <w:jc w:val="center"/>
              <w:rPr>
                <w:szCs w:val="21"/>
              </w:rPr>
            </w:pPr>
          </w:p>
        </w:tc>
        <w:tc>
          <w:tcPr>
            <w:tcW w:w="1549" w:type="dxa"/>
            <w:vAlign w:val="center"/>
          </w:tcPr>
          <w:p>
            <w:pPr>
              <w:jc w:val="center"/>
              <w:rPr>
                <w:szCs w:val="21"/>
              </w:rPr>
            </w:pPr>
          </w:p>
        </w:tc>
        <w:tc>
          <w:tcPr>
            <w:tcW w:w="1550" w:type="dxa"/>
            <w:vAlign w:val="center"/>
          </w:tcPr>
          <w:p>
            <w:pPr>
              <w:jc w:val="center"/>
              <w:rPr>
                <w:szCs w:val="21"/>
              </w:rPr>
            </w:pPr>
            <w:r>
              <w:rPr>
                <w:rFonts w:hint="eastAsia"/>
                <w:szCs w:val="21"/>
              </w:rPr>
              <w:t>5</w:t>
            </w:r>
            <w:r>
              <w:rPr>
                <w:szCs w:val="21"/>
              </w:rPr>
              <w:t>.4kg/a</w:t>
            </w:r>
          </w:p>
        </w:tc>
        <w:tc>
          <w:tcPr>
            <w:tcW w:w="1550" w:type="dxa"/>
            <w:vAlign w:val="center"/>
          </w:tcPr>
          <w:p>
            <w:pPr>
              <w:jc w:val="center"/>
              <w:rPr>
                <w:szCs w:val="21"/>
              </w:rPr>
            </w:pPr>
            <w:r>
              <w:rPr>
                <w:rFonts w:hint="eastAsia"/>
                <w:szCs w:val="21"/>
              </w:rPr>
              <w:t>/</w:t>
            </w:r>
          </w:p>
        </w:tc>
        <w:tc>
          <w:tcPr>
            <w:tcW w:w="2047" w:type="dxa"/>
            <w:vAlign w:val="center"/>
          </w:tcPr>
          <w:p>
            <w:pPr>
              <w:jc w:val="center"/>
              <w:rPr>
                <w:szCs w:val="21"/>
              </w:rPr>
            </w:pPr>
            <w:r>
              <w:rPr>
                <w:rFonts w:hint="eastAsia"/>
                <w:szCs w:val="21"/>
              </w:rPr>
              <w:t>5</w:t>
            </w:r>
            <w:r>
              <w:rPr>
                <w:szCs w:val="21"/>
              </w:rPr>
              <w:t>.4kg/a</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restart"/>
            <w:vAlign w:val="center"/>
          </w:tcPr>
          <w:p>
            <w:pPr>
              <w:jc w:val="center"/>
              <w:rPr>
                <w:szCs w:val="21"/>
              </w:rPr>
            </w:pPr>
            <w:r>
              <w:rPr>
                <w:szCs w:val="21"/>
              </w:rPr>
              <w:t>废水</w:t>
            </w:r>
          </w:p>
        </w:tc>
        <w:tc>
          <w:tcPr>
            <w:tcW w:w="1550" w:type="dxa"/>
          </w:tcPr>
          <w:p>
            <w:pPr>
              <w:jc w:val="center"/>
            </w:pPr>
            <w:r>
              <w:rPr>
                <w:rFonts w:hint="eastAsia"/>
                <w:szCs w:val="21"/>
              </w:rPr>
              <w:t>/</w:t>
            </w:r>
          </w:p>
        </w:tc>
        <w:tc>
          <w:tcPr>
            <w:tcW w:w="1550" w:type="dxa"/>
          </w:tcPr>
          <w:p>
            <w:pPr>
              <w:jc w:val="center"/>
            </w:pPr>
            <w:r>
              <w:rPr>
                <w:rFonts w:hint="eastAsia"/>
                <w:szCs w:val="21"/>
              </w:rPr>
              <w:t>/</w:t>
            </w:r>
          </w:p>
        </w:tc>
        <w:tc>
          <w:tcPr>
            <w:tcW w:w="1550" w:type="dxa"/>
          </w:tcPr>
          <w:p>
            <w:pPr>
              <w:jc w:val="center"/>
            </w:pPr>
            <w:r>
              <w:rPr>
                <w:rFonts w:hint="eastAsia"/>
                <w:szCs w:val="21"/>
              </w:rPr>
              <w:t>/</w:t>
            </w:r>
          </w:p>
        </w:tc>
        <w:tc>
          <w:tcPr>
            <w:tcW w:w="1549" w:type="dxa"/>
          </w:tcPr>
          <w:p>
            <w:pPr>
              <w:jc w:val="center"/>
            </w:pPr>
            <w:r>
              <w:rPr>
                <w:rFonts w:hint="eastAsia"/>
                <w:szCs w:val="21"/>
              </w:rPr>
              <w:t>/</w:t>
            </w:r>
          </w:p>
        </w:tc>
        <w:tc>
          <w:tcPr>
            <w:tcW w:w="1550" w:type="dxa"/>
          </w:tcPr>
          <w:p>
            <w:pPr>
              <w:jc w:val="center"/>
            </w:pPr>
            <w:r>
              <w:rPr>
                <w:rFonts w:hint="eastAsia"/>
                <w:szCs w:val="21"/>
              </w:rPr>
              <w:t>/</w:t>
            </w:r>
          </w:p>
        </w:tc>
        <w:tc>
          <w:tcPr>
            <w:tcW w:w="1550" w:type="dxa"/>
          </w:tcPr>
          <w:p>
            <w:pPr>
              <w:jc w:val="center"/>
            </w:pPr>
            <w:r>
              <w:rPr>
                <w:rFonts w:hint="eastAsia"/>
                <w:szCs w:val="21"/>
              </w:rPr>
              <w:t>/</w:t>
            </w:r>
          </w:p>
        </w:tc>
        <w:tc>
          <w:tcPr>
            <w:tcW w:w="2047" w:type="dxa"/>
          </w:tcPr>
          <w:p>
            <w:pPr>
              <w:jc w:val="center"/>
            </w:pPr>
            <w:r>
              <w:rPr>
                <w:rFonts w:hint="eastAsia"/>
                <w:szCs w:val="21"/>
              </w:rPr>
              <w:t>/</w:t>
            </w:r>
          </w:p>
        </w:tc>
        <w:tc>
          <w:tcPr>
            <w:tcW w:w="1053" w:type="dxa"/>
          </w:tcPr>
          <w:p>
            <w:pPr>
              <w:jc w:val="cente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tcPr>
          <w:p>
            <w:pPr>
              <w:jc w:val="center"/>
            </w:pPr>
            <w:r>
              <w:rPr>
                <w:rFonts w:hint="eastAsia"/>
                <w:szCs w:val="21"/>
              </w:rPr>
              <w:t>/</w:t>
            </w:r>
          </w:p>
        </w:tc>
        <w:tc>
          <w:tcPr>
            <w:tcW w:w="1550" w:type="dxa"/>
          </w:tcPr>
          <w:p>
            <w:pPr>
              <w:jc w:val="center"/>
            </w:pPr>
            <w:r>
              <w:rPr>
                <w:rFonts w:hint="eastAsia"/>
                <w:szCs w:val="21"/>
              </w:rPr>
              <w:t>/</w:t>
            </w:r>
          </w:p>
        </w:tc>
        <w:tc>
          <w:tcPr>
            <w:tcW w:w="1550" w:type="dxa"/>
          </w:tcPr>
          <w:p>
            <w:pPr>
              <w:jc w:val="center"/>
            </w:pPr>
            <w:r>
              <w:rPr>
                <w:rFonts w:hint="eastAsia"/>
                <w:szCs w:val="21"/>
              </w:rPr>
              <w:t>/</w:t>
            </w:r>
          </w:p>
        </w:tc>
        <w:tc>
          <w:tcPr>
            <w:tcW w:w="1549" w:type="dxa"/>
          </w:tcPr>
          <w:p>
            <w:pPr>
              <w:jc w:val="center"/>
            </w:pPr>
            <w:r>
              <w:rPr>
                <w:rFonts w:hint="eastAsia"/>
                <w:szCs w:val="21"/>
              </w:rPr>
              <w:t>/</w:t>
            </w:r>
          </w:p>
        </w:tc>
        <w:tc>
          <w:tcPr>
            <w:tcW w:w="1550" w:type="dxa"/>
          </w:tcPr>
          <w:p>
            <w:pPr>
              <w:jc w:val="center"/>
            </w:pPr>
            <w:r>
              <w:rPr>
                <w:rFonts w:hint="eastAsia"/>
                <w:szCs w:val="21"/>
              </w:rPr>
              <w:t>/</w:t>
            </w:r>
          </w:p>
        </w:tc>
        <w:tc>
          <w:tcPr>
            <w:tcW w:w="1550" w:type="dxa"/>
          </w:tcPr>
          <w:p>
            <w:pPr>
              <w:jc w:val="center"/>
            </w:pPr>
            <w:r>
              <w:rPr>
                <w:rFonts w:hint="eastAsia"/>
                <w:szCs w:val="21"/>
              </w:rPr>
              <w:t>/</w:t>
            </w:r>
          </w:p>
        </w:tc>
        <w:tc>
          <w:tcPr>
            <w:tcW w:w="2047" w:type="dxa"/>
          </w:tcPr>
          <w:p>
            <w:pPr>
              <w:jc w:val="center"/>
            </w:pPr>
            <w:r>
              <w:rPr>
                <w:rFonts w:hint="eastAsia"/>
                <w:szCs w:val="21"/>
              </w:rPr>
              <w:t>/</w:t>
            </w:r>
          </w:p>
        </w:tc>
        <w:tc>
          <w:tcPr>
            <w:tcW w:w="1053" w:type="dxa"/>
          </w:tcPr>
          <w:p>
            <w:pPr>
              <w:jc w:val="cente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restart"/>
            <w:vAlign w:val="center"/>
          </w:tcPr>
          <w:p>
            <w:pPr>
              <w:jc w:val="center"/>
              <w:rPr>
                <w:szCs w:val="21"/>
              </w:rPr>
            </w:pPr>
            <w:r>
              <w:rPr>
                <w:szCs w:val="21"/>
              </w:rPr>
              <w:t>一般工业</w:t>
            </w:r>
          </w:p>
          <w:p>
            <w:pPr>
              <w:jc w:val="center"/>
              <w:rPr>
                <w:szCs w:val="21"/>
              </w:rPr>
            </w:pPr>
            <w:r>
              <w:rPr>
                <w:szCs w:val="21"/>
              </w:rPr>
              <w:t>固体废物</w:t>
            </w:r>
          </w:p>
        </w:tc>
        <w:tc>
          <w:tcPr>
            <w:tcW w:w="1550" w:type="dxa"/>
            <w:vAlign w:val="center"/>
          </w:tcPr>
          <w:p>
            <w:pPr>
              <w:pStyle w:val="132"/>
              <w:spacing w:beforeLines="0" w:afterLines="0" w:line="240" w:lineRule="auto"/>
              <w:rPr>
                <w:rFonts w:ascii="Times New Roman"/>
                <w:snapToGrid w:val="0"/>
                <w:kern w:val="21"/>
                <w:szCs w:val="21"/>
              </w:rPr>
            </w:pPr>
            <w:r>
              <w:rPr>
                <w:rFonts w:ascii="Times New Roman"/>
                <w:snapToGrid w:val="0"/>
                <w:kern w:val="21"/>
                <w:szCs w:val="21"/>
              </w:rPr>
              <w:t>除尘设备收集粉尘</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szCs w:val="21"/>
              </w:rPr>
            </w:pPr>
            <w:r>
              <w:rPr>
                <w:szCs w:val="21"/>
              </w:rPr>
              <w:t>25.3638</w:t>
            </w:r>
            <w:r>
              <w:rPr>
                <w:rFonts w:hint="eastAsia"/>
                <w:szCs w:val="21"/>
              </w:rPr>
              <w:t>t</w:t>
            </w:r>
            <w:r>
              <w:rPr>
                <w:szCs w:val="21"/>
              </w:rPr>
              <w:t>/a</w:t>
            </w:r>
          </w:p>
        </w:tc>
        <w:tc>
          <w:tcPr>
            <w:tcW w:w="1550" w:type="dxa"/>
            <w:vAlign w:val="center"/>
          </w:tcPr>
          <w:p>
            <w:pPr>
              <w:jc w:val="center"/>
              <w:rPr>
                <w:szCs w:val="21"/>
              </w:rPr>
            </w:pPr>
            <w:r>
              <w:rPr>
                <w:rFonts w:hint="eastAsia"/>
                <w:szCs w:val="21"/>
              </w:rPr>
              <w:t>/</w:t>
            </w:r>
          </w:p>
        </w:tc>
        <w:tc>
          <w:tcPr>
            <w:tcW w:w="2047" w:type="dxa"/>
            <w:vAlign w:val="center"/>
          </w:tcPr>
          <w:p>
            <w:pPr>
              <w:jc w:val="center"/>
              <w:rPr>
                <w:szCs w:val="21"/>
              </w:rPr>
            </w:pPr>
            <w:r>
              <w:rPr>
                <w:szCs w:val="21"/>
              </w:rPr>
              <w:t>0</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vAlign w:val="center"/>
          </w:tcPr>
          <w:p>
            <w:pPr>
              <w:pStyle w:val="132"/>
              <w:spacing w:beforeLines="0" w:afterLines="0" w:line="240" w:lineRule="auto"/>
              <w:rPr>
                <w:rFonts w:ascii="Times New Roman"/>
                <w:snapToGrid w:val="0"/>
                <w:kern w:val="21"/>
                <w:szCs w:val="21"/>
              </w:rPr>
            </w:pPr>
            <w:r>
              <w:rPr>
                <w:rFonts w:hint="eastAsia" w:ascii="Times New Roman"/>
                <w:snapToGrid w:val="0"/>
                <w:kern w:val="21"/>
                <w:szCs w:val="21"/>
              </w:rPr>
              <w:t>残余</w:t>
            </w:r>
            <w:r>
              <w:rPr>
                <w:rFonts w:ascii="Times New Roman"/>
                <w:snapToGrid w:val="0"/>
                <w:kern w:val="21"/>
                <w:szCs w:val="21"/>
              </w:rPr>
              <w:t>混凝土</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szCs w:val="21"/>
              </w:rPr>
            </w:pPr>
            <w:r>
              <w:rPr>
                <w:szCs w:val="21"/>
              </w:rPr>
              <w:t>75</w:t>
            </w:r>
            <w:r>
              <w:rPr>
                <w:rFonts w:hint="eastAsia"/>
                <w:szCs w:val="21"/>
              </w:rPr>
              <w:t>t</w:t>
            </w:r>
            <w:r>
              <w:rPr>
                <w:szCs w:val="21"/>
              </w:rPr>
              <w:t>/a</w:t>
            </w:r>
          </w:p>
        </w:tc>
        <w:tc>
          <w:tcPr>
            <w:tcW w:w="1550" w:type="dxa"/>
            <w:vAlign w:val="center"/>
          </w:tcPr>
          <w:p>
            <w:pPr>
              <w:jc w:val="center"/>
              <w:rPr>
                <w:szCs w:val="21"/>
              </w:rPr>
            </w:pPr>
            <w:r>
              <w:rPr>
                <w:rFonts w:hint="eastAsia"/>
                <w:szCs w:val="21"/>
              </w:rPr>
              <w:t>/</w:t>
            </w:r>
          </w:p>
        </w:tc>
        <w:tc>
          <w:tcPr>
            <w:tcW w:w="2047" w:type="dxa"/>
            <w:vAlign w:val="center"/>
          </w:tcPr>
          <w:p>
            <w:pPr>
              <w:jc w:val="center"/>
            </w:pPr>
            <w:r>
              <w:rPr>
                <w:szCs w:val="21"/>
              </w:rPr>
              <w:t>75</w:t>
            </w:r>
            <w:r>
              <w:rPr>
                <w:rFonts w:hint="eastAsia"/>
                <w:szCs w:val="21"/>
              </w:rPr>
              <w:t>t</w:t>
            </w:r>
            <w:r>
              <w:rPr>
                <w:szCs w:val="21"/>
              </w:rPr>
              <w:t>/a</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vAlign w:val="center"/>
          </w:tcPr>
          <w:p>
            <w:pPr>
              <w:pStyle w:val="132"/>
              <w:spacing w:beforeLines="0" w:afterLines="0" w:line="240" w:lineRule="auto"/>
              <w:rPr>
                <w:rFonts w:ascii="Times New Roman"/>
                <w:snapToGrid w:val="0"/>
                <w:kern w:val="21"/>
                <w:szCs w:val="21"/>
              </w:rPr>
            </w:pPr>
            <w:r>
              <w:rPr>
                <w:rFonts w:ascii="Times New Roman"/>
                <w:snapToGrid w:val="0"/>
                <w:kern w:val="21"/>
                <w:szCs w:val="21"/>
              </w:rPr>
              <w:t>沉淀池泥沙</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szCs w:val="21"/>
              </w:rPr>
            </w:pPr>
            <w:r>
              <w:rPr>
                <w:szCs w:val="21"/>
              </w:rPr>
              <w:t>10.2</w:t>
            </w:r>
            <w:r>
              <w:rPr>
                <w:rFonts w:hint="eastAsia"/>
                <w:szCs w:val="21"/>
              </w:rPr>
              <w:t>t</w:t>
            </w:r>
            <w:r>
              <w:rPr>
                <w:szCs w:val="21"/>
              </w:rPr>
              <w:t>/a</w:t>
            </w:r>
          </w:p>
        </w:tc>
        <w:tc>
          <w:tcPr>
            <w:tcW w:w="1550" w:type="dxa"/>
            <w:vAlign w:val="center"/>
          </w:tcPr>
          <w:p>
            <w:pPr>
              <w:jc w:val="center"/>
              <w:rPr>
                <w:szCs w:val="21"/>
              </w:rPr>
            </w:pPr>
            <w:r>
              <w:rPr>
                <w:rFonts w:hint="eastAsia"/>
                <w:szCs w:val="21"/>
              </w:rPr>
              <w:t>/</w:t>
            </w:r>
          </w:p>
        </w:tc>
        <w:tc>
          <w:tcPr>
            <w:tcW w:w="2047" w:type="dxa"/>
            <w:vAlign w:val="center"/>
          </w:tcPr>
          <w:p>
            <w:pPr>
              <w:jc w:val="center"/>
            </w:pPr>
            <w:r>
              <w:rPr>
                <w:szCs w:val="21"/>
              </w:rPr>
              <w:t>10.2</w:t>
            </w:r>
            <w:r>
              <w:rPr>
                <w:rFonts w:hint="eastAsia"/>
                <w:szCs w:val="21"/>
              </w:rPr>
              <w:t>t</w:t>
            </w:r>
            <w:r>
              <w:rPr>
                <w:szCs w:val="21"/>
              </w:rPr>
              <w:t>/a</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vAlign w:val="center"/>
          </w:tcPr>
          <w:p>
            <w:pPr>
              <w:pStyle w:val="132"/>
              <w:spacing w:beforeLines="0" w:afterLines="0" w:line="240" w:lineRule="auto"/>
              <w:rPr>
                <w:rFonts w:ascii="Times New Roman"/>
                <w:snapToGrid w:val="0"/>
                <w:kern w:val="21"/>
                <w:szCs w:val="21"/>
              </w:rPr>
            </w:pPr>
            <w:r>
              <w:rPr>
                <w:rFonts w:ascii="Times New Roman"/>
                <w:snapToGrid w:val="0"/>
                <w:kern w:val="21"/>
                <w:szCs w:val="21"/>
              </w:rPr>
              <w:t>废弃混凝土块</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szCs w:val="21"/>
              </w:rPr>
            </w:pPr>
            <w:r>
              <w:rPr>
                <w:rFonts w:hint="eastAsia"/>
                <w:szCs w:val="21"/>
              </w:rPr>
              <w:t>2</w:t>
            </w:r>
            <w:r>
              <w:rPr>
                <w:szCs w:val="21"/>
              </w:rPr>
              <w:t>.4</w:t>
            </w:r>
            <w:r>
              <w:rPr>
                <w:rFonts w:hint="eastAsia"/>
                <w:szCs w:val="21"/>
              </w:rPr>
              <w:t>t</w:t>
            </w:r>
            <w:r>
              <w:rPr>
                <w:szCs w:val="21"/>
              </w:rPr>
              <w:t>/a</w:t>
            </w:r>
          </w:p>
        </w:tc>
        <w:tc>
          <w:tcPr>
            <w:tcW w:w="1550" w:type="dxa"/>
            <w:vAlign w:val="center"/>
          </w:tcPr>
          <w:p>
            <w:pPr>
              <w:jc w:val="center"/>
              <w:rPr>
                <w:szCs w:val="21"/>
              </w:rPr>
            </w:pPr>
            <w:r>
              <w:rPr>
                <w:rFonts w:hint="eastAsia"/>
                <w:szCs w:val="21"/>
              </w:rPr>
              <w:t>/</w:t>
            </w:r>
          </w:p>
        </w:tc>
        <w:tc>
          <w:tcPr>
            <w:tcW w:w="2047" w:type="dxa"/>
            <w:vAlign w:val="center"/>
          </w:tcPr>
          <w:p>
            <w:pPr>
              <w:jc w:val="center"/>
            </w:pPr>
            <w:r>
              <w:rPr>
                <w:rFonts w:hint="eastAsia"/>
                <w:szCs w:val="21"/>
              </w:rPr>
              <w:t>2</w:t>
            </w:r>
            <w:r>
              <w:rPr>
                <w:szCs w:val="21"/>
              </w:rPr>
              <w:t>.4</w:t>
            </w:r>
            <w:r>
              <w:rPr>
                <w:rFonts w:hint="eastAsia"/>
                <w:szCs w:val="21"/>
              </w:rPr>
              <w:t>t</w:t>
            </w:r>
            <w:r>
              <w:rPr>
                <w:szCs w:val="21"/>
              </w:rPr>
              <w:t>/a</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vAlign w:val="center"/>
          </w:tcPr>
          <w:p>
            <w:pPr>
              <w:pStyle w:val="132"/>
              <w:spacing w:beforeLines="0" w:afterLines="0" w:line="240" w:lineRule="auto"/>
              <w:rPr>
                <w:rFonts w:ascii="Times New Roman"/>
                <w:snapToGrid w:val="0"/>
                <w:kern w:val="21"/>
                <w:szCs w:val="21"/>
              </w:rPr>
            </w:pPr>
            <w:r>
              <w:rPr>
                <w:rFonts w:ascii="Times New Roman"/>
                <w:snapToGrid w:val="0"/>
                <w:kern w:val="21"/>
                <w:szCs w:val="21"/>
              </w:rPr>
              <w:t>食堂泔水</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szCs w:val="21"/>
              </w:rPr>
            </w:pPr>
            <w:r>
              <w:rPr>
                <w:rFonts w:hint="eastAsia"/>
                <w:szCs w:val="21"/>
              </w:rPr>
              <w:t>0</w:t>
            </w:r>
            <w:r>
              <w:rPr>
                <w:szCs w:val="21"/>
              </w:rPr>
              <w:t>.48</w:t>
            </w:r>
            <w:r>
              <w:rPr>
                <w:rFonts w:hint="eastAsia"/>
                <w:szCs w:val="21"/>
              </w:rPr>
              <w:t>t</w:t>
            </w:r>
            <w:r>
              <w:rPr>
                <w:szCs w:val="21"/>
              </w:rPr>
              <w:t>/a</w:t>
            </w:r>
          </w:p>
        </w:tc>
        <w:tc>
          <w:tcPr>
            <w:tcW w:w="1550" w:type="dxa"/>
            <w:vAlign w:val="center"/>
          </w:tcPr>
          <w:p>
            <w:pPr>
              <w:jc w:val="center"/>
              <w:rPr>
                <w:szCs w:val="21"/>
              </w:rPr>
            </w:pPr>
            <w:r>
              <w:rPr>
                <w:rFonts w:hint="eastAsia"/>
                <w:szCs w:val="21"/>
              </w:rPr>
              <w:t>/</w:t>
            </w:r>
          </w:p>
        </w:tc>
        <w:tc>
          <w:tcPr>
            <w:tcW w:w="2047" w:type="dxa"/>
            <w:vAlign w:val="center"/>
          </w:tcPr>
          <w:p>
            <w:pPr>
              <w:jc w:val="center"/>
              <w:rPr>
                <w:szCs w:val="21"/>
              </w:rPr>
            </w:pPr>
            <w:r>
              <w:rPr>
                <w:rFonts w:hint="eastAsia"/>
                <w:szCs w:val="21"/>
              </w:rPr>
              <w:t>0</w:t>
            </w:r>
            <w:r>
              <w:rPr>
                <w:szCs w:val="21"/>
              </w:rPr>
              <w:t>.48</w:t>
            </w:r>
            <w:r>
              <w:rPr>
                <w:rFonts w:hint="eastAsia"/>
                <w:szCs w:val="21"/>
              </w:rPr>
              <w:t>t</w:t>
            </w:r>
            <w:r>
              <w:rPr>
                <w:szCs w:val="21"/>
              </w:rPr>
              <w:t>/a</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vAlign w:val="center"/>
          </w:tcPr>
          <w:p>
            <w:pPr>
              <w:pStyle w:val="132"/>
              <w:spacing w:beforeLines="0" w:afterLines="0" w:line="240" w:lineRule="auto"/>
              <w:rPr>
                <w:rFonts w:ascii="Times New Roman"/>
                <w:snapToGrid w:val="0"/>
                <w:kern w:val="21"/>
                <w:szCs w:val="21"/>
              </w:rPr>
            </w:pPr>
            <w:r>
              <w:rPr>
                <w:rFonts w:ascii="Times New Roman"/>
                <w:snapToGrid w:val="0"/>
                <w:kern w:val="21"/>
                <w:szCs w:val="21"/>
              </w:rPr>
              <w:t>隔油池废油</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szCs w:val="21"/>
              </w:rPr>
            </w:pPr>
            <w:r>
              <w:rPr>
                <w:rFonts w:hint="eastAsia"/>
                <w:szCs w:val="21"/>
              </w:rPr>
              <w:t>0</w:t>
            </w:r>
            <w:r>
              <w:rPr>
                <w:szCs w:val="21"/>
              </w:rPr>
              <w:t>.058</w:t>
            </w:r>
            <w:r>
              <w:rPr>
                <w:rFonts w:hint="eastAsia"/>
                <w:szCs w:val="21"/>
              </w:rPr>
              <w:t>t</w:t>
            </w:r>
            <w:r>
              <w:rPr>
                <w:szCs w:val="21"/>
              </w:rPr>
              <w:t>/a</w:t>
            </w:r>
          </w:p>
        </w:tc>
        <w:tc>
          <w:tcPr>
            <w:tcW w:w="1550" w:type="dxa"/>
            <w:vAlign w:val="center"/>
          </w:tcPr>
          <w:p>
            <w:pPr>
              <w:jc w:val="center"/>
              <w:rPr>
                <w:szCs w:val="21"/>
              </w:rPr>
            </w:pPr>
            <w:r>
              <w:rPr>
                <w:rFonts w:hint="eastAsia"/>
                <w:szCs w:val="21"/>
              </w:rPr>
              <w:t>/</w:t>
            </w:r>
          </w:p>
        </w:tc>
        <w:tc>
          <w:tcPr>
            <w:tcW w:w="2047" w:type="dxa"/>
            <w:vAlign w:val="center"/>
          </w:tcPr>
          <w:p>
            <w:pPr>
              <w:jc w:val="center"/>
              <w:rPr>
                <w:szCs w:val="21"/>
              </w:rPr>
            </w:pPr>
            <w:r>
              <w:rPr>
                <w:rFonts w:hint="eastAsia"/>
                <w:szCs w:val="21"/>
              </w:rPr>
              <w:t>0</w:t>
            </w:r>
            <w:r>
              <w:rPr>
                <w:szCs w:val="21"/>
              </w:rPr>
              <w:t>.058</w:t>
            </w:r>
            <w:r>
              <w:rPr>
                <w:rFonts w:hint="eastAsia"/>
                <w:szCs w:val="21"/>
              </w:rPr>
              <w:t>t</w:t>
            </w:r>
            <w:r>
              <w:rPr>
                <w:szCs w:val="21"/>
              </w:rPr>
              <w:t>/a</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vAlign w:val="center"/>
          </w:tcPr>
          <w:p>
            <w:pPr>
              <w:pStyle w:val="132"/>
              <w:spacing w:beforeLines="0" w:afterLines="0" w:line="240" w:lineRule="auto"/>
              <w:rPr>
                <w:rFonts w:ascii="Times New Roman"/>
                <w:snapToGrid w:val="0"/>
                <w:kern w:val="21"/>
                <w:szCs w:val="21"/>
              </w:rPr>
            </w:pPr>
            <w:r>
              <w:rPr>
                <w:rFonts w:ascii="Times New Roman"/>
                <w:snapToGrid w:val="0"/>
                <w:kern w:val="21"/>
                <w:szCs w:val="21"/>
              </w:rPr>
              <w:t>生活垃圾</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szCs w:val="21"/>
              </w:rPr>
            </w:pPr>
            <w:r>
              <w:rPr>
                <w:rFonts w:hint="eastAsia"/>
                <w:szCs w:val="21"/>
              </w:rPr>
              <w:t>9</w:t>
            </w:r>
            <w:r>
              <w:rPr>
                <w:szCs w:val="21"/>
              </w:rPr>
              <w:t>.6</w:t>
            </w:r>
            <w:r>
              <w:rPr>
                <w:rFonts w:hint="eastAsia"/>
                <w:szCs w:val="21"/>
              </w:rPr>
              <w:t>t</w:t>
            </w:r>
            <w:r>
              <w:rPr>
                <w:szCs w:val="21"/>
              </w:rPr>
              <w:t>/a</w:t>
            </w:r>
          </w:p>
        </w:tc>
        <w:tc>
          <w:tcPr>
            <w:tcW w:w="1550" w:type="dxa"/>
            <w:vAlign w:val="center"/>
          </w:tcPr>
          <w:p>
            <w:pPr>
              <w:jc w:val="center"/>
              <w:rPr>
                <w:szCs w:val="21"/>
              </w:rPr>
            </w:pPr>
            <w:r>
              <w:rPr>
                <w:rFonts w:hint="eastAsia"/>
                <w:szCs w:val="21"/>
              </w:rPr>
              <w:t>/</w:t>
            </w:r>
          </w:p>
        </w:tc>
        <w:tc>
          <w:tcPr>
            <w:tcW w:w="2047" w:type="dxa"/>
            <w:vAlign w:val="center"/>
          </w:tcPr>
          <w:p>
            <w:pPr>
              <w:jc w:val="center"/>
              <w:rPr>
                <w:szCs w:val="21"/>
              </w:rPr>
            </w:pPr>
            <w:r>
              <w:rPr>
                <w:rFonts w:hint="eastAsia"/>
                <w:szCs w:val="21"/>
              </w:rPr>
              <w:t>9</w:t>
            </w:r>
            <w:r>
              <w:rPr>
                <w:szCs w:val="21"/>
              </w:rPr>
              <w:t>.6</w:t>
            </w:r>
            <w:r>
              <w:rPr>
                <w:rFonts w:hint="eastAsia"/>
                <w:szCs w:val="21"/>
              </w:rPr>
              <w:t>t</w:t>
            </w:r>
            <w:r>
              <w:rPr>
                <w:szCs w:val="21"/>
              </w:rPr>
              <w:t>/a</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vAlign w:val="center"/>
          </w:tcPr>
          <w:p>
            <w:pPr>
              <w:pStyle w:val="132"/>
              <w:spacing w:beforeLines="0" w:afterLines="0" w:line="240" w:lineRule="auto"/>
              <w:rPr>
                <w:rFonts w:ascii="Times New Roman"/>
                <w:snapToGrid w:val="0"/>
                <w:kern w:val="21"/>
                <w:szCs w:val="21"/>
              </w:rPr>
            </w:pPr>
            <w:r>
              <w:rPr>
                <w:rFonts w:ascii="Times New Roman"/>
                <w:snapToGrid w:val="0"/>
                <w:kern w:val="21"/>
                <w:szCs w:val="21"/>
              </w:rPr>
              <w:t>化粪池污泥</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szCs w:val="21"/>
              </w:rPr>
            </w:pPr>
            <w:r>
              <w:rPr>
                <w:rFonts w:hint="eastAsia"/>
                <w:szCs w:val="21"/>
              </w:rPr>
              <w:t>2</w:t>
            </w:r>
            <w:r>
              <w:rPr>
                <w:szCs w:val="21"/>
              </w:rPr>
              <w:t>.3</w:t>
            </w:r>
            <w:r>
              <w:rPr>
                <w:rFonts w:hint="eastAsia"/>
                <w:szCs w:val="21"/>
              </w:rPr>
              <w:t>t</w:t>
            </w:r>
            <w:r>
              <w:rPr>
                <w:szCs w:val="21"/>
              </w:rPr>
              <w:t>/a</w:t>
            </w:r>
          </w:p>
        </w:tc>
        <w:tc>
          <w:tcPr>
            <w:tcW w:w="1550" w:type="dxa"/>
            <w:vAlign w:val="center"/>
          </w:tcPr>
          <w:p>
            <w:pPr>
              <w:jc w:val="center"/>
              <w:rPr>
                <w:szCs w:val="21"/>
              </w:rPr>
            </w:pPr>
            <w:r>
              <w:rPr>
                <w:rFonts w:hint="eastAsia"/>
                <w:szCs w:val="21"/>
              </w:rPr>
              <w:t>/</w:t>
            </w:r>
          </w:p>
        </w:tc>
        <w:tc>
          <w:tcPr>
            <w:tcW w:w="2047" w:type="dxa"/>
            <w:vAlign w:val="center"/>
          </w:tcPr>
          <w:p>
            <w:pPr>
              <w:jc w:val="center"/>
              <w:rPr>
                <w:szCs w:val="21"/>
              </w:rPr>
            </w:pPr>
            <w:r>
              <w:rPr>
                <w:rFonts w:hint="eastAsia"/>
                <w:szCs w:val="21"/>
              </w:rPr>
              <w:t>2</w:t>
            </w:r>
            <w:r>
              <w:rPr>
                <w:szCs w:val="21"/>
              </w:rPr>
              <w:t>.3</w:t>
            </w:r>
            <w:r>
              <w:rPr>
                <w:rFonts w:hint="eastAsia"/>
                <w:szCs w:val="21"/>
              </w:rPr>
              <w:t>t</w:t>
            </w:r>
            <w:r>
              <w:rPr>
                <w:szCs w:val="21"/>
              </w:rPr>
              <w:t>/a</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restart"/>
            <w:vAlign w:val="center"/>
          </w:tcPr>
          <w:p>
            <w:pPr>
              <w:jc w:val="center"/>
              <w:rPr>
                <w:szCs w:val="21"/>
              </w:rPr>
            </w:pPr>
            <w:r>
              <w:rPr>
                <w:szCs w:val="21"/>
              </w:rPr>
              <w:t>危险废物</w:t>
            </w:r>
          </w:p>
        </w:tc>
        <w:tc>
          <w:tcPr>
            <w:tcW w:w="1550" w:type="dxa"/>
            <w:vAlign w:val="center"/>
          </w:tcPr>
          <w:p>
            <w:pPr>
              <w:jc w:val="center"/>
              <w:rPr>
                <w:szCs w:val="21"/>
              </w:rPr>
            </w:pPr>
            <w:r>
              <w:rPr>
                <w:szCs w:val="21"/>
              </w:rPr>
              <w:t>维修废机油</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szCs w:val="21"/>
              </w:rPr>
            </w:pPr>
            <w:r>
              <w:rPr>
                <w:szCs w:val="21"/>
              </w:rPr>
              <w:t>0.05</w:t>
            </w:r>
            <w:r>
              <w:rPr>
                <w:rFonts w:hint="eastAsia"/>
                <w:szCs w:val="21"/>
              </w:rPr>
              <w:t>t</w:t>
            </w:r>
            <w:r>
              <w:rPr>
                <w:szCs w:val="21"/>
              </w:rPr>
              <w:t>/a</w:t>
            </w:r>
          </w:p>
        </w:tc>
        <w:tc>
          <w:tcPr>
            <w:tcW w:w="1550" w:type="dxa"/>
            <w:vAlign w:val="center"/>
          </w:tcPr>
          <w:p>
            <w:pPr>
              <w:jc w:val="center"/>
              <w:rPr>
                <w:szCs w:val="21"/>
              </w:rPr>
            </w:pPr>
            <w:r>
              <w:rPr>
                <w:rFonts w:hint="eastAsia"/>
                <w:szCs w:val="21"/>
              </w:rPr>
              <w:t>/</w:t>
            </w:r>
          </w:p>
        </w:tc>
        <w:tc>
          <w:tcPr>
            <w:tcW w:w="2047" w:type="dxa"/>
            <w:vAlign w:val="center"/>
          </w:tcPr>
          <w:p>
            <w:pPr>
              <w:jc w:val="center"/>
              <w:rPr>
                <w:szCs w:val="21"/>
              </w:rPr>
            </w:pPr>
            <w:r>
              <w:rPr>
                <w:szCs w:val="21"/>
              </w:rPr>
              <w:t>0.05</w:t>
            </w:r>
            <w:r>
              <w:rPr>
                <w:rFonts w:hint="eastAsia"/>
                <w:szCs w:val="21"/>
              </w:rPr>
              <w:t>t</w:t>
            </w:r>
            <w:r>
              <w:rPr>
                <w:szCs w:val="21"/>
              </w:rPr>
              <w:t>/a</w:t>
            </w:r>
          </w:p>
        </w:tc>
        <w:tc>
          <w:tcPr>
            <w:tcW w:w="1053" w:type="dxa"/>
            <w:vAlign w:val="center"/>
          </w:tcPr>
          <w:p>
            <w:pPr>
              <w:jc w:val="center"/>
              <w:rPr>
                <w:szCs w:val="21"/>
              </w:rPr>
            </w:pP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549" w:type="dxa"/>
            <w:vMerge w:val="continue"/>
            <w:vAlign w:val="center"/>
          </w:tcPr>
          <w:p>
            <w:pPr>
              <w:jc w:val="center"/>
              <w:rPr>
                <w:szCs w:val="21"/>
              </w:rPr>
            </w:pPr>
          </w:p>
        </w:tc>
        <w:tc>
          <w:tcPr>
            <w:tcW w:w="1550" w:type="dxa"/>
            <w:vAlign w:val="center"/>
          </w:tcPr>
          <w:p>
            <w:pPr>
              <w:jc w:val="center"/>
              <w:rPr>
                <w:szCs w:val="21"/>
              </w:rPr>
            </w:pPr>
            <w:r>
              <w:rPr>
                <w:rFonts w:hint="eastAsia"/>
                <w:color w:val="000000"/>
                <w:szCs w:val="21"/>
              </w:rPr>
              <w:t>机修含油抹布、手套</w:t>
            </w:r>
          </w:p>
        </w:tc>
        <w:tc>
          <w:tcPr>
            <w:tcW w:w="1550" w:type="dxa"/>
            <w:vAlign w:val="center"/>
          </w:tcPr>
          <w:p>
            <w:pPr>
              <w:jc w:val="center"/>
            </w:pPr>
            <w:r>
              <w:rPr>
                <w:rFonts w:hint="eastAsia"/>
                <w:szCs w:val="21"/>
              </w:rPr>
              <w:t>/</w:t>
            </w:r>
          </w:p>
        </w:tc>
        <w:tc>
          <w:tcPr>
            <w:tcW w:w="1550" w:type="dxa"/>
            <w:vAlign w:val="center"/>
          </w:tcPr>
          <w:p>
            <w:pPr>
              <w:jc w:val="center"/>
            </w:pPr>
            <w:r>
              <w:rPr>
                <w:rFonts w:hint="eastAsia"/>
                <w:szCs w:val="21"/>
              </w:rPr>
              <w:t>/</w:t>
            </w:r>
          </w:p>
        </w:tc>
        <w:tc>
          <w:tcPr>
            <w:tcW w:w="1549" w:type="dxa"/>
            <w:vAlign w:val="center"/>
          </w:tcPr>
          <w:p>
            <w:pPr>
              <w:jc w:val="center"/>
            </w:pPr>
            <w:r>
              <w:rPr>
                <w:rFonts w:hint="eastAsia"/>
                <w:szCs w:val="21"/>
              </w:rPr>
              <w:t>/</w:t>
            </w:r>
          </w:p>
        </w:tc>
        <w:tc>
          <w:tcPr>
            <w:tcW w:w="1550" w:type="dxa"/>
            <w:vAlign w:val="center"/>
          </w:tcPr>
          <w:p>
            <w:pPr>
              <w:jc w:val="center"/>
              <w:rPr>
                <w:szCs w:val="21"/>
              </w:rPr>
            </w:pPr>
            <w:r>
              <w:rPr>
                <w:szCs w:val="21"/>
              </w:rPr>
              <w:t>0.1t/a</w:t>
            </w:r>
          </w:p>
        </w:tc>
        <w:tc>
          <w:tcPr>
            <w:tcW w:w="1550" w:type="dxa"/>
            <w:vAlign w:val="center"/>
          </w:tcPr>
          <w:p>
            <w:pPr>
              <w:jc w:val="center"/>
              <w:rPr>
                <w:szCs w:val="21"/>
              </w:rPr>
            </w:pPr>
            <w:r>
              <w:rPr>
                <w:rFonts w:hint="eastAsia"/>
                <w:szCs w:val="21"/>
              </w:rPr>
              <w:t>/</w:t>
            </w:r>
          </w:p>
        </w:tc>
        <w:tc>
          <w:tcPr>
            <w:tcW w:w="2047" w:type="dxa"/>
            <w:vAlign w:val="center"/>
          </w:tcPr>
          <w:p>
            <w:pPr>
              <w:jc w:val="center"/>
              <w:rPr>
                <w:szCs w:val="21"/>
              </w:rPr>
            </w:pPr>
            <w:r>
              <w:rPr>
                <w:szCs w:val="21"/>
              </w:rPr>
              <w:t>0.1t</w:t>
            </w:r>
            <w:r>
              <w:rPr>
                <w:rFonts w:hint="eastAsia"/>
                <w:szCs w:val="21"/>
              </w:rPr>
              <w:t>/a</w:t>
            </w:r>
          </w:p>
        </w:tc>
        <w:tc>
          <w:tcPr>
            <w:tcW w:w="1053" w:type="dxa"/>
            <w:vAlign w:val="center"/>
          </w:tcPr>
          <w:p>
            <w:pPr>
              <w:jc w:val="center"/>
              <w:rPr>
                <w:szCs w:val="21"/>
              </w:rPr>
            </w:pPr>
            <w:r>
              <w:rPr>
                <w:rFonts w:hint="eastAsia"/>
                <w:szCs w:val="21"/>
              </w:rPr>
              <w:t>/</w:t>
            </w:r>
          </w:p>
        </w:tc>
      </w:tr>
    </w:tbl>
    <w:p>
      <w:pPr>
        <w:rPr>
          <w:szCs w:val="21"/>
        </w:rPr>
      </w:pPr>
      <w:r>
        <w:rPr>
          <w:szCs w:val="21"/>
        </w:rPr>
        <w:t>注：</w:t>
      </w:r>
      <w:r>
        <w:rPr>
          <w:rFonts w:hint="eastAsia" w:ascii="宋体" w:hAnsi="宋体" w:cs="宋体"/>
          <w:szCs w:val="21"/>
        </w:rPr>
        <w:t>⑥</w:t>
      </w:r>
      <w:r>
        <w:rPr>
          <w:szCs w:val="21"/>
        </w:rPr>
        <w:t>=</w:t>
      </w:r>
      <w:r>
        <w:rPr>
          <w:rFonts w:hint="eastAsia" w:ascii="宋体" w:hAnsi="宋体" w:cs="宋体"/>
          <w:szCs w:val="21"/>
        </w:rPr>
        <w:t>①</w:t>
      </w:r>
      <w:r>
        <w:rPr>
          <w:szCs w:val="21"/>
        </w:rPr>
        <w:t>+</w:t>
      </w:r>
      <w:r>
        <w:rPr>
          <w:rFonts w:hint="eastAsia" w:ascii="宋体" w:hAnsi="宋体" w:cs="宋体"/>
          <w:szCs w:val="21"/>
        </w:rPr>
        <w:t>③</w:t>
      </w:r>
      <w:r>
        <w:rPr>
          <w:szCs w:val="21"/>
        </w:rPr>
        <w:t>+</w:t>
      </w:r>
      <w:r>
        <w:rPr>
          <w:rFonts w:hint="eastAsia" w:ascii="宋体" w:hAnsi="宋体" w:cs="宋体"/>
          <w:szCs w:val="21"/>
        </w:rPr>
        <w:t>④</w:t>
      </w:r>
      <w:r>
        <w:rPr>
          <w:szCs w:val="21"/>
        </w:rPr>
        <w:t>-</w:t>
      </w:r>
      <w:r>
        <w:rPr>
          <w:rFonts w:hint="eastAsia" w:ascii="宋体" w:hAnsi="宋体" w:cs="宋体"/>
          <w:szCs w:val="21"/>
        </w:rPr>
        <w:t>⑤</w:t>
      </w:r>
      <w:r>
        <w:rPr>
          <w:rFonts w:hint="eastAsia"/>
          <w:szCs w:val="21"/>
        </w:rPr>
        <w:t>；</w:t>
      </w:r>
      <w:r>
        <w:rPr>
          <w:rFonts w:hint="eastAsia" w:ascii="宋体" w:hAnsi="宋体" w:cs="宋体"/>
          <w:szCs w:val="21"/>
        </w:rPr>
        <w:t>⑦</w:t>
      </w:r>
      <w:r>
        <w:rPr>
          <w:szCs w:val="21"/>
        </w:rPr>
        <w:t>=</w:t>
      </w:r>
      <w:r>
        <w:rPr>
          <w:rFonts w:hint="eastAsia" w:ascii="宋体" w:hAnsi="宋体" w:cs="宋体"/>
          <w:szCs w:val="21"/>
        </w:rPr>
        <w:t>⑥</w:t>
      </w:r>
      <w:r>
        <w:rPr>
          <w:szCs w:val="21"/>
        </w:rPr>
        <w:t>-</w:t>
      </w:r>
      <w:r>
        <w:rPr>
          <w:rFonts w:hint="eastAsia" w:ascii="宋体" w:hAnsi="宋体" w:cs="宋体"/>
          <w:szCs w:val="21"/>
        </w:rPr>
        <w:t>①</w:t>
      </w:r>
    </w:p>
    <w:sectPr>
      <w:pgSz w:w="16838" w:h="11906" w:orient="landscape"/>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monospace">
    <w:altName w:val="微软雅黑"/>
    <w:panose1 w:val="00000000000000000000"/>
    <w:charset w:val="00"/>
    <w:family w:val="auto"/>
    <w:pitch w:val="default"/>
    <w:sig w:usb0="00000000" w:usb1="00000000" w:usb2="00000000" w:usb3="00000000" w:csb0="00040001"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汉鼎简书宋">
    <w:altName w:val="宋体"/>
    <w:panose1 w:val="00000000000000000000"/>
    <w:charset w:val="86"/>
    <w:family w:val="modern"/>
    <w:pitch w:val="default"/>
    <w:sig w:usb0="00000000" w:usb1="00000000" w:usb2="00000010" w:usb3="00000000" w:csb0="00040000" w:csb1="00000000"/>
  </w:font>
  <w:font w:name="TimesNewRomanPS-BoldMT">
    <w:altName w:val="宋体"/>
    <w:panose1 w:val="00000000000000000000"/>
    <w:charset w:val="86"/>
    <w:family w:val="auto"/>
    <w:pitch w:val="default"/>
    <w:sig w:usb0="00000000" w:usb1="00000000" w:usb2="00000010" w:usb3="00000000" w:csb0="00040000" w:csb1="00000000"/>
  </w:font>
  <w:font w:name="MS Shell Dlg">
    <w:altName w:val="Microsoft Sans Serif"/>
    <w:panose1 w:val="020B0604020202020204"/>
    <w:charset w:val="00"/>
    <w:family w:val="swiss"/>
    <w:pitch w:val="default"/>
    <w:sig w:usb0="00000000" w:usb1="00000000" w:usb2="00000008" w:usb3="00000000" w:csb0="000101FF" w:csb1="00000000"/>
  </w:font>
  <w:font w:name="楷体_GB2312">
    <w:panose1 w:val="02010609030101010101"/>
    <w:charset w:val="86"/>
    <w:family w:val="modern"/>
    <w:pitch w:val="default"/>
    <w:sig w:usb0="00000001" w:usb1="080E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
    <w:altName w:val="Times New Roman"/>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003" w:usb1="288F0000" w:usb2="00000006" w:usb3="00000000" w:csb0="00040001" w:csb1="00000000"/>
  </w:font>
  <w:font w:name="Times">
    <w:altName w:val="Times New Roman"/>
    <w:panose1 w:val="02020603050405020304"/>
    <w:charset w:val="00"/>
    <w:family w:val="roman"/>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Microsoft YaHei UI">
    <w:altName w:val="宋体"/>
    <w:panose1 w:val="020B0503020204020204"/>
    <w:charset w:val="86"/>
    <w:family w:val="swiss"/>
    <w:pitch w:val="default"/>
    <w:sig w:usb0="00000000" w:usb1="00000000" w:usb2="00000016" w:usb3="00000000" w:csb0="0004001F" w:csb1="00000000"/>
  </w:font>
  <w:font w:name="华文细黑">
    <w:panose1 w:val="02010600040101010101"/>
    <w:charset w:val="86"/>
    <w:family w:val="auto"/>
    <w:pitch w:val="default"/>
    <w:sig w:usb0="00000287" w:usb1="080F0000" w:usb2="00000000" w:usb3="00000000" w:csb0="0004009F" w:csb1="DFD70000"/>
  </w:font>
  <w:font w:name="Arial Unicode MS">
    <w:panose1 w:val="020B0604020202020204"/>
    <w:charset w:val="86"/>
    <w:family w:val="swiss"/>
    <w:pitch w:val="default"/>
    <w:sig w:usb0="FFFFFFFF" w:usb1="E9FFFFFF" w:usb2="0000003F" w:usb3="00000000" w:csb0="603F01FF" w:csb1="FFFF0000"/>
  </w:font>
  <w:font w:name="方正小标宋简体">
    <w:panose1 w:val="02010601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PMingLiU">
    <w:altName w:val="Microsoft JhengHei"/>
    <w:panose1 w:val="02020500000000000000"/>
    <w:charset w:val="88"/>
    <w:family w:val="roman"/>
    <w:pitch w:val="default"/>
    <w:sig w:usb0="00000000" w:usb1="00000000" w:usb2="00000016" w:usb3="00000000" w:csb0="00100001" w:csb1="00000000"/>
  </w:font>
  <w:font w:name="华文仿宋">
    <w:panose1 w:val="02010600040101010101"/>
    <w:charset w:val="86"/>
    <w:family w:val="auto"/>
    <w:pitch w:val="default"/>
    <w:sig w:usb0="00000287" w:usb1="080F0000" w:usb2="00000000" w:usb3="00000000" w:csb0="0004009F" w:csb1="DFD70000"/>
  </w:font>
  <w:font w:name="Arial Bold">
    <w:altName w:val="Times New Roman"/>
    <w:panose1 w:val="020B0704020202020204"/>
    <w:charset w:val="00"/>
    <w:family w:val="auto"/>
    <w:pitch w:val="default"/>
    <w:sig w:usb0="00000000" w:usb1="00000000" w:usb2="00000000" w:usb3="00000000" w:csb0="00000001" w:csb1="00000000"/>
  </w:font>
  <w:font w:name="CG Times">
    <w:altName w:val="Times New Roman"/>
    <w:panose1 w:val="00000000000000000000"/>
    <w:charset w:val="00"/>
    <w:family w:val="roman"/>
    <w:pitch w:val="default"/>
    <w:sig w:usb0="00000000" w:usb1="00000000" w:usb2="00000000" w:usb3="00000000" w:csb0="00000093" w:csb1="00000000"/>
  </w:font>
  <w:font w:name="Garamond">
    <w:panose1 w:val="02020404030301010803"/>
    <w:charset w:val="00"/>
    <w:family w:val="roman"/>
    <w:pitch w:val="default"/>
    <w:sig w:usb0="00000287" w:usb1="00000000" w:usb2="00000000" w:usb3="00000000" w:csb0="0000009F" w:csb1="DFD70000"/>
  </w:font>
  <w:font w:name="仿宋体">
    <w:altName w:val="宋体"/>
    <w:panose1 w:val="00000000000000000000"/>
    <w:charset w:val="86"/>
    <w:family w:val="roman"/>
    <w:pitch w:val="default"/>
    <w:sig w:usb0="00000000" w:usb1="00000000" w:usb2="00000010" w:usb3="00000000" w:csb0="00040000" w:csb1="00000000"/>
  </w:font>
  <w:font w:name="DFKai-SB">
    <w:altName w:val="Arial Unicode MS"/>
    <w:panose1 w:val="03000509000000000000"/>
    <w:charset w:val="88"/>
    <w:family w:val="script"/>
    <w:pitch w:val="default"/>
    <w:sig w:usb0="00000000" w:usb1="00000000" w:usb2="00000016" w:usb3="00000000" w:csb0="00100001" w:csb1="00000000"/>
  </w:font>
  <w:font w:name="@宋体">
    <w:panose1 w:val="02010600030101010101"/>
    <w:charset w:val="86"/>
    <w:family w:val="auto"/>
    <w:pitch w:val="default"/>
    <w:sig w:usb0="00000003" w:usb1="288F0000" w:usb2="00000006" w:usb3="00000000" w:csb0="00040001" w:csb1="00000000"/>
  </w:font>
  <w:font w:name="·s²Ó©úÅé">
    <w:altName w:val="Microsoft JhengHei"/>
    <w:panose1 w:val="00000000000000000000"/>
    <w:charset w:val="88"/>
    <w:family w:val="auto"/>
    <w:pitch w:val="default"/>
    <w:sig w:usb0="00000000" w:usb1="00000000" w:usb2="00000010" w:usb3="00000000" w:csb0="00100000" w:csb1="00000000"/>
  </w:font>
  <w:font w:name="NPPKGL+ArialUnicodeMS">
    <w:altName w:val="宋体"/>
    <w:panose1 w:val="00000000000000000000"/>
    <w:charset w:val="86"/>
    <w:family w:val="swiss"/>
    <w:pitch w:val="default"/>
    <w:sig w:usb0="00000000" w:usb1="00000000" w:usb2="00000010" w:usb3="00000000" w:csb0="00040000" w:csb1="00000000"/>
  </w:font>
  <w:font w:name="TimesNewRoman">
    <w:altName w:val="Times New Roman"/>
    <w:panose1 w:val="00000000000000000000"/>
    <w:charset w:val="00"/>
    <w:family w:val="roman"/>
    <w:pitch w:val="default"/>
    <w:sig w:usb0="00000000" w:usb1="00000000" w:usb2="00000000" w:usb3="00000000" w:csb0="00000001" w:csb1="00000000"/>
  </w:font>
  <w:font w:name="MingLiU">
    <w:altName w:val="Microsoft JhengHei"/>
    <w:panose1 w:val="02020509000000000000"/>
    <w:charset w:val="88"/>
    <w:family w:val="modern"/>
    <w:pitch w:val="default"/>
    <w:sig w:usb0="00000000" w:usb1="00000000" w:usb2="00000016" w:usb3="00000000" w:csb0="00100001" w:csb1="00000000"/>
  </w:font>
  <w:font w:name="AngsanaUPC">
    <w:panose1 w:val="02020603050405020304"/>
    <w:charset w:val="00"/>
    <w:family w:val="roman"/>
    <w:pitch w:val="default"/>
    <w:sig w:usb0="81000003" w:usb1="00000000" w:usb2="00000000" w:usb3="00000000" w:csb0="00010001" w:csb1="00000000"/>
  </w:font>
  <w:font w:name="Georgia">
    <w:panose1 w:val="02040502050405020303"/>
    <w:charset w:val="00"/>
    <w:family w:val="roman"/>
    <w:pitch w:val="default"/>
    <w:sig w:usb0="00000287" w:usb1="00000000" w:usb2="00000000" w:usb3="00000000" w:csb0="2000009F" w:csb1="00000000"/>
  </w:font>
  <w:font w:name="等线">
    <w:altName w:val="Arial Unicode MS"/>
    <w:panose1 w:val="02010600030101010101"/>
    <w:charset w:val="86"/>
    <w:family w:val="auto"/>
    <w:pitch w:val="default"/>
    <w:sig w:usb0="00000000" w:usb1="00000000" w:usb2="00000016" w:usb3="00000000" w:csb0="0004000F" w:csb1="00000000"/>
  </w:font>
  <w:font w:name="华文楷体">
    <w:panose1 w:val="02010600040101010101"/>
    <w:charset w:val="86"/>
    <w:family w:val="auto"/>
    <w:pitch w:val="default"/>
    <w:sig w:usb0="00000287" w:usb1="080F0000" w:usb2="00000000" w:usb3="00000000" w:csb0="0004009F" w:csb1="DFD70000"/>
  </w:font>
  <w:font w:name="??¨¬?">
    <w:altName w:val="Times New Roman"/>
    <w:panose1 w:val="00000000000000000000"/>
    <w:charset w:val="00"/>
    <w:family w:val="auto"/>
    <w:pitch w:val="default"/>
    <w:sig w:usb0="00000000" w:usb1="00000000" w:usb2="00000000" w:usb3="00000000" w:csb0="00000001" w:csb1="00000000"/>
  </w:font>
  <w:font w:name="”“Times New Roman”“">
    <w:altName w:val="宋体"/>
    <w:panose1 w:val="00000000000000000000"/>
    <w:charset w:val="86"/>
    <w:family w:val="roman"/>
    <w:pitch w:val="default"/>
    <w:sig w:usb0="00000000" w:usb1="00000000" w:usb2="00000010" w:usb3="00000000" w:csb0="00040000" w:csb1="00000000"/>
  </w:font>
  <w:font w:name="文鼎书宋简">
    <w:altName w:val="宋体"/>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fldChar w:fldCharType="begin"/>
    </w:r>
    <w:r>
      <w:instrText xml:space="preserve">PAGE   \* MERGEFORMAT</w:instrText>
    </w:r>
    <w:r>
      <w:fldChar w:fldCharType="separate"/>
    </w:r>
    <w:r>
      <w:rPr>
        <w:lang w:val="zh-CN"/>
      </w:rPr>
      <w:t>1</w:t>
    </w:r>
    <w:r>
      <w:fldChar w:fldCharType="end"/>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36"/>
      <w:lvlText w:val="%1."/>
      <w:lvlJc w:val="left"/>
      <w:pPr>
        <w:tabs>
          <w:tab w:val="left" w:pos="1009"/>
        </w:tabs>
        <w:ind w:left="1009" w:hanging="360"/>
      </w:pPr>
    </w:lvl>
  </w:abstractNum>
  <w:abstractNum w:abstractNumId="1">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2">
    <w:nsid w:val="00000001"/>
    <w:multiLevelType w:val="singleLevel"/>
    <w:tmpl w:val="00000001"/>
    <w:lvl w:ilvl="0" w:tentative="0">
      <w:start w:val="1"/>
      <w:numFmt w:val="bullet"/>
      <w:pStyle w:val="33"/>
      <w:lvlText w:val=""/>
      <w:lvlJc w:val="left"/>
      <w:pPr>
        <w:tabs>
          <w:tab w:val="left" w:pos="1200"/>
        </w:tabs>
        <w:ind w:left="1200" w:hanging="360"/>
      </w:pPr>
      <w:rPr>
        <w:rFonts w:hint="default" w:ascii="Wingdings" w:hAnsi="Wingdings"/>
      </w:rPr>
    </w:lvl>
  </w:abstractNum>
  <w:abstractNum w:abstractNumId="3">
    <w:nsid w:val="00000004"/>
    <w:multiLevelType w:val="singleLevel"/>
    <w:tmpl w:val="00000004"/>
    <w:lvl w:ilvl="0" w:tentative="0">
      <w:start w:val="1"/>
      <w:numFmt w:val="decimal"/>
      <w:pStyle w:val="65"/>
      <w:lvlText w:val="%1."/>
      <w:lvlJc w:val="left"/>
      <w:pPr>
        <w:tabs>
          <w:tab w:val="left" w:pos="2040"/>
        </w:tabs>
        <w:ind w:left="2040" w:hanging="360"/>
      </w:pPr>
    </w:lvl>
  </w:abstractNum>
  <w:abstractNum w:abstractNumId="4">
    <w:nsid w:val="00000005"/>
    <w:multiLevelType w:val="singleLevel"/>
    <w:tmpl w:val="00000005"/>
    <w:lvl w:ilvl="0" w:tentative="0">
      <w:start w:val="1"/>
      <w:numFmt w:val="decimal"/>
      <w:pStyle w:val="14"/>
      <w:lvlText w:val="%1."/>
      <w:lvlJc w:val="left"/>
      <w:pPr>
        <w:tabs>
          <w:tab w:val="left" w:pos="780"/>
        </w:tabs>
        <w:ind w:left="780" w:hanging="360"/>
      </w:pPr>
    </w:lvl>
  </w:abstractNum>
  <w:abstractNum w:abstractNumId="5">
    <w:nsid w:val="0000000A"/>
    <w:multiLevelType w:val="singleLevel"/>
    <w:tmpl w:val="0000000A"/>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6">
    <w:nsid w:val="0000000C"/>
    <w:multiLevelType w:val="singleLevel"/>
    <w:tmpl w:val="0000000C"/>
    <w:lvl w:ilvl="0" w:tentative="0">
      <w:start w:val="1"/>
      <w:numFmt w:val="decimal"/>
      <w:pStyle w:val="48"/>
      <w:lvlText w:val="%1."/>
      <w:lvlJc w:val="left"/>
      <w:pPr>
        <w:tabs>
          <w:tab w:val="left" w:pos="1620"/>
        </w:tabs>
        <w:ind w:left="1620" w:hanging="360"/>
      </w:pPr>
    </w:lvl>
  </w:abstractNum>
  <w:abstractNum w:abstractNumId="7">
    <w:nsid w:val="0000000E"/>
    <w:multiLevelType w:val="singleLevel"/>
    <w:tmpl w:val="0000000E"/>
    <w:lvl w:ilvl="0" w:tentative="0">
      <w:start w:val="1"/>
      <w:numFmt w:val="bullet"/>
      <w:pStyle w:val="24"/>
      <w:lvlText w:val=""/>
      <w:lvlJc w:val="left"/>
      <w:pPr>
        <w:tabs>
          <w:tab w:val="left" w:pos="360"/>
        </w:tabs>
        <w:ind w:left="360" w:hanging="360"/>
      </w:pPr>
      <w:rPr>
        <w:rFonts w:hint="default" w:ascii="Wingdings" w:hAnsi="Wingdings"/>
      </w:rPr>
    </w:lvl>
  </w:abstractNum>
  <w:abstractNum w:abstractNumId="8">
    <w:nsid w:val="0000000F"/>
    <w:multiLevelType w:val="singleLevel"/>
    <w:tmpl w:val="0000000F"/>
    <w:lvl w:ilvl="0" w:tentative="0">
      <w:start w:val="1"/>
      <w:numFmt w:val="bullet"/>
      <w:pStyle w:val="40"/>
      <w:lvlText w:val=""/>
      <w:lvlJc w:val="left"/>
      <w:pPr>
        <w:tabs>
          <w:tab w:val="left" w:pos="780"/>
        </w:tabs>
        <w:ind w:left="780" w:hanging="360"/>
      </w:pPr>
      <w:rPr>
        <w:rFonts w:hint="default" w:ascii="Wingdings" w:hAnsi="Wingdings"/>
      </w:rPr>
    </w:lvl>
  </w:abstractNum>
  <w:abstractNum w:abstractNumId="9">
    <w:nsid w:val="00000014"/>
    <w:multiLevelType w:val="singleLevel"/>
    <w:tmpl w:val="00000014"/>
    <w:lvl w:ilvl="0" w:tentative="0">
      <w:start w:val="1"/>
      <w:numFmt w:val="bullet"/>
      <w:pStyle w:val="47"/>
      <w:lvlText w:val=""/>
      <w:lvlJc w:val="left"/>
      <w:pPr>
        <w:tabs>
          <w:tab w:val="left" w:pos="2040"/>
        </w:tabs>
        <w:ind w:left="2040" w:hanging="360"/>
      </w:pPr>
      <w:rPr>
        <w:rFonts w:hint="default" w:ascii="Wingdings" w:hAnsi="Wingdings"/>
      </w:rPr>
    </w:lvl>
  </w:abstractNum>
  <w:abstractNum w:abstractNumId="10">
    <w:nsid w:val="372D6939"/>
    <w:multiLevelType w:val="multilevel"/>
    <w:tmpl w:val="372D6939"/>
    <w:lvl w:ilvl="0" w:tentative="0">
      <w:start w:val="1"/>
      <w:numFmt w:val="decimal"/>
      <w:pStyle w:val="747"/>
      <w:lvlText w:val="%1."/>
      <w:lvlJc w:val="left"/>
      <w:pPr>
        <w:tabs>
          <w:tab w:val="left" w:pos="1080"/>
        </w:tabs>
        <w:ind w:left="1080" w:hanging="1080"/>
      </w:pPr>
      <w:rPr>
        <w:rFonts w:hint="default" w:ascii="Arial" w:hAnsi="Arial"/>
        <w:b/>
        <w:i w:val="0"/>
        <w:sz w:val="24"/>
      </w:rPr>
    </w:lvl>
    <w:lvl w:ilvl="1" w:tentative="0">
      <w:start w:val="1"/>
      <w:numFmt w:val="decimal"/>
      <w:lvlText w:val="%1.%2"/>
      <w:lvlJc w:val="left"/>
      <w:pPr>
        <w:tabs>
          <w:tab w:val="left" w:pos="1080"/>
        </w:tabs>
        <w:ind w:left="1080" w:hanging="1080"/>
      </w:pPr>
      <w:rPr>
        <w:rFonts w:hint="default" w:ascii="Arial" w:hAnsi="Arial"/>
        <w:b/>
        <w:i w:val="0"/>
        <w:sz w:val="24"/>
      </w:rPr>
    </w:lvl>
    <w:lvl w:ilvl="2" w:tentative="0">
      <w:start w:val="1"/>
      <w:numFmt w:val="decimal"/>
      <w:lvlText w:val="%1.%2.%3"/>
      <w:lvlJc w:val="left"/>
      <w:pPr>
        <w:tabs>
          <w:tab w:val="left" w:pos="1077"/>
        </w:tabs>
        <w:ind w:left="1077" w:hanging="1077"/>
      </w:pPr>
      <w:rPr>
        <w:rFonts w:hint="default" w:ascii="Arial Bold" w:hAnsi="CG Times"/>
        <w:b/>
        <w:i w:val="0"/>
        <w:sz w:val="22"/>
      </w:rPr>
    </w:lvl>
    <w:lvl w:ilvl="3" w:tentative="0">
      <w:start w:val="1"/>
      <w:numFmt w:val="decimal"/>
      <w:lvlText w:val="%1.%2.%3.%4"/>
      <w:lvlJc w:val="left"/>
      <w:pPr>
        <w:tabs>
          <w:tab w:val="left" w:pos="1080"/>
        </w:tabs>
        <w:ind w:left="1080" w:hanging="1080"/>
      </w:pPr>
      <w:rPr>
        <w:rFonts w:hint="default" w:ascii="Times New Roman" w:hAnsi="Times New Roman"/>
        <w:b w:val="0"/>
        <w:i w:val="0"/>
        <w:sz w:val="22"/>
      </w:rPr>
    </w:lvl>
    <w:lvl w:ilvl="4" w:tentative="0">
      <w:start w:val="1"/>
      <w:numFmt w:val="decimal"/>
      <w:lvlText w:val="%1.%2.%3.%4.%5."/>
      <w:lvlJc w:val="left"/>
      <w:pPr>
        <w:tabs>
          <w:tab w:val="left" w:pos="2520"/>
        </w:tabs>
        <w:ind w:left="2232" w:hanging="792"/>
      </w:pPr>
      <w:rPr>
        <w:rFonts w:hint="default"/>
      </w:rPr>
    </w:lvl>
    <w:lvl w:ilvl="5" w:tentative="0">
      <w:start w:val="1"/>
      <w:numFmt w:val="decimal"/>
      <w:lvlText w:val="%1.%2.%3.%4.%5.%6."/>
      <w:lvlJc w:val="left"/>
      <w:pPr>
        <w:tabs>
          <w:tab w:val="left" w:pos="2880"/>
        </w:tabs>
        <w:ind w:left="2736" w:hanging="936"/>
      </w:pPr>
      <w:rPr>
        <w:rFonts w:hint="default"/>
      </w:rPr>
    </w:lvl>
    <w:lvl w:ilvl="6" w:tentative="0">
      <w:start w:val="1"/>
      <w:numFmt w:val="decimal"/>
      <w:lvlText w:val="%1.%2.%3.%4.%5.%6.%7."/>
      <w:lvlJc w:val="left"/>
      <w:pPr>
        <w:tabs>
          <w:tab w:val="left" w:pos="3600"/>
        </w:tabs>
        <w:ind w:left="3240" w:hanging="1080"/>
      </w:pPr>
      <w:rPr>
        <w:rFonts w:hint="default"/>
      </w:rPr>
    </w:lvl>
    <w:lvl w:ilvl="7" w:tentative="0">
      <w:start w:val="1"/>
      <w:numFmt w:val="decimal"/>
      <w:lvlText w:val="%1.%2.%3.%4.%5.%6.%7.%8."/>
      <w:lvlJc w:val="left"/>
      <w:pPr>
        <w:tabs>
          <w:tab w:val="left" w:pos="3960"/>
        </w:tabs>
        <w:ind w:left="3744" w:hanging="1224"/>
      </w:pPr>
      <w:rPr>
        <w:rFonts w:hint="default"/>
      </w:rPr>
    </w:lvl>
    <w:lvl w:ilvl="8" w:tentative="0">
      <w:start w:val="1"/>
      <w:numFmt w:val="decimal"/>
      <w:lvlText w:val="%1.%2.%3.%4.%5.%6.%7.%8.%9."/>
      <w:lvlJc w:val="left"/>
      <w:pPr>
        <w:tabs>
          <w:tab w:val="left" w:pos="4680"/>
        </w:tabs>
        <w:ind w:left="4320" w:hanging="1440"/>
      </w:pPr>
      <w:rPr>
        <w:rFonts w:hint="default"/>
      </w:rPr>
    </w:lvl>
  </w:abstractNum>
  <w:abstractNum w:abstractNumId="11">
    <w:nsid w:val="4B4441F7"/>
    <w:multiLevelType w:val="singleLevel"/>
    <w:tmpl w:val="4B4441F7"/>
    <w:lvl w:ilvl="0" w:tentative="0">
      <w:start w:val="1"/>
      <w:numFmt w:val="bullet"/>
      <w:pStyle w:val="629"/>
      <w:lvlText w:val=""/>
      <w:lvlJc w:val="left"/>
      <w:pPr>
        <w:tabs>
          <w:tab w:val="left" w:pos="1440"/>
        </w:tabs>
        <w:ind w:left="1440" w:hanging="360"/>
      </w:pPr>
      <w:rPr>
        <w:rFonts w:hint="default" w:ascii="Symbol" w:hAnsi="Symbol"/>
      </w:rPr>
    </w:lvl>
  </w:abstractNum>
  <w:abstractNum w:abstractNumId="12">
    <w:nsid w:val="5FCF64D8"/>
    <w:multiLevelType w:val="multilevel"/>
    <w:tmpl w:val="5FCF64D8"/>
    <w:lvl w:ilvl="0" w:tentative="0">
      <w:start w:val="1"/>
      <w:numFmt w:val="decimal"/>
      <w:pStyle w:val="802"/>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60A45136"/>
    <w:multiLevelType w:val="multilevel"/>
    <w:tmpl w:val="60A45136"/>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1135"/>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646260FA"/>
    <w:multiLevelType w:val="multilevel"/>
    <w:tmpl w:val="646260FA"/>
    <w:lvl w:ilvl="0" w:tentative="0">
      <w:start w:val="1"/>
      <w:numFmt w:val="decimal"/>
      <w:pStyle w:val="712"/>
      <w:suff w:val="nothing"/>
      <w:lvlText w:val="表%1　"/>
      <w:lvlJc w:val="left"/>
      <w:pPr>
        <w:ind w:left="2746" w:firstLine="0"/>
      </w:pPr>
      <w:rPr>
        <w:rFonts w:hint="eastAsia" w:ascii="黑体" w:hAnsi="Times New Roman" w:eastAsia="黑体"/>
        <w:b w:val="0"/>
        <w:i w:val="0"/>
        <w:sz w:val="21"/>
      </w:rPr>
    </w:lvl>
    <w:lvl w:ilvl="1" w:tentative="0">
      <w:start w:val="1"/>
      <w:numFmt w:val="decimal"/>
      <w:lvlText w:val="%1.%2"/>
      <w:lvlJc w:val="left"/>
      <w:pPr>
        <w:tabs>
          <w:tab w:val="left" w:pos="3738"/>
        </w:tabs>
        <w:ind w:left="3738" w:hanging="567"/>
      </w:pPr>
      <w:rPr>
        <w:rFonts w:hint="eastAsia"/>
      </w:rPr>
    </w:lvl>
    <w:lvl w:ilvl="2" w:tentative="0">
      <w:start w:val="1"/>
      <w:numFmt w:val="decimal"/>
      <w:lvlText w:val="%1.%2.%3"/>
      <w:lvlJc w:val="left"/>
      <w:pPr>
        <w:tabs>
          <w:tab w:val="left" w:pos="4164"/>
        </w:tabs>
        <w:ind w:left="4164" w:hanging="567"/>
      </w:pPr>
      <w:rPr>
        <w:rFonts w:hint="eastAsia"/>
      </w:rPr>
    </w:lvl>
    <w:lvl w:ilvl="3" w:tentative="0">
      <w:start w:val="1"/>
      <w:numFmt w:val="decimal"/>
      <w:lvlText w:val="%1.%2.%3.%4"/>
      <w:lvlJc w:val="left"/>
      <w:pPr>
        <w:tabs>
          <w:tab w:val="left" w:pos="4730"/>
        </w:tabs>
        <w:ind w:left="4730" w:hanging="708"/>
      </w:pPr>
      <w:rPr>
        <w:rFonts w:hint="eastAsia"/>
      </w:rPr>
    </w:lvl>
    <w:lvl w:ilvl="4" w:tentative="0">
      <w:start w:val="1"/>
      <w:numFmt w:val="decimal"/>
      <w:lvlText w:val="%1.%2.%3.%4.%5"/>
      <w:lvlJc w:val="left"/>
      <w:pPr>
        <w:tabs>
          <w:tab w:val="left" w:pos="5297"/>
        </w:tabs>
        <w:ind w:left="5297" w:hanging="850"/>
      </w:pPr>
      <w:rPr>
        <w:rFonts w:hint="eastAsia"/>
      </w:rPr>
    </w:lvl>
    <w:lvl w:ilvl="5" w:tentative="0">
      <w:start w:val="1"/>
      <w:numFmt w:val="decimal"/>
      <w:lvlText w:val="%1.%2.%3.%4.%5.%6"/>
      <w:lvlJc w:val="left"/>
      <w:pPr>
        <w:tabs>
          <w:tab w:val="left" w:pos="6006"/>
        </w:tabs>
        <w:ind w:left="6006" w:hanging="1134"/>
      </w:pPr>
      <w:rPr>
        <w:rFonts w:hint="eastAsia"/>
      </w:rPr>
    </w:lvl>
    <w:lvl w:ilvl="6" w:tentative="0">
      <w:start w:val="1"/>
      <w:numFmt w:val="decimal"/>
      <w:lvlText w:val="%1.%2.%3.%4.%5.%6.%7"/>
      <w:lvlJc w:val="left"/>
      <w:pPr>
        <w:tabs>
          <w:tab w:val="left" w:pos="6573"/>
        </w:tabs>
        <w:ind w:left="6573" w:hanging="1276"/>
      </w:pPr>
      <w:rPr>
        <w:rFonts w:hint="eastAsia"/>
      </w:rPr>
    </w:lvl>
    <w:lvl w:ilvl="7" w:tentative="0">
      <w:start w:val="1"/>
      <w:numFmt w:val="decimal"/>
      <w:lvlText w:val="%1.%2.%3.%4.%5.%6.%7.%8"/>
      <w:lvlJc w:val="left"/>
      <w:pPr>
        <w:tabs>
          <w:tab w:val="left" w:pos="7140"/>
        </w:tabs>
        <w:ind w:left="7140" w:hanging="1418"/>
      </w:pPr>
      <w:rPr>
        <w:rFonts w:hint="eastAsia"/>
      </w:rPr>
    </w:lvl>
    <w:lvl w:ilvl="8" w:tentative="0">
      <w:start w:val="1"/>
      <w:numFmt w:val="decimal"/>
      <w:lvlText w:val="%1.%2.%3.%4.%5.%6.%7.%8.%9"/>
      <w:lvlJc w:val="left"/>
      <w:pPr>
        <w:tabs>
          <w:tab w:val="left" w:pos="7848"/>
        </w:tabs>
        <w:ind w:left="7848" w:hanging="1700"/>
      </w:pPr>
      <w:rPr>
        <w:rFonts w:hint="eastAsia"/>
      </w:rPr>
    </w:lvl>
  </w:abstractNum>
  <w:abstractNum w:abstractNumId="15">
    <w:nsid w:val="762D1825"/>
    <w:multiLevelType w:val="singleLevel"/>
    <w:tmpl w:val="762D1825"/>
    <w:lvl w:ilvl="0" w:tentative="0">
      <w:start w:val="1"/>
      <w:numFmt w:val="chineseCounting"/>
      <w:suff w:val="nothing"/>
      <w:lvlText w:val="%1、"/>
      <w:lvlJc w:val="left"/>
      <w:rPr>
        <w:rFonts w:hint="eastAsia"/>
      </w:rPr>
    </w:lvl>
  </w:abstractNum>
  <w:num w:numId="1">
    <w:abstractNumId w:val="4"/>
  </w:num>
  <w:num w:numId="2">
    <w:abstractNumId w:val="5"/>
  </w:num>
  <w:num w:numId="3">
    <w:abstractNumId w:val="1"/>
  </w:num>
  <w:num w:numId="4">
    <w:abstractNumId w:val="7"/>
  </w:num>
  <w:num w:numId="5">
    <w:abstractNumId w:val="2"/>
  </w:num>
  <w:num w:numId="6">
    <w:abstractNumId w:val="0"/>
  </w:num>
  <w:num w:numId="7">
    <w:abstractNumId w:val="8"/>
  </w:num>
  <w:num w:numId="8">
    <w:abstractNumId w:val="9"/>
  </w:num>
  <w:num w:numId="9">
    <w:abstractNumId w:val="6"/>
  </w:num>
  <w:num w:numId="10">
    <w:abstractNumId w:val="3"/>
  </w:num>
  <w:num w:numId="11">
    <w:abstractNumId w:val="11"/>
  </w:num>
  <w:num w:numId="12">
    <w:abstractNumId w:val="14"/>
  </w:num>
  <w:num w:numId="13">
    <w:abstractNumId w:val="10"/>
  </w:num>
  <w:num w:numId="14">
    <w:abstractNumId w:val="12"/>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dit="forms" w:enforcement="1" w:cryptProviderType="rsaFull" w:cryptAlgorithmClass="hash" w:cryptAlgorithmType="typeAny" w:cryptAlgorithmSid="4" w:cryptSpinCount="0" w:hash="JeUl8mVY5m+cErzr+XfvkzQb/mg=" w:salt="nlPpuqsQTT03CByMkm404Q=="/>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1M2VhNWI3Y2NlNTRmOTViMzQ3N2IwZDJiZGVlNWMifQ=="/>
  </w:docVars>
  <w:rsids>
    <w:rsidRoot w:val="157D2C29"/>
    <w:rsid w:val="0000311B"/>
    <w:rsid w:val="00004B43"/>
    <w:rsid w:val="000126EC"/>
    <w:rsid w:val="000171D4"/>
    <w:rsid w:val="000173C4"/>
    <w:rsid w:val="000207D2"/>
    <w:rsid w:val="00023DCB"/>
    <w:rsid w:val="00031C53"/>
    <w:rsid w:val="000437FF"/>
    <w:rsid w:val="00044396"/>
    <w:rsid w:val="00053B9E"/>
    <w:rsid w:val="000549D0"/>
    <w:rsid w:val="0005669B"/>
    <w:rsid w:val="00060E95"/>
    <w:rsid w:val="00065533"/>
    <w:rsid w:val="00077933"/>
    <w:rsid w:val="00081DDE"/>
    <w:rsid w:val="00090D8A"/>
    <w:rsid w:val="000942D6"/>
    <w:rsid w:val="000A214F"/>
    <w:rsid w:val="000A3ECC"/>
    <w:rsid w:val="000A44CE"/>
    <w:rsid w:val="000B4233"/>
    <w:rsid w:val="000B427B"/>
    <w:rsid w:val="000B7B12"/>
    <w:rsid w:val="000C2813"/>
    <w:rsid w:val="000D0563"/>
    <w:rsid w:val="000D092B"/>
    <w:rsid w:val="000D0AD6"/>
    <w:rsid w:val="000D18C2"/>
    <w:rsid w:val="000D3DD3"/>
    <w:rsid w:val="000D50DB"/>
    <w:rsid w:val="000E75F4"/>
    <w:rsid w:val="000E7619"/>
    <w:rsid w:val="00101A0A"/>
    <w:rsid w:val="001236D5"/>
    <w:rsid w:val="00123CE9"/>
    <w:rsid w:val="00127F8D"/>
    <w:rsid w:val="001302B0"/>
    <w:rsid w:val="00132347"/>
    <w:rsid w:val="0014015A"/>
    <w:rsid w:val="00141DA4"/>
    <w:rsid w:val="0014663D"/>
    <w:rsid w:val="0015338F"/>
    <w:rsid w:val="001547DF"/>
    <w:rsid w:val="00156865"/>
    <w:rsid w:val="001568F1"/>
    <w:rsid w:val="001776C3"/>
    <w:rsid w:val="00192554"/>
    <w:rsid w:val="001A1B6E"/>
    <w:rsid w:val="001A2280"/>
    <w:rsid w:val="001A5D33"/>
    <w:rsid w:val="001A69E3"/>
    <w:rsid w:val="001A6B2A"/>
    <w:rsid w:val="001B3132"/>
    <w:rsid w:val="001B63EA"/>
    <w:rsid w:val="001B7D83"/>
    <w:rsid w:val="001C3D10"/>
    <w:rsid w:val="001C4E24"/>
    <w:rsid w:val="001C6113"/>
    <w:rsid w:val="001C6E8B"/>
    <w:rsid w:val="001D35D7"/>
    <w:rsid w:val="001D4371"/>
    <w:rsid w:val="001E5804"/>
    <w:rsid w:val="001E6B20"/>
    <w:rsid w:val="001F1DC3"/>
    <w:rsid w:val="001F6C5C"/>
    <w:rsid w:val="0020144B"/>
    <w:rsid w:val="00204E8F"/>
    <w:rsid w:val="00205B03"/>
    <w:rsid w:val="00206258"/>
    <w:rsid w:val="00210799"/>
    <w:rsid w:val="002120C5"/>
    <w:rsid w:val="00232C54"/>
    <w:rsid w:val="00240849"/>
    <w:rsid w:val="002420E5"/>
    <w:rsid w:val="002421EC"/>
    <w:rsid w:val="00247492"/>
    <w:rsid w:val="0025107C"/>
    <w:rsid w:val="00253E1D"/>
    <w:rsid w:val="0025534E"/>
    <w:rsid w:val="00255C3F"/>
    <w:rsid w:val="0026244C"/>
    <w:rsid w:val="00271F42"/>
    <w:rsid w:val="002728F7"/>
    <w:rsid w:val="00275AB8"/>
    <w:rsid w:val="00281A0E"/>
    <w:rsid w:val="00282147"/>
    <w:rsid w:val="00286544"/>
    <w:rsid w:val="00290FB3"/>
    <w:rsid w:val="002A1694"/>
    <w:rsid w:val="002B6311"/>
    <w:rsid w:val="002D3A85"/>
    <w:rsid w:val="002D56D0"/>
    <w:rsid w:val="002D5C68"/>
    <w:rsid w:val="002D6E0C"/>
    <w:rsid w:val="002E3722"/>
    <w:rsid w:val="002E4399"/>
    <w:rsid w:val="002F0589"/>
    <w:rsid w:val="002F0CCD"/>
    <w:rsid w:val="002F1969"/>
    <w:rsid w:val="002F5212"/>
    <w:rsid w:val="00300CD9"/>
    <w:rsid w:val="003010B5"/>
    <w:rsid w:val="00305C27"/>
    <w:rsid w:val="0031347F"/>
    <w:rsid w:val="00314828"/>
    <w:rsid w:val="00314BB6"/>
    <w:rsid w:val="00317733"/>
    <w:rsid w:val="00320997"/>
    <w:rsid w:val="00323E93"/>
    <w:rsid w:val="00325F38"/>
    <w:rsid w:val="0032607A"/>
    <w:rsid w:val="00326FC1"/>
    <w:rsid w:val="00332D17"/>
    <w:rsid w:val="00335471"/>
    <w:rsid w:val="00342997"/>
    <w:rsid w:val="00345D94"/>
    <w:rsid w:val="00347C61"/>
    <w:rsid w:val="00352C25"/>
    <w:rsid w:val="00354DAB"/>
    <w:rsid w:val="003573B7"/>
    <w:rsid w:val="0036193D"/>
    <w:rsid w:val="00361C95"/>
    <w:rsid w:val="00364A11"/>
    <w:rsid w:val="00370E79"/>
    <w:rsid w:val="00373734"/>
    <w:rsid w:val="003741BD"/>
    <w:rsid w:val="00374633"/>
    <w:rsid w:val="003773E4"/>
    <w:rsid w:val="00381EFA"/>
    <w:rsid w:val="003907DC"/>
    <w:rsid w:val="0039081C"/>
    <w:rsid w:val="00393941"/>
    <w:rsid w:val="003B2CB8"/>
    <w:rsid w:val="003B4887"/>
    <w:rsid w:val="003B58E0"/>
    <w:rsid w:val="003B7965"/>
    <w:rsid w:val="003C2034"/>
    <w:rsid w:val="003C3F96"/>
    <w:rsid w:val="003C4E4B"/>
    <w:rsid w:val="003C52A9"/>
    <w:rsid w:val="003D02D0"/>
    <w:rsid w:val="003D043C"/>
    <w:rsid w:val="003D1C98"/>
    <w:rsid w:val="003E7D26"/>
    <w:rsid w:val="003F6440"/>
    <w:rsid w:val="004045E7"/>
    <w:rsid w:val="00410270"/>
    <w:rsid w:val="00415C02"/>
    <w:rsid w:val="00420B11"/>
    <w:rsid w:val="004263AF"/>
    <w:rsid w:val="004310EF"/>
    <w:rsid w:val="00432CFE"/>
    <w:rsid w:val="00436E59"/>
    <w:rsid w:val="00437FBB"/>
    <w:rsid w:val="00441BA9"/>
    <w:rsid w:val="00455217"/>
    <w:rsid w:val="00455F62"/>
    <w:rsid w:val="00457B9C"/>
    <w:rsid w:val="0046202F"/>
    <w:rsid w:val="004645B2"/>
    <w:rsid w:val="004728D1"/>
    <w:rsid w:val="00472DDC"/>
    <w:rsid w:val="00484B9E"/>
    <w:rsid w:val="0048753F"/>
    <w:rsid w:val="004B598C"/>
    <w:rsid w:val="004C75A6"/>
    <w:rsid w:val="004C7E3B"/>
    <w:rsid w:val="004D10F6"/>
    <w:rsid w:val="004D3C49"/>
    <w:rsid w:val="004D5E5D"/>
    <w:rsid w:val="004D7009"/>
    <w:rsid w:val="004E3DA3"/>
    <w:rsid w:val="004F68A5"/>
    <w:rsid w:val="005175F1"/>
    <w:rsid w:val="00520609"/>
    <w:rsid w:val="005226EE"/>
    <w:rsid w:val="00524265"/>
    <w:rsid w:val="0052542C"/>
    <w:rsid w:val="00531ADF"/>
    <w:rsid w:val="005504AE"/>
    <w:rsid w:val="005506CA"/>
    <w:rsid w:val="00563A11"/>
    <w:rsid w:val="00567E84"/>
    <w:rsid w:val="005742ED"/>
    <w:rsid w:val="00580EF8"/>
    <w:rsid w:val="00582610"/>
    <w:rsid w:val="005930D3"/>
    <w:rsid w:val="005945B3"/>
    <w:rsid w:val="0059699F"/>
    <w:rsid w:val="005A6F1B"/>
    <w:rsid w:val="005B064B"/>
    <w:rsid w:val="005B22F5"/>
    <w:rsid w:val="005C1065"/>
    <w:rsid w:val="005C74D6"/>
    <w:rsid w:val="005D3386"/>
    <w:rsid w:val="005D72E9"/>
    <w:rsid w:val="005D7409"/>
    <w:rsid w:val="005E1244"/>
    <w:rsid w:val="005E37EC"/>
    <w:rsid w:val="005E62CF"/>
    <w:rsid w:val="005F0D14"/>
    <w:rsid w:val="005F5B76"/>
    <w:rsid w:val="0060014B"/>
    <w:rsid w:val="00607F69"/>
    <w:rsid w:val="0062031E"/>
    <w:rsid w:val="00630E99"/>
    <w:rsid w:val="00634359"/>
    <w:rsid w:val="00634663"/>
    <w:rsid w:val="0063636B"/>
    <w:rsid w:val="00637061"/>
    <w:rsid w:val="00640B5F"/>
    <w:rsid w:val="00641C1B"/>
    <w:rsid w:val="00644425"/>
    <w:rsid w:val="00647DE1"/>
    <w:rsid w:val="00655209"/>
    <w:rsid w:val="00657A0B"/>
    <w:rsid w:val="00660E1C"/>
    <w:rsid w:val="0066199D"/>
    <w:rsid w:val="00661F84"/>
    <w:rsid w:val="006634C5"/>
    <w:rsid w:val="006664A6"/>
    <w:rsid w:val="00676947"/>
    <w:rsid w:val="00684419"/>
    <w:rsid w:val="00686CF6"/>
    <w:rsid w:val="00695219"/>
    <w:rsid w:val="006A1ACF"/>
    <w:rsid w:val="006A3806"/>
    <w:rsid w:val="006A56C6"/>
    <w:rsid w:val="006A6D2B"/>
    <w:rsid w:val="006A74D4"/>
    <w:rsid w:val="006B0498"/>
    <w:rsid w:val="006B0CCD"/>
    <w:rsid w:val="006B2B8F"/>
    <w:rsid w:val="006C0C1A"/>
    <w:rsid w:val="006C7AC9"/>
    <w:rsid w:val="006D0ADC"/>
    <w:rsid w:val="006D5186"/>
    <w:rsid w:val="006D6AC3"/>
    <w:rsid w:val="006E10E8"/>
    <w:rsid w:val="006F275C"/>
    <w:rsid w:val="0070096B"/>
    <w:rsid w:val="0070619A"/>
    <w:rsid w:val="00707C10"/>
    <w:rsid w:val="00713F3F"/>
    <w:rsid w:val="00716FB9"/>
    <w:rsid w:val="007200C4"/>
    <w:rsid w:val="00723FEF"/>
    <w:rsid w:val="00730FD1"/>
    <w:rsid w:val="00737032"/>
    <w:rsid w:val="00741603"/>
    <w:rsid w:val="0074175F"/>
    <w:rsid w:val="007419FB"/>
    <w:rsid w:val="00752A4F"/>
    <w:rsid w:val="00760350"/>
    <w:rsid w:val="00765F60"/>
    <w:rsid w:val="00771E29"/>
    <w:rsid w:val="00775C37"/>
    <w:rsid w:val="00787960"/>
    <w:rsid w:val="007953CE"/>
    <w:rsid w:val="00796793"/>
    <w:rsid w:val="0079718B"/>
    <w:rsid w:val="007B58EA"/>
    <w:rsid w:val="007B6311"/>
    <w:rsid w:val="007C4F37"/>
    <w:rsid w:val="007C4FDF"/>
    <w:rsid w:val="007C619E"/>
    <w:rsid w:val="007E10FF"/>
    <w:rsid w:val="007E5BE7"/>
    <w:rsid w:val="007E783D"/>
    <w:rsid w:val="007F729E"/>
    <w:rsid w:val="00807FA7"/>
    <w:rsid w:val="008120BF"/>
    <w:rsid w:val="008279F3"/>
    <w:rsid w:val="00831FF6"/>
    <w:rsid w:val="00841524"/>
    <w:rsid w:val="00841C7E"/>
    <w:rsid w:val="00846379"/>
    <w:rsid w:val="008471D8"/>
    <w:rsid w:val="0085418D"/>
    <w:rsid w:val="00873471"/>
    <w:rsid w:val="00874A75"/>
    <w:rsid w:val="00876BEC"/>
    <w:rsid w:val="00877B45"/>
    <w:rsid w:val="008839AC"/>
    <w:rsid w:val="008971DE"/>
    <w:rsid w:val="008A084D"/>
    <w:rsid w:val="008A20F4"/>
    <w:rsid w:val="008A4F9D"/>
    <w:rsid w:val="008A6230"/>
    <w:rsid w:val="008B07DD"/>
    <w:rsid w:val="008B083A"/>
    <w:rsid w:val="008B0D88"/>
    <w:rsid w:val="008B4103"/>
    <w:rsid w:val="008B677E"/>
    <w:rsid w:val="008C30FE"/>
    <w:rsid w:val="008E56A9"/>
    <w:rsid w:val="008E7AAA"/>
    <w:rsid w:val="008F3198"/>
    <w:rsid w:val="008F482C"/>
    <w:rsid w:val="008F4FC4"/>
    <w:rsid w:val="008F7B54"/>
    <w:rsid w:val="008F7BB7"/>
    <w:rsid w:val="0090089E"/>
    <w:rsid w:val="009135FC"/>
    <w:rsid w:val="009170E6"/>
    <w:rsid w:val="00932C62"/>
    <w:rsid w:val="00932CBF"/>
    <w:rsid w:val="00933229"/>
    <w:rsid w:val="009359F5"/>
    <w:rsid w:val="00935FF6"/>
    <w:rsid w:val="009436F8"/>
    <w:rsid w:val="00943BAF"/>
    <w:rsid w:val="00950427"/>
    <w:rsid w:val="0095211D"/>
    <w:rsid w:val="009572AC"/>
    <w:rsid w:val="00965750"/>
    <w:rsid w:val="009725F2"/>
    <w:rsid w:val="00972A66"/>
    <w:rsid w:val="00973484"/>
    <w:rsid w:val="00977AC5"/>
    <w:rsid w:val="009900E7"/>
    <w:rsid w:val="00992458"/>
    <w:rsid w:val="009A3D00"/>
    <w:rsid w:val="009A41A8"/>
    <w:rsid w:val="009A7D99"/>
    <w:rsid w:val="009B150E"/>
    <w:rsid w:val="009B1BFD"/>
    <w:rsid w:val="009C0F0E"/>
    <w:rsid w:val="009C19B8"/>
    <w:rsid w:val="009D10F4"/>
    <w:rsid w:val="009D3084"/>
    <w:rsid w:val="009D3346"/>
    <w:rsid w:val="009D3B63"/>
    <w:rsid w:val="009E3449"/>
    <w:rsid w:val="009E502F"/>
    <w:rsid w:val="009E533F"/>
    <w:rsid w:val="009F495D"/>
    <w:rsid w:val="009F56FD"/>
    <w:rsid w:val="009F71DB"/>
    <w:rsid w:val="00A105DC"/>
    <w:rsid w:val="00A11ED0"/>
    <w:rsid w:val="00A231AE"/>
    <w:rsid w:val="00A25DC2"/>
    <w:rsid w:val="00A276D3"/>
    <w:rsid w:val="00A349A3"/>
    <w:rsid w:val="00A375F9"/>
    <w:rsid w:val="00A41666"/>
    <w:rsid w:val="00A43597"/>
    <w:rsid w:val="00A51FCF"/>
    <w:rsid w:val="00A5298A"/>
    <w:rsid w:val="00A52D5A"/>
    <w:rsid w:val="00A60C3A"/>
    <w:rsid w:val="00A724FE"/>
    <w:rsid w:val="00A812E8"/>
    <w:rsid w:val="00A831CA"/>
    <w:rsid w:val="00A86CD2"/>
    <w:rsid w:val="00A87B30"/>
    <w:rsid w:val="00A90B17"/>
    <w:rsid w:val="00A9594E"/>
    <w:rsid w:val="00AA5649"/>
    <w:rsid w:val="00AB0ADF"/>
    <w:rsid w:val="00AB3EB0"/>
    <w:rsid w:val="00AB7344"/>
    <w:rsid w:val="00AB7724"/>
    <w:rsid w:val="00AC7276"/>
    <w:rsid w:val="00AD02CF"/>
    <w:rsid w:val="00AD117A"/>
    <w:rsid w:val="00AD3C9C"/>
    <w:rsid w:val="00AD532C"/>
    <w:rsid w:val="00AD7241"/>
    <w:rsid w:val="00AE2229"/>
    <w:rsid w:val="00AF0356"/>
    <w:rsid w:val="00AF0B98"/>
    <w:rsid w:val="00AF0D20"/>
    <w:rsid w:val="00B05FE6"/>
    <w:rsid w:val="00B06AE1"/>
    <w:rsid w:val="00B071BA"/>
    <w:rsid w:val="00B10438"/>
    <w:rsid w:val="00B20DA3"/>
    <w:rsid w:val="00B2113E"/>
    <w:rsid w:val="00B212A9"/>
    <w:rsid w:val="00B257D6"/>
    <w:rsid w:val="00B37C3D"/>
    <w:rsid w:val="00B425FF"/>
    <w:rsid w:val="00B4472D"/>
    <w:rsid w:val="00B57AC0"/>
    <w:rsid w:val="00B63C61"/>
    <w:rsid w:val="00B8275E"/>
    <w:rsid w:val="00B82854"/>
    <w:rsid w:val="00B93740"/>
    <w:rsid w:val="00B95DE2"/>
    <w:rsid w:val="00BA04D5"/>
    <w:rsid w:val="00BA06C4"/>
    <w:rsid w:val="00BB4391"/>
    <w:rsid w:val="00BC361E"/>
    <w:rsid w:val="00BD2D60"/>
    <w:rsid w:val="00BD44B4"/>
    <w:rsid w:val="00BD6961"/>
    <w:rsid w:val="00BE38DD"/>
    <w:rsid w:val="00BF2330"/>
    <w:rsid w:val="00BF49CD"/>
    <w:rsid w:val="00BF535F"/>
    <w:rsid w:val="00C13FF3"/>
    <w:rsid w:val="00C20A04"/>
    <w:rsid w:val="00C2104F"/>
    <w:rsid w:val="00C23E20"/>
    <w:rsid w:val="00C24129"/>
    <w:rsid w:val="00C37E15"/>
    <w:rsid w:val="00C46A85"/>
    <w:rsid w:val="00C46E3B"/>
    <w:rsid w:val="00C50BE9"/>
    <w:rsid w:val="00C512D8"/>
    <w:rsid w:val="00C57149"/>
    <w:rsid w:val="00C604AE"/>
    <w:rsid w:val="00C611CC"/>
    <w:rsid w:val="00C63A70"/>
    <w:rsid w:val="00C7138E"/>
    <w:rsid w:val="00C7165F"/>
    <w:rsid w:val="00C7453C"/>
    <w:rsid w:val="00C80158"/>
    <w:rsid w:val="00C85FB1"/>
    <w:rsid w:val="00C91499"/>
    <w:rsid w:val="00CB056E"/>
    <w:rsid w:val="00CB12CD"/>
    <w:rsid w:val="00CB1487"/>
    <w:rsid w:val="00CC171C"/>
    <w:rsid w:val="00CC3896"/>
    <w:rsid w:val="00CC5882"/>
    <w:rsid w:val="00CC7248"/>
    <w:rsid w:val="00CC7492"/>
    <w:rsid w:val="00CD36FB"/>
    <w:rsid w:val="00CE4E7C"/>
    <w:rsid w:val="00D00F33"/>
    <w:rsid w:val="00D030E8"/>
    <w:rsid w:val="00D14BAB"/>
    <w:rsid w:val="00D24A52"/>
    <w:rsid w:val="00D24C49"/>
    <w:rsid w:val="00D25D19"/>
    <w:rsid w:val="00D403B2"/>
    <w:rsid w:val="00D5235E"/>
    <w:rsid w:val="00D63916"/>
    <w:rsid w:val="00D72B17"/>
    <w:rsid w:val="00D80AF7"/>
    <w:rsid w:val="00D82C8E"/>
    <w:rsid w:val="00D9384C"/>
    <w:rsid w:val="00DA0420"/>
    <w:rsid w:val="00DA1E50"/>
    <w:rsid w:val="00DA2718"/>
    <w:rsid w:val="00DA39C9"/>
    <w:rsid w:val="00DA3EC3"/>
    <w:rsid w:val="00DA4D23"/>
    <w:rsid w:val="00DA50D3"/>
    <w:rsid w:val="00DA553C"/>
    <w:rsid w:val="00DB09F5"/>
    <w:rsid w:val="00DB3181"/>
    <w:rsid w:val="00DC3848"/>
    <w:rsid w:val="00DC48A9"/>
    <w:rsid w:val="00DC665E"/>
    <w:rsid w:val="00DC710A"/>
    <w:rsid w:val="00DD6426"/>
    <w:rsid w:val="00DD6A5A"/>
    <w:rsid w:val="00DE05A7"/>
    <w:rsid w:val="00DE6ED0"/>
    <w:rsid w:val="00DF3193"/>
    <w:rsid w:val="00DF3EC6"/>
    <w:rsid w:val="00E12136"/>
    <w:rsid w:val="00E1570B"/>
    <w:rsid w:val="00E17A6D"/>
    <w:rsid w:val="00E219B6"/>
    <w:rsid w:val="00E22E08"/>
    <w:rsid w:val="00E23C54"/>
    <w:rsid w:val="00E409AD"/>
    <w:rsid w:val="00E512A6"/>
    <w:rsid w:val="00E56BBB"/>
    <w:rsid w:val="00E57521"/>
    <w:rsid w:val="00E61150"/>
    <w:rsid w:val="00E66351"/>
    <w:rsid w:val="00E809FE"/>
    <w:rsid w:val="00E84D07"/>
    <w:rsid w:val="00E9148C"/>
    <w:rsid w:val="00E92714"/>
    <w:rsid w:val="00E93155"/>
    <w:rsid w:val="00E96EB1"/>
    <w:rsid w:val="00EA14AA"/>
    <w:rsid w:val="00EA1D3B"/>
    <w:rsid w:val="00EA2B19"/>
    <w:rsid w:val="00EB2C1D"/>
    <w:rsid w:val="00EB5562"/>
    <w:rsid w:val="00EB62B8"/>
    <w:rsid w:val="00EB7136"/>
    <w:rsid w:val="00EC5252"/>
    <w:rsid w:val="00EC54F4"/>
    <w:rsid w:val="00EC7413"/>
    <w:rsid w:val="00ED0AF4"/>
    <w:rsid w:val="00ED163C"/>
    <w:rsid w:val="00ED6291"/>
    <w:rsid w:val="00EE153A"/>
    <w:rsid w:val="00EF3F12"/>
    <w:rsid w:val="00EF4979"/>
    <w:rsid w:val="00F12C87"/>
    <w:rsid w:val="00F1746D"/>
    <w:rsid w:val="00F236E2"/>
    <w:rsid w:val="00F24298"/>
    <w:rsid w:val="00F24BD6"/>
    <w:rsid w:val="00F43150"/>
    <w:rsid w:val="00F44E8F"/>
    <w:rsid w:val="00F54E09"/>
    <w:rsid w:val="00F57064"/>
    <w:rsid w:val="00F57C8A"/>
    <w:rsid w:val="00F617AC"/>
    <w:rsid w:val="00F66013"/>
    <w:rsid w:val="00F8590E"/>
    <w:rsid w:val="00F87103"/>
    <w:rsid w:val="00F93CA6"/>
    <w:rsid w:val="00F97438"/>
    <w:rsid w:val="00FA2579"/>
    <w:rsid w:val="00FB4EEA"/>
    <w:rsid w:val="00FC255D"/>
    <w:rsid w:val="00FD01FA"/>
    <w:rsid w:val="00FD1601"/>
    <w:rsid w:val="00FD5F7F"/>
    <w:rsid w:val="00FD6F51"/>
    <w:rsid w:val="00FE035B"/>
    <w:rsid w:val="00FE3B28"/>
    <w:rsid w:val="00FE6C12"/>
    <w:rsid w:val="00FF482F"/>
    <w:rsid w:val="00FF6D3F"/>
    <w:rsid w:val="157D2C29"/>
    <w:rsid w:val="1AB53529"/>
    <w:rsid w:val="1C520D54"/>
    <w:rsid w:val="233411E8"/>
    <w:rsid w:val="30F17E3C"/>
    <w:rsid w:val="418A5C57"/>
    <w:rsid w:val="453C7B76"/>
    <w:rsid w:val="669B74D0"/>
    <w:rsid w:val="75896C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99"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qFormat="1" w:unhideWhenUsed="0" w:uiPriority="0" w:semiHidden="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12"/>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171"/>
    <w:unhideWhenUsed/>
    <w:qFormat/>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link w:val="192"/>
    <w:qFormat/>
    <w:uiPriority w:val="0"/>
    <w:pPr>
      <w:keepNext/>
      <w:widowControl/>
      <w:overflowPunct w:val="0"/>
      <w:autoSpaceDE w:val="0"/>
      <w:autoSpaceDN w:val="0"/>
      <w:adjustRightInd w:val="0"/>
      <w:spacing w:before="120" w:line="480" w:lineRule="exact"/>
      <w:ind w:left="850" w:hanging="425"/>
      <w:textAlignment w:val="baseline"/>
      <w:outlineLvl w:val="2"/>
    </w:pPr>
    <w:rPr>
      <w:rFonts w:ascii="宋体" w:hAnsi="Arial"/>
      <w:color w:val="000000"/>
      <w:spacing w:val="24"/>
      <w:kern w:val="28"/>
      <w:sz w:val="28"/>
      <w:szCs w:val="20"/>
      <w:lang w:val="zh-CN"/>
    </w:rPr>
  </w:style>
  <w:style w:type="paragraph" w:styleId="6">
    <w:name w:val="heading 4"/>
    <w:basedOn w:val="1"/>
    <w:next w:val="1"/>
    <w:link w:val="183"/>
    <w:unhideWhenUsed/>
    <w:qFormat/>
    <w:uiPriority w:val="0"/>
    <w:pPr>
      <w:keepNext/>
      <w:keepLines/>
      <w:widowControl/>
      <w:spacing w:before="280" w:after="290" w:line="376" w:lineRule="auto"/>
      <w:ind w:firstLine="200" w:firstLineChars="200"/>
      <w:outlineLvl w:val="3"/>
    </w:pPr>
    <w:rPr>
      <w:rFonts w:ascii="Cambria" w:hAnsi="Cambria"/>
      <w:b/>
      <w:bCs/>
      <w:sz w:val="28"/>
      <w:szCs w:val="28"/>
      <w:lang w:val="zh-CN"/>
    </w:rPr>
  </w:style>
  <w:style w:type="paragraph" w:styleId="7">
    <w:name w:val="heading 5"/>
    <w:basedOn w:val="1"/>
    <w:next w:val="1"/>
    <w:link w:val="193"/>
    <w:qFormat/>
    <w:uiPriority w:val="0"/>
    <w:pPr>
      <w:keepNext/>
      <w:widowControl/>
      <w:tabs>
        <w:tab w:val="left" w:pos="0"/>
      </w:tabs>
      <w:overflowPunct w:val="0"/>
      <w:autoSpaceDE w:val="0"/>
      <w:autoSpaceDN w:val="0"/>
      <w:adjustRightInd w:val="0"/>
      <w:spacing w:before="120" w:after="80" w:line="480" w:lineRule="exact"/>
      <w:ind w:left="1700" w:hanging="425"/>
      <w:textAlignment w:val="baseline"/>
      <w:outlineLvl w:val="4"/>
    </w:pPr>
    <w:rPr>
      <w:rFonts w:ascii="Arial" w:hAnsi="Arial"/>
      <w:b/>
      <w:color w:val="000000"/>
      <w:kern w:val="28"/>
      <w:sz w:val="24"/>
      <w:szCs w:val="20"/>
      <w:lang w:val="zh-CN"/>
    </w:rPr>
  </w:style>
  <w:style w:type="paragraph" w:styleId="8">
    <w:name w:val="heading 6"/>
    <w:basedOn w:val="1"/>
    <w:next w:val="1"/>
    <w:link w:val="194"/>
    <w:qFormat/>
    <w:uiPriority w:val="0"/>
    <w:pPr>
      <w:keepNext/>
      <w:widowControl/>
      <w:tabs>
        <w:tab w:val="left" w:pos="0"/>
      </w:tabs>
      <w:overflowPunct w:val="0"/>
      <w:autoSpaceDE w:val="0"/>
      <w:autoSpaceDN w:val="0"/>
      <w:adjustRightInd w:val="0"/>
      <w:spacing w:before="120" w:after="80" w:line="480" w:lineRule="exact"/>
      <w:ind w:left="2125" w:hanging="425"/>
      <w:textAlignment w:val="baseline"/>
      <w:outlineLvl w:val="5"/>
    </w:pPr>
    <w:rPr>
      <w:rFonts w:ascii="Arial" w:hAnsi="Arial"/>
      <w:b/>
      <w:i/>
      <w:color w:val="000000"/>
      <w:kern w:val="28"/>
      <w:sz w:val="24"/>
      <w:szCs w:val="20"/>
      <w:lang w:val="zh-CN"/>
    </w:rPr>
  </w:style>
  <w:style w:type="paragraph" w:styleId="9">
    <w:name w:val="heading 7"/>
    <w:basedOn w:val="1"/>
    <w:next w:val="1"/>
    <w:link w:val="195"/>
    <w:qFormat/>
    <w:uiPriority w:val="0"/>
    <w:pPr>
      <w:keepNext/>
      <w:widowControl/>
      <w:tabs>
        <w:tab w:val="left" w:pos="0"/>
      </w:tabs>
      <w:overflowPunct w:val="0"/>
      <w:autoSpaceDE w:val="0"/>
      <w:autoSpaceDN w:val="0"/>
      <w:adjustRightInd w:val="0"/>
      <w:spacing w:before="80" w:after="60" w:line="480" w:lineRule="exact"/>
      <w:ind w:left="2550" w:hanging="425"/>
      <w:textAlignment w:val="baseline"/>
      <w:outlineLvl w:val="6"/>
    </w:pPr>
    <w:rPr>
      <w:rFonts w:ascii="宋体" w:hAnsi="Arial"/>
      <w:b/>
      <w:color w:val="000000"/>
      <w:kern w:val="28"/>
      <w:sz w:val="24"/>
      <w:szCs w:val="20"/>
      <w:lang w:val="zh-CN"/>
    </w:rPr>
  </w:style>
  <w:style w:type="paragraph" w:styleId="10">
    <w:name w:val="heading 8"/>
    <w:basedOn w:val="1"/>
    <w:next w:val="1"/>
    <w:link w:val="196"/>
    <w:qFormat/>
    <w:uiPriority w:val="0"/>
    <w:pPr>
      <w:keepNext/>
      <w:widowControl/>
      <w:tabs>
        <w:tab w:val="left" w:pos="0"/>
      </w:tabs>
      <w:overflowPunct w:val="0"/>
      <w:autoSpaceDE w:val="0"/>
      <w:autoSpaceDN w:val="0"/>
      <w:adjustRightInd w:val="0"/>
      <w:spacing w:before="80" w:after="60" w:line="480" w:lineRule="exact"/>
      <w:ind w:left="2975" w:hanging="425"/>
      <w:textAlignment w:val="baseline"/>
      <w:outlineLvl w:val="7"/>
    </w:pPr>
    <w:rPr>
      <w:rFonts w:ascii="宋体" w:hAnsi="Arial"/>
      <w:b/>
      <w:i/>
      <w:color w:val="000000"/>
      <w:kern w:val="28"/>
      <w:sz w:val="24"/>
      <w:szCs w:val="20"/>
      <w:lang w:val="zh-CN"/>
    </w:rPr>
  </w:style>
  <w:style w:type="paragraph" w:styleId="11">
    <w:name w:val="heading 9"/>
    <w:basedOn w:val="1"/>
    <w:next w:val="1"/>
    <w:link w:val="197"/>
    <w:qFormat/>
    <w:uiPriority w:val="0"/>
    <w:pPr>
      <w:keepNext/>
      <w:widowControl/>
      <w:tabs>
        <w:tab w:val="left" w:pos="0"/>
      </w:tabs>
      <w:overflowPunct w:val="0"/>
      <w:autoSpaceDE w:val="0"/>
      <w:autoSpaceDN w:val="0"/>
      <w:adjustRightInd w:val="0"/>
      <w:spacing w:before="80" w:after="60" w:line="480" w:lineRule="exact"/>
      <w:ind w:left="3400" w:hanging="425"/>
      <w:textAlignment w:val="baseline"/>
      <w:outlineLvl w:val="8"/>
    </w:pPr>
    <w:rPr>
      <w:rFonts w:ascii="宋体" w:hAnsi="Arial"/>
      <w:b/>
      <w:i/>
      <w:color w:val="000000"/>
      <w:kern w:val="28"/>
      <w:sz w:val="24"/>
      <w:szCs w:val="20"/>
      <w:lang w:val="zh-CN"/>
    </w:rPr>
  </w:style>
  <w:style w:type="character" w:default="1" w:styleId="95">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1169"/>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0"/>
    <w:pPr>
      <w:widowControl/>
      <w:spacing w:line="360" w:lineRule="auto"/>
      <w:ind w:left="100" w:leftChars="400" w:hanging="200" w:hangingChars="200"/>
      <w:contextualSpacing/>
    </w:pPr>
    <w:rPr>
      <w:sz w:val="24"/>
      <w:szCs w:val="20"/>
    </w:rPr>
  </w:style>
  <w:style w:type="paragraph" w:styleId="13">
    <w:name w:val="toc 7"/>
    <w:basedOn w:val="1"/>
    <w:next w:val="1"/>
    <w:qFormat/>
    <w:uiPriority w:val="39"/>
    <w:pPr>
      <w:adjustRightInd w:val="0"/>
      <w:snapToGrid w:val="0"/>
      <w:spacing w:line="440" w:lineRule="exact"/>
      <w:ind w:left="1440" w:firstLine="832" w:firstLineChars="200"/>
      <w:jc w:val="left"/>
    </w:pPr>
    <w:rPr>
      <w:rFonts w:ascii="Calibri" w:hAnsi="Calibri" w:cs="Calibri"/>
      <w:sz w:val="18"/>
      <w:szCs w:val="18"/>
    </w:rPr>
  </w:style>
  <w:style w:type="paragraph" w:styleId="14">
    <w:name w:val="List Number 2"/>
    <w:basedOn w:val="1"/>
    <w:qFormat/>
    <w:uiPriority w:val="0"/>
    <w:pPr>
      <w:numPr>
        <w:ilvl w:val="0"/>
        <w:numId w:val="1"/>
      </w:numPr>
      <w:adjustRightInd w:val="0"/>
      <w:snapToGrid w:val="0"/>
      <w:spacing w:line="440" w:lineRule="exact"/>
      <w:ind w:firstLine="200" w:firstLineChars="200"/>
    </w:pPr>
    <w:rPr>
      <w:rFonts w:ascii="宋体" w:hAnsi="Courier New"/>
      <w:sz w:val="26"/>
      <w:szCs w:val="20"/>
    </w:rPr>
  </w:style>
  <w:style w:type="paragraph" w:styleId="15">
    <w:name w:val="table of authorities"/>
    <w:basedOn w:val="1"/>
    <w:next w:val="1"/>
    <w:qFormat/>
    <w:uiPriority w:val="0"/>
    <w:pPr>
      <w:adjustRightInd w:val="0"/>
      <w:snapToGrid w:val="0"/>
      <w:spacing w:line="440" w:lineRule="exact"/>
      <w:ind w:left="420" w:leftChars="200" w:firstLine="832" w:firstLineChars="200"/>
    </w:pPr>
    <w:rPr>
      <w:rFonts w:ascii="宋体" w:hAnsi="Courier New"/>
      <w:sz w:val="26"/>
      <w:szCs w:val="20"/>
    </w:rPr>
  </w:style>
  <w:style w:type="paragraph" w:styleId="16">
    <w:name w:val="Note Heading"/>
    <w:basedOn w:val="1"/>
    <w:next w:val="1"/>
    <w:link w:val="1170"/>
    <w:qFormat/>
    <w:uiPriority w:val="0"/>
    <w:pPr>
      <w:adjustRightInd w:val="0"/>
      <w:snapToGrid w:val="0"/>
      <w:spacing w:line="440" w:lineRule="exact"/>
      <w:jc w:val="center"/>
    </w:pPr>
    <w:rPr>
      <w:rFonts w:ascii="宋体" w:hAnsi="宋体"/>
      <w:sz w:val="24"/>
      <w:szCs w:val="20"/>
    </w:rPr>
  </w:style>
  <w:style w:type="paragraph" w:styleId="17">
    <w:name w:val="List Bullet 4"/>
    <w:basedOn w:val="1"/>
    <w:qFormat/>
    <w:uiPriority w:val="0"/>
    <w:pPr>
      <w:numPr>
        <w:ilvl w:val="0"/>
        <w:numId w:val="2"/>
      </w:numPr>
      <w:adjustRightInd w:val="0"/>
      <w:snapToGrid w:val="0"/>
      <w:spacing w:line="440" w:lineRule="exact"/>
      <w:ind w:firstLine="200" w:firstLineChars="200"/>
    </w:pPr>
    <w:rPr>
      <w:rFonts w:ascii="宋体" w:hAnsi="Courier New"/>
      <w:sz w:val="26"/>
      <w:szCs w:val="20"/>
    </w:rPr>
  </w:style>
  <w:style w:type="paragraph" w:styleId="18">
    <w:name w:val="index 8"/>
    <w:basedOn w:val="1"/>
    <w:next w:val="1"/>
    <w:qFormat/>
    <w:uiPriority w:val="0"/>
    <w:pPr>
      <w:ind w:left="2940"/>
    </w:pPr>
    <w:rPr>
      <w:szCs w:val="21"/>
    </w:rPr>
  </w:style>
  <w:style w:type="paragraph" w:styleId="19">
    <w:name w:val="E-mail Signature"/>
    <w:basedOn w:val="1"/>
    <w:link w:val="1171"/>
    <w:qFormat/>
    <w:uiPriority w:val="0"/>
    <w:pPr>
      <w:adjustRightInd w:val="0"/>
      <w:snapToGrid w:val="0"/>
      <w:spacing w:line="440" w:lineRule="exact"/>
      <w:ind w:firstLine="832" w:firstLineChars="200"/>
    </w:pPr>
    <w:rPr>
      <w:rFonts w:ascii="宋体" w:hAnsi="Courier New"/>
      <w:sz w:val="26"/>
      <w:szCs w:val="20"/>
    </w:rPr>
  </w:style>
  <w:style w:type="paragraph" w:styleId="20">
    <w:name w:val="List Number"/>
    <w:basedOn w:val="1"/>
    <w:qFormat/>
    <w:uiPriority w:val="0"/>
    <w:pPr>
      <w:numPr>
        <w:ilvl w:val="0"/>
        <w:numId w:val="3"/>
      </w:numPr>
      <w:contextualSpacing/>
    </w:pPr>
    <w:rPr>
      <w:rFonts w:ascii="Calibri" w:hAnsi="Calibri"/>
    </w:rPr>
  </w:style>
  <w:style w:type="paragraph" w:styleId="21">
    <w:name w:val="Normal Indent"/>
    <w:basedOn w:val="1"/>
    <w:link w:val="172"/>
    <w:qFormat/>
    <w:uiPriority w:val="0"/>
    <w:pPr>
      <w:widowControl/>
      <w:spacing w:line="360" w:lineRule="auto"/>
      <w:ind w:firstLine="420" w:firstLineChars="200"/>
    </w:pPr>
    <w:rPr>
      <w:sz w:val="24"/>
      <w:szCs w:val="20"/>
    </w:rPr>
  </w:style>
  <w:style w:type="paragraph" w:styleId="22">
    <w:name w:val="caption"/>
    <w:basedOn w:val="1"/>
    <w:next w:val="1"/>
    <w:link w:val="1185"/>
    <w:qFormat/>
    <w:uiPriority w:val="0"/>
    <w:pPr>
      <w:spacing w:before="152" w:after="160" w:line="460" w:lineRule="exact"/>
    </w:pPr>
    <w:rPr>
      <w:rFonts w:ascii="Arial" w:hAnsi="Arial" w:eastAsia="黑体" w:cs="Arial"/>
      <w:sz w:val="20"/>
    </w:rPr>
  </w:style>
  <w:style w:type="paragraph" w:styleId="23">
    <w:name w:val="index 5"/>
    <w:basedOn w:val="1"/>
    <w:next w:val="1"/>
    <w:qFormat/>
    <w:uiPriority w:val="0"/>
    <w:pPr>
      <w:adjustRightInd w:val="0"/>
      <w:snapToGrid w:val="0"/>
      <w:spacing w:line="440" w:lineRule="exact"/>
      <w:ind w:left="800" w:leftChars="800" w:firstLine="832" w:firstLineChars="200"/>
    </w:pPr>
    <w:rPr>
      <w:rFonts w:ascii="宋体" w:hAnsi="Courier New"/>
      <w:sz w:val="26"/>
      <w:szCs w:val="20"/>
    </w:rPr>
  </w:style>
  <w:style w:type="paragraph" w:styleId="24">
    <w:name w:val="List Bullet"/>
    <w:basedOn w:val="1"/>
    <w:qFormat/>
    <w:uiPriority w:val="0"/>
    <w:pPr>
      <w:numPr>
        <w:ilvl w:val="0"/>
        <w:numId w:val="4"/>
      </w:numPr>
      <w:adjustRightInd w:val="0"/>
      <w:snapToGrid w:val="0"/>
      <w:spacing w:line="440" w:lineRule="exact"/>
      <w:ind w:firstLine="200" w:firstLineChars="200"/>
    </w:pPr>
    <w:rPr>
      <w:rFonts w:ascii="宋体" w:hAnsi="Courier New"/>
      <w:sz w:val="26"/>
      <w:szCs w:val="20"/>
    </w:rPr>
  </w:style>
  <w:style w:type="paragraph" w:styleId="25">
    <w:name w:val="envelope address"/>
    <w:basedOn w:val="1"/>
    <w:qFormat/>
    <w:uiPriority w:val="0"/>
    <w:pPr>
      <w:adjustRightInd w:val="0"/>
      <w:snapToGrid w:val="0"/>
      <w:spacing w:line="440" w:lineRule="exact"/>
      <w:ind w:left="100" w:leftChars="1400" w:firstLine="832" w:firstLineChars="200"/>
    </w:pPr>
    <w:rPr>
      <w:rFonts w:ascii="Arial" w:hAnsi="Arial" w:cs="Arial"/>
      <w:sz w:val="24"/>
    </w:rPr>
  </w:style>
  <w:style w:type="paragraph" w:styleId="26">
    <w:name w:val="Document Map"/>
    <w:basedOn w:val="1"/>
    <w:link w:val="380"/>
    <w:qFormat/>
    <w:uiPriority w:val="0"/>
    <w:pPr>
      <w:shd w:val="clear" w:color="auto" w:fill="000080"/>
    </w:pPr>
    <w:rPr>
      <w:rFonts w:asciiTheme="minorHAnsi" w:hAnsiTheme="minorHAnsi" w:eastAsiaTheme="minorEastAsia" w:cstheme="minorBidi"/>
    </w:rPr>
  </w:style>
  <w:style w:type="paragraph" w:styleId="27">
    <w:name w:val="toa heading"/>
    <w:basedOn w:val="1"/>
    <w:next w:val="1"/>
    <w:qFormat/>
    <w:uiPriority w:val="0"/>
    <w:pPr>
      <w:spacing w:before="120"/>
    </w:pPr>
    <w:rPr>
      <w:rFonts w:ascii="Arial" w:hAnsi="Arial" w:cs="Arial"/>
      <w:sz w:val="24"/>
    </w:rPr>
  </w:style>
  <w:style w:type="paragraph" w:styleId="28">
    <w:name w:val="annotation text"/>
    <w:basedOn w:val="1"/>
    <w:link w:val="142"/>
    <w:unhideWhenUsed/>
    <w:qFormat/>
    <w:uiPriority w:val="0"/>
    <w:pPr>
      <w:jc w:val="left"/>
    </w:pPr>
  </w:style>
  <w:style w:type="paragraph" w:styleId="29">
    <w:name w:val="index 6"/>
    <w:basedOn w:val="1"/>
    <w:next w:val="1"/>
    <w:qFormat/>
    <w:uiPriority w:val="0"/>
    <w:pPr>
      <w:adjustRightInd w:val="0"/>
      <w:snapToGrid w:val="0"/>
      <w:spacing w:line="440" w:lineRule="exact"/>
      <w:ind w:left="1000" w:leftChars="1000" w:firstLine="832" w:firstLineChars="200"/>
    </w:pPr>
    <w:rPr>
      <w:rFonts w:ascii="宋体" w:hAnsi="Courier New"/>
      <w:sz w:val="26"/>
      <w:szCs w:val="20"/>
    </w:rPr>
  </w:style>
  <w:style w:type="paragraph" w:styleId="30">
    <w:name w:val="Salutation"/>
    <w:basedOn w:val="1"/>
    <w:next w:val="1"/>
    <w:link w:val="324"/>
    <w:qFormat/>
    <w:uiPriority w:val="0"/>
    <w:rPr>
      <w:rFonts w:asciiTheme="minorHAnsi" w:hAnsiTheme="minorHAnsi" w:eastAsiaTheme="minorEastAsia" w:cstheme="minorBidi"/>
      <w:sz w:val="28"/>
    </w:rPr>
  </w:style>
  <w:style w:type="paragraph" w:styleId="31">
    <w:name w:val="Body Text 3"/>
    <w:basedOn w:val="1"/>
    <w:link w:val="447"/>
    <w:qFormat/>
    <w:uiPriority w:val="0"/>
    <w:pPr>
      <w:spacing w:after="120"/>
    </w:pPr>
    <w:rPr>
      <w:rFonts w:eastAsia="仿宋_GB2312" w:asciiTheme="minorHAnsi" w:hAnsiTheme="minorHAnsi" w:cstheme="minorBidi"/>
      <w:sz w:val="16"/>
      <w:szCs w:val="16"/>
    </w:rPr>
  </w:style>
  <w:style w:type="paragraph" w:styleId="32">
    <w:name w:val="Closing"/>
    <w:basedOn w:val="1"/>
    <w:link w:val="1172"/>
    <w:qFormat/>
    <w:uiPriority w:val="0"/>
    <w:pPr>
      <w:adjustRightInd w:val="0"/>
      <w:snapToGrid w:val="0"/>
      <w:spacing w:line="440" w:lineRule="exact"/>
      <w:ind w:left="100" w:leftChars="2100" w:firstLine="832" w:firstLineChars="200"/>
    </w:pPr>
    <w:rPr>
      <w:rFonts w:ascii="宋体" w:hAnsi="Courier New"/>
      <w:sz w:val="26"/>
      <w:szCs w:val="20"/>
    </w:rPr>
  </w:style>
  <w:style w:type="paragraph" w:styleId="33">
    <w:name w:val="List Bullet 3"/>
    <w:basedOn w:val="1"/>
    <w:qFormat/>
    <w:uiPriority w:val="0"/>
    <w:pPr>
      <w:numPr>
        <w:ilvl w:val="0"/>
        <w:numId w:val="5"/>
      </w:numPr>
      <w:adjustRightInd w:val="0"/>
      <w:snapToGrid w:val="0"/>
      <w:spacing w:line="440" w:lineRule="exact"/>
      <w:ind w:firstLine="200" w:firstLineChars="200"/>
    </w:pPr>
    <w:rPr>
      <w:rFonts w:ascii="宋体" w:hAnsi="Courier New"/>
      <w:sz w:val="26"/>
      <w:szCs w:val="20"/>
    </w:rPr>
  </w:style>
  <w:style w:type="paragraph" w:styleId="34">
    <w:name w:val="Body Text"/>
    <w:basedOn w:val="1"/>
    <w:link w:val="129"/>
    <w:qFormat/>
    <w:uiPriority w:val="0"/>
    <w:pPr>
      <w:widowControl/>
      <w:snapToGrid w:val="0"/>
      <w:spacing w:before="60" w:after="160" w:line="259" w:lineRule="auto"/>
      <w:ind w:right="113"/>
    </w:pPr>
    <w:rPr>
      <w:rFonts w:asciiTheme="minorHAnsi" w:hAnsiTheme="minorHAnsi" w:eastAsiaTheme="minorEastAsia" w:cstheme="minorBidi"/>
      <w:kern w:val="0"/>
      <w:sz w:val="18"/>
      <w:szCs w:val="20"/>
    </w:rPr>
  </w:style>
  <w:style w:type="paragraph" w:styleId="35">
    <w:name w:val="Body Text Indent"/>
    <w:basedOn w:val="1"/>
    <w:link w:val="138"/>
    <w:qFormat/>
    <w:uiPriority w:val="0"/>
    <w:pPr>
      <w:spacing w:after="120"/>
      <w:ind w:left="420" w:leftChars="200"/>
    </w:pPr>
    <w:rPr>
      <w:rFonts w:asciiTheme="minorHAnsi" w:hAnsiTheme="minorHAnsi" w:eastAsiaTheme="minorEastAsia" w:cstheme="minorBidi"/>
      <w:kern w:val="0"/>
      <w:sz w:val="24"/>
      <w:szCs w:val="20"/>
    </w:rPr>
  </w:style>
  <w:style w:type="paragraph" w:styleId="36">
    <w:name w:val="List Number 3"/>
    <w:basedOn w:val="1"/>
    <w:qFormat/>
    <w:uiPriority w:val="0"/>
    <w:pPr>
      <w:numPr>
        <w:ilvl w:val="0"/>
        <w:numId w:val="6"/>
      </w:numPr>
      <w:tabs>
        <w:tab w:val="left" w:pos="922"/>
        <w:tab w:val="left" w:pos="1200"/>
      </w:tabs>
      <w:spacing w:before="60" w:line="460" w:lineRule="exact"/>
    </w:pPr>
    <w:rPr>
      <w:sz w:val="24"/>
    </w:rPr>
  </w:style>
  <w:style w:type="paragraph" w:styleId="37">
    <w:name w:val="List 2"/>
    <w:basedOn w:val="1"/>
    <w:qFormat/>
    <w:uiPriority w:val="0"/>
    <w:pPr>
      <w:ind w:left="100" w:leftChars="200" w:hanging="200" w:hangingChars="200"/>
    </w:pPr>
  </w:style>
  <w:style w:type="paragraph" w:styleId="38">
    <w:name w:val="List Continue"/>
    <w:basedOn w:val="1"/>
    <w:qFormat/>
    <w:uiPriority w:val="0"/>
    <w:pPr>
      <w:adjustRightInd w:val="0"/>
      <w:snapToGrid w:val="0"/>
      <w:spacing w:after="120" w:line="440" w:lineRule="exact"/>
      <w:ind w:left="420" w:firstLine="832" w:firstLineChars="200"/>
    </w:pPr>
    <w:rPr>
      <w:sz w:val="26"/>
      <w:szCs w:val="20"/>
    </w:rPr>
  </w:style>
  <w:style w:type="paragraph" w:styleId="39">
    <w:name w:val="Block Text"/>
    <w:basedOn w:val="1"/>
    <w:qFormat/>
    <w:uiPriority w:val="0"/>
    <w:pPr>
      <w:spacing w:before="60" w:after="120" w:line="460" w:lineRule="exact"/>
      <w:ind w:left="700" w:leftChars="700" w:right="700" w:rightChars="700"/>
    </w:pPr>
    <w:rPr>
      <w:b/>
      <w:bCs/>
      <w:sz w:val="24"/>
    </w:rPr>
  </w:style>
  <w:style w:type="paragraph" w:styleId="40">
    <w:name w:val="List Bullet 2"/>
    <w:basedOn w:val="1"/>
    <w:qFormat/>
    <w:uiPriority w:val="0"/>
    <w:pPr>
      <w:numPr>
        <w:ilvl w:val="0"/>
        <w:numId w:val="7"/>
      </w:numPr>
      <w:adjustRightInd w:val="0"/>
      <w:snapToGrid w:val="0"/>
      <w:spacing w:line="440" w:lineRule="exact"/>
      <w:ind w:firstLine="200" w:firstLineChars="200"/>
    </w:pPr>
    <w:rPr>
      <w:rFonts w:ascii="宋体" w:hAnsi="Courier New"/>
      <w:sz w:val="26"/>
      <w:szCs w:val="20"/>
    </w:rPr>
  </w:style>
  <w:style w:type="paragraph" w:styleId="41">
    <w:name w:val="HTML Address"/>
    <w:basedOn w:val="1"/>
    <w:link w:val="1173"/>
    <w:qFormat/>
    <w:uiPriority w:val="0"/>
    <w:pPr>
      <w:adjustRightInd w:val="0"/>
      <w:snapToGrid w:val="0"/>
      <w:spacing w:line="440" w:lineRule="exact"/>
      <w:ind w:firstLine="832" w:firstLineChars="200"/>
    </w:pPr>
    <w:rPr>
      <w:rFonts w:ascii="宋体" w:hAnsi="Courier New"/>
      <w:i/>
      <w:iCs/>
      <w:sz w:val="26"/>
      <w:szCs w:val="20"/>
    </w:rPr>
  </w:style>
  <w:style w:type="paragraph" w:styleId="42">
    <w:name w:val="index 4"/>
    <w:basedOn w:val="1"/>
    <w:next w:val="1"/>
    <w:qFormat/>
    <w:uiPriority w:val="0"/>
    <w:pPr>
      <w:adjustRightInd w:val="0"/>
      <w:snapToGrid w:val="0"/>
      <w:spacing w:line="440" w:lineRule="exact"/>
      <w:ind w:left="600" w:leftChars="600" w:firstLine="832" w:firstLineChars="200"/>
    </w:pPr>
    <w:rPr>
      <w:rFonts w:ascii="宋体" w:hAnsi="Courier New"/>
      <w:sz w:val="26"/>
      <w:szCs w:val="20"/>
    </w:rPr>
  </w:style>
  <w:style w:type="paragraph" w:styleId="43">
    <w:name w:val="toc 5"/>
    <w:basedOn w:val="1"/>
    <w:next w:val="1"/>
    <w:qFormat/>
    <w:uiPriority w:val="39"/>
    <w:pPr>
      <w:adjustRightInd w:val="0"/>
      <w:snapToGrid w:val="0"/>
      <w:spacing w:line="440" w:lineRule="exact"/>
      <w:ind w:left="960" w:firstLine="832" w:firstLineChars="200"/>
      <w:jc w:val="left"/>
    </w:pPr>
    <w:rPr>
      <w:rFonts w:ascii="Calibri" w:hAnsi="Calibri" w:cs="Calibri"/>
      <w:sz w:val="18"/>
      <w:szCs w:val="18"/>
    </w:rPr>
  </w:style>
  <w:style w:type="paragraph" w:styleId="44">
    <w:name w:val="toc 3"/>
    <w:basedOn w:val="1"/>
    <w:next w:val="1"/>
    <w:qFormat/>
    <w:uiPriority w:val="39"/>
    <w:pPr>
      <w:ind w:left="840" w:leftChars="400"/>
    </w:pPr>
  </w:style>
  <w:style w:type="paragraph" w:styleId="45">
    <w:name w:val="Plain Text"/>
    <w:basedOn w:val="1"/>
    <w:next w:val="46"/>
    <w:link w:val="150"/>
    <w:qFormat/>
    <w:uiPriority w:val="99"/>
    <w:pPr>
      <w:widowControl/>
      <w:spacing w:line="360" w:lineRule="auto"/>
      <w:ind w:firstLine="200" w:firstLineChars="200"/>
    </w:pPr>
    <w:rPr>
      <w:rFonts w:ascii="宋体" w:hAnsi="Courier New" w:eastAsiaTheme="minorEastAsia" w:cstheme="minorBidi"/>
      <w:sz w:val="24"/>
      <w:szCs w:val="20"/>
    </w:rPr>
  </w:style>
  <w:style w:type="paragraph" w:styleId="46">
    <w:name w:val="toc 1"/>
    <w:basedOn w:val="1"/>
    <w:next w:val="1"/>
    <w:qFormat/>
    <w:uiPriority w:val="39"/>
    <w:pPr>
      <w:jc w:val="center"/>
    </w:pPr>
    <w:rPr>
      <w:sz w:val="24"/>
    </w:rPr>
  </w:style>
  <w:style w:type="paragraph" w:styleId="47">
    <w:name w:val="List Bullet 5"/>
    <w:basedOn w:val="1"/>
    <w:qFormat/>
    <w:uiPriority w:val="0"/>
    <w:pPr>
      <w:numPr>
        <w:ilvl w:val="0"/>
        <w:numId w:val="8"/>
      </w:numPr>
      <w:adjustRightInd w:val="0"/>
      <w:snapToGrid w:val="0"/>
      <w:spacing w:line="440" w:lineRule="exact"/>
      <w:ind w:firstLine="200" w:firstLineChars="200"/>
    </w:pPr>
    <w:rPr>
      <w:rFonts w:ascii="宋体" w:hAnsi="Courier New"/>
      <w:sz w:val="26"/>
      <w:szCs w:val="20"/>
    </w:rPr>
  </w:style>
  <w:style w:type="paragraph" w:styleId="48">
    <w:name w:val="List Number 4"/>
    <w:basedOn w:val="1"/>
    <w:qFormat/>
    <w:uiPriority w:val="0"/>
    <w:pPr>
      <w:numPr>
        <w:ilvl w:val="0"/>
        <w:numId w:val="9"/>
      </w:numPr>
      <w:adjustRightInd w:val="0"/>
      <w:snapToGrid w:val="0"/>
      <w:spacing w:line="440" w:lineRule="exact"/>
      <w:ind w:firstLine="200" w:firstLineChars="200"/>
    </w:pPr>
    <w:rPr>
      <w:rFonts w:ascii="宋体" w:hAnsi="Courier New"/>
      <w:sz w:val="26"/>
      <w:szCs w:val="20"/>
    </w:rPr>
  </w:style>
  <w:style w:type="paragraph" w:styleId="49">
    <w:name w:val="toc 8"/>
    <w:basedOn w:val="1"/>
    <w:next w:val="1"/>
    <w:qFormat/>
    <w:uiPriority w:val="39"/>
    <w:pPr>
      <w:adjustRightInd w:val="0"/>
      <w:snapToGrid w:val="0"/>
      <w:spacing w:line="440" w:lineRule="exact"/>
      <w:ind w:left="1680" w:firstLine="832" w:firstLineChars="200"/>
      <w:jc w:val="left"/>
    </w:pPr>
    <w:rPr>
      <w:rFonts w:ascii="Calibri" w:hAnsi="Calibri" w:cs="Calibri"/>
      <w:sz w:val="18"/>
      <w:szCs w:val="18"/>
    </w:rPr>
  </w:style>
  <w:style w:type="paragraph" w:styleId="50">
    <w:name w:val="index 3"/>
    <w:basedOn w:val="1"/>
    <w:next w:val="1"/>
    <w:qFormat/>
    <w:uiPriority w:val="0"/>
    <w:pPr>
      <w:adjustRightInd w:val="0"/>
      <w:snapToGrid w:val="0"/>
      <w:spacing w:line="440" w:lineRule="exact"/>
      <w:ind w:left="400" w:leftChars="400" w:firstLine="832" w:firstLineChars="200"/>
    </w:pPr>
    <w:rPr>
      <w:rFonts w:ascii="宋体" w:hAnsi="Courier New"/>
      <w:sz w:val="26"/>
      <w:szCs w:val="20"/>
    </w:rPr>
  </w:style>
  <w:style w:type="paragraph" w:styleId="51">
    <w:name w:val="Date"/>
    <w:basedOn w:val="1"/>
    <w:next w:val="1"/>
    <w:link w:val="125"/>
    <w:qFormat/>
    <w:uiPriority w:val="0"/>
    <w:pPr>
      <w:ind w:left="100" w:leftChars="2500"/>
    </w:pPr>
    <w:rPr>
      <w:rFonts w:asciiTheme="minorHAnsi" w:hAnsiTheme="minorHAnsi" w:eastAsiaTheme="minorEastAsia" w:cstheme="minorBidi"/>
      <w:kern w:val="0"/>
      <w:sz w:val="24"/>
      <w:szCs w:val="20"/>
    </w:rPr>
  </w:style>
  <w:style w:type="paragraph" w:styleId="52">
    <w:name w:val="Body Text Indent 2"/>
    <w:basedOn w:val="1"/>
    <w:link w:val="377"/>
    <w:qFormat/>
    <w:uiPriority w:val="0"/>
    <w:pPr>
      <w:spacing w:line="440" w:lineRule="exact"/>
      <w:ind w:firstLine="509" w:firstLineChars="200"/>
    </w:pPr>
    <w:rPr>
      <w:rFonts w:ascii="宋体" w:hAnsi="宋体" w:eastAsiaTheme="minorEastAsia" w:cstheme="minorBidi"/>
      <w:sz w:val="24"/>
    </w:rPr>
  </w:style>
  <w:style w:type="paragraph" w:styleId="53">
    <w:name w:val="endnote text"/>
    <w:basedOn w:val="1"/>
    <w:link w:val="1055"/>
    <w:qFormat/>
    <w:uiPriority w:val="0"/>
    <w:pPr>
      <w:snapToGrid w:val="0"/>
      <w:jc w:val="left"/>
    </w:pPr>
    <w:rPr>
      <w:rFonts w:asciiTheme="minorHAnsi" w:hAnsiTheme="minorHAnsi" w:eastAsiaTheme="minorEastAsia" w:cstheme="minorBidi"/>
      <w:kern w:val="0"/>
      <w:sz w:val="20"/>
    </w:rPr>
  </w:style>
  <w:style w:type="paragraph" w:styleId="54">
    <w:name w:val="List Continue 5"/>
    <w:basedOn w:val="1"/>
    <w:qFormat/>
    <w:uiPriority w:val="0"/>
    <w:pPr>
      <w:adjustRightInd w:val="0"/>
      <w:snapToGrid w:val="0"/>
      <w:spacing w:after="120" w:line="440" w:lineRule="exact"/>
      <w:ind w:left="2100" w:leftChars="1000" w:firstLine="832" w:firstLineChars="200"/>
    </w:pPr>
    <w:rPr>
      <w:rFonts w:ascii="宋体" w:hAnsi="Courier New"/>
      <w:sz w:val="26"/>
      <w:szCs w:val="20"/>
    </w:rPr>
  </w:style>
  <w:style w:type="paragraph" w:styleId="55">
    <w:name w:val="Balloon Text"/>
    <w:basedOn w:val="1"/>
    <w:link w:val="134"/>
    <w:qFormat/>
    <w:uiPriority w:val="0"/>
    <w:rPr>
      <w:rFonts w:asciiTheme="minorHAnsi" w:hAnsiTheme="minorHAnsi" w:eastAsiaTheme="minorEastAsia" w:cstheme="minorBidi"/>
      <w:kern w:val="0"/>
      <w:sz w:val="18"/>
      <w:szCs w:val="20"/>
    </w:rPr>
  </w:style>
  <w:style w:type="paragraph" w:styleId="56">
    <w:name w:val="footer"/>
    <w:basedOn w:val="1"/>
    <w:link w:val="124"/>
    <w:qFormat/>
    <w:uiPriority w:val="99"/>
    <w:pPr>
      <w:tabs>
        <w:tab w:val="center" w:pos="4153"/>
        <w:tab w:val="right" w:pos="8306"/>
      </w:tabs>
      <w:snapToGrid w:val="0"/>
      <w:jc w:val="left"/>
    </w:pPr>
    <w:rPr>
      <w:kern w:val="0"/>
      <w:sz w:val="18"/>
      <w:szCs w:val="20"/>
    </w:rPr>
  </w:style>
  <w:style w:type="paragraph" w:styleId="57">
    <w:name w:val="envelope return"/>
    <w:basedOn w:val="1"/>
    <w:qFormat/>
    <w:uiPriority w:val="0"/>
    <w:pPr>
      <w:snapToGrid w:val="0"/>
    </w:pPr>
    <w:rPr>
      <w:rFonts w:ascii="Arial" w:hAnsi="Arial"/>
    </w:rPr>
  </w:style>
  <w:style w:type="paragraph" w:styleId="58">
    <w:name w:val="header"/>
    <w:basedOn w:val="1"/>
    <w:link w:val="114"/>
    <w:qFormat/>
    <w:uiPriority w:val="0"/>
    <w:pPr>
      <w:pBdr>
        <w:bottom w:val="single" w:color="auto" w:sz="6" w:space="1"/>
      </w:pBdr>
      <w:tabs>
        <w:tab w:val="center" w:pos="4153"/>
        <w:tab w:val="right" w:pos="8306"/>
      </w:tabs>
      <w:snapToGrid w:val="0"/>
      <w:jc w:val="center"/>
    </w:pPr>
    <w:rPr>
      <w:sz w:val="18"/>
      <w:szCs w:val="18"/>
    </w:rPr>
  </w:style>
  <w:style w:type="paragraph" w:styleId="59">
    <w:name w:val="Signature"/>
    <w:basedOn w:val="1"/>
    <w:link w:val="1174"/>
    <w:qFormat/>
    <w:uiPriority w:val="0"/>
    <w:pPr>
      <w:adjustRightInd w:val="0"/>
      <w:snapToGrid w:val="0"/>
      <w:spacing w:line="440" w:lineRule="exact"/>
      <w:ind w:left="100" w:leftChars="2100" w:firstLine="832" w:firstLineChars="200"/>
    </w:pPr>
    <w:rPr>
      <w:rFonts w:ascii="宋体" w:hAnsi="Courier New"/>
      <w:sz w:val="26"/>
      <w:szCs w:val="20"/>
    </w:rPr>
  </w:style>
  <w:style w:type="paragraph" w:styleId="60">
    <w:name w:val="List Continue 4"/>
    <w:basedOn w:val="1"/>
    <w:qFormat/>
    <w:uiPriority w:val="0"/>
    <w:pPr>
      <w:adjustRightInd w:val="0"/>
      <w:snapToGrid w:val="0"/>
      <w:spacing w:after="120" w:line="440" w:lineRule="exact"/>
      <w:ind w:left="1680" w:leftChars="800" w:firstLine="832" w:firstLineChars="200"/>
    </w:pPr>
    <w:rPr>
      <w:rFonts w:ascii="宋体" w:hAnsi="Courier New"/>
      <w:sz w:val="26"/>
      <w:szCs w:val="20"/>
    </w:rPr>
  </w:style>
  <w:style w:type="paragraph" w:styleId="61">
    <w:name w:val="toc 4"/>
    <w:basedOn w:val="1"/>
    <w:next w:val="1"/>
    <w:qFormat/>
    <w:uiPriority w:val="39"/>
    <w:pPr>
      <w:adjustRightInd w:val="0"/>
      <w:snapToGrid w:val="0"/>
      <w:spacing w:line="440" w:lineRule="exact"/>
      <w:ind w:left="720" w:firstLine="832" w:firstLineChars="200"/>
      <w:jc w:val="left"/>
    </w:pPr>
    <w:rPr>
      <w:rFonts w:ascii="Calibri" w:hAnsi="Calibri" w:cs="Calibri"/>
      <w:sz w:val="18"/>
      <w:szCs w:val="18"/>
    </w:rPr>
  </w:style>
  <w:style w:type="paragraph" w:styleId="62">
    <w:name w:val="index heading"/>
    <w:basedOn w:val="1"/>
    <w:next w:val="63"/>
    <w:qFormat/>
    <w:uiPriority w:val="0"/>
  </w:style>
  <w:style w:type="paragraph" w:styleId="63">
    <w:name w:val="index 1"/>
    <w:basedOn w:val="1"/>
    <w:next w:val="1"/>
    <w:qFormat/>
    <w:uiPriority w:val="0"/>
    <w:pPr>
      <w:spacing w:line="320" w:lineRule="exact"/>
      <w:jc w:val="center"/>
    </w:pPr>
    <w:rPr>
      <w:rFonts w:ascii="宋体" w:hAnsi="宋体"/>
      <w:szCs w:val="21"/>
    </w:rPr>
  </w:style>
  <w:style w:type="paragraph" w:styleId="64">
    <w:name w:val="Subtitle"/>
    <w:basedOn w:val="1"/>
    <w:next w:val="1"/>
    <w:link w:val="162"/>
    <w:qFormat/>
    <w:uiPriority w:val="0"/>
    <w:pPr>
      <w:spacing w:before="240" w:after="60" w:line="312" w:lineRule="auto"/>
      <w:jc w:val="center"/>
      <w:outlineLvl w:val="1"/>
    </w:pPr>
    <w:rPr>
      <w:rFonts w:ascii="Cambria" w:hAnsi="Cambria"/>
      <w:b/>
      <w:bCs/>
      <w:kern w:val="28"/>
      <w:sz w:val="32"/>
      <w:szCs w:val="32"/>
    </w:rPr>
  </w:style>
  <w:style w:type="paragraph" w:styleId="65">
    <w:name w:val="List Number 5"/>
    <w:basedOn w:val="1"/>
    <w:qFormat/>
    <w:uiPriority w:val="0"/>
    <w:pPr>
      <w:numPr>
        <w:ilvl w:val="0"/>
        <w:numId w:val="10"/>
      </w:numPr>
      <w:adjustRightInd w:val="0"/>
      <w:snapToGrid w:val="0"/>
      <w:spacing w:line="440" w:lineRule="exact"/>
      <w:ind w:firstLine="200" w:firstLineChars="200"/>
    </w:pPr>
    <w:rPr>
      <w:rFonts w:ascii="宋体" w:hAnsi="Courier New"/>
      <w:sz w:val="26"/>
      <w:szCs w:val="20"/>
    </w:rPr>
  </w:style>
  <w:style w:type="paragraph" w:styleId="66">
    <w:name w:val="List"/>
    <w:basedOn w:val="1"/>
    <w:qFormat/>
    <w:uiPriority w:val="0"/>
    <w:pPr>
      <w:spacing w:line="320" w:lineRule="exact"/>
      <w:jc w:val="center"/>
    </w:pPr>
    <w:rPr>
      <w:sz w:val="22"/>
    </w:rPr>
  </w:style>
  <w:style w:type="paragraph" w:styleId="67">
    <w:name w:val="footnote text"/>
    <w:basedOn w:val="1"/>
    <w:link w:val="503"/>
    <w:qFormat/>
    <w:uiPriority w:val="0"/>
    <w:pPr>
      <w:snapToGrid w:val="0"/>
      <w:jc w:val="left"/>
    </w:pPr>
    <w:rPr>
      <w:rFonts w:asciiTheme="minorHAnsi" w:hAnsiTheme="minorHAnsi" w:eastAsiaTheme="minorEastAsia" w:cstheme="minorBidi"/>
      <w:sz w:val="18"/>
      <w:szCs w:val="18"/>
    </w:rPr>
  </w:style>
  <w:style w:type="paragraph" w:styleId="68">
    <w:name w:val="toc 6"/>
    <w:basedOn w:val="1"/>
    <w:next w:val="1"/>
    <w:qFormat/>
    <w:uiPriority w:val="39"/>
    <w:pPr>
      <w:adjustRightInd w:val="0"/>
      <w:snapToGrid w:val="0"/>
      <w:spacing w:line="440" w:lineRule="exact"/>
      <w:ind w:left="1200" w:firstLine="832" w:firstLineChars="200"/>
      <w:jc w:val="left"/>
    </w:pPr>
    <w:rPr>
      <w:rFonts w:ascii="Calibri" w:hAnsi="Calibri" w:cs="Calibri"/>
      <w:sz w:val="18"/>
      <w:szCs w:val="18"/>
    </w:rPr>
  </w:style>
  <w:style w:type="paragraph" w:styleId="69">
    <w:name w:val="List 5"/>
    <w:basedOn w:val="1"/>
    <w:qFormat/>
    <w:uiPriority w:val="0"/>
    <w:pPr>
      <w:adjustRightInd w:val="0"/>
      <w:snapToGrid w:val="0"/>
      <w:spacing w:line="440" w:lineRule="exact"/>
      <w:ind w:left="100" w:leftChars="800" w:hanging="200" w:hangingChars="200"/>
    </w:pPr>
    <w:rPr>
      <w:rFonts w:ascii="宋体" w:hAnsi="Courier New"/>
      <w:sz w:val="26"/>
      <w:szCs w:val="20"/>
    </w:rPr>
  </w:style>
  <w:style w:type="paragraph" w:styleId="70">
    <w:name w:val="Body Text Indent 3"/>
    <w:basedOn w:val="1"/>
    <w:link w:val="342"/>
    <w:qFormat/>
    <w:uiPriority w:val="0"/>
    <w:pPr>
      <w:spacing w:line="390" w:lineRule="exact"/>
      <w:ind w:firstLine="509" w:firstLineChars="200"/>
    </w:pPr>
    <w:rPr>
      <w:rFonts w:ascii="宋体" w:hAnsi="宋体" w:eastAsiaTheme="minorEastAsia" w:cstheme="minorBidi"/>
      <w:color w:val="FF0000"/>
      <w:sz w:val="24"/>
    </w:rPr>
  </w:style>
  <w:style w:type="paragraph" w:styleId="71">
    <w:name w:val="index 7"/>
    <w:basedOn w:val="1"/>
    <w:next w:val="1"/>
    <w:qFormat/>
    <w:uiPriority w:val="0"/>
    <w:pPr>
      <w:adjustRightInd w:val="0"/>
      <w:snapToGrid w:val="0"/>
      <w:spacing w:line="440" w:lineRule="exact"/>
      <w:ind w:left="1200" w:leftChars="1200" w:firstLine="832" w:firstLineChars="200"/>
    </w:pPr>
    <w:rPr>
      <w:rFonts w:ascii="宋体" w:hAnsi="Courier New"/>
      <w:sz w:val="26"/>
      <w:szCs w:val="20"/>
    </w:rPr>
  </w:style>
  <w:style w:type="paragraph" w:styleId="72">
    <w:name w:val="index 9"/>
    <w:basedOn w:val="1"/>
    <w:next w:val="1"/>
    <w:qFormat/>
    <w:uiPriority w:val="0"/>
    <w:pPr>
      <w:adjustRightInd w:val="0"/>
      <w:snapToGrid w:val="0"/>
      <w:spacing w:line="440" w:lineRule="exact"/>
      <w:ind w:left="1600" w:leftChars="1600" w:firstLine="832" w:firstLineChars="200"/>
    </w:pPr>
    <w:rPr>
      <w:rFonts w:ascii="宋体" w:hAnsi="Courier New"/>
      <w:sz w:val="26"/>
      <w:szCs w:val="20"/>
    </w:rPr>
  </w:style>
  <w:style w:type="paragraph" w:styleId="73">
    <w:name w:val="table of figures"/>
    <w:basedOn w:val="1"/>
    <w:next w:val="1"/>
    <w:qFormat/>
    <w:uiPriority w:val="0"/>
    <w:pPr>
      <w:ind w:left="200" w:leftChars="200" w:hanging="200" w:hangingChars="200"/>
    </w:pPr>
    <w:rPr>
      <w:rFonts w:ascii="Calibri" w:hAnsi="Calibri"/>
    </w:rPr>
  </w:style>
  <w:style w:type="paragraph" w:styleId="74">
    <w:name w:val="toc 2"/>
    <w:basedOn w:val="1"/>
    <w:next w:val="1"/>
    <w:qFormat/>
    <w:uiPriority w:val="39"/>
    <w:pPr>
      <w:ind w:left="420" w:leftChars="200"/>
    </w:pPr>
  </w:style>
  <w:style w:type="paragraph" w:styleId="75">
    <w:name w:val="toc 9"/>
    <w:basedOn w:val="1"/>
    <w:next w:val="1"/>
    <w:qFormat/>
    <w:uiPriority w:val="39"/>
    <w:pPr>
      <w:adjustRightInd w:val="0"/>
      <w:snapToGrid w:val="0"/>
      <w:spacing w:line="440" w:lineRule="exact"/>
      <w:ind w:left="1920" w:firstLine="832" w:firstLineChars="200"/>
      <w:jc w:val="left"/>
    </w:pPr>
    <w:rPr>
      <w:rFonts w:ascii="Calibri" w:hAnsi="Calibri" w:cs="Calibri"/>
      <w:sz w:val="18"/>
      <w:szCs w:val="18"/>
    </w:rPr>
  </w:style>
  <w:style w:type="paragraph" w:styleId="76">
    <w:name w:val="Body Text 2"/>
    <w:basedOn w:val="1"/>
    <w:link w:val="429"/>
    <w:qFormat/>
    <w:uiPriority w:val="0"/>
    <w:pPr>
      <w:spacing w:after="120" w:line="480" w:lineRule="auto"/>
    </w:pPr>
    <w:rPr>
      <w:rFonts w:asciiTheme="minorHAnsi" w:hAnsiTheme="minorHAnsi" w:eastAsiaTheme="minorEastAsia" w:cstheme="minorBidi"/>
    </w:rPr>
  </w:style>
  <w:style w:type="paragraph" w:styleId="77">
    <w:name w:val="List 4"/>
    <w:basedOn w:val="1"/>
    <w:qFormat/>
    <w:uiPriority w:val="0"/>
    <w:pPr>
      <w:adjustRightInd w:val="0"/>
      <w:snapToGrid w:val="0"/>
      <w:spacing w:line="440" w:lineRule="exact"/>
      <w:ind w:left="100" w:leftChars="600" w:hanging="200" w:hangingChars="200"/>
    </w:pPr>
    <w:rPr>
      <w:rFonts w:ascii="宋体" w:hAnsi="Courier New"/>
      <w:sz w:val="26"/>
      <w:szCs w:val="20"/>
    </w:rPr>
  </w:style>
  <w:style w:type="paragraph" w:styleId="78">
    <w:name w:val="List Continue 2"/>
    <w:basedOn w:val="1"/>
    <w:qFormat/>
    <w:uiPriority w:val="0"/>
    <w:pPr>
      <w:adjustRightInd w:val="0"/>
      <w:snapToGrid w:val="0"/>
      <w:spacing w:after="120" w:line="440" w:lineRule="exact"/>
      <w:ind w:left="840" w:leftChars="400" w:firstLine="832" w:firstLineChars="200"/>
    </w:pPr>
    <w:rPr>
      <w:rFonts w:ascii="宋体" w:hAnsi="Courier New"/>
      <w:sz w:val="26"/>
      <w:szCs w:val="20"/>
    </w:rPr>
  </w:style>
  <w:style w:type="paragraph" w:styleId="79">
    <w:name w:val="Message Header"/>
    <w:basedOn w:val="1"/>
    <w:link w:val="1175"/>
    <w:qFormat/>
    <w:uiPriority w:val="0"/>
    <w:pPr>
      <w:pBdr>
        <w:top w:val="single" w:color="auto" w:sz="6" w:space="1"/>
        <w:left w:val="single" w:color="auto" w:sz="6" w:space="1"/>
        <w:bottom w:val="single" w:color="auto" w:sz="6" w:space="1"/>
        <w:right w:val="single" w:color="auto" w:sz="6" w:space="1"/>
      </w:pBdr>
      <w:shd w:val="pct20" w:color="auto" w:fill="auto"/>
      <w:adjustRightInd w:val="0"/>
      <w:snapToGrid w:val="0"/>
      <w:spacing w:line="440" w:lineRule="exact"/>
      <w:ind w:left="1080" w:leftChars="500" w:hanging="1080" w:hangingChars="500"/>
    </w:pPr>
    <w:rPr>
      <w:rFonts w:ascii="Arial" w:hAnsi="Arial" w:cs="Arial"/>
      <w:sz w:val="24"/>
    </w:rPr>
  </w:style>
  <w:style w:type="paragraph" w:styleId="80">
    <w:name w:val="HTML Preformatted"/>
    <w:basedOn w:val="1"/>
    <w:link w:val="435"/>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460" w:lineRule="exact"/>
      <w:jc w:val="left"/>
    </w:pPr>
    <w:rPr>
      <w:rFonts w:ascii="黑体" w:eastAsia="黑体" w:cs="Courier New" w:hAnsiTheme="minorHAnsi"/>
      <w:kern w:val="0"/>
      <w:sz w:val="20"/>
      <w:szCs w:val="20"/>
    </w:rPr>
  </w:style>
  <w:style w:type="paragraph" w:styleId="81">
    <w:name w:val="Normal (Web)"/>
    <w:basedOn w:val="1"/>
    <w:link w:val="127"/>
    <w:qFormat/>
    <w:uiPriority w:val="0"/>
    <w:pPr>
      <w:widowControl/>
      <w:spacing w:before="100" w:beforeAutospacing="1" w:after="100" w:afterAutospacing="1"/>
      <w:jc w:val="left"/>
    </w:pPr>
    <w:rPr>
      <w:rFonts w:ascii="宋体" w:hAnsi="宋体" w:eastAsiaTheme="minorEastAsia" w:cstheme="minorBidi"/>
      <w:kern w:val="0"/>
      <w:sz w:val="24"/>
      <w:szCs w:val="20"/>
    </w:rPr>
  </w:style>
  <w:style w:type="paragraph" w:styleId="82">
    <w:name w:val="List Continue 3"/>
    <w:basedOn w:val="1"/>
    <w:qFormat/>
    <w:uiPriority w:val="0"/>
    <w:pPr>
      <w:adjustRightInd w:val="0"/>
      <w:snapToGrid w:val="0"/>
      <w:spacing w:after="120" w:line="440" w:lineRule="exact"/>
      <w:ind w:left="1260" w:leftChars="600" w:firstLine="832" w:firstLineChars="200"/>
    </w:pPr>
    <w:rPr>
      <w:rFonts w:ascii="宋体" w:hAnsi="Courier New"/>
      <w:sz w:val="26"/>
      <w:szCs w:val="20"/>
    </w:rPr>
  </w:style>
  <w:style w:type="paragraph" w:styleId="83">
    <w:name w:val="index 2"/>
    <w:basedOn w:val="1"/>
    <w:next w:val="1"/>
    <w:qFormat/>
    <w:uiPriority w:val="0"/>
    <w:pPr>
      <w:adjustRightInd w:val="0"/>
      <w:snapToGrid w:val="0"/>
      <w:spacing w:line="440" w:lineRule="exact"/>
      <w:ind w:left="200" w:leftChars="200" w:firstLine="832" w:firstLineChars="200"/>
    </w:pPr>
    <w:rPr>
      <w:rFonts w:ascii="宋体" w:hAnsi="Courier New"/>
      <w:sz w:val="26"/>
      <w:szCs w:val="20"/>
    </w:rPr>
  </w:style>
  <w:style w:type="paragraph" w:styleId="84">
    <w:name w:val="Title"/>
    <w:basedOn w:val="1"/>
    <w:link w:val="287"/>
    <w:qFormat/>
    <w:uiPriority w:val="0"/>
    <w:pPr>
      <w:spacing w:before="240" w:after="60"/>
      <w:jc w:val="center"/>
      <w:outlineLvl w:val="0"/>
    </w:pPr>
    <w:rPr>
      <w:rFonts w:ascii="Arial" w:hAnsi="Arial" w:eastAsiaTheme="minorEastAsia" w:cstheme="minorBidi"/>
      <w:b/>
      <w:sz w:val="32"/>
      <w:szCs w:val="20"/>
    </w:rPr>
  </w:style>
  <w:style w:type="paragraph" w:styleId="85">
    <w:name w:val="annotation subject"/>
    <w:basedOn w:val="28"/>
    <w:next w:val="28"/>
    <w:link w:val="135"/>
    <w:qFormat/>
    <w:uiPriority w:val="0"/>
    <w:rPr>
      <w:rFonts w:asciiTheme="minorHAnsi" w:hAnsiTheme="minorHAnsi" w:eastAsiaTheme="minorEastAsia" w:cstheme="minorBidi"/>
      <w:b/>
      <w:sz w:val="24"/>
      <w:szCs w:val="20"/>
    </w:rPr>
  </w:style>
  <w:style w:type="paragraph" w:styleId="86">
    <w:name w:val="Body Text First Indent"/>
    <w:basedOn w:val="34"/>
    <w:link w:val="385"/>
    <w:qFormat/>
    <w:uiPriority w:val="0"/>
    <w:pPr>
      <w:widowControl w:val="0"/>
      <w:snapToGrid/>
      <w:spacing w:before="0" w:after="120" w:line="240" w:lineRule="auto"/>
      <w:ind w:right="0" w:firstLine="420" w:firstLineChars="100"/>
    </w:pPr>
    <w:rPr>
      <w:kern w:val="2"/>
      <w:sz w:val="21"/>
      <w:szCs w:val="24"/>
    </w:rPr>
  </w:style>
  <w:style w:type="paragraph" w:styleId="87">
    <w:name w:val="Body Text First Indent 2"/>
    <w:basedOn w:val="35"/>
    <w:link w:val="297"/>
    <w:qFormat/>
    <w:uiPriority w:val="0"/>
    <w:pPr>
      <w:ind w:firstLine="420" w:firstLineChars="200"/>
    </w:pPr>
    <w:rPr>
      <w:rFonts w:ascii="Calibri" w:hAnsi="Calibri"/>
      <w:kern w:val="2"/>
      <w:sz w:val="21"/>
      <w:szCs w:val="24"/>
    </w:rPr>
  </w:style>
  <w:style w:type="table" w:styleId="89">
    <w:name w:val="Table Grid"/>
    <w:basedOn w:val="88"/>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Elegant"/>
    <w:basedOn w:val="88"/>
    <w:qFormat/>
    <w:uiPriority w:val="0"/>
    <w:pPr>
      <w:widowControl w:val="0"/>
      <w:jc w:val="both"/>
    </w:pPr>
    <w:rPr>
      <w:rFonts w:ascii="Times New Roman" w:hAnsi="Times New Roman" w:eastAsia="宋体" w:cs="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2">
    <w:name w:val="Table List 3"/>
    <w:basedOn w:val="88"/>
    <w:qFormat/>
    <w:uiPriority w:val="0"/>
    <w:pPr>
      <w:widowControl w:val="0"/>
      <w:jc w:val="both"/>
    </w:pPr>
    <w:rPr>
      <w:rFonts w:ascii="Times New Roman" w:hAnsi="Times New Roman" w:eastAsia="宋体" w:cs="Times New Roman"/>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93">
    <w:name w:val="Table Grid 1"/>
    <w:basedOn w:val="88"/>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94">
    <w:name w:val="Table Professional"/>
    <w:basedOn w:val="88"/>
    <w:qFormat/>
    <w:uiPriority w:val="0"/>
    <w:pPr>
      <w:widowControl w:val="0"/>
      <w:jc w:val="both"/>
    </w:pPr>
    <w:rPr>
      <w:rFonts w:ascii="Times New Roman" w:hAnsi="Times New Roman" w:eastAsia="宋体"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96">
    <w:name w:val="Strong"/>
    <w:qFormat/>
    <w:uiPriority w:val="0"/>
    <w:rPr>
      <w:b/>
      <w:bCs/>
    </w:rPr>
  </w:style>
  <w:style w:type="character" w:styleId="97">
    <w:name w:val="endnote reference"/>
    <w:qFormat/>
    <w:uiPriority w:val="0"/>
    <w:rPr>
      <w:vertAlign w:val="superscript"/>
    </w:rPr>
  </w:style>
  <w:style w:type="character" w:styleId="98">
    <w:name w:val="page number"/>
    <w:basedOn w:val="95"/>
    <w:qFormat/>
    <w:uiPriority w:val="0"/>
  </w:style>
  <w:style w:type="character" w:styleId="99">
    <w:name w:val="FollowedHyperlink"/>
    <w:qFormat/>
    <w:uiPriority w:val="0"/>
    <w:rPr>
      <w:color w:val="800080"/>
      <w:u w:val="single"/>
    </w:rPr>
  </w:style>
  <w:style w:type="character" w:styleId="100">
    <w:name w:val="Emphasis"/>
    <w:qFormat/>
    <w:uiPriority w:val="20"/>
    <w:rPr>
      <w:color w:val="CC0033"/>
    </w:rPr>
  </w:style>
  <w:style w:type="character" w:styleId="101">
    <w:name w:val="line number"/>
    <w:basedOn w:val="95"/>
    <w:qFormat/>
    <w:uiPriority w:val="0"/>
  </w:style>
  <w:style w:type="character" w:styleId="102">
    <w:name w:val="HTML Definition"/>
    <w:basedOn w:val="95"/>
    <w:qFormat/>
    <w:uiPriority w:val="0"/>
  </w:style>
  <w:style w:type="character" w:styleId="103">
    <w:name w:val="HTML Typewriter"/>
    <w:qFormat/>
    <w:uiPriority w:val="0"/>
    <w:rPr>
      <w:rFonts w:ascii="Courier New" w:hAnsi="Courier New" w:cs="Courier New"/>
      <w:sz w:val="20"/>
      <w:szCs w:val="20"/>
    </w:rPr>
  </w:style>
  <w:style w:type="character" w:styleId="104">
    <w:name w:val="HTML Acronym"/>
    <w:basedOn w:val="95"/>
    <w:qFormat/>
    <w:uiPriority w:val="0"/>
  </w:style>
  <w:style w:type="character" w:styleId="105">
    <w:name w:val="HTML Variable"/>
    <w:basedOn w:val="95"/>
    <w:qFormat/>
    <w:uiPriority w:val="0"/>
  </w:style>
  <w:style w:type="character" w:styleId="106">
    <w:name w:val="Hyperlink"/>
    <w:unhideWhenUsed/>
    <w:qFormat/>
    <w:uiPriority w:val="99"/>
    <w:rPr>
      <w:color w:val="0000FF"/>
      <w:u w:val="single"/>
    </w:rPr>
  </w:style>
  <w:style w:type="character" w:styleId="107">
    <w:name w:val="HTML Code"/>
    <w:qFormat/>
    <w:uiPriority w:val="0"/>
    <w:rPr>
      <w:rFonts w:ascii="黑体" w:eastAsia="黑体" w:cs="Courier New"/>
      <w:sz w:val="24"/>
      <w:szCs w:val="24"/>
      <w:lang w:bidi="ar-SA"/>
    </w:rPr>
  </w:style>
  <w:style w:type="character" w:styleId="108">
    <w:name w:val="annotation reference"/>
    <w:qFormat/>
    <w:uiPriority w:val="0"/>
    <w:rPr>
      <w:sz w:val="21"/>
    </w:rPr>
  </w:style>
  <w:style w:type="character" w:styleId="109">
    <w:name w:val="HTML Cite"/>
    <w:basedOn w:val="95"/>
    <w:qFormat/>
    <w:uiPriority w:val="0"/>
  </w:style>
  <w:style w:type="character" w:styleId="110">
    <w:name w:val="footnote reference"/>
    <w:qFormat/>
    <w:uiPriority w:val="0"/>
    <w:rPr>
      <w:vertAlign w:val="superscript"/>
    </w:rPr>
  </w:style>
  <w:style w:type="character" w:styleId="111">
    <w:name w:val="HTML Keyboard"/>
    <w:qFormat/>
    <w:uiPriority w:val="0"/>
    <w:rPr>
      <w:rFonts w:ascii="monospace" w:hAnsi="monospace" w:eastAsia="monospace" w:cs="monospace"/>
      <w:sz w:val="21"/>
      <w:szCs w:val="21"/>
    </w:rPr>
  </w:style>
  <w:style w:type="character" w:styleId="112">
    <w:name w:val="HTML Sample"/>
    <w:qFormat/>
    <w:uiPriority w:val="0"/>
    <w:rPr>
      <w:rFonts w:ascii="Courier New" w:hAnsi="Courier New" w:cs="Courier New"/>
    </w:rPr>
  </w:style>
  <w:style w:type="paragraph" w:customStyle="1" w:styleId="113">
    <w:name w:val="WPSOffice手动目录 1"/>
    <w:qFormat/>
    <w:uiPriority w:val="0"/>
    <w:rPr>
      <w:rFonts w:asciiTheme="minorHAnsi" w:hAnsiTheme="minorHAnsi" w:eastAsiaTheme="minorEastAsia" w:cstheme="minorBidi"/>
      <w:lang w:val="en-US" w:eastAsia="zh-CN" w:bidi="ar-SA"/>
    </w:rPr>
  </w:style>
  <w:style w:type="character" w:customStyle="1" w:styleId="114">
    <w:name w:val="页眉 字符"/>
    <w:basedOn w:val="95"/>
    <w:link w:val="58"/>
    <w:qFormat/>
    <w:uiPriority w:val="0"/>
    <w:rPr>
      <w:rFonts w:ascii="Times New Roman" w:hAnsi="Times New Roman" w:eastAsia="宋体" w:cs="Times New Roman"/>
      <w:kern w:val="2"/>
      <w:sz w:val="18"/>
      <w:szCs w:val="18"/>
    </w:rPr>
  </w:style>
  <w:style w:type="character" w:customStyle="1" w:styleId="115">
    <w:name w:val="标题 1 字符"/>
    <w:basedOn w:val="95"/>
    <w:qFormat/>
    <w:uiPriority w:val="9"/>
    <w:rPr>
      <w:rFonts w:ascii="Times New Roman" w:hAnsi="Times New Roman" w:eastAsia="宋体" w:cs="Times New Roman"/>
      <w:b/>
      <w:bCs/>
      <w:kern w:val="44"/>
      <w:sz w:val="44"/>
      <w:szCs w:val="44"/>
    </w:rPr>
  </w:style>
  <w:style w:type="character" w:customStyle="1" w:styleId="116">
    <w:name w:val="标题 2 字符"/>
    <w:basedOn w:val="95"/>
    <w:qFormat/>
    <w:uiPriority w:val="0"/>
    <w:rPr>
      <w:rFonts w:asciiTheme="majorHAnsi" w:hAnsiTheme="majorHAnsi" w:eastAsiaTheme="majorEastAsia" w:cstheme="majorBidi"/>
      <w:b/>
      <w:bCs/>
      <w:kern w:val="2"/>
      <w:sz w:val="32"/>
      <w:szCs w:val="32"/>
    </w:rPr>
  </w:style>
  <w:style w:type="character" w:customStyle="1" w:styleId="117">
    <w:name w:val="标题 3 字符"/>
    <w:basedOn w:val="95"/>
    <w:qFormat/>
    <w:uiPriority w:val="0"/>
    <w:rPr>
      <w:rFonts w:ascii="Times New Roman" w:hAnsi="Times New Roman" w:eastAsia="宋体" w:cs="Times New Roman"/>
      <w:b/>
      <w:bCs/>
      <w:kern w:val="2"/>
      <w:sz w:val="32"/>
      <w:szCs w:val="32"/>
    </w:rPr>
  </w:style>
  <w:style w:type="character" w:customStyle="1" w:styleId="118">
    <w:name w:val="标题 4 字符"/>
    <w:basedOn w:val="95"/>
    <w:qFormat/>
    <w:uiPriority w:val="0"/>
    <w:rPr>
      <w:rFonts w:asciiTheme="majorHAnsi" w:hAnsiTheme="majorHAnsi" w:eastAsiaTheme="majorEastAsia" w:cstheme="majorBidi"/>
      <w:b/>
      <w:bCs/>
      <w:kern w:val="2"/>
      <w:sz w:val="28"/>
      <w:szCs w:val="28"/>
    </w:rPr>
  </w:style>
  <w:style w:type="character" w:customStyle="1" w:styleId="119">
    <w:name w:val="标题 5 字符"/>
    <w:basedOn w:val="95"/>
    <w:qFormat/>
    <w:uiPriority w:val="0"/>
    <w:rPr>
      <w:rFonts w:ascii="Times New Roman" w:hAnsi="Times New Roman" w:eastAsia="宋体" w:cs="Times New Roman"/>
      <w:b/>
      <w:bCs/>
      <w:kern w:val="2"/>
      <w:sz w:val="28"/>
      <w:szCs w:val="28"/>
    </w:rPr>
  </w:style>
  <w:style w:type="character" w:customStyle="1" w:styleId="120">
    <w:name w:val="标题 6 字符"/>
    <w:basedOn w:val="95"/>
    <w:qFormat/>
    <w:uiPriority w:val="0"/>
    <w:rPr>
      <w:rFonts w:asciiTheme="majorHAnsi" w:hAnsiTheme="majorHAnsi" w:eastAsiaTheme="majorEastAsia" w:cstheme="majorBidi"/>
      <w:b/>
      <w:bCs/>
      <w:kern w:val="2"/>
      <w:sz w:val="24"/>
      <w:szCs w:val="24"/>
    </w:rPr>
  </w:style>
  <w:style w:type="character" w:customStyle="1" w:styleId="121">
    <w:name w:val="标题 7 字符"/>
    <w:basedOn w:val="95"/>
    <w:qFormat/>
    <w:uiPriority w:val="0"/>
    <w:rPr>
      <w:rFonts w:ascii="Times New Roman" w:hAnsi="Times New Roman" w:eastAsia="宋体" w:cs="Times New Roman"/>
      <w:b/>
      <w:bCs/>
      <w:kern w:val="2"/>
      <w:sz w:val="24"/>
      <w:szCs w:val="24"/>
    </w:rPr>
  </w:style>
  <w:style w:type="character" w:customStyle="1" w:styleId="122">
    <w:name w:val="标题 8 字符"/>
    <w:basedOn w:val="95"/>
    <w:qFormat/>
    <w:uiPriority w:val="0"/>
    <w:rPr>
      <w:rFonts w:asciiTheme="majorHAnsi" w:hAnsiTheme="majorHAnsi" w:eastAsiaTheme="majorEastAsia" w:cstheme="majorBidi"/>
      <w:kern w:val="2"/>
      <w:sz w:val="24"/>
      <w:szCs w:val="24"/>
    </w:rPr>
  </w:style>
  <w:style w:type="character" w:customStyle="1" w:styleId="123">
    <w:name w:val="标题 9 字符"/>
    <w:basedOn w:val="95"/>
    <w:qFormat/>
    <w:uiPriority w:val="0"/>
    <w:rPr>
      <w:rFonts w:asciiTheme="majorHAnsi" w:hAnsiTheme="majorHAnsi" w:eastAsiaTheme="majorEastAsia" w:cstheme="majorBidi"/>
      <w:kern w:val="2"/>
      <w:sz w:val="21"/>
      <w:szCs w:val="21"/>
    </w:rPr>
  </w:style>
  <w:style w:type="character" w:customStyle="1" w:styleId="124">
    <w:name w:val="页脚 字符2"/>
    <w:link w:val="56"/>
    <w:qFormat/>
    <w:locked/>
    <w:uiPriority w:val="99"/>
    <w:rPr>
      <w:rFonts w:ascii="Times New Roman" w:hAnsi="Times New Roman" w:eastAsia="宋体" w:cs="Times New Roman"/>
      <w:sz w:val="18"/>
    </w:rPr>
  </w:style>
  <w:style w:type="character" w:customStyle="1" w:styleId="125">
    <w:name w:val="日期 字符2"/>
    <w:link w:val="51"/>
    <w:qFormat/>
    <w:locked/>
    <w:uiPriority w:val="0"/>
    <w:rPr>
      <w:sz w:val="24"/>
    </w:rPr>
  </w:style>
  <w:style w:type="character" w:customStyle="1" w:styleId="126">
    <w:name w:val="页脚 字符"/>
    <w:basedOn w:val="95"/>
    <w:qFormat/>
    <w:uiPriority w:val="99"/>
  </w:style>
  <w:style w:type="character" w:customStyle="1" w:styleId="127">
    <w:name w:val="普通(网站) 字符"/>
    <w:link w:val="81"/>
    <w:qFormat/>
    <w:locked/>
    <w:uiPriority w:val="0"/>
    <w:rPr>
      <w:rFonts w:ascii="宋体" w:hAnsi="宋体"/>
      <w:sz w:val="24"/>
    </w:rPr>
  </w:style>
  <w:style w:type="character" w:customStyle="1" w:styleId="128">
    <w:name w:val="正文文本 字符1"/>
    <w:semiHidden/>
    <w:qFormat/>
    <w:uiPriority w:val="0"/>
    <w:rPr>
      <w:rFonts w:ascii="Times New Roman" w:hAnsi="Times New Roman" w:eastAsia="宋体"/>
      <w:sz w:val="24"/>
    </w:rPr>
  </w:style>
  <w:style w:type="character" w:customStyle="1" w:styleId="129">
    <w:name w:val="正文文本 字符2"/>
    <w:link w:val="34"/>
    <w:qFormat/>
    <w:locked/>
    <w:uiPriority w:val="0"/>
    <w:rPr>
      <w:sz w:val="18"/>
    </w:rPr>
  </w:style>
  <w:style w:type="character" w:customStyle="1" w:styleId="130">
    <w:name w:val="批注文字 Char"/>
    <w:qFormat/>
    <w:locked/>
    <w:uiPriority w:val="0"/>
    <w:rPr>
      <w:rFonts w:ascii="Times New Roman" w:hAnsi="Times New Roman" w:eastAsia="宋体"/>
      <w:sz w:val="24"/>
    </w:rPr>
  </w:style>
  <w:style w:type="character" w:customStyle="1" w:styleId="131">
    <w:name w:val="表格 Char"/>
    <w:link w:val="132"/>
    <w:qFormat/>
    <w:locked/>
    <w:uiPriority w:val="0"/>
    <w:rPr>
      <w:rFonts w:ascii="宋体"/>
      <w:sz w:val="21"/>
    </w:rPr>
  </w:style>
  <w:style w:type="paragraph" w:customStyle="1" w:styleId="132">
    <w:name w:val="表格"/>
    <w:basedOn w:val="1"/>
    <w:next w:val="1"/>
    <w:link w:val="131"/>
    <w:qFormat/>
    <w:uiPriority w:val="0"/>
    <w:pPr>
      <w:adjustRightInd w:val="0"/>
      <w:snapToGrid w:val="0"/>
      <w:spacing w:beforeLines="10" w:afterLines="10" w:line="259" w:lineRule="auto"/>
      <w:jc w:val="center"/>
    </w:pPr>
    <w:rPr>
      <w:rFonts w:ascii="宋体" w:hAnsiTheme="minorHAnsi" w:eastAsiaTheme="minorEastAsia" w:cstheme="minorBidi"/>
      <w:kern w:val="0"/>
      <w:szCs w:val="20"/>
    </w:rPr>
  </w:style>
  <w:style w:type="character" w:customStyle="1" w:styleId="133">
    <w:name w:val="日期 字符"/>
    <w:qFormat/>
    <w:uiPriority w:val="0"/>
    <w:rPr>
      <w:rFonts w:ascii="Times New Roman" w:hAnsi="Times New Roman" w:eastAsia="宋体"/>
      <w:sz w:val="24"/>
    </w:rPr>
  </w:style>
  <w:style w:type="character" w:customStyle="1" w:styleId="134">
    <w:name w:val="批注框文本 字符1"/>
    <w:link w:val="55"/>
    <w:qFormat/>
    <w:locked/>
    <w:uiPriority w:val="0"/>
    <w:rPr>
      <w:sz w:val="18"/>
    </w:rPr>
  </w:style>
  <w:style w:type="character" w:customStyle="1" w:styleId="135">
    <w:name w:val="批注主题 字符2"/>
    <w:link w:val="85"/>
    <w:qFormat/>
    <w:locked/>
    <w:uiPriority w:val="0"/>
    <w:rPr>
      <w:b/>
      <w:kern w:val="2"/>
      <w:sz w:val="24"/>
    </w:rPr>
  </w:style>
  <w:style w:type="character" w:customStyle="1" w:styleId="136">
    <w:name w:val="页眉 Char"/>
    <w:qFormat/>
    <w:locked/>
    <w:uiPriority w:val="0"/>
    <w:rPr>
      <w:sz w:val="18"/>
    </w:rPr>
  </w:style>
  <w:style w:type="character" w:customStyle="1" w:styleId="137">
    <w:name w:val="批注文字 字符1"/>
    <w:semiHidden/>
    <w:qFormat/>
    <w:uiPriority w:val="0"/>
    <w:rPr>
      <w:rFonts w:ascii="Times New Roman" w:hAnsi="Times New Roman" w:eastAsia="宋体"/>
      <w:sz w:val="24"/>
    </w:rPr>
  </w:style>
  <w:style w:type="character" w:customStyle="1" w:styleId="138">
    <w:name w:val="正文文本缩进 字符2"/>
    <w:link w:val="35"/>
    <w:qFormat/>
    <w:locked/>
    <w:uiPriority w:val="0"/>
    <w:rPr>
      <w:sz w:val="24"/>
    </w:rPr>
  </w:style>
  <w:style w:type="character" w:customStyle="1" w:styleId="139">
    <w:name w:val="页脚 字符1"/>
    <w:basedOn w:val="95"/>
    <w:qFormat/>
    <w:uiPriority w:val="0"/>
    <w:rPr>
      <w:kern w:val="2"/>
      <w:sz w:val="18"/>
      <w:szCs w:val="18"/>
    </w:rPr>
  </w:style>
  <w:style w:type="character" w:customStyle="1" w:styleId="140">
    <w:name w:val="正文文本 字符"/>
    <w:basedOn w:val="95"/>
    <w:qFormat/>
    <w:uiPriority w:val="0"/>
    <w:rPr>
      <w:rFonts w:ascii="Times New Roman" w:hAnsi="Times New Roman" w:eastAsia="宋体" w:cs="Times New Roman"/>
      <w:kern w:val="2"/>
      <w:sz w:val="21"/>
      <w:szCs w:val="24"/>
    </w:rPr>
  </w:style>
  <w:style w:type="character" w:customStyle="1" w:styleId="141">
    <w:name w:val="批注框文本 字符"/>
    <w:basedOn w:val="95"/>
    <w:qFormat/>
    <w:uiPriority w:val="0"/>
    <w:rPr>
      <w:rFonts w:ascii="Times New Roman" w:hAnsi="Times New Roman" w:eastAsia="宋体" w:cs="Times New Roman"/>
      <w:kern w:val="2"/>
      <w:sz w:val="18"/>
      <w:szCs w:val="18"/>
    </w:rPr>
  </w:style>
  <w:style w:type="character" w:customStyle="1" w:styleId="142">
    <w:name w:val="批注文字 字符"/>
    <w:basedOn w:val="95"/>
    <w:link w:val="28"/>
    <w:qFormat/>
    <w:uiPriority w:val="0"/>
    <w:rPr>
      <w:rFonts w:ascii="Times New Roman" w:hAnsi="Times New Roman" w:eastAsia="宋体" w:cs="Times New Roman"/>
      <w:kern w:val="2"/>
      <w:sz w:val="21"/>
      <w:szCs w:val="24"/>
    </w:rPr>
  </w:style>
  <w:style w:type="character" w:customStyle="1" w:styleId="143">
    <w:name w:val="批注主题 字符"/>
    <w:basedOn w:val="142"/>
    <w:qFormat/>
    <w:uiPriority w:val="99"/>
    <w:rPr>
      <w:rFonts w:ascii="Times New Roman" w:hAnsi="Times New Roman" w:eastAsia="宋体" w:cs="Times New Roman"/>
      <w:b/>
      <w:bCs/>
      <w:kern w:val="2"/>
      <w:sz w:val="21"/>
      <w:szCs w:val="24"/>
    </w:rPr>
  </w:style>
  <w:style w:type="character" w:customStyle="1" w:styleId="144">
    <w:name w:val="日期 字符1"/>
    <w:basedOn w:val="95"/>
    <w:qFormat/>
    <w:uiPriority w:val="0"/>
    <w:rPr>
      <w:rFonts w:ascii="Times New Roman" w:hAnsi="Times New Roman" w:eastAsia="宋体" w:cs="Times New Roman"/>
      <w:kern w:val="2"/>
      <w:sz w:val="21"/>
      <w:szCs w:val="24"/>
    </w:rPr>
  </w:style>
  <w:style w:type="character" w:customStyle="1" w:styleId="145">
    <w:name w:val="正文文本缩进 字符"/>
    <w:basedOn w:val="95"/>
    <w:qFormat/>
    <w:uiPriority w:val="99"/>
    <w:rPr>
      <w:rFonts w:ascii="Times New Roman" w:hAnsi="Times New Roman" w:eastAsia="宋体" w:cs="Times New Roman"/>
      <w:kern w:val="2"/>
      <w:sz w:val="21"/>
      <w:szCs w:val="24"/>
    </w:rPr>
  </w:style>
  <w:style w:type="paragraph" w:customStyle="1" w:styleId="14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47">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148">
    <w:name w:val="正文_1 Char"/>
    <w:link w:val="149"/>
    <w:qFormat/>
    <w:uiPriority w:val="0"/>
    <w:rPr>
      <w:kern w:val="2"/>
      <w:sz w:val="24"/>
      <w:szCs w:val="24"/>
    </w:rPr>
  </w:style>
  <w:style w:type="paragraph" w:customStyle="1" w:styleId="149">
    <w:name w:val="正文_1"/>
    <w:basedOn w:val="1"/>
    <w:link w:val="148"/>
    <w:qFormat/>
    <w:uiPriority w:val="0"/>
    <w:pPr>
      <w:spacing w:line="360" w:lineRule="auto"/>
      <w:ind w:firstLine="200" w:firstLineChars="200"/>
      <w:jc w:val="left"/>
    </w:pPr>
    <w:rPr>
      <w:rFonts w:asciiTheme="minorHAnsi" w:hAnsiTheme="minorHAnsi" w:eastAsiaTheme="minorEastAsia" w:cstheme="minorBidi"/>
      <w:sz w:val="24"/>
    </w:rPr>
  </w:style>
  <w:style w:type="character" w:customStyle="1" w:styleId="150">
    <w:name w:val="纯文本 字符2"/>
    <w:link w:val="45"/>
    <w:qFormat/>
    <w:uiPriority w:val="0"/>
    <w:rPr>
      <w:rFonts w:ascii="宋体" w:hAnsi="Courier New"/>
      <w:kern w:val="2"/>
      <w:sz w:val="24"/>
    </w:rPr>
  </w:style>
  <w:style w:type="character" w:customStyle="1" w:styleId="151">
    <w:name w:val="纯文本 字符"/>
    <w:basedOn w:val="95"/>
    <w:qFormat/>
    <w:uiPriority w:val="0"/>
    <w:rPr>
      <w:rFonts w:hAnsi="Courier New" w:cs="Courier New" w:asciiTheme="minorEastAsia"/>
      <w:kern w:val="2"/>
      <w:sz w:val="21"/>
      <w:szCs w:val="24"/>
    </w:rPr>
  </w:style>
  <w:style w:type="character" w:customStyle="1" w:styleId="152">
    <w:name w:val="纯文本 Char1"/>
    <w:qFormat/>
    <w:uiPriority w:val="0"/>
    <w:rPr>
      <w:rFonts w:ascii="宋体" w:hAnsi="Courier New" w:cs="Courier New"/>
      <w:kern w:val="2"/>
      <w:sz w:val="21"/>
      <w:szCs w:val="21"/>
    </w:rPr>
  </w:style>
  <w:style w:type="character" w:customStyle="1" w:styleId="153">
    <w:name w:val="正文4 Char"/>
    <w:link w:val="154"/>
    <w:qFormat/>
    <w:uiPriority w:val="0"/>
    <w:rPr>
      <w:rFonts w:ascii="宋体" w:hAnsi="宋体"/>
      <w:color w:val="000000"/>
      <w:kern w:val="2"/>
      <w:sz w:val="24"/>
      <w:szCs w:val="24"/>
    </w:rPr>
  </w:style>
  <w:style w:type="paragraph" w:customStyle="1" w:styleId="154">
    <w:name w:val="正文4"/>
    <w:basedOn w:val="1"/>
    <w:link w:val="153"/>
    <w:qFormat/>
    <w:uiPriority w:val="0"/>
    <w:pPr>
      <w:spacing w:line="360" w:lineRule="auto"/>
      <w:ind w:firstLine="480" w:firstLineChars="200"/>
    </w:pPr>
    <w:rPr>
      <w:rFonts w:ascii="宋体" w:hAnsi="宋体" w:eastAsiaTheme="minorEastAsia" w:cstheme="minorBidi"/>
      <w:color w:val="000000"/>
      <w:sz w:val="24"/>
    </w:rPr>
  </w:style>
  <w:style w:type="character" w:customStyle="1" w:styleId="155">
    <w:name w:val="表格正文 Char"/>
    <w:link w:val="156"/>
    <w:qFormat/>
    <w:uiPriority w:val="0"/>
    <w:rPr>
      <w:kern w:val="2"/>
      <w:sz w:val="21"/>
      <w:szCs w:val="24"/>
    </w:rPr>
  </w:style>
  <w:style w:type="paragraph" w:customStyle="1" w:styleId="156">
    <w:name w:val="表格正文"/>
    <w:basedOn w:val="1"/>
    <w:link w:val="155"/>
    <w:qFormat/>
    <w:uiPriority w:val="0"/>
    <w:pPr>
      <w:widowControl/>
      <w:spacing w:line="360" w:lineRule="exact"/>
      <w:ind w:firstLine="200" w:firstLineChars="200"/>
      <w:jc w:val="center"/>
    </w:pPr>
    <w:rPr>
      <w:rFonts w:asciiTheme="minorHAnsi" w:hAnsiTheme="minorHAnsi" w:eastAsiaTheme="minorEastAsia" w:cstheme="minorBidi"/>
    </w:rPr>
  </w:style>
  <w:style w:type="character" w:customStyle="1" w:styleId="157">
    <w:name w:val="表格标题 Char"/>
    <w:link w:val="158"/>
    <w:qFormat/>
    <w:uiPriority w:val="0"/>
    <w:rPr>
      <w:rFonts w:ascii="宋体"/>
      <w:kern w:val="2"/>
      <w:sz w:val="24"/>
    </w:rPr>
  </w:style>
  <w:style w:type="paragraph" w:customStyle="1" w:styleId="158">
    <w:name w:val="表格标题"/>
    <w:basedOn w:val="1"/>
    <w:link w:val="157"/>
    <w:qFormat/>
    <w:uiPriority w:val="0"/>
    <w:pPr>
      <w:widowControl/>
      <w:spacing w:before="120" w:line="360" w:lineRule="auto"/>
      <w:ind w:firstLine="200" w:firstLineChars="200"/>
      <w:jc w:val="center"/>
    </w:pPr>
    <w:rPr>
      <w:rFonts w:ascii="宋体" w:hAnsiTheme="minorHAnsi" w:eastAsiaTheme="minorEastAsia" w:cstheme="minorBidi"/>
      <w:sz w:val="24"/>
      <w:szCs w:val="20"/>
    </w:rPr>
  </w:style>
  <w:style w:type="character" w:customStyle="1" w:styleId="159">
    <w:name w:val="标题33 Char"/>
    <w:link w:val="160"/>
    <w:qFormat/>
    <w:uiPriority w:val="0"/>
    <w:rPr>
      <w:rFonts w:ascii="Cambria" w:hAnsi="Cambria" w:eastAsia="Times New Roman"/>
      <w:b/>
      <w:bCs/>
      <w:kern w:val="28"/>
      <w:sz w:val="24"/>
      <w:szCs w:val="32"/>
    </w:rPr>
  </w:style>
  <w:style w:type="paragraph" w:customStyle="1" w:styleId="160">
    <w:name w:val="标题33"/>
    <w:basedOn w:val="64"/>
    <w:link w:val="159"/>
    <w:qFormat/>
    <w:uiPriority w:val="0"/>
    <w:pPr>
      <w:widowControl/>
      <w:spacing w:before="0" w:after="0" w:line="360" w:lineRule="auto"/>
      <w:jc w:val="left"/>
      <w:outlineLvl w:val="2"/>
    </w:pPr>
    <w:rPr>
      <w:rFonts w:eastAsia="Times New Roman" w:cstheme="minorBidi"/>
      <w:sz w:val="24"/>
    </w:rPr>
  </w:style>
  <w:style w:type="character" w:customStyle="1" w:styleId="161">
    <w:name w:val="副标题 字符"/>
    <w:basedOn w:val="95"/>
    <w:qFormat/>
    <w:uiPriority w:val="0"/>
    <w:rPr>
      <w:b/>
      <w:bCs/>
      <w:kern w:val="28"/>
      <w:sz w:val="32"/>
      <w:szCs w:val="32"/>
    </w:rPr>
  </w:style>
  <w:style w:type="character" w:customStyle="1" w:styleId="162">
    <w:name w:val="副标题 字符1"/>
    <w:link w:val="64"/>
    <w:qFormat/>
    <w:uiPriority w:val="0"/>
    <w:rPr>
      <w:rFonts w:ascii="Cambria" w:hAnsi="Cambria" w:eastAsia="宋体" w:cs="Times New Roman"/>
      <w:b/>
      <w:bCs/>
      <w:kern w:val="28"/>
      <w:sz w:val="32"/>
      <w:szCs w:val="32"/>
    </w:rPr>
  </w:style>
  <w:style w:type="character" w:customStyle="1" w:styleId="163">
    <w:name w:val="表格3333 Char"/>
    <w:link w:val="164"/>
    <w:qFormat/>
    <w:uiPriority w:val="0"/>
    <w:rPr>
      <w:color w:val="000000"/>
      <w:kern w:val="2"/>
      <w:sz w:val="21"/>
      <w:szCs w:val="21"/>
    </w:rPr>
  </w:style>
  <w:style w:type="paragraph" w:customStyle="1" w:styleId="164">
    <w:name w:val="表格3333"/>
    <w:basedOn w:val="1"/>
    <w:link w:val="163"/>
    <w:qFormat/>
    <w:uiPriority w:val="0"/>
    <w:pPr>
      <w:widowControl/>
      <w:adjustRightInd w:val="0"/>
      <w:spacing w:line="240" w:lineRule="atLeast"/>
      <w:jc w:val="center"/>
    </w:pPr>
    <w:rPr>
      <w:rFonts w:asciiTheme="minorHAnsi" w:hAnsiTheme="minorHAnsi" w:eastAsiaTheme="minorEastAsia" w:cstheme="minorBidi"/>
      <w:color w:val="000000"/>
      <w:szCs w:val="21"/>
    </w:rPr>
  </w:style>
  <w:style w:type="character" w:customStyle="1" w:styleId="165">
    <w:name w:val="标题333 Char"/>
    <w:link w:val="166"/>
    <w:qFormat/>
    <w:uiPriority w:val="0"/>
    <w:rPr>
      <w:rFonts w:eastAsia="Times New Roman"/>
      <w:b/>
      <w:bCs/>
      <w:kern w:val="28"/>
      <w:sz w:val="24"/>
      <w:szCs w:val="32"/>
    </w:rPr>
  </w:style>
  <w:style w:type="paragraph" w:customStyle="1" w:styleId="166">
    <w:name w:val="标题333"/>
    <w:basedOn w:val="1"/>
    <w:link w:val="165"/>
    <w:qFormat/>
    <w:uiPriority w:val="0"/>
    <w:pPr>
      <w:widowControl/>
      <w:spacing w:line="360" w:lineRule="auto"/>
      <w:jc w:val="left"/>
      <w:outlineLvl w:val="2"/>
    </w:pPr>
    <w:rPr>
      <w:rFonts w:eastAsia="Times New Roman" w:asciiTheme="minorHAnsi" w:hAnsiTheme="minorHAnsi" w:cstheme="minorBidi"/>
      <w:b/>
      <w:bCs/>
      <w:kern w:val="28"/>
      <w:sz w:val="24"/>
      <w:szCs w:val="32"/>
    </w:rPr>
  </w:style>
  <w:style w:type="character" w:customStyle="1" w:styleId="167">
    <w:name w:val="表格1 Char"/>
    <w:link w:val="168"/>
    <w:qFormat/>
    <w:uiPriority w:val="0"/>
    <w:rPr>
      <w:rFonts w:hAnsi="宋体"/>
      <w:color w:val="000000"/>
      <w:sz w:val="21"/>
      <w:szCs w:val="21"/>
    </w:rPr>
  </w:style>
  <w:style w:type="paragraph" w:customStyle="1" w:styleId="168">
    <w:name w:val="表格1"/>
    <w:basedOn w:val="1"/>
    <w:link w:val="167"/>
    <w:qFormat/>
    <w:uiPriority w:val="0"/>
    <w:pPr>
      <w:widowControl/>
      <w:jc w:val="center"/>
    </w:pPr>
    <w:rPr>
      <w:rFonts w:hAnsi="宋体" w:asciiTheme="minorHAnsi" w:eastAsiaTheme="minorEastAsia" w:cstheme="minorBidi"/>
      <w:color w:val="000000"/>
      <w:kern w:val="0"/>
      <w:szCs w:val="21"/>
    </w:rPr>
  </w:style>
  <w:style w:type="character" w:customStyle="1" w:styleId="169">
    <w:name w:val="标题22 Char"/>
    <w:link w:val="170"/>
    <w:qFormat/>
    <w:uiPriority w:val="0"/>
    <w:rPr>
      <w:rFonts w:ascii="宋体" w:hAnsi="宋体"/>
      <w:b/>
      <w:kern w:val="2"/>
      <w:sz w:val="28"/>
      <w:szCs w:val="28"/>
    </w:rPr>
  </w:style>
  <w:style w:type="paragraph" w:customStyle="1" w:styleId="170">
    <w:name w:val="标题22"/>
    <w:basedOn w:val="1"/>
    <w:link w:val="169"/>
    <w:qFormat/>
    <w:uiPriority w:val="0"/>
    <w:pPr>
      <w:widowControl/>
      <w:spacing w:line="360" w:lineRule="auto"/>
      <w:outlineLvl w:val="1"/>
    </w:pPr>
    <w:rPr>
      <w:rFonts w:ascii="宋体" w:hAnsi="宋体" w:eastAsiaTheme="minorEastAsia" w:cstheme="minorBidi"/>
      <w:b/>
      <w:sz w:val="28"/>
      <w:szCs w:val="28"/>
    </w:rPr>
  </w:style>
  <w:style w:type="character" w:customStyle="1" w:styleId="171">
    <w:name w:val="标题 2 字符2"/>
    <w:link w:val="4"/>
    <w:qFormat/>
    <w:uiPriority w:val="0"/>
    <w:rPr>
      <w:rFonts w:ascii="Cambria" w:hAnsi="Cambria" w:eastAsia="宋体" w:cs="Times New Roman"/>
      <w:b/>
      <w:bCs/>
      <w:kern w:val="2"/>
      <w:sz w:val="32"/>
      <w:szCs w:val="32"/>
    </w:rPr>
  </w:style>
  <w:style w:type="character" w:customStyle="1" w:styleId="172">
    <w:name w:val="正文缩进 字符1"/>
    <w:link w:val="21"/>
    <w:qFormat/>
    <w:uiPriority w:val="0"/>
    <w:rPr>
      <w:rFonts w:ascii="Times New Roman" w:hAnsi="Times New Roman" w:eastAsia="宋体" w:cs="Times New Roman"/>
      <w:kern w:val="2"/>
      <w:sz w:val="24"/>
    </w:rPr>
  </w:style>
  <w:style w:type="paragraph" w:customStyle="1" w:styleId="17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74">
    <w:name w:val="Normal+2"/>
    <w:basedOn w:val="173"/>
    <w:next w:val="173"/>
    <w:qFormat/>
    <w:uiPriority w:val="99"/>
    <w:rPr>
      <w:rFonts w:cs="Times New Roman"/>
      <w:color w:val="auto"/>
    </w:rPr>
  </w:style>
  <w:style w:type="character" w:customStyle="1" w:styleId="175">
    <w:name w:val="样式2表头 Char"/>
    <w:link w:val="176"/>
    <w:qFormat/>
    <w:locked/>
    <w:uiPriority w:val="0"/>
    <w:rPr>
      <w:rFonts w:eastAsia="Times New Roman"/>
      <w:kern w:val="2"/>
      <w:sz w:val="24"/>
      <w:szCs w:val="18"/>
    </w:rPr>
  </w:style>
  <w:style w:type="paragraph" w:customStyle="1" w:styleId="176">
    <w:name w:val="样式2表头"/>
    <w:basedOn w:val="1"/>
    <w:link w:val="175"/>
    <w:qFormat/>
    <w:uiPriority w:val="0"/>
    <w:pPr>
      <w:widowControl/>
      <w:spacing w:line="480" w:lineRule="exact"/>
      <w:ind w:firstLine="200" w:firstLineChars="200"/>
      <w:jc w:val="center"/>
    </w:pPr>
    <w:rPr>
      <w:rFonts w:eastAsia="Times New Roman" w:asciiTheme="minorHAnsi" w:hAnsiTheme="minorHAnsi" w:cstheme="minorBidi"/>
      <w:sz w:val="24"/>
      <w:szCs w:val="18"/>
    </w:rPr>
  </w:style>
  <w:style w:type="character" w:customStyle="1" w:styleId="177">
    <w:name w:val="样式5 正文 Char"/>
    <w:link w:val="178"/>
    <w:qFormat/>
    <w:uiPriority w:val="0"/>
    <w:rPr>
      <w:rFonts w:eastAsia="仿宋"/>
      <w:kern w:val="2"/>
      <w:sz w:val="28"/>
      <w:szCs w:val="28"/>
    </w:rPr>
  </w:style>
  <w:style w:type="paragraph" w:customStyle="1" w:styleId="178">
    <w:name w:val="样式5 正文"/>
    <w:basedOn w:val="1"/>
    <w:link w:val="177"/>
    <w:qFormat/>
    <w:uiPriority w:val="0"/>
    <w:pPr>
      <w:adjustRightInd w:val="0"/>
      <w:snapToGrid w:val="0"/>
      <w:spacing w:line="500" w:lineRule="exact"/>
      <w:ind w:firstLine="200" w:firstLineChars="200"/>
    </w:pPr>
    <w:rPr>
      <w:rFonts w:eastAsia="仿宋" w:asciiTheme="minorHAnsi" w:hAnsiTheme="minorHAnsi" w:cstheme="minorBidi"/>
      <w:sz w:val="28"/>
      <w:szCs w:val="28"/>
    </w:rPr>
  </w:style>
  <w:style w:type="paragraph" w:customStyle="1" w:styleId="179">
    <w:name w:val="表格6"/>
    <w:basedOn w:val="1"/>
    <w:link w:val="181"/>
    <w:qFormat/>
    <w:uiPriority w:val="0"/>
    <w:pPr>
      <w:widowControl/>
      <w:spacing w:line="240" w:lineRule="exact"/>
      <w:jc w:val="center"/>
    </w:pPr>
    <w:rPr>
      <w:color w:val="000000"/>
      <w:szCs w:val="21"/>
    </w:rPr>
  </w:style>
  <w:style w:type="paragraph" w:customStyle="1" w:styleId="180">
    <w:name w:val="Char1"/>
    <w:basedOn w:val="1"/>
    <w:qFormat/>
    <w:uiPriority w:val="0"/>
  </w:style>
  <w:style w:type="character" w:customStyle="1" w:styleId="181">
    <w:name w:val="表格6 Char"/>
    <w:link w:val="179"/>
    <w:qFormat/>
    <w:uiPriority w:val="0"/>
    <w:rPr>
      <w:rFonts w:ascii="Times New Roman" w:hAnsi="Times New Roman" w:eastAsia="宋体" w:cs="Times New Roman"/>
      <w:color w:val="000000"/>
      <w:kern w:val="2"/>
      <w:sz w:val="21"/>
      <w:szCs w:val="21"/>
    </w:rPr>
  </w:style>
  <w:style w:type="paragraph" w:customStyle="1" w:styleId="182">
    <w:name w:val="Char Char Char Char Char Char Char"/>
    <w:basedOn w:val="1"/>
    <w:qFormat/>
    <w:uiPriority w:val="0"/>
    <w:pPr>
      <w:spacing w:line="360" w:lineRule="auto"/>
      <w:ind w:firstLine="200" w:firstLineChars="200"/>
    </w:pPr>
    <w:rPr>
      <w:rFonts w:ascii="宋体" w:hAnsi="宋体" w:eastAsia="汉鼎简书宋"/>
      <w:kern w:val="0"/>
      <w:sz w:val="24"/>
      <w:szCs w:val="20"/>
    </w:rPr>
  </w:style>
  <w:style w:type="character" w:customStyle="1" w:styleId="183">
    <w:name w:val="标题 4 字符2"/>
    <w:link w:val="6"/>
    <w:qFormat/>
    <w:uiPriority w:val="0"/>
    <w:rPr>
      <w:rFonts w:ascii="Cambria" w:hAnsi="Cambria" w:eastAsia="宋体" w:cs="Times New Roman"/>
      <w:b/>
      <w:bCs/>
      <w:kern w:val="2"/>
      <w:sz w:val="28"/>
      <w:szCs w:val="28"/>
      <w:lang w:val="zh-CN" w:eastAsia="zh-CN"/>
    </w:rPr>
  </w:style>
  <w:style w:type="character" w:customStyle="1" w:styleId="184">
    <w:name w:val="正文A Char"/>
    <w:link w:val="185"/>
    <w:qFormat/>
    <w:uiPriority w:val="99"/>
    <w:rPr>
      <w:rFonts w:cs="宋体"/>
      <w:kern w:val="2"/>
      <w:sz w:val="24"/>
    </w:rPr>
  </w:style>
  <w:style w:type="paragraph" w:customStyle="1" w:styleId="185">
    <w:name w:val="正文A"/>
    <w:basedOn w:val="1"/>
    <w:link w:val="184"/>
    <w:qFormat/>
    <w:uiPriority w:val="99"/>
    <w:pPr>
      <w:widowControl/>
      <w:spacing w:line="360" w:lineRule="auto"/>
      <w:ind w:firstLine="480" w:firstLineChars="200"/>
    </w:pPr>
    <w:rPr>
      <w:rFonts w:cs="宋体" w:asciiTheme="minorHAnsi" w:hAnsiTheme="minorHAnsi" w:eastAsiaTheme="minorEastAsia"/>
      <w:sz w:val="24"/>
      <w:szCs w:val="20"/>
    </w:rPr>
  </w:style>
  <w:style w:type="character" w:customStyle="1" w:styleId="186">
    <w:name w:val="正文01 Char"/>
    <w:link w:val="187"/>
    <w:qFormat/>
    <w:locked/>
    <w:uiPriority w:val="0"/>
    <w:rPr>
      <w:kern w:val="2"/>
      <w:sz w:val="24"/>
      <w:szCs w:val="24"/>
    </w:rPr>
  </w:style>
  <w:style w:type="paragraph" w:customStyle="1" w:styleId="187">
    <w:name w:val="正文01"/>
    <w:basedOn w:val="1"/>
    <w:link w:val="186"/>
    <w:qFormat/>
    <w:uiPriority w:val="0"/>
    <w:pPr>
      <w:widowControl/>
      <w:spacing w:before="60" w:line="460" w:lineRule="exact"/>
      <w:ind w:firstLine="200" w:firstLineChars="200"/>
    </w:pPr>
    <w:rPr>
      <w:rFonts w:asciiTheme="minorHAnsi" w:hAnsiTheme="minorHAnsi" w:eastAsiaTheme="minorEastAsia" w:cstheme="minorBidi"/>
      <w:sz w:val="24"/>
    </w:rPr>
  </w:style>
  <w:style w:type="character" w:customStyle="1" w:styleId="188">
    <w:name w:val="正文1 Char"/>
    <w:link w:val="189"/>
    <w:qFormat/>
    <w:locked/>
    <w:uiPriority w:val="0"/>
    <w:rPr>
      <w:rFonts w:eastAsia="Times New Roman"/>
      <w:kern w:val="2"/>
      <w:sz w:val="24"/>
      <w:szCs w:val="24"/>
    </w:rPr>
  </w:style>
  <w:style w:type="paragraph" w:customStyle="1" w:styleId="189">
    <w:name w:val="正文1"/>
    <w:basedOn w:val="1"/>
    <w:link w:val="188"/>
    <w:qFormat/>
    <w:uiPriority w:val="0"/>
    <w:pPr>
      <w:adjustRightInd w:val="0"/>
      <w:snapToGrid w:val="0"/>
      <w:spacing w:line="360" w:lineRule="auto"/>
      <w:ind w:firstLine="200" w:firstLineChars="200"/>
    </w:pPr>
    <w:rPr>
      <w:rFonts w:eastAsia="Times New Roman" w:asciiTheme="minorHAnsi" w:hAnsiTheme="minorHAnsi" w:cstheme="minorBidi"/>
      <w:sz w:val="24"/>
    </w:rPr>
  </w:style>
  <w:style w:type="character" w:customStyle="1" w:styleId="190">
    <w:name w:val="font41"/>
    <w:qFormat/>
    <w:uiPriority w:val="0"/>
    <w:rPr>
      <w:rFonts w:hint="eastAsia" w:ascii="宋体" w:hAnsi="宋体" w:eastAsia="宋体" w:cs="宋体"/>
      <w:color w:val="000000"/>
      <w:sz w:val="21"/>
      <w:szCs w:val="21"/>
      <w:u w:val="none"/>
    </w:rPr>
  </w:style>
  <w:style w:type="paragraph" w:customStyle="1" w:styleId="191">
    <w:name w:val="Table Paragraph"/>
    <w:basedOn w:val="1"/>
    <w:qFormat/>
    <w:uiPriority w:val="1"/>
    <w:rPr>
      <w:rFonts w:ascii="宋体" w:hAnsi="宋体" w:cs="宋体"/>
    </w:rPr>
  </w:style>
  <w:style w:type="character" w:customStyle="1" w:styleId="192">
    <w:name w:val="标题 3 字符2"/>
    <w:link w:val="5"/>
    <w:qFormat/>
    <w:uiPriority w:val="0"/>
    <w:rPr>
      <w:rFonts w:ascii="宋体" w:hAnsi="Arial" w:eastAsia="宋体" w:cs="Times New Roman"/>
      <w:color w:val="000000"/>
      <w:spacing w:val="24"/>
      <w:kern w:val="28"/>
      <w:sz w:val="28"/>
      <w:lang w:val="zh-CN" w:eastAsia="zh-CN"/>
    </w:rPr>
  </w:style>
  <w:style w:type="character" w:customStyle="1" w:styleId="193">
    <w:name w:val="标题 5 字符1"/>
    <w:link w:val="7"/>
    <w:qFormat/>
    <w:uiPriority w:val="0"/>
    <w:rPr>
      <w:rFonts w:ascii="Arial" w:hAnsi="Arial" w:eastAsia="宋体" w:cs="Times New Roman"/>
      <w:b/>
      <w:color w:val="000000"/>
      <w:kern w:val="28"/>
      <w:sz w:val="24"/>
      <w:lang w:val="zh-CN" w:eastAsia="zh-CN"/>
    </w:rPr>
  </w:style>
  <w:style w:type="character" w:customStyle="1" w:styleId="194">
    <w:name w:val="标题 6 字符1"/>
    <w:link w:val="8"/>
    <w:qFormat/>
    <w:uiPriority w:val="0"/>
    <w:rPr>
      <w:rFonts w:ascii="Arial" w:hAnsi="Arial" w:eastAsia="宋体" w:cs="Times New Roman"/>
      <w:b/>
      <w:i/>
      <w:color w:val="000000"/>
      <w:kern w:val="28"/>
      <w:sz w:val="24"/>
      <w:lang w:val="zh-CN" w:eastAsia="zh-CN"/>
    </w:rPr>
  </w:style>
  <w:style w:type="character" w:customStyle="1" w:styleId="195">
    <w:name w:val="标题 7 字符1"/>
    <w:link w:val="9"/>
    <w:qFormat/>
    <w:uiPriority w:val="0"/>
    <w:rPr>
      <w:rFonts w:ascii="宋体" w:hAnsi="Arial" w:eastAsia="宋体" w:cs="Times New Roman"/>
      <w:b/>
      <w:color w:val="000000"/>
      <w:kern w:val="28"/>
      <w:sz w:val="24"/>
      <w:lang w:val="zh-CN" w:eastAsia="zh-CN"/>
    </w:rPr>
  </w:style>
  <w:style w:type="character" w:customStyle="1" w:styleId="196">
    <w:name w:val="标题 8 字符1"/>
    <w:link w:val="10"/>
    <w:qFormat/>
    <w:uiPriority w:val="0"/>
    <w:rPr>
      <w:rFonts w:ascii="宋体" w:hAnsi="Arial" w:eastAsia="宋体" w:cs="Times New Roman"/>
      <w:b/>
      <w:i/>
      <w:color w:val="000000"/>
      <w:kern w:val="28"/>
      <w:sz w:val="24"/>
      <w:lang w:val="zh-CN" w:eastAsia="zh-CN"/>
    </w:rPr>
  </w:style>
  <w:style w:type="character" w:customStyle="1" w:styleId="197">
    <w:name w:val="标题 9 字符1"/>
    <w:link w:val="11"/>
    <w:qFormat/>
    <w:uiPriority w:val="0"/>
    <w:rPr>
      <w:rFonts w:ascii="宋体" w:hAnsi="Arial" w:eastAsia="宋体" w:cs="Times New Roman"/>
      <w:b/>
      <w:i/>
      <w:color w:val="000000"/>
      <w:kern w:val="28"/>
      <w:sz w:val="24"/>
      <w:lang w:val="zh-CN" w:eastAsia="zh-CN"/>
    </w:rPr>
  </w:style>
  <w:style w:type="character" w:customStyle="1" w:styleId="198">
    <w:name w:val="正文(首行缩进) Char"/>
    <w:link w:val="199"/>
    <w:qFormat/>
    <w:uiPriority w:val="0"/>
    <w:rPr>
      <w:sz w:val="24"/>
      <w:szCs w:val="24"/>
    </w:rPr>
  </w:style>
  <w:style w:type="paragraph" w:customStyle="1" w:styleId="199">
    <w:name w:val="正文(首行缩进)"/>
    <w:basedOn w:val="1"/>
    <w:link w:val="198"/>
    <w:qFormat/>
    <w:uiPriority w:val="0"/>
    <w:pPr>
      <w:adjustRightInd w:val="0"/>
      <w:snapToGrid w:val="0"/>
      <w:spacing w:line="360" w:lineRule="auto"/>
      <w:ind w:firstLine="200" w:firstLineChars="200"/>
    </w:pPr>
    <w:rPr>
      <w:rFonts w:asciiTheme="minorHAnsi" w:hAnsiTheme="minorHAnsi" w:eastAsiaTheme="minorEastAsia" w:cstheme="minorBidi"/>
      <w:kern w:val="0"/>
      <w:sz w:val="24"/>
    </w:rPr>
  </w:style>
  <w:style w:type="character" w:customStyle="1" w:styleId="200">
    <w:name w:val="Char3 Char Char Char"/>
    <w:qFormat/>
    <w:uiPriority w:val="0"/>
    <w:rPr>
      <w:rFonts w:ascii="Times New Roman" w:hAnsi="Times New Roman" w:eastAsia="宋体" w:cs="Times New Roman"/>
      <w:kern w:val="0"/>
      <w:sz w:val="24"/>
      <w:szCs w:val="24"/>
      <w:lang w:bidi="ar-SA"/>
    </w:rPr>
  </w:style>
  <w:style w:type="character" w:customStyle="1" w:styleId="201">
    <w:name w:val="2缩进正文 Char"/>
    <w:link w:val="202"/>
    <w:qFormat/>
    <w:uiPriority w:val="0"/>
    <w:rPr>
      <w:kern w:val="2"/>
      <w:sz w:val="24"/>
      <w:szCs w:val="24"/>
    </w:rPr>
  </w:style>
  <w:style w:type="paragraph" w:customStyle="1" w:styleId="202">
    <w:name w:val="2缩进正文"/>
    <w:basedOn w:val="1"/>
    <w:link w:val="201"/>
    <w:qFormat/>
    <w:uiPriority w:val="0"/>
    <w:pPr>
      <w:spacing w:line="360" w:lineRule="auto"/>
      <w:ind w:firstLine="200" w:firstLineChars="200"/>
    </w:pPr>
    <w:rPr>
      <w:rFonts w:asciiTheme="minorHAnsi" w:hAnsiTheme="minorHAnsi" w:eastAsiaTheme="minorEastAsia" w:cstheme="minorBidi"/>
      <w:sz w:val="24"/>
    </w:rPr>
  </w:style>
  <w:style w:type="character" w:customStyle="1" w:styleId="203">
    <w:name w:val="blue1"/>
    <w:qFormat/>
    <w:uiPriority w:val="0"/>
    <w:rPr>
      <w:color w:val="3366FF"/>
    </w:rPr>
  </w:style>
  <w:style w:type="character" w:customStyle="1" w:styleId="204">
    <w:name w:val="样式 正文1 + 段前: 0.1 行 Char1"/>
    <w:qFormat/>
    <w:uiPriority w:val="0"/>
    <w:rPr>
      <w:rFonts w:eastAsia="宋体" w:cs="宋体"/>
      <w:kern w:val="2"/>
      <w:sz w:val="24"/>
      <w:lang w:val="en-US" w:eastAsia="zh-CN" w:bidi="ar-SA"/>
    </w:rPr>
  </w:style>
  <w:style w:type="character" w:customStyle="1" w:styleId="205">
    <w:name w:val="样式1 Char"/>
    <w:link w:val="206"/>
    <w:qFormat/>
    <w:uiPriority w:val="0"/>
    <w:rPr>
      <w:rFonts w:ascii="Arial" w:hAnsi="Arial"/>
      <w:b/>
      <w:kern w:val="2"/>
      <w:sz w:val="32"/>
      <w:szCs w:val="24"/>
    </w:rPr>
  </w:style>
  <w:style w:type="paragraph" w:customStyle="1" w:styleId="206">
    <w:name w:val="样式1"/>
    <w:basedOn w:val="1"/>
    <w:link w:val="205"/>
    <w:qFormat/>
    <w:uiPriority w:val="0"/>
    <w:pPr>
      <w:spacing w:before="60" w:line="460" w:lineRule="exact"/>
      <w:outlineLvl w:val="0"/>
    </w:pPr>
    <w:rPr>
      <w:rFonts w:ascii="Arial" w:hAnsi="Arial" w:eastAsiaTheme="minorEastAsia" w:cstheme="minorBidi"/>
      <w:b/>
      <w:sz w:val="32"/>
    </w:rPr>
  </w:style>
  <w:style w:type="character" w:customStyle="1" w:styleId="207">
    <w:name w:val="新正文样式 Char"/>
    <w:link w:val="208"/>
    <w:qFormat/>
    <w:uiPriority w:val="0"/>
    <w:rPr>
      <w:spacing w:val="20"/>
      <w:kern w:val="2"/>
      <w:sz w:val="24"/>
    </w:rPr>
  </w:style>
  <w:style w:type="paragraph" w:customStyle="1" w:styleId="208">
    <w:name w:val="新正文样式"/>
    <w:basedOn w:val="1"/>
    <w:link w:val="207"/>
    <w:qFormat/>
    <w:uiPriority w:val="0"/>
    <w:pPr>
      <w:tabs>
        <w:tab w:val="left" w:pos="567"/>
      </w:tabs>
      <w:spacing w:before="60" w:line="360" w:lineRule="auto"/>
      <w:ind w:firstLine="200" w:firstLineChars="200"/>
    </w:pPr>
    <w:rPr>
      <w:rFonts w:asciiTheme="minorHAnsi" w:hAnsiTheme="minorHAnsi" w:eastAsiaTheme="minorEastAsia" w:cstheme="minorBidi"/>
      <w:spacing w:val="20"/>
      <w:sz w:val="24"/>
      <w:szCs w:val="20"/>
    </w:rPr>
  </w:style>
  <w:style w:type="character" w:customStyle="1" w:styleId="209">
    <w:name w:val="extended-address"/>
    <w:qFormat/>
    <w:uiPriority w:val="0"/>
  </w:style>
  <w:style w:type="character" w:customStyle="1" w:styleId="210">
    <w:name w:val="标题3"/>
    <w:qFormat/>
    <w:uiPriority w:val="0"/>
    <w:rPr>
      <w:rFonts w:ascii="Times New Roman" w:hAnsi="Times New Roman" w:eastAsia="宋体" w:cs="Times New Roman"/>
      <w:kern w:val="0"/>
      <w:sz w:val="24"/>
      <w:szCs w:val="24"/>
      <w:lang w:bidi="ar-SA"/>
    </w:rPr>
  </w:style>
  <w:style w:type="character" w:customStyle="1" w:styleId="211">
    <w:name w:val="fontstyle21"/>
    <w:qFormat/>
    <w:uiPriority w:val="0"/>
    <w:rPr>
      <w:rFonts w:hint="default" w:ascii="TimesNewRomanPS-BoldMT" w:hAnsi="TimesNewRomanPS-BoldMT"/>
      <w:b/>
      <w:bCs/>
      <w:color w:val="000000"/>
      <w:sz w:val="22"/>
      <w:szCs w:val="22"/>
    </w:rPr>
  </w:style>
  <w:style w:type="character" w:customStyle="1" w:styleId="212">
    <w:name w:val="highlight1"/>
    <w:qFormat/>
    <w:uiPriority w:val="0"/>
    <w:rPr>
      <w:sz w:val="21"/>
      <w:szCs w:val="21"/>
    </w:rPr>
  </w:style>
  <w:style w:type="character" w:customStyle="1" w:styleId="213">
    <w:name w:val="标题 3 Char Char Char1"/>
    <w:qFormat/>
    <w:uiPriority w:val="0"/>
    <w:rPr>
      <w:rFonts w:eastAsia="宋体"/>
      <w:b/>
      <w:sz w:val="32"/>
      <w:szCs w:val="32"/>
    </w:rPr>
  </w:style>
  <w:style w:type="character" w:customStyle="1" w:styleId="214">
    <w:name w:val="样式 正文001 + 首行缩进:  2 字符 Char"/>
    <w:qFormat/>
    <w:uiPriority w:val="99"/>
    <w:rPr>
      <w:rFonts w:eastAsia="宋体" w:cs="宋体"/>
      <w:kern w:val="2"/>
      <w:sz w:val="24"/>
      <w:lang w:val="en-US" w:eastAsia="zh-CN" w:bidi="ar-SA"/>
    </w:rPr>
  </w:style>
  <w:style w:type="character" w:customStyle="1" w:styleId="215">
    <w:name w:val="Char5"/>
    <w:qFormat/>
    <w:uiPriority w:val="0"/>
    <w:rPr>
      <w:rFonts w:ascii="仿宋_GB2312" w:eastAsia="仿宋_GB2312"/>
      <w:kern w:val="2"/>
      <w:sz w:val="21"/>
      <w:szCs w:val="24"/>
    </w:rPr>
  </w:style>
  <w:style w:type="character" w:customStyle="1" w:styleId="216">
    <w:name w:val="f121"/>
    <w:qFormat/>
    <w:uiPriority w:val="0"/>
    <w:rPr>
      <w:sz w:val="18"/>
      <w:szCs w:val="18"/>
      <w:u w:val="none"/>
    </w:rPr>
  </w:style>
  <w:style w:type="character" w:customStyle="1" w:styleId="217">
    <w:name w:val="批注框文本 Char1"/>
    <w:semiHidden/>
    <w:qFormat/>
    <w:uiPriority w:val="99"/>
    <w:rPr>
      <w:kern w:val="2"/>
      <w:sz w:val="18"/>
      <w:szCs w:val="18"/>
    </w:rPr>
  </w:style>
  <w:style w:type="character" w:customStyle="1" w:styleId="218">
    <w:name w:val="正文01 Char Char Char"/>
    <w:qFormat/>
    <w:uiPriority w:val="0"/>
    <w:rPr>
      <w:rFonts w:eastAsia="宋体"/>
      <w:snapToGrid w:val="0"/>
      <w:color w:val="000000"/>
      <w:sz w:val="24"/>
      <w:szCs w:val="24"/>
      <w:lang w:val="en-US" w:eastAsia="zh-CN"/>
    </w:rPr>
  </w:style>
  <w:style w:type="character" w:customStyle="1" w:styleId="219">
    <w:name w:val="三级标题 Char Char"/>
    <w:qFormat/>
    <w:uiPriority w:val="0"/>
    <w:rPr>
      <w:rFonts w:eastAsia="宋体"/>
      <w:b/>
      <w:bCs/>
      <w:snapToGrid w:val="0"/>
      <w:sz w:val="24"/>
      <w:szCs w:val="24"/>
      <w:lang w:val="en-US" w:eastAsia="zh-CN" w:bidi="ar-SA"/>
    </w:rPr>
  </w:style>
  <w:style w:type="character" w:customStyle="1" w:styleId="220">
    <w:name w:val="表格下方正文 Char1"/>
    <w:link w:val="221"/>
    <w:qFormat/>
    <w:uiPriority w:val="0"/>
    <w:rPr>
      <w:rFonts w:ascii="Calibri" w:hAnsi="Calibri"/>
      <w:bCs/>
      <w:kern w:val="2"/>
      <w:sz w:val="24"/>
      <w:szCs w:val="24"/>
    </w:rPr>
  </w:style>
  <w:style w:type="paragraph" w:customStyle="1" w:styleId="221">
    <w:name w:val="表格下方正文"/>
    <w:basedOn w:val="1"/>
    <w:link w:val="220"/>
    <w:qFormat/>
    <w:uiPriority w:val="0"/>
    <w:pPr>
      <w:spacing w:before="300" w:line="420" w:lineRule="exact"/>
      <w:ind w:firstLine="200" w:firstLineChars="200"/>
    </w:pPr>
    <w:rPr>
      <w:rFonts w:ascii="Calibri" w:hAnsi="Calibri" w:eastAsiaTheme="minorEastAsia" w:cstheme="minorBidi"/>
      <w:bCs/>
      <w:sz w:val="24"/>
    </w:rPr>
  </w:style>
  <w:style w:type="character" w:customStyle="1" w:styleId="222">
    <w:name w:val="H34"/>
    <w:qFormat/>
    <w:uiPriority w:val="0"/>
    <w:rPr>
      <w:rFonts w:ascii="Times New Roman" w:hAnsi="Times New Roman" w:eastAsia="宋体" w:cs="Times New Roman"/>
      <w:sz w:val="24"/>
      <w:szCs w:val="24"/>
      <w:lang w:bidi="ar-SA"/>
    </w:rPr>
  </w:style>
  <w:style w:type="character" w:customStyle="1" w:styleId="223">
    <w:name w:val="标题 2 Char1"/>
    <w:semiHidden/>
    <w:qFormat/>
    <w:uiPriority w:val="0"/>
    <w:rPr>
      <w:rFonts w:ascii="Cambria" w:hAnsi="Cambria" w:eastAsia="宋体" w:cs="Times New Roman"/>
      <w:b/>
      <w:bCs/>
      <w:kern w:val="2"/>
      <w:sz w:val="32"/>
      <w:szCs w:val="32"/>
    </w:rPr>
  </w:style>
  <w:style w:type="character" w:customStyle="1" w:styleId="224">
    <w:name w:val="articletitle1"/>
    <w:qFormat/>
    <w:uiPriority w:val="0"/>
    <w:rPr>
      <w:rFonts w:hint="default" w:ascii="MS Shell Dlg" w:hAnsi="MS Shell Dlg" w:cs="MS Shell Dlg"/>
      <w:b/>
      <w:bCs/>
      <w:color w:val="666699"/>
      <w:spacing w:val="288"/>
      <w:sz w:val="22"/>
      <w:szCs w:val="22"/>
    </w:rPr>
  </w:style>
  <w:style w:type="character" w:customStyle="1" w:styleId="225">
    <w:name w:val="at_2"/>
    <w:qFormat/>
    <w:uiPriority w:val="0"/>
  </w:style>
  <w:style w:type="character" w:customStyle="1" w:styleId="226">
    <w:name w:val="headline-content"/>
    <w:qFormat/>
    <w:uiPriority w:val="0"/>
  </w:style>
  <w:style w:type="character" w:customStyle="1" w:styleId="227">
    <w:name w:val="标题31"/>
    <w:qFormat/>
    <w:uiPriority w:val="0"/>
    <w:rPr>
      <w:rFonts w:ascii="Times New Roman" w:hAnsi="Times New Roman" w:eastAsia="宋体" w:cs="Times New Roman"/>
      <w:kern w:val="0"/>
      <w:sz w:val="24"/>
      <w:szCs w:val="24"/>
      <w:lang w:bidi="ar-SA"/>
    </w:rPr>
  </w:style>
  <w:style w:type="character" w:customStyle="1" w:styleId="228">
    <w:name w:val="标题 1 Char1"/>
    <w:qFormat/>
    <w:uiPriority w:val="0"/>
    <w:rPr>
      <w:b/>
      <w:bCs/>
      <w:kern w:val="44"/>
      <w:sz w:val="44"/>
      <w:szCs w:val="44"/>
    </w:rPr>
  </w:style>
  <w:style w:type="character" w:customStyle="1" w:styleId="229">
    <w:name w:val="Char2"/>
    <w:qFormat/>
    <w:uiPriority w:val="0"/>
    <w:rPr>
      <w:rFonts w:ascii="Arial" w:hAnsi="Arial" w:eastAsia="黑体"/>
      <w:b/>
      <w:bCs/>
      <w:kern w:val="2"/>
      <w:sz w:val="28"/>
      <w:szCs w:val="28"/>
      <w:lang w:val="en-US" w:eastAsia="zh-CN" w:bidi="ar-SA"/>
    </w:rPr>
  </w:style>
  <w:style w:type="character" w:customStyle="1" w:styleId="230">
    <w:name w:val="at_5"/>
    <w:qFormat/>
    <w:uiPriority w:val="0"/>
  </w:style>
  <w:style w:type="character" w:customStyle="1" w:styleId="231">
    <w:name w:val="表格文字2 Char"/>
    <w:link w:val="232"/>
    <w:qFormat/>
    <w:uiPriority w:val="0"/>
    <w:rPr>
      <w:rFonts w:ascii="Calibri" w:hAnsi="Calibri"/>
      <w:sz w:val="21"/>
      <w:szCs w:val="21"/>
    </w:rPr>
  </w:style>
  <w:style w:type="paragraph" w:customStyle="1" w:styleId="232">
    <w:name w:val="表格文字2"/>
    <w:basedOn w:val="1"/>
    <w:link w:val="231"/>
    <w:qFormat/>
    <w:uiPriority w:val="0"/>
    <w:pPr>
      <w:tabs>
        <w:tab w:val="left" w:pos="277"/>
        <w:tab w:val="left" w:pos="600"/>
        <w:tab w:val="left" w:pos="780"/>
        <w:tab w:val="left" w:pos="2517"/>
      </w:tabs>
      <w:adjustRightInd w:val="0"/>
      <w:spacing w:before="60"/>
      <w:jc w:val="center"/>
      <w:textAlignment w:val="baseline"/>
    </w:pPr>
    <w:rPr>
      <w:rFonts w:ascii="Calibri" w:hAnsi="Calibri" w:eastAsiaTheme="minorEastAsia" w:cstheme="minorBidi"/>
      <w:kern w:val="0"/>
      <w:szCs w:val="21"/>
    </w:rPr>
  </w:style>
  <w:style w:type="character" w:customStyle="1" w:styleId="233">
    <w:name w:val="p5"/>
    <w:qFormat/>
    <w:uiPriority w:val="0"/>
  </w:style>
  <w:style w:type="character" w:customStyle="1" w:styleId="234">
    <w:name w:val="样式 样式 正文1 + 段前: 0.1 行 + 段前: 0.1 行 Char1"/>
    <w:qFormat/>
    <w:uiPriority w:val="0"/>
    <w:rPr>
      <w:rFonts w:eastAsia="宋体" w:cs="宋体"/>
      <w:kern w:val="2"/>
      <w:sz w:val="24"/>
      <w:lang w:val="en-US" w:eastAsia="zh-CN" w:bidi="ar-SA"/>
    </w:rPr>
  </w:style>
  <w:style w:type="character" w:customStyle="1" w:styleId="235">
    <w:name w:val="Char3 Char Char Char1"/>
    <w:qFormat/>
    <w:uiPriority w:val="0"/>
    <w:rPr>
      <w:rFonts w:ascii="Times New Roman" w:hAnsi="Times New Roman" w:eastAsia="宋体" w:cs="Times New Roman"/>
      <w:kern w:val="0"/>
      <w:sz w:val="24"/>
      <w:szCs w:val="24"/>
      <w:lang w:bidi="ar-SA"/>
    </w:rPr>
  </w:style>
  <w:style w:type="character" w:customStyle="1" w:styleId="236">
    <w:name w:val="bt21"/>
    <w:qFormat/>
    <w:uiPriority w:val="0"/>
    <w:rPr>
      <w:rFonts w:hint="eastAsia" w:ascii="黑体" w:eastAsia="黑体"/>
      <w:spacing w:val="400"/>
      <w:sz w:val="24"/>
      <w:szCs w:val="24"/>
    </w:rPr>
  </w:style>
  <w:style w:type="character" w:customStyle="1" w:styleId="237">
    <w:name w:val="f14b1"/>
    <w:qFormat/>
    <w:uiPriority w:val="0"/>
    <w:rPr>
      <w:b/>
      <w:bCs/>
      <w:sz w:val="21"/>
      <w:szCs w:val="21"/>
    </w:rPr>
  </w:style>
  <w:style w:type="character" w:customStyle="1" w:styleId="238">
    <w:name w:val="1级标题 Char"/>
    <w:link w:val="239"/>
    <w:qFormat/>
    <w:uiPriority w:val="0"/>
    <w:rPr>
      <w:b/>
      <w:color w:val="000000"/>
      <w:sz w:val="32"/>
    </w:rPr>
  </w:style>
  <w:style w:type="paragraph" w:customStyle="1" w:styleId="239">
    <w:name w:val="1级标题"/>
    <w:basedOn w:val="1"/>
    <w:next w:val="1"/>
    <w:link w:val="238"/>
    <w:qFormat/>
    <w:uiPriority w:val="0"/>
    <w:pPr>
      <w:widowControl/>
      <w:spacing w:before="60" w:line="460" w:lineRule="exact"/>
      <w:outlineLvl w:val="0"/>
    </w:pPr>
    <w:rPr>
      <w:rFonts w:asciiTheme="minorHAnsi" w:hAnsiTheme="minorHAnsi" w:eastAsiaTheme="minorEastAsia" w:cstheme="minorBidi"/>
      <w:b/>
      <w:color w:val="000000"/>
      <w:kern w:val="0"/>
      <w:sz w:val="32"/>
      <w:szCs w:val="20"/>
    </w:rPr>
  </w:style>
  <w:style w:type="character" w:customStyle="1" w:styleId="240">
    <w:name w:val="表内 Char"/>
    <w:link w:val="241"/>
    <w:qFormat/>
    <w:uiPriority w:val="0"/>
    <w:rPr>
      <w:rFonts w:eastAsia="仿宋_GB2312"/>
      <w:sz w:val="21"/>
      <w:szCs w:val="24"/>
    </w:rPr>
  </w:style>
  <w:style w:type="paragraph" w:customStyle="1" w:styleId="241">
    <w:name w:val="表内"/>
    <w:basedOn w:val="1"/>
    <w:link w:val="240"/>
    <w:qFormat/>
    <w:uiPriority w:val="0"/>
    <w:pPr>
      <w:jc w:val="center"/>
    </w:pPr>
    <w:rPr>
      <w:rFonts w:eastAsia="仿宋_GB2312" w:asciiTheme="minorHAnsi" w:hAnsiTheme="minorHAnsi" w:cstheme="minorBidi"/>
      <w:kern w:val="0"/>
    </w:rPr>
  </w:style>
  <w:style w:type="character" w:customStyle="1" w:styleId="242">
    <w:name w:val="s"/>
    <w:qFormat/>
    <w:uiPriority w:val="0"/>
  </w:style>
  <w:style w:type="character" w:customStyle="1" w:styleId="243">
    <w:name w:val="项标题(1) Char Char"/>
    <w:qFormat/>
    <w:uiPriority w:val="0"/>
    <w:rPr>
      <w:rFonts w:ascii="Arial" w:hAnsi="Arial"/>
      <w:b/>
      <w:bCs/>
      <w:color w:val="000000"/>
      <w:kern w:val="2"/>
      <w:sz w:val="24"/>
      <w:szCs w:val="24"/>
    </w:rPr>
  </w:style>
  <w:style w:type="character" w:customStyle="1" w:styleId="244">
    <w:name w:val="Char20"/>
    <w:qFormat/>
    <w:uiPriority w:val="0"/>
    <w:rPr>
      <w:rFonts w:ascii="Times New Roman" w:hAnsi="Times New Roman" w:eastAsia="宋体" w:cs="Times New Roman"/>
      <w:kern w:val="0"/>
      <w:sz w:val="27"/>
      <w:szCs w:val="24"/>
      <w:lang w:bidi="ar-SA"/>
    </w:rPr>
  </w:style>
  <w:style w:type="character" w:customStyle="1" w:styleId="245">
    <w:name w:val="2级（节）标题 Char"/>
    <w:link w:val="246"/>
    <w:qFormat/>
    <w:uiPriority w:val="0"/>
    <w:rPr>
      <w:rFonts w:ascii="宋体" w:hAnsi="宋体"/>
      <w:b/>
      <w:kern w:val="2"/>
      <w:sz w:val="28"/>
      <w:szCs w:val="28"/>
    </w:rPr>
  </w:style>
  <w:style w:type="paragraph" w:customStyle="1" w:styleId="246">
    <w:name w:val="2级（节）标题"/>
    <w:basedOn w:val="1"/>
    <w:link w:val="245"/>
    <w:qFormat/>
    <w:uiPriority w:val="0"/>
    <w:pPr>
      <w:spacing w:beforeLines="50" w:line="360" w:lineRule="auto"/>
      <w:ind w:firstLine="141" w:firstLineChars="50"/>
      <w:outlineLvl w:val="1"/>
    </w:pPr>
    <w:rPr>
      <w:rFonts w:ascii="宋体" w:hAnsi="宋体" w:eastAsiaTheme="minorEastAsia" w:cstheme="minorBidi"/>
      <w:b/>
      <w:sz w:val="28"/>
      <w:szCs w:val="28"/>
    </w:rPr>
  </w:style>
  <w:style w:type="character" w:customStyle="1" w:styleId="247">
    <w:name w:val="样式2 Char"/>
    <w:qFormat/>
    <w:uiPriority w:val="0"/>
    <w:rPr>
      <w:rFonts w:ascii="仿宋_GB2312" w:hAnsi="Arial" w:eastAsia="宋体"/>
      <w:b/>
      <w:color w:val="000000"/>
      <w:kern w:val="2"/>
      <w:sz w:val="24"/>
      <w:szCs w:val="24"/>
      <w:lang w:val="en-US" w:eastAsia="zh-CN" w:bidi="ar-SA"/>
    </w:rPr>
  </w:style>
  <w:style w:type="character" w:customStyle="1" w:styleId="248">
    <w:name w:val="页眉1"/>
    <w:qFormat/>
    <w:uiPriority w:val="0"/>
    <w:rPr>
      <w:rFonts w:ascii="Times New Roman" w:hAnsi="Times New Roman" w:eastAsia="宋体" w:cs="Times New Roman"/>
      <w:sz w:val="18"/>
      <w:szCs w:val="24"/>
      <w:lang w:bidi="ar-SA"/>
    </w:rPr>
  </w:style>
  <w:style w:type="character" w:customStyle="1" w:styleId="249">
    <w:name w:val="Char18"/>
    <w:qFormat/>
    <w:uiPriority w:val="0"/>
    <w:rPr>
      <w:rFonts w:ascii="Times New Roman" w:hAnsi="Times New Roman" w:eastAsia="宋体" w:cs="Times New Roman"/>
      <w:sz w:val="24"/>
      <w:szCs w:val="24"/>
      <w:lang w:bidi="ar-SA"/>
    </w:rPr>
  </w:style>
  <w:style w:type="character" w:customStyle="1" w:styleId="250">
    <w:name w:val="常用表头样式 Char"/>
    <w:link w:val="251"/>
    <w:qFormat/>
    <w:uiPriority w:val="0"/>
    <w:rPr>
      <w:rFonts w:ascii="黑体" w:eastAsia="楷体_GB2312"/>
      <w:b/>
      <w:kern w:val="2"/>
      <w:sz w:val="21"/>
      <w:szCs w:val="21"/>
    </w:rPr>
  </w:style>
  <w:style w:type="paragraph" w:customStyle="1" w:styleId="251">
    <w:name w:val="常用表头样式"/>
    <w:basedOn w:val="86"/>
    <w:link w:val="250"/>
    <w:qFormat/>
    <w:uiPriority w:val="0"/>
    <w:pPr>
      <w:overflowPunct w:val="0"/>
      <w:autoSpaceDE w:val="0"/>
      <w:autoSpaceDN w:val="0"/>
      <w:adjustRightInd w:val="0"/>
      <w:spacing w:after="0" w:line="360" w:lineRule="auto"/>
      <w:ind w:firstLine="0" w:firstLineChars="0"/>
      <w:jc w:val="center"/>
      <w:textAlignment w:val="baseline"/>
    </w:pPr>
    <w:rPr>
      <w:rFonts w:ascii="黑体" w:eastAsia="楷体_GB2312"/>
      <w:b/>
      <w:szCs w:val="21"/>
    </w:rPr>
  </w:style>
  <w:style w:type="character" w:customStyle="1" w:styleId="252">
    <w:name w:val="Char17"/>
    <w:qFormat/>
    <w:uiPriority w:val="0"/>
    <w:rPr>
      <w:rFonts w:ascii="Times New Roman" w:hAnsi="Times New Roman" w:eastAsia="宋体" w:cs="Times New Roman"/>
      <w:sz w:val="24"/>
      <w:szCs w:val="24"/>
      <w:shd w:val="clear" w:color="auto" w:fill="000080"/>
      <w:lang w:bidi="ar-SA"/>
    </w:rPr>
  </w:style>
  <w:style w:type="character" w:customStyle="1" w:styleId="253">
    <w:name w:val="主体 Char"/>
    <w:link w:val="254"/>
    <w:qFormat/>
    <w:uiPriority w:val="0"/>
    <w:rPr>
      <w:rFonts w:eastAsia="仿宋_GB2312"/>
      <w:bCs/>
      <w:kern w:val="2"/>
      <w:sz w:val="24"/>
      <w:szCs w:val="24"/>
    </w:rPr>
  </w:style>
  <w:style w:type="paragraph" w:customStyle="1" w:styleId="254">
    <w:name w:val="主体"/>
    <w:link w:val="253"/>
    <w:qFormat/>
    <w:uiPriority w:val="0"/>
    <w:pPr>
      <w:widowControl w:val="0"/>
      <w:autoSpaceDE w:val="0"/>
      <w:autoSpaceDN w:val="0"/>
      <w:spacing w:line="440" w:lineRule="exact"/>
      <w:ind w:firstLine="480" w:firstLineChars="200"/>
      <w:jc w:val="both"/>
    </w:pPr>
    <w:rPr>
      <w:rFonts w:eastAsia="仿宋_GB2312" w:asciiTheme="minorHAnsi" w:hAnsiTheme="minorHAnsi" w:cstheme="minorBidi"/>
      <w:bCs/>
      <w:kern w:val="2"/>
      <w:sz w:val="24"/>
      <w:szCs w:val="24"/>
      <w:lang w:val="en-US" w:eastAsia="zh-CN" w:bidi="ar-SA"/>
    </w:rPr>
  </w:style>
  <w:style w:type="character" w:customStyle="1" w:styleId="255">
    <w:name w:val="Char10"/>
    <w:qFormat/>
    <w:uiPriority w:val="0"/>
    <w:rPr>
      <w:rFonts w:ascii="Times New Roman" w:hAnsi="Times New Roman" w:eastAsia="宋体" w:cs="Times New Roman"/>
      <w:sz w:val="24"/>
      <w:szCs w:val="24"/>
      <w:lang w:bidi="ar-SA"/>
    </w:rPr>
  </w:style>
  <w:style w:type="character" w:customStyle="1" w:styleId="256">
    <w:name w:val="报告正文 Char Char"/>
    <w:qFormat/>
    <w:uiPriority w:val="0"/>
    <w:rPr>
      <w:rFonts w:ascii="宋体" w:hAnsi="宋体" w:cs="宋体"/>
      <w:kern w:val="2"/>
      <w:sz w:val="24"/>
    </w:rPr>
  </w:style>
  <w:style w:type="character" w:customStyle="1" w:styleId="257">
    <w:name w:val="z-窗体顶端 Char1"/>
    <w:semiHidden/>
    <w:qFormat/>
    <w:uiPriority w:val="99"/>
    <w:rPr>
      <w:rFonts w:ascii="Arial" w:hAnsi="Arial" w:cs="Arial"/>
      <w:vanish/>
      <w:kern w:val="2"/>
      <w:sz w:val="16"/>
      <w:szCs w:val="16"/>
    </w:rPr>
  </w:style>
  <w:style w:type="character" w:customStyle="1" w:styleId="258">
    <w:name w:val="txt221"/>
    <w:qFormat/>
    <w:uiPriority w:val="0"/>
    <w:rPr>
      <w:color w:val="333333"/>
      <w:spacing w:val="300"/>
      <w:sz w:val="18"/>
      <w:szCs w:val="18"/>
      <w:u w:val="none"/>
    </w:rPr>
  </w:style>
  <w:style w:type="character" w:customStyle="1" w:styleId="259">
    <w:name w:val="表格 Char1"/>
    <w:qFormat/>
    <w:uiPriority w:val="0"/>
    <w:rPr>
      <w:rFonts w:ascii="宋体" w:hAnsi="宋体"/>
      <w:snapToGrid w:val="0"/>
      <w:sz w:val="21"/>
      <w:lang w:val="en-US" w:eastAsia="zh-CN" w:bidi="ar-SA"/>
    </w:rPr>
  </w:style>
  <w:style w:type="character" w:customStyle="1" w:styleId="260">
    <w:name w:val="Char19"/>
    <w:qFormat/>
    <w:uiPriority w:val="0"/>
    <w:rPr>
      <w:rFonts w:ascii="Times New Roman" w:hAnsi="Times New Roman" w:eastAsia="宋体" w:cs="Times New Roman"/>
      <w:color w:val="000000"/>
      <w:sz w:val="24"/>
      <w:szCs w:val="24"/>
      <w:lang w:bidi="ar-SA"/>
    </w:rPr>
  </w:style>
  <w:style w:type="character" w:customStyle="1" w:styleId="261">
    <w:name w:val="表格 Char Char"/>
    <w:qFormat/>
    <w:uiPriority w:val="0"/>
    <w:rPr>
      <w:kern w:val="24"/>
      <w:sz w:val="24"/>
      <w:szCs w:val="24"/>
    </w:rPr>
  </w:style>
  <w:style w:type="character" w:customStyle="1" w:styleId="262">
    <w:name w:val="Char12"/>
    <w:qFormat/>
    <w:uiPriority w:val="0"/>
    <w:rPr>
      <w:rFonts w:ascii="Times New Roman" w:hAnsi="Times New Roman" w:eastAsia="宋体" w:cs="Times New Roman"/>
      <w:color w:val="000000"/>
      <w:sz w:val="24"/>
      <w:szCs w:val="24"/>
      <w:lang w:bidi="ar-SA"/>
    </w:rPr>
  </w:style>
  <w:style w:type="character" w:customStyle="1" w:styleId="263">
    <w:name w:val="正文首行缩进 Char3"/>
    <w:qFormat/>
    <w:uiPriority w:val="0"/>
  </w:style>
  <w:style w:type="character" w:customStyle="1" w:styleId="264">
    <w:name w:val="content_11"/>
    <w:qFormat/>
    <w:uiPriority w:val="0"/>
    <w:rPr>
      <w:color w:val="333333"/>
      <w:spacing w:val="340"/>
      <w:sz w:val="18"/>
      <w:szCs w:val="18"/>
    </w:rPr>
  </w:style>
  <w:style w:type="character" w:customStyle="1" w:styleId="265">
    <w:name w:val="正文1 Char Char"/>
    <w:qFormat/>
    <w:uiPriority w:val="0"/>
    <w:rPr>
      <w:rFonts w:eastAsia="宋体"/>
      <w:kern w:val="2"/>
      <w:sz w:val="24"/>
      <w:szCs w:val="24"/>
      <w:lang w:val="en-US" w:eastAsia="zh-CN"/>
    </w:rPr>
  </w:style>
  <w:style w:type="character" w:customStyle="1" w:styleId="266">
    <w:name w:val="样式 正文图表标题 + (西文) Times New Roman Char"/>
    <w:link w:val="267"/>
    <w:qFormat/>
    <w:uiPriority w:val="0"/>
    <w:rPr>
      <w:b/>
      <w:bCs/>
      <w:kern w:val="24"/>
      <w:sz w:val="24"/>
      <w:szCs w:val="24"/>
    </w:rPr>
  </w:style>
  <w:style w:type="paragraph" w:customStyle="1" w:styleId="267">
    <w:name w:val="样式 正文图表标题 + (西文) Times New Roman"/>
    <w:basedOn w:val="268"/>
    <w:link w:val="266"/>
    <w:qFormat/>
    <w:uiPriority w:val="0"/>
    <w:rPr>
      <w:bCs/>
    </w:rPr>
  </w:style>
  <w:style w:type="paragraph" w:customStyle="1" w:styleId="268">
    <w:name w:val="正文图表标题"/>
    <w:basedOn w:val="1"/>
    <w:link w:val="283"/>
    <w:qFormat/>
    <w:uiPriority w:val="0"/>
    <w:pPr>
      <w:adjustRightInd w:val="0"/>
      <w:snapToGrid w:val="0"/>
      <w:spacing w:line="360" w:lineRule="auto"/>
      <w:jc w:val="center"/>
    </w:pPr>
    <w:rPr>
      <w:rFonts w:asciiTheme="minorHAnsi" w:hAnsiTheme="minorHAnsi" w:eastAsiaTheme="minorEastAsia" w:cstheme="minorBidi"/>
      <w:b/>
      <w:kern w:val="24"/>
      <w:sz w:val="24"/>
    </w:rPr>
  </w:style>
  <w:style w:type="character" w:customStyle="1" w:styleId="269">
    <w:name w:val="test1"/>
    <w:qFormat/>
    <w:uiPriority w:val="0"/>
    <w:rPr>
      <w:rFonts w:ascii="ˎ̥" w:hAnsi="ˎ̥"/>
      <w:color w:val="000000"/>
      <w:sz w:val="19"/>
      <w:szCs w:val="19"/>
      <w:u w:val="none"/>
    </w:rPr>
  </w:style>
  <w:style w:type="character" w:customStyle="1" w:styleId="270">
    <w:name w:val="正文文本 Char2"/>
    <w:qFormat/>
    <w:uiPriority w:val="0"/>
    <w:rPr>
      <w:kern w:val="2"/>
      <w:sz w:val="21"/>
      <w:szCs w:val="24"/>
    </w:rPr>
  </w:style>
  <w:style w:type="character" w:customStyle="1" w:styleId="271">
    <w:name w:val="hsubsm1"/>
    <w:qFormat/>
    <w:uiPriority w:val="0"/>
    <w:rPr>
      <w:sz w:val="20"/>
      <w:szCs w:val="20"/>
      <w:vertAlign w:val="subscript"/>
    </w:rPr>
  </w:style>
  <w:style w:type="character" w:customStyle="1" w:styleId="272">
    <w:name w:val="标题 Char2"/>
    <w:qFormat/>
    <w:uiPriority w:val="0"/>
    <w:rPr>
      <w:rFonts w:ascii="Cambria" w:hAnsi="Cambria" w:cs="Times New Roman"/>
      <w:b/>
      <w:bCs/>
      <w:kern w:val="2"/>
      <w:sz w:val="32"/>
      <w:szCs w:val="32"/>
    </w:rPr>
  </w:style>
  <w:style w:type="character" w:customStyle="1" w:styleId="273">
    <w:name w:val="Char Char4"/>
    <w:semiHidden/>
    <w:qFormat/>
    <w:uiPriority w:val="0"/>
    <w:rPr>
      <w:rFonts w:eastAsia="宋体"/>
      <w:kern w:val="2"/>
      <w:sz w:val="21"/>
      <w:szCs w:val="24"/>
      <w:lang w:val="en-US" w:eastAsia="zh-CN" w:bidi="ar-SA"/>
    </w:rPr>
  </w:style>
  <w:style w:type="character" w:customStyle="1" w:styleId="274">
    <w:name w:val="燕山正文 Char"/>
    <w:qFormat/>
    <w:uiPriority w:val="0"/>
    <w:rPr>
      <w:rFonts w:ascii="宋体" w:hAnsi="宋体" w:eastAsia="宋体"/>
      <w:color w:val="000000"/>
      <w:kern w:val="2"/>
      <w:sz w:val="28"/>
      <w:szCs w:val="28"/>
      <w:lang w:val="en-US" w:eastAsia="zh-CN" w:bidi="ar-SA"/>
    </w:rPr>
  </w:style>
  <w:style w:type="character" w:customStyle="1" w:styleId="275">
    <w:name w:val="日期 Char2"/>
    <w:qFormat/>
    <w:uiPriority w:val="0"/>
    <w:rPr>
      <w:rFonts w:ascii="Calibri" w:hAnsi="Calibri"/>
      <w:kern w:val="2"/>
      <w:sz w:val="21"/>
      <w:szCs w:val="24"/>
    </w:rPr>
  </w:style>
  <w:style w:type="character" w:customStyle="1" w:styleId="276">
    <w:name w:val="ww1"/>
    <w:qFormat/>
    <w:uiPriority w:val="0"/>
    <w:rPr>
      <w:spacing w:val="300"/>
      <w:sz w:val="18"/>
      <w:szCs w:val="18"/>
    </w:rPr>
  </w:style>
  <w:style w:type="character" w:customStyle="1" w:styleId="277">
    <w:name w:val="nine-11"/>
    <w:qFormat/>
    <w:uiPriority w:val="0"/>
    <w:rPr>
      <w:rFonts w:hint="default"/>
      <w:spacing w:val="320"/>
      <w:sz w:val="18"/>
      <w:szCs w:val="18"/>
    </w:rPr>
  </w:style>
  <w:style w:type="character" w:customStyle="1" w:styleId="278">
    <w:name w:val="正文文本 2 Char2"/>
    <w:qFormat/>
    <w:uiPriority w:val="0"/>
    <w:rPr>
      <w:rFonts w:ascii="Calibri" w:hAnsi="Calibri"/>
      <w:kern w:val="2"/>
      <w:sz w:val="21"/>
      <w:szCs w:val="24"/>
    </w:rPr>
  </w:style>
  <w:style w:type="character" w:customStyle="1" w:styleId="279">
    <w:name w:val="样式 正文文本缩进 + 宋体 13 磅 Char"/>
    <w:qFormat/>
    <w:uiPriority w:val="0"/>
    <w:rPr>
      <w:rFonts w:ascii="宋体" w:hAnsi="宋体" w:eastAsia="宋体"/>
      <w:kern w:val="2"/>
      <w:sz w:val="28"/>
      <w:szCs w:val="28"/>
      <w:lang w:val="en-US" w:eastAsia="zh-CN" w:bidi="ar-SA"/>
    </w:rPr>
  </w:style>
  <w:style w:type="character" w:customStyle="1" w:styleId="280">
    <w:name w:val="yqlink"/>
    <w:qFormat/>
    <w:uiPriority w:val="0"/>
  </w:style>
  <w:style w:type="character" w:customStyle="1" w:styleId="281">
    <w:name w:val="style31"/>
    <w:qFormat/>
    <w:uiPriority w:val="0"/>
    <w:rPr>
      <w:color w:val="666666"/>
      <w:sz w:val="18"/>
      <w:szCs w:val="18"/>
      <w:u w:val="none"/>
    </w:rPr>
  </w:style>
  <w:style w:type="character" w:customStyle="1" w:styleId="282">
    <w:name w:val="Char8"/>
    <w:qFormat/>
    <w:uiPriority w:val="0"/>
    <w:rPr>
      <w:rFonts w:ascii="Times New Roman" w:hAnsi="Times New Roman" w:eastAsia="宋体" w:cs="Times New Roman"/>
      <w:sz w:val="24"/>
      <w:szCs w:val="24"/>
      <w:lang w:bidi="ar-SA"/>
    </w:rPr>
  </w:style>
  <w:style w:type="character" w:customStyle="1" w:styleId="283">
    <w:name w:val="正文图表标题 Char"/>
    <w:link w:val="268"/>
    <w:qFormat/>
    <w:uiPriority w:val="0"/>
    <w:rPr>
      <w:b/>
      <w:kern w:val="24"/>
      <w:sz w:val="24"/>
      <w:szCs w:val="24"/>
    </w:rPr>
  </w:style>
  <w:style w:type="character" w:customStyle="1" w:styleId="284">
    <w:name w:val="d2"/>
    <w:qFormat/>
    <w:uiPriority w:val="0"/>
  </w:style>
  <w:style w:type="character" w:customStyle="1" w:styleId="285">
    <w:name w:val="Char Char"/>
    <w:qFormat/>
    <w:uiPriority w:val="0"/>
    <w:rPr>
      <w:rFonts w:ascii="宋体" w:hAnsi="Courier New" w:eastAsia="宋体"/>
      <w:kern w:val="2"/>
      <w:sz w:val="21"/>
      <w:lang w:val="en-US" w:eastAsia="zh-CN" w:bidi="ar-SA"/>
    </w:rPr>
  </w:style>
  <w:style w:type="character" w:customStyle="1" w:styleId="286">
    <w:name w:val="fontstyle11"/>
    <w:qFormat/>
    <w:uiPriority w:val="0"/>
    <w:rPr>
      <w:rFonts w:hint="eastAsia" w:ascii="宋体" w:hAnsi="宋体" w:eastAsia="宋体"/>
      <w:color w:val="000000"/>
      <w:sz w:val="24"/>
      <w:szCs w:val="24"/>
    </w:rPr>
  </w:style>
  <w:style w:type="character" w:customStyle="1" w:styleId="287">
    <w:name w:val="标题 字符2"/>
    <w:link w:val="84"/>
    <w:qFormat/>
    <w:uiPriority w:val="0"/>
    <w:rPr>
      <w:rFonts w:ascii="Arial" w:hAnsi="Arial"/>
      <w:b/>
      <w:kern w:val="2"/>
      <w:sz w:val="32"/>
    </w:rPr>
  </w:style>
  <w:style w:type="character" w:customStyle="1" w:styleId="288">
    <w:name w:val="Char3"/>
    <w:qFormat/>
    <w:uiPriority w:val="0"/>
    <w:rPr>
      <w:rFonts w:ascii="Times New Roman" w:hAnsi="Times New Roman"/>
      <w:b/>
      <w:bCs/>
      <w:kern w:val="2"/>
      <w:sz w:val="24"/>
      <w:szCs w:val="24"/>
    </w:rPr>
  </w:style>
  <w:style w:type="character" w:customStyle="1" w:styleId="289">
    <w:name w:val="big5"/>
    <w:qFormat/>
    <w:uiPriority w:val="0"/>
    <w:rPr>
      <w:sz w:val="21"/>
      <w:szCs w:val="21"/>
    </w:rPr>
  </w:style>
  <w:style w:type="character" w:customStyle="1" w:styleId="290">
    <w:name w:val="表格正文 Char Char"/>
    <w:qFormat/>
    <w:uiPriority w:val="0"/>
    <w:rPr>
      <w:rFonts w:ascii="Arial" w:hAnsi="Arial"/>
      <w:kern w:val="2"/>
      <w:sz w:val="21"/>
      <w:szCs w:val="24"/>
    </w:rPr>
  </w:style>
  <w:style w:type="character" w:customStyle="1" w:styleId="291">
    <w:name w:val="a161"/>
    <w:qFormat/>
    <w:uiPriority w:val="0"/>
    <w:rPr>
      <w:color w:val="000000"/>
      <w:sz w:val="21"/>
      <w:szCs w:val="21"/>
      <w:u w:val="none"/>
    </w:rPr>
  </w:style>
  <w:style w:type="character" w:customStyle="1" w:styleId="292">
    <w:name w:val="样式 正文1 + 段前: 0.1 行 Char2"/>
    <w:qFormat/>
    <w:uiPriority w:val="0"/>
    <w:rPr>
      <w:rFonts w:eastAsia="宋体" w:cs="宋体"/>
      <w:kern w:val="2"/>
      <w:sz w:val="24"/>
      <w:lang w:val="en-US" w:eastAsia="zh-CN" w:bidi="ar-SA"/>
    </w:rPr>
  </w:style>
  <w:style w:type="character" w:customStyle="1" w:styleId="293">
    <w:name w:val="style51"/>
    <w:qFormat/>
    <w:uiPriority w:val="0"/>
    <w:rPr>
      <w:rFonts w:hint="eastAsia" w:ascii="宋体" w:hAnsi="宋体" w:eastAsia="宋体"/>
      <w:spacing w:val="480"/>
      <w:sz w:val="28"/>
      <w:szCs w:val="28"/>
    </w:rPr>
  </w:style>
  <w:style w:type="character" w:customStyle="1" w:styleId="294">
    <w:name w:val="样式2 Char Char"/>
    <w:link w:val="295"/>
    <w:qFormat/>
    <w:uiPriority w:val="0"/>
    <w:rPr>
      <w:rFonts w:ascii="Arial" w:hAnsi="Arial"/>
      <w:b/>
      <w:kern w:val="2"/>
      <w:sz w:val="28"/>
      <w:szCs w:val="24"/>
    </w:rPr>
  </w:style>
  <w:style w:type="paragraph" w:customStyle="1" w:styleId="295">
    <w:name w:val="样式2"/>
    <w:basedOn w:val="1"/>
    <w:link w:val="294"/>
    <w:qFormat/>
    <w:uiPriority w:val="0"/>
    <w:pPr>
      <w:spacing w:before="60" w:line="460" w:lineRule="exact"/>
      <w:outlineLvl w:val="1"/>
    </w:pPr>
    <w:rPr>
      <w:rFonts w:ascii="Arial" w:hAnsi="Arial" w:eastAsiaTheme="minorEastAsia" w:cstheme="minorBidi"/>
      <w:b/>
      <w:sz w:val="28"/>
    </w:rPr>
  </w:style>
  <w:style w:type="character" w:customStyle="1" w:styleId="296">
    <w:name w:val="样式 三级标题 + (符号) 宋体 Char"/>
    <w:qFormat/>
    <w:uiPriority w:val="0"/>
    <w:rPr>
      <w:rFonts w:eastAsia="宋体"/>
      <w:b/>
      <w:bCs/>
      <w:snapToGrid w:val="0"/>
      <w:kern w:val="2"/>
      <w:sz w:val="24"/>
      <w:szCs w:val="24"/>
      <w:lang w:val="en-US" w:eastAsia="zh-CN" w:bidi="ar-SA"/>
    </w:rPr>
  </w:style>
  <w:style w:type="character" w:customStyle="1" w:styleId="297">
    <w:name w:val="正文文本首行缩进 2 字符2"/>
    <w:link w:val="87"/>
    <w:qFormat/>
    <w:uiPriority w:val="0"/>
    <w:rPr>
      <w:rFonts w:ascii="Calibri" w:hAnsi="Calibri"/>
      <w:kern w:val="2"/>
      <w:sz w:val="21"/>
      <w:szCs w:val="24"/>
    </w:rPr>
  </w:style>
  <w:style w:type="character" w:customStyle="1" w:styleId="298">
    <w:name w:val="正文文本缩进 2 Char1"/>
    <w:semiHidden/>
    <w:qFormat/>
    <w:uiPriority w:val="0"/>
    <w:rPr>
      <w:kern w:val="2"/>
      <w:sz w:val="21"/>
      <w:szCs w:val="22"/>
    </w:rPr>
  </w:style>
  <w:style w:type="character" w:customStyle="1" w:styleId="299">
    <w:name w:val="line"/>
    <w:qFormat/>
    <w:uiPriority w:val="0"/>
  </w:style>
  <w:style w:type="character" w:customStyle="1" w:styleId="300">
    <w:name w:val="样式 正文01 + Char"/>
    <w:qFormat/>
    <w:uiPriority w:val="0"/>
    <w:rPr>
      <w:rFonts w:eastAsia="宋体"/>
      <w:b/>
      <w:color w:val="000000"/>
      <w:kern w:val="2"/>
      <w:sz w:val="24"/>
      <w:szCs w:val="24"/>
      <w:lang w:val="en-US" w:eastAsia="zh-CN" w:bidi="ar-SA"/>
    </w:rPr>
  </w:style>
  <w:style w:type="character" w:customStyle="1" w:styleId="301">
    <w:name w:val="lh151"/>
    <w:qFormat/>
    <w:uiPriority w:val="99"/>
    <w:rPr>
      <w:spacing w:val="360"/>
    </w:rPr>
  </w:style>
  <w:style w:type="character" w:customStyle="1" w:styleId="302">
    <w:name w:val="脚注文本 Char1"/>
    <w:semiHidden/>
    <w:qFormat/>
    <w:uiPriority w:val="0"/>
    <w:rPr>
      <w:kern w:val="2"/>
      <w:sz w:val="18"/>
      <w:szCs w:val="18"/>
    </w:rPr>
  </w:style>
  <w:style w:type="character" w:customStyle="1" w:styleId="303">
    <w:name w:val="样式 my + 黑色 Char"/>
    <w:qFormat/>
    <w:uiPriority w:val="0"/>
    <w:rPr>
      <w:color w:val="000000"/>
      <w:sz w:val="24"/>
      <w:lang w:val="en-US" w:eastAsia="zh-CN"/>
    </w:rPr>
  </w:style>
  <w:style w:type="character" w:customStyle="1" w:styleId="304">
    <w:name w:val="Char21"/>
    <w:qFormat/>
    <w:uiPriority w:val="0"/>
    <w:rPr>
      <w:rFonts w:eastAsia="宋体"/>
      <w:kern w:val="2"/>
      <w:sz w:val="21"/>
      <w:szCs w:val="24"/>
      <w:lang w:val="en-US" w:eastAsia="zh-CN"/>
    </w:rPr>
  </w:style>
  <w:style w:type="character" w:customStyle="1" w:styleId="305">
    <w:name w:val="Char4"/>
    <w:qFormat/>
    <w:uiPriority w:val="0"/>
    <w:rPr>
      <w:rFonts w:ascii="仿宋_GB2312" w:eastAsia="仿宋_GB2312"/>
      <w:kern w:val="2"/>
      <w:sz w:val="21"/>
      <w:szCs w:val="24"/>
    </w:rPr>
  </w:style>
  <w:style w:type="character" w:customStyle="1" w:styleId="306">
    <w:name w:val="dl1"/>
    <w:qFormat/>
    <w:uiPriority w:val="0"/>
    <w:rPr>
      <w:color w:val="000000"/>
      <w:spacing w:val="335"/>
      <w:sz w:val="20"/>
      <w:szCs w:val="20"/>
    </w:rPr>
  </w:style>
  <w:style w:type="character" w:customStyle="1" w:styleId="307">
    <w:name w:val="HTML 预设格式 Char2"/>
    <w:uiPriority w:val="0"/>
    <w:rPr>
      <w:rFonts w:ascii="Courier New" w:hAnsi="Courier New" w:cs="Courier New"/>
      <w:kern w:val="2"/>
    </w:rPr>
  </w:style>
  <w:style w:type="character" w:customStyle="1" w:styleId="308">
    <w:name w:val="样式 正文001 + Times New Roman Char Char Char Char"/>
    <w:uiPriority w:val="0"/>
  </w:style>
  <w:style w:type="character" w:customStyle="1" w:styleId="309">
    <w:name w:val="3级标题 Char"/>
    <w:qFormat/>
    <w:uiPriority w:val="99"/>
    <w:rPr>
      <w:rFonts w:eastAsia="宋体"/>
      <w:b/>
      <w:bCs/>
      <w:kern w:val="2"/>
      <w:sz w:val="24"/>
      <w:szCs w:val="24"/>
      <w:lang w:val="en-US" w:eastAsia="zh-CN"/>
    </w:rPr>
  </w:style>
  <w:style w:type="character" w:customStyle="1" w:styleId="310">
    <w:name w:val="font10"/>
    <w:qFormat/>
    <w:uiPriority w:val="0"/>
  </w:style>
  <w:style w:type="character" w:customStyle="1" w:styleId="311">
    <w:name w:val="表头 Char Char"/>
    <w:link w:val="312"/>
    <w:qFormat/>
    <w:uiPriority w:val="0"/>
    <w:rPr>
      <w:b/>
      <w:kern w:val="2"/>
      <w:sz w:val="24"/>
      <w:szCs w:val="24"/>
    </w:rPr>
  </w:style>
  <w:style w:type="paragraph" w:customStyle="1" w:styleId="312">
    <w:name w:val="表头"/>
    <w:basedOn w:val="1"/>
    <w:link w:val="311"/>
    <w:qFormat/>
    <w:uiPriority w:val="0"/>
    <w:pPr>
      <w:keepNext/>
      <w:snapToGrid w:val="0"/>
      <w:spacing w:before="60" w:line="460" w:lineRule="atLeast"/>
      <w:jc w:val="center"/>
    </w:pPr>
    <w:rPr>
      <w:rFonts w:asciiTheme="minorHAnsi" w:hAnsiTheme="minorHAnsi" w:eastAsiaTheme="minorEastAsia" w:cstheme="minorBidi"/>
      <w:b/>
      <w:sz w:val="24"/>
    </w:rPr>
  </w:style>
  <w:style w:type="character" w:customStyle="1" w:styleId="313">
    <w:name w:val="12heiwuxian"/>
    <w:qFormat/>
    <w:uiPriority w:val="0"/>
  </w:style>
  <w:style w:type="character" w:customStyle="1" w:styleId="314">
    <w:name w:val="正文首行缩进 2 Char11 Char Char"/>
    <w:qFormat/>
    <w:uiPriority w:val="0"/>
    <w:rPr>
      <w:rFonts w:ascii="Times New Roman" w:hAnsi="Times New Roman" w:eastAsia="宋体" w:cs="Times New Roman"/>
      <w:kern w:val="0"/>
      <w:sz w:val="28"/>
      <w:szCs w:val="24"/>
      <w:lang w:bidi="ar-SA"/>
    </w:rPr>
  </w:style>
  <w:style w:type="character" w:customStyle="1" w:styleId="315">
    <w:name w:val="报告正文 Char"/>
    <w:link w:val="316"/>
    <w:qFormat/>
    <w:uiPriority w:val="0"/>
    <w:rPr>
      <w:kern w:val="2"/>
      <w:sz w:val="24"/>
      <w:szCs w:val="24"/>
    </w:rPr>
  </w:style>
  <w:style w:type="paragraph" w:customStyle="1" w:styleId="316">
    <w:name w:val="报告正文"/>
    <w:basedOn w:val="1"/>
    <w:link w:val="315"/>
    <w:qFormat/>
    <w:uiPriority w:val="0"/>
    <w:pPr>
      <w:spacing w:line="360" w:lineRule="auto"/>
      <w:ind w:firstLine="200" w:firstLineChars="200"/>
      <w:jc w:val="left"/>
    </w:pPr>
    <w:rPr>
      <w:rFonts w:asciiTheme="minorHAnsi" w:hAnsiTheme="minorHAnsi" w:eastAsiaTheme="minorEastAsia" w:cstheme="minorBidi"/>
      <w:sz w:val="24"/>
    </w:rPr>
  </w:style>
  <w:style w:type="character" w:customStyle="1" w:styleId="317">
    <w:name w:val="text31"/>
    <w:qFormat/>
    <w:uiPriority w:val="0"/>
    <w:rPr>
      <w:rFonts w:hint="eastAsia" w:ascii="宋体" w:hAnsi="宋体" w:eastAsia="宋体"/>
      <w:color w:val="673434"/>
      <w:sz w:val="22"/>
      <w:szCs w:val="22"/>
      <w:u w:val="none"/>
    </w:rPr>
  </w:style>
  <w:style w:type="character" w:customStyle="1" w:styleId="318">
    <w:name w:val="content1"/>
    <w:qFormat/>
    <w:uiPriority w:val="0"/>
    <w:rPr>
      <w:rFonts w:eastAsia="宋体"/>
      <w:color w:val="000000"/>
      <w:spacing w:val="400"/>
      <w:kern w:val="2"/>
      <w:sz w:val="21"/>
      <w:szCs w:val="21"/>
      <w:lang w:val="en-US" w:eastAsia="zh-CN" w:bidi="ar-SA"/>
    </w:rPr>
  </w:style>
  <w:style w:type="character" w:customStyle="1" w:styleId="319">
    <w:name w:val="duanluo2"/>
    <w:qFormat/>
    <w:uiPriority w:val="0"/>
    <w:rPr>
      <w:rFonts w:ascii="??" w:hAnsi="??"/>
      <w:color w:val="000000"/>
      <w:sz w:val="21"/>
    </w:rPr>
  </w:style>
  <w:style w:type="character" w:customStyle="1" w:styleId="320">
    <w:name w:val="正文调整 Char"/>
    <w:link w:val="321"/>
    <w:qFormat/>
    <w:uiPriority w:val="0"/>
    <w:rPr>
      <w:kern w:val="2"/>
      <w:sz w:val="24"/>
    </w:rPr>
  </w:style>
  <w:style w:type="paragraph" w:customStyle="1" w:styleId="321">
    <w:name w:val="正文调整"/>
    <w:basedOn w:val="1"/>
    <w:link w:val="320"/>
    <w:qFormat/>
    <w:uiPriority w:val="0"/>
    <w:pPr>
      <w:spacing w:before="60" w:line="460" w:lineRule="atLeast"/>
      <w:ind w:firstLine="200" w:firstLineChars="200"/>
    </w:pPr>
    <w:rPr>
      <w:rFonts w:asciiTheme="minorHAnsi" w:hAnsiTheme="minorHAnsi" w:eastAsiaTheme="minorEastAsia" w:cstheme="minorBidi"/>
      <w:sz w:val="24"/>
      <w:szCs w:val="20"/>
    </w:rPr>
  </w:style>
  <w:style w:type="character" w:customStyle="1" w:styleId="322">
    <w:name w:val="标题 Char1"/>
    <w:qFormat/>
    <w:uiPriority w:val="99"/>
    <w:rPr>
      <w:rFonts w:ascii="Cambria" w:hAnsi="Cambria" w:cs="Times New Roman"/>
      <w:b/>
      <w:bCs/>
      <w:kern w:val="2"/>
      <w:sz w:val="32"/>
      <w:szCs w:val="32"/>
    </w:rPr>
  </w:style>
  <w:style w:type="character" w:customStyle="1" w:styleId="323">
    <w:name w:val="Char16"/>
    <w:qFormat/>
    <w:uiPriority w:val="0"/>
    <w:rPr>
      <w:rFonts w:ascii="Times New Roman" w:hAnsi="Times New Roman" w:eastAsia="宋体" w:cs="Times New Roman"/>
      <w:sz w:val="24"/>
      <w:szCs w:val="24"/>
      <w:lang w:bidi="ar-SA"/>
    </w:rPr>
  </w:style>
  <w:style w:type="character" w:customStyle="1" w:styleId="324">
    <w:name w:val="称呼 字符1"/>
    <w:link w:val="30"/>
    <w:qFormat/>
    <w:uiPriority w:val="0"/>
    <w:rPr>
      <w:kern w:val="2"/>
      <w:sz w:val="28"/>
      <w:szCs w:val="24"/>
    </w:rPr>
  </w:style>
  <w:style w:type="character" w:customStyle="1" w:styleId="325">
    <w:name w:val="正文001 Char"/>
    <w:link w:val="326"/>
    <w:qFormat/>
    <w:uiPriority w:val="0"/>
    <w:rPr>
      <w:kern w:val="2"/>
      <w:sz w:val="24"/>
    </w:rPr>
  </w:style>
  <w:style w:type="paragraph" w:customStyle="1" w:styleId="326">
    <w:name w:val="正文001"/>
    <w:basedOn w:val="1"/>
    <w:link w:val="325"/>
    <w:qFormat/>
    <w:uiPriority w:val="0"/>
    <w:pPr>
      <w:spacing w:before="60" w:line="420" w:lineRule="exact"/>
      <w:ind w:firstLine="482"/>
    </w:pPr>
    <w:rPr>
      <w:rFonts w:asciiTheme="minorHAnsi" w:hAnsiTheme="minorHAnsi" w:eastAsiaTheme="minorEastAsia" w:cstheme="minorBidi"/>
      <w:sz w:val="24"/>
      <w:szCs w:val="20"/>
    </w:rPr>
  </w:style>
  <w:style w:type="character" w:customStyle="1" w:styleId="327">
    <w:name w:val="表 Char"/>
    <w:qFormat/>
    <w:uiPriority w:val="0"/>
    <w:rPr>
      <w:rFonts w:eastAsia="宋体"/>
      <w:spacing w:val="2"/>
      <w:kern w:val="2"/>
      <w:sz w:val="24"/>
      <w:lang w:val="en-US" w:eastAsia="zh-CN" w:bidi="ar-SA"/>
    </w:rPr>
  </w:style>
  <w:style w:type="character" w:customStyle="1" w:styleId="328">
    <w:name w:val="称呼 Char2"/>
    <w:uiPriority w:val="0"/>
    <w:rPr>
      <w:kern w:val="2"/>
      <w:sz w:val="21"/>
      <w:szCs w:val="24"/>
    </w:rPr>
  </w:style>
  <w:style w:type="character" w:customStyle="1" w:styleId="329">
    <w:name w:val="样式 正文001 + 首行缩进:  2 字符1 Char1"/>
    <w:link w:val="330"/>
    <w:qFormat/>
    <w:uiPriority w:val="99"/>
    <w:rPr>
      <w:kern w:val="2"/>
      <w:sz w:val="24"/>
    </w:rPr>
  </w:style>
  <w:style w:type="paragraph" w:customStyle="1" w:styleId="330">
    <w:name w:val="样式 正文001 + 首行缩进:  2 字符1"/>
    <w:basedOn w:val="1"/>
    <w:link w:val="329"/>
    <w:qFormat/>
    <w:uiPriority w:val="99"/>
    <w:pPr>
      <w:spacing w:before="60" w:line="460" w:lineRule="atLeast"/>
      <w:ind w:firstLine="200" w:firstLineChars="200"/>
    </w:pPr>
    <w:rPr>
      <w:rFonts w:asciiTheme="minorHAnsi" w:hAnsiTheme="minorHAnsi" w:eastAsiaTheme="minorEastAsia" w:cstheme="minorBidi"/>
      <w:sz w:val="24"/>
      <w:szCs w:val="20"/>
    </w:rPr>
  </w:style>
  <w:style w:type="character" w:customStyle="1" w:styleId="331">
    <w:name w:val="z-窗体底端 字符1"/>
    <w:link w:val="332"/>
    <w:qFormat/>
    <w:uiPriority w:val="0"/>
    <w:rPr>
      <w:rFonts w:ascii="Arial" w:hAnsi="Arial" w:cs="Arial"/>
      <w:vanish/>
      <w:color w:val="000000"/>
      <w:sz w:val="16"/>
      <w:szCs w:val="16"/>
    </w:rPr>
  </w:style>
  <w:style w:type="paragraph" w:customStyle="1" w:styleId="332">
    <w:name w:val="z-窗体底端1"/>
    <w:basedOn w:val="1"/>
    <w:next w:val="1"/>
    <w:link w:val="331"/>
    <w:qFormat/>
    <w:uiPriority w:val="0"/>
    <w:pPr>
      <w:widowControl/>
      <w:pBdr>
        <w:top w:val="single" w:color="auto" w:sz="6" w:space="1"/>
      </w:pBdr>
      <w:jc w:val="center"/>
    </w:pPr>
    <w:rPr>
      <w:rFonts w:ascii="Arial" w:hAnsi="Arial" w:cs="Arial" w:eastAsiaTheme="minorEastAsia"/>
      <w:vanish/>
      <w:color w:val="000000"/>
      <w:kern w:val="0"/>
      <w:sz w:val="16"/>
      <w:szCs w:val="16"/>
    </w:rPr>
  </w:style>
  <w:style w:type="character" w:customStyle="1" w:styleId="333">
    <w:name w:val="正文文本 3 Char2"/>
    <w:qFormat/>
    <w:uiPriority w:val="0"/>
    <w:rPr>
      <w:rFonts w:ascii="Calibri" w:hAnsi="Calibri"/>
      <w:kern w:val="2"/>
      <w:sz w:val="16"/>
      <w:szCs w:val="16"/>
    </w:rPr>
  </w:style>
  <w:style w:type="character" w:customStyle="1" w:styleId="334">
    <w:name w:val="正文文本 2 Char1"/>
    <w:semiHidden/>
    <w:qFormat/>
    <w:uiPriority w:val="0"/>
    <w:rPr>
      <w:kern w:val="2"/>
      <w:sz w:val="21"/>
      <w:szCs w:val="22"/>
    </w:rPr>
  </w:style>
  <w:style w:type="character" w:customStyle="1" w:styleId="335">
    <w:name w:val="fontstyle01"/>
    <w:qFormat/>
    <w:uiPriority w:val="0"/>
    <w:rPr>
      <w:rFonts w:hint="eastAsia" w:ascii="宋体" w:hAnsi="宋体" w:eastAsia="宋体"/>
      <w:color w:val="000000"/>
      <w:sz w:val="22"/>
      <w:szCs w:val="22"/>
    </w:rPr>
  </w:style>
  <w:style w:type="character" w:customStyle="1" w:styleId="336">
    <w:name w:val="样式 3级标题 + Times New Roman Char"/>
    <w:qFormat/>
    <w:uiPriority w:val="0"/>
  </w:style>
  <w:style w:type="character" w:customStyle="1" w:styleId="337">
    <w:name w:val="hei1"/>
    <w:qFormat/>
    <w:uiPriority w:val="0"/>
    <w:rPr>
      <w:color w:val="000000"/>
      <w:spacing w:val="369"/>
      <w:sz w:val="23"/>
      <w:szCs w:val="23"/>
      <w:u w:val="none"/>
    </w:rPr>
  </w:style>
  <w:style w:type="character" w:customStyle="1" w:styleId="338">
    <w:name w:val="Char181"/>
    <w:qFormat/>
    <w:uiPriority w:val="0"/>
    <w:rPr>
      <w:rFonts w:ascii="Times New Roman" w:hAnsi="Times New Roman" w:eastAsia="宋体" w:cs="Times New Roman"/>
      <w:sz w:val="24"/>
      <w:szCs w:val="24"/>
      <w:lang w:bidi="ar-SA"/>
    </w:rPr>
  </w:style>
  <w:style w:type="character" w:customStyle="1" w:styleId="339">
    <w:name w:val="纯文本 Char2"/>
    <w:qFormat/>
    <w:uiPriority w:val="0"/>
    <w:rPr>
      <w:rFonts w:ascii="宋体" w:hAnsi="Courier New" w:eastAsia="宋体"/>
      <w:kern w:val="2"/>
      <w:sz w:val="21"/>
      <w:lang w:val="en-US" w:eastAsia="zh-CN" w:bidi="ar-SA"/>
    </w:rPr>
  </w:style>
  <w:style w:type="character" w:customStyle="1" w:styleId="340">
    <w:name w:val="Char191"/>
    <w:qFormat/>
    <w:uiPriority w:val="0"/>
    <w:rPr>
      <w:rFonts w:ascii="Times New Roman" w:hAnsi="Times New Roman" w:eastAsia="宋体" w:cs="Times New Roman"/>
      <w:color w:val="000000"/>
      <w:sz w:val="24"/>
      <w:szCs w:val="24"/>
      <w:lang w:bidi="ar-SA"/>
    </w:rPr>
  </w:style>
  <w:style w:type="character" w:customStyle="1" w:styleId="341">
    <w:name w:val="hottext1"/>
    <w:qFormat/>
    <w:uiPriority w:val="0"/>
  </w:style>
  <w:style w:type="character" w:customStyle="1" w:styleId="342">
    <w:name w:val="正文文本缩进 3 字符1"/>
    <w:link w:val="70"/>
    <w:qFormat/>
    <w:uiPriority w:val="0"/>
    <w:rPr>
      <w:rFonts w:ascii="宋体" w:hAnsi="宋体"/>
      <w:color w:val="FF0000"/>
      <w:kern w:val="2"/>
      <w:sz w:val="24"/>
      <w:szCs w:val="24"/>
    </w:rPr>
  </w:style>
  <w:style w:type="character" w:customStyle="1" w:styleId="343">
    <w:name w:val="正文首行缩进 2 + Times New Roman Char"/>
    <w:qFormat/>
    <w:uiPriority w:val="0"/>
    <w:rPr>
      <w:rFonts w:eastAsia="宋体"/>
      <w:sz w:val="24"/>
      <w:szCs w:val="24"/>
      <w:lang w:val="en-US" w:eastAsia="zh-CN" w:bidi="ar-SA"/>
    </w:rPr>
  </w:style>
  <w:style w:type="character" w:customStyle="1" w:styleId="344">
    <w:name w:val="Char Char1 Char"/>
    <w:link w:val="345"/>
    <w:qFormat/>
    <w:uiPriority w:val="0"/>
    <w:rPr>
      <w:rFonts w:ascii="宋体" w:hAnsi="宋体" w:cs="宋体"/>
      <w:kern w:val="2"/>
      <w:sz w:val="24"/>
      <w:szCs w:val="24"/>
    </w:rPr>
  </w:style>
  <w:style w:type="paragraph" w:customStyle="1" w:styleId="345">
    <w:name w:val="Char Char1"/>
    <w:basedOn w:val="1"/>
    <w:link w:val="344"/>
    <w:qFormat/>
    <w:uiPriority w:val="0"/>
    <w:pPr>
      <w:spacing w:line="360" w:lineRule="auto"/>
      <w:ind w:firstLine="200" w:firstLineChars="200"/>
    </w:pPr>
    <w:rPr>
      <w:rFonts w:ascii="宋体" w:hAnsi="宋体" w:cs="宋体" w:eastAsiaTheme="minorEastAsia"/>
      <w:sz w:val="24"/>
    </w:rPr>
  </w:style>
  <w:style w:type="character" w:customStyle="1" w:styleId="346">
    <w:name w:val="my Char Char"/>
    <w:qFormat/>
    <w:uiPriority w:val="0"/>
    <w:rPr>
      <w:sz w:val="24"/>
      <w:lang w:val="en-US" w:eastAsia="zh-CN"/>
    </w:rPr>
  </w:style>
  <w:style w:type="character" w:customStyle="1" w:styleId="347">
    <w:name w:val="xb"/>
    <w:qFormat/>
    <w:uiPriority w:val="0"/>
  </w:style>
  <w:style w:type="character" w:customStyle="1" w:styleId="348">
    <w:name w:val="正文BBBB Char"/>
    <w:link w:val="349"/>
    <w:qFormat/>
    <w:uiPriority w:val="0"/>
    <w:rPr>
      <w:rFonts w:ascii="宋体" w:hAnsi="宋体"/>
      <w:kern w:val="2"/>
      <w:sz w:val="24"/>
    </w:rPr>
  </w:style>
  <w:style w:type="paragraph" w:customStyle="1" w:styleId="349">
    <w:name w:val="正文BBBB"/>
    <w:basedOn w:val="1"/>
    <w:link w:val="348"/>
    <w:qFormat/>
    <w:uiPriority w:val="0"/>
    <w:pPr>
      <w:spacing w:line="540" w:lineRule="exact"/>
      <w:ind w:firstLine="480" w:firstLineChars="200"/>
    </w:pPr>
    <w:rPr>
      <w:rFonts w:ascii="宋体" w:hAnsi="宋体" w:eastAsiaTheme="minorEastAsia" w:cstheme="minorBidi"/>
      <w:sz w:val="24"/>
      <w:szCs w:val="20"/>
    </w:rPr>
  </w:style>
  <w:style w:type="character" w:customStyle="1" w:styleId="350">
    <w:name w:val="称呼 Char1"/>
    <w:semiHidden/>
    <w:qFormat/>
    <w:uiPriority w:val="0"/>
    <w:rPr>
      <w:kern w:val="2"/>
      <w:sz w:val="21"/>
      <w:szCs w:val="22"/>
    </w:rPr>
  </w:style>
  <w:style w:type="character" w:customStyle="1" w:styleId="351">
    <w:name w:val="脚注文本 Char2"/>
    <w:qFormat/>
    <w:uiPriority w:val="0"/>
    <w:rPr>
      <w:kern w:val="2"/>
      <w:sz w:val="18"/>
      <w:szCs w:val="18"/>
    </w:rPr>
  </w:style>
  <w:style w:type="character" w:customStyle="1" w:styleId="352">
    <w:name w:val="Char171"/>
    <w:qFormat/>
    <w:uiPriority w:val="0"/>
    <w:rPr>
      <w:rFonts w:ascii="Times New Roman" w:hAnsi="Times New Roman" w:eastAsia="宋体" w:cs="Times New Roman"/>
      <w:sz w:val="24"/>
      <w:szCs w:val="24"/>
      <w:shd w:val="clear" w:color="auto" w:fill="auto"/>
      <w:lang w:bidi="ar-SA"/>
    </w:rPr>
  </w:style>
  <w:style w:type="character" w:customStyle="1" w:styleId="353">
    <w:name w:val="常用正文样式 Char1"/>
    <w:link w:val="354"/>
    <w:qFormat/>
    <w:uiPriority w:val="0"/>
    <w:rPr>
      <w:rFonts w:ascii="宋体" w:hAnsi="新宋体" w:eastAsia="楷体_GB2312"/>
      <w:kern w:val="2"/>
      <w:sz w:val="24"/>
      <w:szCs w:val="24"/>
    </w:rPr>
  </w:style>
  <w:style w:type="paragraph" w:customStyle="1" w:styleId="354">
    <w:name w:val="常用正文样式"/>
    <w:link w:val="353"/>
    <w:qFormat/>
    <w:uiPriority w:val="0"/>
    <w:pPr>
      <w:widowControl w:val="0"/>
      <w:spacing w:line="360" w:lineRule="auto"/>
      <w:ind w:firstLine="454"/>
      <w:jc w:val="both"/>
    </w:pPr>
    <w:rPr>
      <w:rFonts w:ascii="宋体" w:hAnsi="新宋体" w:eastAsia="楷体_GB2312" w:cstheme="minorBidi"/>
      <w:kern w:val="2"/>
      <w:sz w:val="24"/>
      <w:szCs w:val="24"/>
      <w:lang w:val="en-US" w:eastAsia="zh-CN" w:bidi="ar-SA"/>
    </w:rPr>
  </w:style>
  <w:style w:type="character" w:customStyle="1" w:styleId="355">
    <w:name w:val="Char9"/>
    <w:qFormat/>
    <w:uiPriority w:val="0"/>
    <w:rPr>
      <w:rFonts w:ascii="黑体" w:eastAsia="黑体" w:cs="Courier New"/>
      <w:lang w:bidi="ar-SA"/>
    </w:rPr>
  </w:style>
  <w:style w:type="character" w:customStyle="1" w:styleId="356">
    <w:name w:val="Char51"/>
    <w:qFormat/>
    <w:uiPriority w:val="0"/>
    <w:rPr>
      <w:rFonts w:ascii="仿宋_GB2312" w:eastAsia="仿宋_GB2312"/>
      <w:kern w:val="2"/>
      <w:sz w:val="21"/>
      <w:szCs w:val="24"/>
    </w:rPr>
  </w:style>
  <w:style w:type="character" w:customStyle="1" w:styleId="357">
    <w:name w:val="f24"/>
    <w:qFormat/>
    <w:uiPriority w:val="0"/>
  </w:style>
  <w:style w:type="character" w:customStyle="1" w:styleId="358">
    <w:name w:val="正文首行缩进 2 Char1"/>
    <w:semiHidden/>
    <w:qFormat/>
    <w:uiPriority w:val="0"/>
    <w:rPr>
      <w:rFonts w:ascii="Times New Roman" w:hAnsi="Times New Roman"/>
      <w:sz w:val="24"/>
      <w:szCs w:val="24"/>
    </w:rPr>
  </w:style>
  <w:style w:type="character" w:customStyle="1" w:styleId="359">
    <w:name w:val="middle1"/>
    <w:qFormat/>
    <w:uiPriority w:val="0"/>
    <w:rPr>
      <w:sz w:val="25"/>
      <w:szCs w:val="25"/>
      <w:u w:val="none"/>
    </w:rPr>
  </w:style>
  <w:style w:type="character" w:customStyle="1" w:styleId="360">
    <w:name w:val="样式 正文1 + 段前: 0.1 行 Char Char"/>
    <w:qFormat/>
    <w:uiPriority w:val="0"/>
    <w:rPr>
      <w:rFonts w:eastAsia="宋体" w:cs="宋体"/>
      <w:kern w:val="2"/>
      <w:sz w:val="24"/>
      <w:szCs w:val="24"/>
      <w:lang w:val="en-US" w:eastAsia="zh-CN" w:bidi="ar-SA"/>
    </w:rPr>
  </w:style>
  <w:style w:type="character" w:customStyle="1" w:styleId="361">
    <w:name w:val="big"/>
    <w:qFormat/>
    <w:uiPriority w:val="0"/>
  </w:style>
  <w:style w:type="character" w:customStyle="1" w:styleId="362">
    <w:name w:val="样式 3级标题 + 非加粗 Char"/>
    <w:link w:val="363"/>
    <w:qFormat/>
    <w:uiPriority w:val="0"/>
    <w:rPr>
      <w:b/>
      <w:bCs/>
      <w:kern w:val="2"/>
      <w:sz w:val="24"/>
      <w:szCs w:val="24"/>
    </w:rPr>
  </w:style>
  <w:style w:type="paragraph" w:customStyle="1" w:styleId="363">
    <w:name w:val="样式 3级标题 + 非加粗"/>
    <w:basedOn w:val="364"/>
    <w:link w:val="362"/>
    <w:qFormat/>
    <w:uiPriority w:val="0"/>
    <w:pPr>
      <w:spacing w:before="300"/>
      <w:outlineLvl w:val="2"/>
    </w:pPr>
    <w:rPr>
      <w:rFonts w:asciiTheme="minorHAnsi" w:hAnsiTheme="minorHAnsi" w:eastAsiaTheme="minorEastAsia" w:cstheme="minorBidi"/>
      <w:bCs/>
    </w:rPr>
  </w:style>
  <w:style w:type="paragraph" w:customStyle="1" w:styleId="364">
    <w:name w:val="3级标题"/>
    <w:basedOn w:val="1"/>
    <w:qFormat/>
    <w:uiPriority w:val="0"/>
    <w:pPr>
      <w:spacing w:before="60" w:line="460" w:lineRule="exact"/>
      <w:outlineLvl w:val="0"/>
    </w:pPr>
    <w:rPr>
      <w:rFonts w:ascii="Calibri" w:hAnsi="Calibri" w:cs="Arial"/>
      <w:b/>
      <w:sz w:val="24"/>
    </w:rPr>
  </w:style>
  <w:style w:type="character" w:customStyle="1" w:styleId="365">
    <w:name w:val="t_tag"/>
    <w:qFormat/>
    <w:uiPriority w:val="0"/>
  </w:style>
  <w:style w:type="character" w:customStyle="1" w:styleId="366">
    <w:name w:val="超链接1"/>
    <w:uiPriority w:val="0"/>
    <w:rPr>
      <w:color w:val="0000FF"/>
      <w:u w:val="single"/>
    </w:rPr>
  </w:style>
  <w:style w:type="character" w:customStyle="1" w:styleId="367">
    <w:name w:val="at_3"/>
    <w:qFormat/>
    <w:uiPriority w:val="0"/>
  </w:style>
  <w:style w:type="character" w:customStyle="1" w:styleId="368">
    <w:name w:val="11p"/>
    <w:qFormat/>
    <w:uiPriority w:val="0"/>
  </w:style>
  <w:style w:type="character" w:customStyle="1" w:styleId="369">
    <w:name w:val="Char91"/>
    <w:qFormat/>
    <w:uiPriority w:val="0"/>
    <w:rPr>
      <w:rFonts w:ascii="黑体" w:eastAsia="黑体" w:cs="Courier New"/>
      <w:lang w:bidi="ar-SA"/>
    </w:rPr>
  </w:style>
  <w:style w:type="character" w:customStyle="1" w:styleId="370">
    <w:name w:val="newsobjectlink1"/>
    <w:qFormat/>
    <w:uiPriority w:val="0"/>
    <w:rPr>
      <w:rFonts w:hint="default" w:ascii="ˎ̥" w:hAnsi="ˎ̥"/>
      <w:color w:val="333333"/>
      <w:sz w:val="18"/>
      <w:szCs w:val="18"/>
      <w:u w:val="none"/>
    </w:rPr>
  </w:style>
  <w:style w:type="character" w:customStyle="1" w:styleId="371">
    <w:name w:val="正文01 Char Char"/>
    <w:qFormat/>
    <w:uiPriority w:val="0"/>
    <w:rPr>
      <w:rFonts w:ascii="Arial" w:hAnsi="Arial" w:eastAsia="宋体"/>
      <w:kern w:val="2"/>
      <w:sz w:val="24"/>
      <w:szCs w:val="24"/>
      <w:lang w:val="en-US" w:eastAsia="zh-CN" w:bidi="ar-SA"/>
    </w:rPr>
  </w:style>
  <w:style w:type="character" w:customStyle="1" w:styleId="372">
    <w:name w:val="正文缩进 Char2"/>
    <w:qFormat/>
    <w:uiPriority w:val="0"/>
    <w:rPr>
      <w:rFonts w:ascii="Arial" w:hAnsi="Arial" w:cs="Arial"/>
      <w:spacing w:val="10"/>
      <w:kern w:val="2"/>
      <w:sz w:val="24"/>
    </w:rPr>
  </w:style>
  <w:style w:type="character" w:customStyle="1" w:styleId="373">
    <w:name w:val="正文 首行缩进:  2 字符 Char Char Char"/>
    <w:link w:val="374"/>
    <w:qFormat/>
    <w:uiPriority w:val="0"/>
    <w:rPr>
      <w:rFonts w:ascii="Arial" w:hAnsi="宋体" w:cs="Arial"/>
      <w:b/>
      <w:kern w:val="2"/>
      <w:sz w:val="21"/>
      <w:szCs w:val="21"/>
    </w:rPr>
  </w:style>
  <w:style w:type="paragraph" w:customStyle="1" w:styleId="374">
    <w:name w:val="正文 首行缩进:  2 字符"/>
    <w:basedOn w:val="1"/>
    <w:link w:val="373"/>
    <w:uiPriority w:val="0"/>
    <w:pPr>
      <w:spacing w:line="360" w:lineRule="auto"/>
      <w:ind w:firstLine="422" w:firstLineChars="200"/>
      <w:jc w:val="center"/>
    </w:pPr>
    <w:rPr>
      <w:rFonts w:ascii="Arial" w:hAnsi="宋体" w:cs="Arial" w:eastAsiaTheme="minorEastAsia"/>
      <w:b/>
      <w:szCs w:val="21"/>
    </w:rPr>
  </w:style>
  <w:style w:type="character" w:customStyle="1" w:styleId="375">
    <w:name w:val="正文B Char"/>
    <w:link w:val="376"/>
    <w:qFormat/>
    <w:uiPriority w:val="0"/>
    <w:rPr>
      <w:rFonts w:cs="宋体"/>
      <w:kern w:val="2"/>
      <w:sz w:val="24"/>
    </w:rPr>
  </w:style>
  <w:style w:type="paragraph" w:customStyle="1" w:styleId="376">
    <w:name w:val="正文B"/>
    <w:basedOn w:val="1"/>
    <w:link w:val="375"/>
    <w:qFormat/>
    <w:uiPriority w:val="0"/>
    <w:pPr>
      <w:spacing w:line="360" w:lineRule="auto"/>
      <w:ind w:firstLine="480"/>
    </w:pPr>
    <w:rPr>
      <w:rFonts w:cs="宋体" w:asciiTheme="minorHAnsi" w:hAnsiTheme="minorHAnsi" w:eastAsiaTheme="minorEastAsia"/>
      <w:sz w:val="24"/>
      <w:szCs w:val="20"/>
    </w:rPr>
  </w:style>
  <w:style w:type="character" w:customStyle="1" w:styleId="377">
    <w:name w:val="正文文本缩进 2 字符1"/>
    <w:link w:val="52"/>
    <w:qFormat/>
    <w:uiPriority w:val="0"/>
    <w:rPr>
      <w:rFonts w:ascii="宋体" w:hAnsi="宋体"/>
      <w:kern w:val="2"/>
      <w:sz w:val="24"/>
      <w:szCs w:val="24"/>
    </w:rPr>
  </w:style>
  <w:style w:type="character" w:customStyle="1" w:styleId="378">
    <w:name w:val="无间隔 字符1"/>
    <w:link w:val="379"/>
    <w:uiPriority w:val="1"/>
    <w:rPr>
      <w:rFonts w:ascii="Calibri" w:hAnsi="Calibri"/>
      <w:sz w:val="22"/>
      <w:szCs w:val="22"/>
    </w:rPr>
  </w:style>
  <w:style w:type="paragraph" w:styleId="379">
    <w:name w:val="No Spacing"/>
    <w:link w:val="378"/>
    <w:qFormat/>
    <w:uiPriority w:val="1"/>
    <w:rPr>
      <w:rFonts w:ascii="Calibri" w:hAnsi="Calibri" w:eastAsiaTheme="minorEastAsia" w:cstheme="minorBidi"/>
      <w:sz w:val="22"/>
      <w:szCs w:val="22"/>
      <w:lang w:val="en-US" w:eastAsia="zh-CN" w:bidi="ar-SA"/>
    </w:rPr>
  </w:style>
  <w:style w:type="character" w:customStyle="1" w:styleId="380">
    <w:name w:val="文档结构图 字符2"/>
    <w:link w:val="26"/>
    <w:qFormat/>
    <w:uiPriority w:val="0"/>
    <w:rPr>
      <w:kern w:val="2"/>
      <w:sz w:val="21"/>
      <w:szCs w:val="24"/>
      <w:shd w:val="clear" w:color="auto" w:fill="000080"/>
    </w:rPr>
  </w:style>
  <w:style w:type="character" w:customStyle="1" w:styleId="381">
    <w:name w:val="表格内容 Char"/>
    <w:link w:val="382"/>
    <w:qFormat/>
    <w:uiPriority w:val="99"/>
    <w:rPr>
      <w:bCs/>
      <w:color w:val="000000"/>
      <w:kern w:val="2"/>
      <w:sz w:val="18"/>
      <w:szCs w:val="24"/>
    </w:rPr>
  </w:style>
  <w:style w:type="paragraph" w:customStyle="1" w:styleId="382">
    <w:name w:val="表格内容"/>
    <w:basedOn w:val="21"/>
    <w:link w:val="381"/>
    <w:qFormat/>
    <w:uiPriority w:val="99"/>
    <w:pPr>
      <w:widowControl w:val="0"/>
      <w:tabs>
        <w:tab w:val="left" w:pos="1290"/>
        <w:tab w:val="left" w:pos="8280"/>
      </w:tabs>
      <w:snapToGrid w:val="0"/>
      <w:spacing w:line="240" w:lineRule="auto"/>
      <w:ind w:firstLine="0" w:firstLineChars="0"/>
      <w:jc w:val="center"/>
    </w:pPr>
    <w:rPr>
      <w:rFonts w:asciiTheme="minorHAnsi" w:hAnsiTheme="minorHAnsi" w:eastAsiaTheme="minorEastAsia" w:cstheme="minorBidi"/>
      <w:bCs/>
      <w:color w:val="000000"/>
      <w:sz w:val="18"/>
      <w:szCs w:val="24"/>
    </w:rPr>
  </w:style>
  <w:style w:type="character" w:customStyle="1" w:styleId="383">
    <w:name w:val="正文B Char Char"/>
    <w:uiPriority w:val="0"/>
    <w:rPr>
      <w:rFonts w:cs="宋体"/>
      <w:kern w:val="2"/>
      <w:sz w:val="24"/>
    </w:rPr>
  </w:style>
  <w:style w:type="character" w:customStyle="1" w:styleId="384">
    <w:name w:val="正文001 Char Char Char Char"/>
    <w:qFormat/>
    <w:uiPriority w:val="0"/>
    <w:rPr>
      <w:rFonts w:eastAsia="宋体"/>
      <w:color w:val="000000"/>
      <w:kern w:val="2"/>
      <w:sz w:val="24"/>
      <w:szCs w:val="24"/>
      <w:lang w:val="en-US" w:eastAsia="zh-CN" w:bidi="ar-SA"/>
    </w:rPr>
  </w:style>
  <w:style w:type="character" w:customStyle="1" w:styleId="385">
    <w:name w:val="正文文本首行缩进 字符2"/>
    <w:link w:val="86"/>
    <w:qFormat/>
    <w:uiPriority w:val="0"/>
    <w:rPr>
      <w:kern w:val="2"/>
      <w:sz w:val="21"/>
      <w:szCs w:val="24"/>
    </w:rPr>
  </w:style>
  <w:style w:type="character" w:customStyle="1" w:styleId="386">
    <w:name w:val="正文01 Char2"/>
    <w:qFormat/>
    <w:uiPriority w:val="0"/>
    <w:rPr>
      <w:rFonts w:eastAsia="宋体"/>
      <w:color w:val="000000"/>
      <w:sz w:val="21"/>
      <w:szCs w:val="21"/>
      <w:lang w:val="en-US" w:eastAsia="zh-CN" w:bidi="ar-SA"/>
    </w:rPr>
  </w:style>
  <w:style w:type="character" w:customStyle="1" w:styleId="387">
    <w:name w:val="3级（次）标题 Char"/>
    <w:link w:val="388"/>
    <w:uiPriority w:val="0"/>
    <w:rPr>
      <w:b/>
      <w:kern w:val="2"/>
      <w:sz w:val="24"/>
      <w:szCs w:val="24"/>
    </w:rPr>
  </w:style>
  <w:style w:type="paragraph" w:customStyle="1" w:styleId="388">
    <w:name w:val="3级（次）标题"/>
    <w:basedOn w:val="1"/>
    <w:link w:val="387"/>
    <w:qFormat/>
    <w:uiPriority w:val="0"/>
    <w:pPr>
      <w:spacing w:line="360" w:lineRule="auto"/>
      <w:ind w:firstLine="241" w:firstLineChars="100"/>
      <w:outlineLvl w:val="2"/>
    </w:pPr>
    <w:rPr>
      <w:rFonts w:asciiTheme="minorHAnsi" w:hAnsiTheme="minorHAnsi" w:eastAsiaTheme="minorEastAsia" w:cstheme="minorBidi"/>
      <w:b/>
      <w:sz w:val="24"/>
    </w:rPr>
  </w:style>
  <w:style w:type="character" w:customStyle="1" w:styleId="389">
    <w:name w:val="标题 3 Char2"/>
    <w:semiHidden/>
    <w:qFormat/>
    <w:uiPriority w:val="0"/>
    <w:rPr>
      <w:b/>
      <w:bCs/>
      <w:kern w:val="2"/>
      <w:sz w:val="32"/>
      <w:szCs w:val="32"/>
    </w:rPr>
  </w:style>
  <w:style w:type="character" w:customStyle="1" w:styleId="390">
    <w:name w:val="style441"/>
    <w:qFormat/>
    <w:uiPriority w:val="99"/>
    <w:rPr>
      <w:sz w:val="20"/>
      <w:szCs w:val="20"/>
    </w:rPr>
  </w:style>
  <w:style w:type="character" w:customStyle="1" w:styleId="391">
    <w:name w:val="正文01 Char1"/>
    <w:qFormat/>
    <w:uiPriority w:val="0"/>
    <w:rPr>
      <w:rFonts w:ascii="Times New Roman" w:hAnsi="Times New Roman"/>
      <w:snapToGrid w:val="0"/>
      <w:sz w:val="24"/>
      <w:szCs w:val="24"/>
    </w:rPr>
  </w:style>
  <w:style w:type="character" w:customStyle="1" w:styleId="392">
    <w:name w:val="tt1"/>
    <w:uiPriority w:val="0"/>
  </w:style>
  <w:style w:type="character" w:customStyle="1" w:styleId="393">
    <w:name w:val="表头1 Char"/>
    <w:link w:val="394"/>
    <w:qFormat/>
    <w:uiPriority w:val="0"/>
    <w:rPr>
      <w:rFonts w:eastAsia="黑体"/>
      <w:sz w:val="21"/>
      <w:szCs w:val="28"/>
      <w:lang w:val="en-US" w:eastAsia="zh-CN"/>
    </w:rPr>
  </w:style>
  <w:style w:type="paragraph" w:customStyle="1" w:styleId="394">
    <w:name w:val="表头1"/>
    <w:basedOn w:val="1"/>
    <w:next w:val="1"/>
    <w:link w:val="393"/>
    <w:qFormat/>
    <w:uiPriority w:val="0"/>
    <w:pPr>
      <w:tabs>
        <w:tab w:val="left" w:pos="605"/>
      </w:tabs>
      <w:adjustRightInd w:val="0"/>
      <w:snapToGrid w:val="0"/>
      <w:jc w:val="center"/>
    </w:pPr>
    <w:rPr>
      <w:rFonts w:eastAsia="黑体" w:asciiTheme="minorHAnsi" w:hAnsiTheme="minorHAnsi" w:cstheme="minorBidi"/>
      <w:kern w:val="0"/>
      <w:szCs w:val="28"/>
    </w:rPr>
  </w:style>
  <w:style w:type="character" w:customStyle="1" w:styleId="395">
    <w:name w:val="正文首行缩进 2 + Times New Roman Char Char"/>
    <w:link w:val="396"/>
    <w:qFormat/>
    <w:uiPriority w:val="0"/>
    <w:rPr>
      <w:rFonts w:ascii="Arial" w:hAnsi="Arial" w:eastAsia="Times New Roman"/>
      <w:sz w:val="24"/>
      <w:szCs w:val="24"/>
    </w:rPr>
  </w:style>
  <w:style w:type="paragraph" w:customStyle="1" w:styleId="396">
    <w:name w:val="正文首行缩进 2 + Times New Roman"/>
    <w:basedOn w:val="1"/>
    <w:link w:val="395"/>
    <w:qFormat/>
    <w:uiPriority w:val="0"/>
    <w:pPr>
      <w:tabs>
        <w:tab w:val="left" w:pos="0"/>
        <w:tab w:val="left" w:pos="870"/>
        <w:tab w:val="left" w:pos="3150"/>
      </w:tabs>
      <w:autoSpaceDE w:val="0"/>
      <w:autoSpaceDN w:val="0"/>
      <w:spacing w:line="460" w:lineRule="exact"/>
      <w:ind w:firstLine="480" w:firstLineChars="200"/>
    </w:pPr>
    <w:rPr>
      <w:rFonts w:ascii="Arial" w:hAnsi="Arial" w:eastAsia="Times New Roman" w:cstheme="minorBidi"/>
      <w:kern w:val="0"/>
      <w:sz w:val="24"/>
    </w:rPr>
  </w:style>
  <w:style w:type="character" w:customStyle="1" w:styleId="397">
    <w:name w:val="正文 首行缩进:  2 字符 Char Char"/>
    <w:qFormat/>
    <w:uiPriority w:val="0"/>
    <w:rPr>
      <w:rFonts w:ascii="宋体" w:hAnsi="宋体"/>
      <w:color w:val="000000"/>
      <w:kern w:val="2"/>
      <w:sz w:val="24"/>
    </w:rPr>
  </w:style>
  <w:style w:type="character" w:customStyle="1" w:styleId="398">
    <w:name w:val="正文文字 Char"/>
    <w:link w:val="399"/>
    <w:qFormat/>
    <w:uiPriority w:val="0"/>
    <w:rPr>
      <w:sz w:val="24"/>
      <w:szCs w:val="24"/>
    </w:rPr>
  </w:style>
  <w:style w:type="paragraph" w:customStyle="1" w:styleId="399">
    <w:name w:val="正文文字"/>
    <w:basedOn w:val="1"/>
    <w:link w:val="398"/>
    <w:qFormat/>
    <w:uiPriority w:val="0"/>
    <w:pPr>
      <w:adjustRightInd w:val="0"/>
      <w:snapToGrid w:val="0"/>
      <w:spacing w:line="360" w:lineRule="auto"/>
      <w:ind w:firstLine="480" w:firstLineChars="200"/>
    </w:pPr>
    <w:rPr>
      <w:rFonts w:asciiTheme="minorHAnsi" w:hAnsiTheme="minorHAnsi" w:eastAsiaTheme="minorEastAsia" w:cstheme="minorBidi"/>
      <w:kern w:val="0"/>
      <w:sz w:val="24"/>
    </w:rPr>
  </w:style>
  <w:style w:type="character" w:customStyle="1" w:styleId="400">
    <w:name w:val="报告正文-连续目录 Char Char"/>
    <w:link w:val="401"/>
    <w:qFormat/>
    <w:uiPriority w:val="0"/>
    <w:rPr>
      <w:rFonts w:ascii="Arial" w:hAnsi="Arial"/>
      <w:sz w:val="24"/>
      <w:szCs w:val="24"/>
    </w:rPr>
  </w:style>
  <w:style w:type="paragraph" w:customStyle="1" w:styleId="401">
    <w:name w:val="报告正文-连续目录"/>
    <w:basedOn w:val="1"/>
    <w:link w:val="400"/>
    <w:uiPriority w:val="0"/>
    <w:pPr>
      <w:spacing w:line="440" w:lineRule="exact"/>
      <w:ind w:firstLine="200" w:firstLineChars="200"/>
    </w:pPr>
    <w:rPr>
      <w:rFonts w:ascii="Arial" w:hAnsi="Arial" w:eastAsiaTheme="minorEastAsia" w:cstheme="minorBidi"/>
      <w:kern w:val="0"/>
      <w:sz w:val="24"/>
    </w:rPr>
  </w:style>
  <w:style w:type="character" w:customStyle="1" w:styleId="402">
    <w:name w:val="正文首行缩进 Char"/>
    <w:link w:val="403"/>
    <w:qFormat/>
    <w:uiPriority w:val="0"/>
    <w:rPr>
      <w:kern w:val="2"/>
      <w:sz w:val="21"/>
      <w:szCs w:val="24"/>
    </w:rPr>
  </w:style>
  <w:style w:type="paragraph" w:customStyle="1" w:styleId="403">
    <w:name w:val="正文首行缩进1"/>
    <w:basedOn w:val="1"/>
    <w:next w:val="382"/>
    <w:link w:val="402"/>
    <w:qFormat/>
    <w:uiPriority w:val="0"/>
    <w:pPr>
      <w:spacing w:after="120"/>
      <w:ind w:firstLine="420" w:firstLineChars="100"/>
    </w:pPr>
    <w:rPr>
      <w:rFonts w:asciiTheme="minorHAnsi" w:hAnsiTheme="minorHAnsi" w:eastAsiaTheme="minorEastAsia" w:cstheme="minorBidi"/>
    </w:rPr>
  </w:style>
  <w:style w:type="character" w:customStyle="1" w:styleId="404">
    <w:name w:val="第四层条"/>
    <w:qFormat/>
    <w:uiPriority w:val="0"/>
    <w:rPr>
      <w:rFonts w:ascii="Times New Roman" w:hAnsi="Times New Roman"/>
      <w:b/>
      <w:kern w:val="2"/>
      <w:sz w:val="24"/>
      <w:szCs w:val="24"/>
    </w:rPr>
  </w:style>
  <w:style w:type="character" w:customStyle="1" w:styleId="405">
    <w:name w:val="三级标题 Char1"/>
    <w:link w:val="406"/>
    <w:qFormat/>
    <w:uiPriority w:val="0"/>
    <w:rPr>
      <w:rFonts w:ascii="Calibri" w:hAnsi="Calibri"/>
      <w:b/>
      <w:bCs/>
      <w:sz w:val="24"/>
      <w:szCs w:val="24"/>
    </w:rPr>
  </w:style>
  <w:style w:type="paragraph" w:customStyle="1" w:styleId="406">
    <w:name w:val="三级标题"/>
    <w:basedOn w:val="1"/>
    <w:link w:val="405"/>
    <w:qFormat/>
    <w:uiPriority w:val="0"/>
    <w:pPr>
      <w:spacing w:before="300" w:line="460" w:lineRule="exact"/>
      <w:outlineLvl w:val="2"/>
    </w:pPr>
    <w:rPr>
      <w:rFonts w:ascii="Calibri" w:hAnsi="Calibri" w:eastAsiaTheme="minorEastAsia" w:cstheme="minorBidi"/>
      <w:b/>
      <w:bCs/>
      <w:kern w:val="0"/>
      <w:sz w:val="24"/>
    </w:rPr>
  </w:style>
  <w:style w:type="character" w:customStyle="1" w:styleId="407">
    <w:name w:val="常用表格样式 Char1"/>
    <w:link w:val="408"/>
    <w:qFormat/>
    <w:uiPriority w:val="0"/>
    <w:rPr>
      <w:rFonts w:ascii="宋体" w:hAnsi="新宋体" w:eastAsia="楷体_GB2312"/>
      <w:sz w:val="18"/>
      <w:szCs w:val="24"/>
    </w:rPr>
  </w:style>
  <w:style w:type="paragraph" w:customStyle="1" w:styleId="408">
    <w:name w:val="常用表格样式"/>
    <w:basedOn w:val="354"/>
    <w:next w:val="354"/>
    <w:link w:val="407"/>
    <w:qFormat/>
    <w:uiPriority w:val="0"/>
    <w:pPr>
      <w:spacing w:line="240" w:lineRule="auto"/>
      <w:ind w:firstLine="0"/>
      <w:jc w:val="center"/>
    </w:pPr>
    <w:rPr>
      <w:kern w:val="0"/>
      <w:sz w:val="18"/>
    </w:rPr>
  </w:style>
  <w:style w:type="character" w:customStyle="1" w:styleId="409">
    <w:name w:val="图表标题 Char"/>
    <w:link w:val="410"/>
    <w:qFormat/>
    <w:uiPriority w:val="0"/>
    <w:rPr>
      <w:rFonts w:ascii="宋体" w:hAnsi="宋体"/>
      <w:b/>
      <w:szCs w:val="24"/>
    </w:rPr>
  </w:style>
  <w:style w:type="paragraph" w:customStyle="1" w:styleId="410">
    <w:name w:val="图表标题"/>
    <w:basedOn w:val="1"/>
    <w:link w:val="409"/>
    <w:qFormat/>
    <w:uiPriority w:val="0"/>
    <w:pPr>
      <w:spacing w:beforeLines="25" w:afterLines="25" w:line="360" w:lineRule="auto"/>
      <w:jc w:val="center"/>
      <w:outlineLvl w:val="4"/>
    </w:pPr>
    <w:rPr>
      <w:rFonts w:ascii="宋体" w:hAnsi="宋体" w:eastAsiaTheme="minorEastAsia" w:cstheme="minorBidi"/>
      <w:b/>
      <w:kern w:val="0"/>
      <w:sz w:val="20"/>
    </w:rPr>
  </w:style>
  <w:style w:type="character" w:customStyle="1" w:styleId="411">
    <w:name w:val="表格正文 Char1"/>
    <w:qFormat/>
    <w:uiPriority w:val="0"/>
    <w:rPr>
      <w:rFonts w:eastAsia="宋体"/>
      <w:kern w:val="2"/>
      <w:sz w:val="21"/>
      <w:szCs w:val="24"/>
      <w:lang w:val="en-US" w:eastAsia="zh-CN" w:bidi="ar-SA"/>
    </w:rPr>
  </w:style>
  <w:style w:type="character" w:customStyle="1" w:styleId="412">
    <w:name w:val="标题 1 字符2"/>
    <w:link w:val="3"/>
    <w:qFormat/>
    <w:uiPriority w:val="0"/>
    <w:rPr>
      <w:rFonts w:ascii="Times New Roman" w:hAnsi="Times New Roman" w:eastAsia="黑体" w:cs="Times New Roman"/>
      <w:b/>
      <w:bCs/>
      <w:color w:val="000000"/>
      <w:kern w:val="44"/>
      <w:sz w:val="30"/>
      <w:szCs w:val="30"/>
    </w:rPr>
  </w:style>
  <w:style w:type="character" w:customStyle="1" w:styleId="413">
    <w:name w:val="HTML 预设格式 Char1"/>
    <w:semiHidden/>
    <w:qFormat/>
    <w:uiPriority w:val="0"/>
    <w:rPr>
      <w:rFonts w:ascii="Courier New" w:hAnsi="Courier New" w:cs="Courier New"/>
      <w:kern w:val="2"/>
    </w:rPr>
  </w:style>
  <w:style w:type="character" w:customStyle="1" w:styleId="414">
    <w:name w:val="1.标题 1"/>
    <w:qFormat/>
    <w:uiPriority w:val="99"/>
    <w:rPr>
      <w:rFonts w:ascii="Times New Roman" w:hAnsi="Times New Roman" w:eastAsia="宋体" w:cs="Times New Roman"/>
      <w:b/>
      <w:kern w:val="44"/>
      <w:sz w:val="30"/>
      <w:szCs w:val="24"/>
      <w:lang w:bidi="ar-SA"/>
    </w:rPr>
  </w:style>
  <w:style w:type="character" w:customStyle="1" w:styleId="415">
    <w:name w:val="款标题1.1.1.1"/>
    <w:qFormat/>
    <w:uiPriority w:val="0"/>
    <w:rPr>
      <w:rFonts w:ascii="Times New Roman" w:hAnsi="Times New Roman" w:eastAsia="宋体" w:cs="Times New Roman"/>
      <w:sz w:val="24"/>
      <w:szCs w:val="24"/>
      <w:lang w:bidi="ar-SA"/>
    </w:rPr>
  </w:style>
  <w:style w:type="character" w:customStyle="1" w:styleId="416">
    <w:name w:val="款标题1.1.1.1 Char"/>
    <w:qFormat/>
    <w:uiPriority w:val="0"/>
    <w:rPr>
      <w:rFonts w:ascii="宋体" w:eastAsia="宋体"/>
      <w:kern w:val="2"/>
      <w:sz w:val="24"/>
      <w:lang w:val="en-US" w:eastAsia="en-US"/>
    </w:rPr>
  </w:style>
  <w:style w:type="character" w:customStyle="1" w:styleId="417">
    <w:name w:val="标题1.1.1.1.1.1"/>
    <w:qFormat/>
    <w:uiPriority w:val="0"/>
    <w:rPr>
      <w:rFonts w:ascii="Arial" w:hAnsi="Arial" w:eastAsia="黑体"/>
      <w:b/>
      <w:bCs/>
      <w:color w:val="000000"/>
      <w:kern w:val="2"/>
      <w:sz w:val="24"/>
      <w:szCs w:val="24"/>
    </w:rPr>
  </w:style>
  <w:style w:type="character" w:customStyle="1" w:styleId="418">
    <w:name w:val="目标题 1)"/>
    <w:qFormat/>
    <w:uiPriority w:val="0"/>
    <w:rPr>
      <w:rFonts w:ascii="Arial" w:hAnsi="Arial" w:eastAsia="黑体"/>
      <w:color w:val="000000"/>
      <w:kern w:val="2"/>
      <w:sz w:val="24"/>
      <w:szCs w:val="24"/>
    </w:rPr>
  </w:style>
  <w:style w:type="character" w:customStyle="1" w:styleId="419">
    <w:name w:val="Char7"/>
    <w:qFormat/>
    <w:uiPriority w:val="0"/>
    <w:rPr>
      <w:rFonts w:ascii="黑体" w:eastAsia="黑体" w:cs="Courier New"/>
      <w:lang w:bidi="ar-SA"/>
    </w:rPr>
  </w:style>
  <w:style w:type="character" w:customStyle="1" w:styleId="420">
    <w:name w:val="干标题(a)"/>
    <w:qFormat/>
    <w:uiPriority w:val="0"/>
    <w:rPr>
      <w:rFonts w:ascii="Arial" w:hAnsi="Arial" w:eastAsia="黑体"/>
      <w:color w:val="000000"/>
      <w:kern w:val="2"/>
      <w:sz w:val="24"/>
      <w:szCs w:val="21"/>
    </w:rPr>
  </w:style>
  <w:style w:type="character" w:customStyle="1" w:styleId="421">
    <w:name w:val="正文文本 Char1"/>
    <w:qFormat/>
    <w:uiPriority w:val="0"/>
    <w:rPr>
      <w:rFonts w:eastAsia="宋体"/>
      <w:kern w:val="2"/>
      <w:sz w:val="24"/>
      <w:szCs w:val="24"/>
      <w:lang w:val="en-US" w:eastAsia="zh-CN" w:bidi="ar-SA"/>
    </w:rPr>
  </w:style>
  <w:style w:type="character" w:customStyle="1" w:styleId="422">
    <w:name w:val="Char201"/>
    <w:qFormat/>
    <w:uiPriority w:val="0"/>
    <w:rPr>
      <w:rFonts w:ascii="Times New Roman" w:hAnsi="Times New Roman" w:eastAsia="宋体" w:cs="Times New Roman"/>
      <w:kern w:val="0"/>
      <w:sz w:val="27"/>
      <w:szCs w:val="24"/>
      <w:lang w:bidi="ar-SA"/>
    </w:rPr>
  </w:style>
  <w:style w:type="character" w:customStyle="1" w:styleId="423">
    <w:name w:val="文本条款 Char Char Char Char Char"/>
    <w:uiPriority w:val="0"/>
    <w:rPr>
      <w:rFonts w:eastAsia="宋体"/>
      <w:color w:val="000000"/>
      <w:kern w:val="2"/>
      <w:sz w:val="24"/>
      <w:szCs w:val="24"/>
      <w:lang w:val="en-US" w:eastAsia="zh-CN" w:bidi="ar-SA"/>
    </w:rPr>
  </w:style>
  <w:style w:type="character" w:customStyle="1" w:styleId="424">
    <w:name w:val="question-title"/>
    <w:qFormat/>
    <w:uiPriority w:val="0"/>
  </w:style>
  <w:style w:type="character" w:customStyle="1" w:styleId="425">
    <w:name w:val="Char81"/>
    <w:qFormat/>
    <w:uiPriority w:val="0"/>
    <w:rPr>
      <w:rFonts w:ascii="Times New Roman" w:hAnsi="Times New Roman" w:eastAsia="宋体" w:cs="Times New Roman"/>
      <w:sz w:val="24"/>
      <w:szCs w:val="24"/>
      <w:lang w:bidi="ar-SA"/>
    </w:rPr>
  </w:style>
  <w:style w:type="character" w:customStyle="1" w:styleId="426">
    <w:name w:val="Char101"/>
    <w:qFormat/>
    <w:uiPriority w:val="0"/>
    <w:rPr>
      <w:rFonts w:ascii="Times New Roman" w:hAnsi="Times New Roman" w:eastAsia="宋体" w:cs="Times New Roman"/>
      <w:sz w:val="24"/>
      <w:szCs w:val="24"/>
      <w:lang w:bidi="ar-SA"/>
    </w:rPr>
  </w:style>
  <w:style w:type="character" w:customStyle="1" w:styleId="427">
    <w:name w:val="Char172"/>
    <w:qFormat/>
    <w:uiPriority w:val="0"/>
    <w:rPr>
      <w:rFonts w:ascii="Times New Roman" w:hAnsi="Times New Roman" w:eastAsia="宋体" w:cs="Times New Roman"/>
      <w:sz w:val="24"/>
      <w:szCs w:val="24"/>
      <w:shd w:val="clear" w:color="auto" w:fill="000080"/>
      <w:lang w:bidi="ar-SA"/>
    </w:rPr>
  </w:style>
  <w:style w:type="character" w:customStyle="1" w:styleId="428">
    <w:name w:val="表格标题 Char1"/>
    <w:qFormat/>
    <w:uiPriority w:val="0"/>
    <w:rPr>
      <w:rFonts w:ascii="Calibri" w:hAnsi="Calibri"/>
      <w:kern w:val="2"/>
      <w:sz w:val="24"/>
      <w:szCs w:val="24"/>
    </w:rPr>
  </w:style>
  <w:style w:type="character" w:customStyle="1" w:styleId="429">
    <w:name w:val="正文文本 2 字符1"/>
    <w:link w:val="76"/>
    <w:qFormat/>
    <w:uiPriority w:val="0"/>
    <w:rPr>
      <w:kern w:val="2"/>
      <w:sz w:val="21"/>
      <w:szCs w:val="24"/>
    </w:rPr>
  </w:style>
  <w:style w:type="character" w:customStyle="1" w:styleId="430">
    <w:name w:val="1.标题 11"/>
    <w:qFormat/>
    <w:uiPriority w:val="0"/>
    <w:rPr>
      <w:rFonts w:ascii="Times New Roman" w:hAnsi="Times New Roman" w:eastAsia="宋体" w:cs="Times New Roman"/>
      <w:b/>
      <w:kern w:val="44"/>
      <w:sz w:val="30"/>
      <w:szCs w:val="24"/>
      <w:lang w:bidi="ar-SA"/>
    </w:rPr>
  </w:style>
  <w:style w:type="character" w:customStyle="1" w:styleId="431">
    <w:name w:val="Char4 Char Char Char11"/>
    <w:qFormat/>
    <w:uiPriority w:val="0"/>
    <w:rPr>
      <w:rFonts w:ascii="Times New Roman" w:hAnsi="Times New Roman" w:eastAsia="宋体" w:cs="Times New Roman"/>
      <w:sz w:val="18"/>
      <w:szCs w:val="18"/>
      <w:lang w:bidi="ar-SA"/>
    </w:rPr>
  </w:style>
  <w:style w:type="character" w:customStyle="1" w:styleId="432">
    <w:name w:val="文档结构图 Char1"/>
    <w:semiHidden/>
    <w:qFormat/>
    <w:uiPriority w:val="99"/>
    <w:rPr>
      <w:rFonts w:ascii="宋体"/>
      <w:kern w:val="2"/>
      <w:sz w:val="18"/>
      <w:szCs w:val="18"/>
    </w:rPr>
  </w:style>
  <w:style w:type="character" w:customStyle="1" w:styleId="433">
    <w:name w:val="hangju"/>
    <w:qFormat/>
    <w:uiPriority w:val="0"/>
  </w:style>
  <w:style w:type="character" w:customStyle="1" w:styleId="434">
    <w:name w:val="jq1"/>
    <w:qFormat/>
    <w:uiPriority w:val="0"/>
    <w:rPr>
      <w:rFonts w:ascii="宋体" w:eastAsia="宋体"/>
      <w:sz w:val="18"/>
      <w:szCs w:val="18"/>
    </w:rPr>
  </w:style>
  <w:style w:type="character" w:customStyle="1" w:styleId="435">
    <w:name w:val="HTML 预设格式 字符1"/>
    <w:link w:val="80"/>
    <w:qFormat/>
    <w:uiPriority w:val="99"/>
    <w:rPr>
      <w:rFonts w:ascii="黑体" w:eastAsia="黑体" w:cs="Courier New"/>
    </w:rPr>
  </w:style>
  <w:style w:type="character" w:customStyle="1" w:styleId="436">
    <w:name w:val="ourfont3"/>
    <w:qFormat/>
    <w:uiPriority w:val="0"/>
  </w:style>
  <w:style w:type="character" w:customStyle="1" w:styleId="437">
    <w:name w:val="二级标题 Char"/>
    <w:qFormat/>
    <w:uiPriority w:val="0"/>
    <w:rPr>
      <w:rFonts w:eastAsia="宋体"/>
      <w:b/>
      <w:bCs/>
      <w:snapToGrid w:val="0"/>
      <w:sz w:val="28"/>
      <w:szCs w:val="24"/>
      <w:lang w:val="en-US" w:eastAsia="zh-CN" w:bidi="ar-SA"/>
    </w:rPr>
  </w:style>
  <w:style w:type="character" w:customStyle="1" w:styleId="438">
    <w:name w:val="表格内字体 Char"/>
    <w:link w:val="439"/>
    <w:qFormat/>
    <w:uiPriority w:val="0"/>
    <w:rPr>
      <w:rFonts w:eastAsia="仿宋_GB2312"/>
      <w:snapToGrid w:val="0"/>
      <w:kern w:val="21"/>
      <w:szCs w:val="21"/>
    </w:rPr>
  </w:style>
  <w:style w:type="paragraph" w:customStyle="1" w:styleId="439">
    <w:name w:val="表格内字体"/>
    <w:link w:val="438"/>
    <w:qFormat/>
    <w:uiPriority w:val="0"/>
    <w:pPr>
      <w:adjustRightInd w:val="0"/>
      <w:snapToGrid w:val="0"/>
      <w:jc w:val="center"/>
    </w:pPr>
    <w:rPr>
      <w:rFonts w:eastAsia="仿宋_GB2312" w:asciiTheme="minorHAnsi" w:hAnsiTheme="minorHAnsi" w:cstheme="minorBidi"/>
      <w:snapToGrid w:val="0"/>
      <w:kern w:val="21"/>
      <w:szCs w:val="21"/>
      <w:lang w:val="en-US" w:eastAsia="zh-CN" w:bidi="ar-SA"/>
    </w:rPr>
  </w:style>
  <w:style w:type="character" w:customStyle="1" w:styleId="440">
    <w:name w:val="zw1"/>
    <w:qFormat/>
    <w:uiPriority w:val="0"/>
    <w:rPr>
      <w:rFonts w:hint="eastAsia" w:ascii="宋体" w:hAnsi="宋体" w:eastAsia="宋体"/>
      <w:spacing w:val="400"/>
      <w:sz w:val="22"/>
      <w:szCs w:val="22"/>
    </w:rPr>
  </w:style>
  <w:style w:type="character" w:customStyle="1" w:styleId="441">
    <w:name w:val="Char6"/>
    <w:qFormat/>
    <w:uiPriority w:val="0"/>
    <w:rPr>
      <w:rFonts w:ascii="Times New Roman" w:hAnsi="Times New Roman"/>
      <w:kern w:val="2"/>
      <w:sz w:val="21"/>
      <w:szCs w:val="24"/>
    </w:rPr>
  </w:style>
  <w:style w:type="character" w:customStyle="1" w:styleId="442">
    <w:name w:val="正文文字 2 Char Char1"/>
    <w:qFormat/>
    <w:uiPriority w:val="0"/>
    <w:rPr>
      <w:rFonts w:ascii="Times New Roman" w:hAnsi="Times New Roman"/>
      <w:kern w:val="2"/>
      <w:sz w:val="24"/>
      <w:szCs w:val="24"/>
    </w:rPr>
  </w:style>
  <w:style w:type="character" w:customStyle="1" w:styleId="443">
    <w:name w:val="表格数字 Char"/>
    <w:link w:val="444"/>
    <w:qFormat/>
    <w:uiPriority w:val="99"/>
    <w:rPr>
      <w:rFonts w:ascii="Arial" w:hAnsi="Arial"/>
      <w:sz w:val="21"/>
    </w:rPr>
  </w:style>
  <w:style w:type="paragraph" w:customStyle="1" w:styleId="444">
    <w:name w:val="表格数字"/>
    <w:basedOn w:val="1"/>
    <w:link w:val="443"/>
    <w:qFormat/>
    <w:uiPriority w:val="99"/>
    <w:pPr>
      <w:spacing w:line="360" w:lineRule="exact"/>
      <w:jc w:val="center"/>
    </w:pPr>
    <w:rPr>
      <w:rFonts w:ascii="Arial" w:hAnsi="Arial" w:eastAsiaTheme="minorEastAsia" w:cstheme="minorBidi"/>
      <w:kern w:val="0"/>
      <w:szCs w:val="20"/>
    </w:rPr>
  </w:style>
  <w:style w:type="character" w:customStyle="1" w:styleId="445">
    <w:name w:val="title1"/>
    <w:qFormat/>
    <w:uiPriority w:val="0"/>
    <w:rPr>
      <w:rFonts w:ascii="Arial" w:hAnsi="Arial" w:cs="Arial"/>
      <w:b/>
      <w:bCs/>
      <w:color w:val="3366CC"/>
      <w:sz w:val="24"/>
      <w:szCs w:val="24"/>
      <w:lang w:bidi="ar-SA"/>
    </w:rPr>
  </w:style>
  <w:style w:type="character" w:customStyle="1" w:styleId="446">
    <w:name w:val="表头 Char"/>
    <w:qFormat/>
    <w:uiPriority w:val="0"/>
    <w:rPr>
      <w:rFonts w:ascii="Times" w:eastAsia="宋体"/>
      <w:b/>
      <w:kern w:val="2"/>
      <w:sz w:val="21"/>
      <w:szCs w:val="21"/>
      <w:lang w:val="en-US" w:eastAsia="zh-CN" w:bidi="ar-SA"/>
    </w:rPr>
  </w:style>
  <w:style w:type="character" w:customStyle="1" w:styleId="447">
    <w:name w:val="正文文本 3 字符2"/>
    <w:link w:val="31"/>
    <w:qFormat/>
    <w:uiPriority w:val="0"/>
    <w:rPr>
      <w:rFonts w:eastAsia="仿宋_GB2312"/>
      <w:kern w:val="2"/>
      <w:sz w:val="16"/>
      <w:szCs w:val="16"/>
    </w:rPr>
  </w:style>
  <w:style w:type="character" w:customStyle="1" w:styleId="448">
    <w:name w:val="标题1"/>
    <w:qFormat/>
    <w:uiPriority w:val="0"/>
  </w:style>
  <w:style w:type="character" w:customStyle="1" w:styleId="449">
    <w:name w:val="apple-style-span"/>
    <w:qFormat/>
    <w:uiPriority w:val="0"/>
  </w:style>
  <w:style w:type="character" w:customStyle="1" w:styleId="450">
    <w:name w:val="样式 样式 正文1 + 段前: 0.1 行 + 段前: 0.1 行 Char"/>
    <w:qFormat/>
    <w:uiPriority w:val="0"/>
  </w:style>
  <w:style w:type="character" w:customStyle="1" w:styleId="451">
    <w:name w:val="d11"/>
    <w:qFormat/>
    <w:uiPriority w:val="0"/>
    <w:rPr>
      <w:color w:val="000000"/>
      <w:spacing w:val="300"/>
      <w:sz w:val="18"/>
      <w:szCs w:val="18"/>
      <w:u w:val="none"/>
    </w:rPr>
  </w:style>
  <w:style w:type="character" w:customStyle="1" w:styleId="452">
    <w:name w:val="sb"/>
    <w:qFormat/>
    <w:uiPriority w:val="0"/>
  </w:style>
  <w:style w:type="character" w:customStyle="1" w:styleId="453">
    <w:name w:val="标题 7 Char1"/>
    <w:semiHidden/>
    <w:qFormat/>
    <w:uiPriority w:val="0"/>
    <w:rPr>
      <w:b/>
      <w:bCs/>
      <w:kern w:val="2"/>
      <w:sz w:val="24"/>
      <w:szCs w:val="24"/>
    </w:rPr>
  </w:style>
  <w:style w:type="character" w:customStyle="1" w:styleId="454">
    <w:name w:val="Char71"/>
    <w:qFormat/>
    <w:uiPriority w:val="0"/>
    <w:rPr>
      <w:rFonts w:ascii="黑体" w:eastAsia="黑体" w:cs="Courier New"/>
      <w:lang w:bidi="ar-SA"/>
    </w:rPr>
  </w:style>
  <w:style w:type="character" w:customStyle="1" w:styleId="455">
    <w:name w:val="p111"/>
    <w:qFormat/>
    <w:uiPriority w:val="0"/>
  </w:style>
  <w:style w:type="character" w:customStyle="1" w:styleId="456">
    <w:name w:val="Char31"/>
    <w:qFormat/>
    <w:uiPriority w:val="0"/>
    <w:rPr>
      <w:rFonts w:ascii="Times New Roman" w:hAnsi="Times New Roman"/>
      <w:b/>
      <w:bCs/>
      <w:kern w:val="2"/>
      <w:sz w:val="24"/>
      <w:szCs w:val="24"/>
    </w:rPr>
  </w:style>
  <w:style w:type="character" w:customStyle="1" w:styleId="457">
    <w:name w:val="style451"/>
    <w:qFormat/>
    <w:uiPriority w:val="0"/>
    <w:rPr>
      <w:b/>
      <w:bCs/>
      <w:color w:val="000000"/>
      <w:sz w:val="19"/>
      <w:szCs w:val="19"/>
    </w:rPr>
  </w:style>
  <w:style w:type="character" w:customStyle="1" w:styleId="458">
    <w:name w:val="prod_text_body"/>
    <w:qFormat/>
    <w:uiPriority w:val="0"/>
  </w:style>
  <w:style w:type="character" w:customStyle="1" w:styleId="459">
    <w:name w:val="z-窗体顶端 字符1"/>
    <w:link w:val="460"/>
    <w:qFormat/>
    <w:uiPriority w:val="0"/>
    <w:rPr>
      <w:rFonts w:ascii="Arial" w:hAnsi="Arial" w:cs="Arial"/>
      <w:vanish/>
      <w:color w:val="000000"/>
      <w:sz w:val="16"/>
      <w:szCs w:val="16"/>
    </w:rPr>
  </w:style>
  <w:style w:type="paragraph" w:customStyle="1" w:styleId="460">
    <w:name w:val="z-窗体顶端1"/>
    <w:basedOn w:val="1"/>
    <w:next w:val="1"/>
    <w:link w:val="459"/>
    <w:qFormat/>
    <w:uiPriority w:val="0"/>
    <w:pPr>
      <w:widowControl/>
      <w:pBdr>
        <w:bottom w:val="single" w:color="auto" w:sz="6" w:space="1"/>
      </w:pBdr>
      <w:jc w:val="center"/>
    </w:pPr>
    <w:rPr>
      <w:rFonts w:ascii="Arial" w:hAnsi="Arial" w:cs="Arial" w:eastAsiaTheme="minorEastAsia"/>
      <w:vanish/>
      <w:color w:val="000000"/>
      <w:kern w:val="0"/>
      <w:sz w:val="16"/>
      <w:szCs w:val="16"/>
    </w:rPr>
  </w:style>
  <w:style w:type="character" w:customStyle="1" w:styleId="461">
    <w:name w:val="ital1"/>
    <w:qFormat/>
    <w:uiPriority w:val="0"/>
    <w:rPr>
      <w:i/>
      <w:iCs/>
    </w:rPr>
  </w:style>
  <w:style w:type="character" w:customStyle="1" w:styleId="462">
    <w:name w:val="unnamed21"/>
    <w:qFormat/>
    <w:uiPriority w:val="0"/>
    <w:rPr>
      <w:color w:val="000000"/>
      <w:spacing w:val="360"/>
      <w:sz w:val="20"/>
      <w:szCs w:val="20"/>
    </w:rPr>
  </w:style>
  <w:style w:type="character" w:customStyle="1" w:styleId="463">
    <w:name w:val="unnamed11"/>
    <w:qFormat/>
    <w:uiPriority w:val="0"/>
    <w:rPr>
      <w:rFonts w:ascii="Arial" w:hAnsi="Arial" w:cs="Arial"/>
      <w:color w:val="000000"/>
      <w:sz w:val="18"/>
      <w:szCs w:val="18"/>
      <w:u w:val="none"/>
      <w:lang w:bidi="ar-SA"/>
    </w:rPr>
  </w:style>
  <w:style w:type="character" w:customStyle="1" w:styleId="464">
    <w:name w:val="promo1"/>
    <w:qFormat/>
    <w:uiPriority w:val="0"/>
    <w:rPr>
      <w:sz w:val="24"/>
      <w:szCs w:val="24"/>
    </w:rPr>
  </w:style>
  <w:style w:type="character" w:customStyle="1" w:styleId="465">
    <w:name w:val="my Char Char1"/>
    <w:qFormat/>
    <w:uiPriority w:val="0"/>
    <w:rPr>
      <w:rFonts w:eastAsia="宋体"/>
      <w:sz w:val="24"/>
      <w:szCs w:val="24"/>
      <w:lang w:val="en-US" w:eastAsia="zh-CN"/>
    </w:rPr>
  </w:style>
  <w:style w:type="character" w:customStyle="1" w:styleId="466">
    <w:name w:val="正文文本缩进 Char1"/>
    <w:qFormat/>
    <w:uiPriority w:val="0"/>
    <w:rPr>
      <w:b/>
      <w:bCs/>
      <w:kern w:val="2"/>
      <w:sz w:val="24"/>
      <w:szCs w:val="24"/>
    </w:rPr>
  </w:style>
  <w:style w:type="character" w:customStyle="1" w:styleId="467">
    <w:name w:val="style1"/>
    <w:qFormat/>
    <w:uiPriority w:val="0"/>
  </w:style>
  <w:style w:type="character" w:customStyle="1" w:styleId="468">
    <w:name w:val="样式 正文001 + 首行缩进:  2 字符 行距: 固定值 22.5 磅 Char"/>
    <w:link w:val="469"/>
    <w:qFormat/>
    <w:uiPriority w:val="99"/>
    <w:rPr>
      <w:rFonts w:cs="宋体"/>
      <w:kern w:val="2"/>
      <w:sz w:val="24"/>
    </w:rPr>
  </w:style>
  <w:style w:type="paragraph" w:customStyle="1" w:styleId="469">
    <w:name w:val="样式 正文001 + 首行缩进:  2 字符 行距: 固定值 22.5 磅"/>
    <w:basedOn w:val="326"/>
    <w:link w:val="468"/>
    <w:qFormat/>
    <w:uiPriority w:val="99"/>
    <w:pPr>
      <w:spacing w:line="450" w:lineRule="exact"/>
      <w:ind w:firstLine="480" w:firstLineChars="200"/>
    </w:pPr>
    <w:rPr>
      <w:rFonts w:cs="宋体"/>
    </w:rPr>
  </w:style>
  <w:style w:type="character" w:customStyle="1" w:styleId="470">
    <w:name w:val="正文文本缩进 Char2"/>
    <w:qFormat/>
    <w:uiPriority w:val="0"/>
    <w:rPr>
      <w:b/>
      <w:bCs/>
      <w:kern w:val="2"/>
      <w:sz w:val="24"/>
      <w:szCs w:val="24"/>
    </w:rPr>
  </w:style>
  <w:style w:type="character" w:customStyle="1" w:styleId="471">
    <w:name w:val="正文001 Char1"/>
    <w:qFormat/>
    <w:uiPriority w:val="0"/>
    <w:rPr>
      <w:rFonts w:eastAsia="宋体"/>
      <w:kern w:val="2"/>
      <w:sz w:val="24"/>
      <w:szCs w:val="24"/>
      <w:lang w:val="en-US" w:eastAsia="zh-CN" w:bidi="ar-SA"/>
    </w:rPr>
  </w:style>
  <w:style w:type="character" w:customStyle="1" w:styleId="472">
    <w:name w:val="页脚11"/>
    <w:qFormat/>
    <w:uiPriority w:val="0"/>
    <w:rPr>
      <w:rFonts w:ascii="Times New Roman" w:hAnsi="Times New Roman" w:eastAsia="宋体" w:cs="Times New Roman"/>
      <w:sz w:val="18"/>
      <w:szCs w:val="24"/>
      <w:lang w:bidi="ar-SA"/>
    </w:rPr>
  </w:style>
  <w:style w:type="character" w:customStyle="1" w:styleId="473">
    <w:name w:val="Char13"/>
    <w:qFormat/>
    <w:uiPriority w:val="0"/>
    <w:rPr>
      <w:rFonts w:ascii="Times New Roman" w:hAnsi="Times New Roman" w:eastAsia="宋体" w:cs="Times New Roman"/>
      <w:kern w:val="0"/>
      <w:sz w:val="27"/>
      <w:szCs w:val="24"/>
      <w:lang w:bidi="ar-SA"/>
    </w:rPr>
  </w:style>
  <w:style w:type="character" w:customStyle="1" w:styleId="474">
    <w:name w:val="Char121"/>
    <w:qFormat/>
    <w:uiPriority w:val="0"/>
    <w:rPr>
      <w:rFonts w:ascii="Times New Roman" w:hAnsi="Times New Roman" w:eastAsia="宋体" w:cs="Times New Roman"/>
      <w:color w:val="000000"/>
      <w:sz w:val="24"/>
      <w:szCs w:val="24"/>
      <w:lang w:bidi="ar-SA"/>
    </w:rPr>
  </w:style>
  <w:style w:type="character" w:customStyle="1" w:styleId="475">
    <w:name w:val="正文文本缩进 3 Char1"/>
    <w:semiHidden/>
    <w:qFormat/>
    <w:uiPriority w:val="0"/>
    <w:rPr>
      <w:kern w:val="2"/>
      <w:sz w:val="16"/>
      <w:szCs w:val="16"/>
    </w:rPr>
  </w:style>
  <w:style w:type="character" w:customStyle="1" w:styleId="476">
    <w:name w:val="apple-converted-space"/>
    <w:qFormat/>
    <w:uiPriority w:val="0"/>
  </w:style>
  <w:style w:type="character" w:customStyle="1" w:styleId="477">
    <w:name w:val="日期 Char1"/>
    <w:semiHidden/>
    <w:qFormat/>
    <w:uiPriority w:val="99"/>
    <w:rPr>
      <w:kern w:val="2"/>
      <w:sz w:val="21"/>
      <w:szCs w:val="22"/>
    </w:rPr>
  </w:style>
  <w:style w:type="character" w:customStyle="1" w:styleId="478">
    <w:name w:val="正文01 Char Char Char Char1"/>
    <w:qFormat/>
    <w:uiPriority w:val="0"/>
    <w:rPr>
      <w:rFonts w:eastAsia="宋体"/>
      <w:snapToGrid w:val="0"/>
      <w:color w:val="000000"/>
      <w:kern w:val="2"/>
      <w:sz w:val="24"/>
      <w:szCs w:val="24"/>
      <w:lang w:val="en-US" w:eastAsia="zh-CN"/>
    </w:rPr>
  </w:style>
  <w:style w:type="character" w:customStyle="1" w:styleId="479">
    <w:name w:val="批注文字 Char1"/>
    <w:semiHidden/>
    <w:qFormat/>
    <w:uiPriority w:val="0"/>
    <w:rPr>
      <w:kern w:val="2"/>
      <w:sz w:val="21"/>
      <w:szCs w:val="22"/>
    </w:rPr>
  </w:style>
  <w:style w:type="character" w:customStyle="1" w:styleId="480">
    <w:name w:val="正文首行缩进 Char2"/>
    <w:semiHidden/>
    <w:qFormat/>
    <w:uiPriority w:val="0"/>
    <w:rPr>
      <w:kern w:val="2"/>
      <w:sz w:val="21"/>
      <w:szCs w:val="22"/>
    </w:rPr>
  </w:style>
  <w:style w:type="character" w:customStyle="1" w:styleId="481">
    <w:name w:val="font_14_001"/>
    <w:qFormat/>
    <w:uiPriority w:val="0"/>
    <w:rPr>
      <w:color w:val="000000"/>
      <w:sz w:val="21"/>
      <w:szCs w:val="21"/>
    </w:rPr>
  </w:style>
  <w:style w:type="character" w:customStyle="1" w:styleId="482">
    <w:name w:val="表体 Char Char"/>
    <w:qFormat/>
    <w:uiPriority w:val="0"/>
    <w:rPr>
      <w:rFonts w:eastAsia="宋体"/>
      <w:kern w:val="2"/>
      <w:sz w:val="21"/>
      <w:szCs w:val="24"/>
      <w:lang w:val="en-US" w:eastAsia="zh-CN" w:bidi="ar-SA"/>
    </w:rPr>
  </w:style>
  <w:style w:type="character" w:customStyle="1" w:styleId="483">
    <w:name w:val="tpc_content1"/>
    <w:qFormat/>
    <w:uiPriority w:val="0"/>
    <w:rPr>
      <w:sz w:val="20"/>
      <w:szCs w:val="20"/>
    </w:rPr>
  </w:style>
  <w:style w:type="character" w:customStyle="1" w:styleId="484">
    <w:name w:val="s1"/>
    <w:qFormat/>
    <w:uiPriority w:val="0"/>
    <w:rPr>
      <w:sz w:val="18"/>
      <w:szCs w:val="18"/>
    </w:rPr>
  </w:style>
  <w:style w:type="character" w:customStyle="1" w:styleId="485">
    <w:name w:val="style11"/>
    <w:qFormat/>
    <w:uiPriority w:val="0"/>
    <w:rPr>
      <w:color w:val="363636"/>
    </w:rPr>
  </w:style>
  <w:style w:type="character" w:customStyle="1" w:styleId="486">
    <w:name w:val="Char Char1 Char1"/>
    <w:qFormat/>
    <w:uiPriority w:val="0"/>
    <w:rPr>
      <w:rFonts w:ascii="宋体" w:hAnsi="宋体" w:cs="宋体"/>
      <w:kern w:val="2"/>
      <w:sz w:val="24"/>
      <w:szCs w:val="24"/>
    </w:rPr>
  </w:style>
  <w:style w:type="character" w:customStyle="1" w:styleId="487">
    <w:name w:val="html_txt1"/>
    <w:qFormat/>
    <w:uiPriority w:val="0"/>
    <w:rPr>
      <w:color w:val="000000"/>
    </w:rPr>
  </w:style>
  <w:style w:type="character" w:customStyle="1" w:styleId="488">
    <w:name w:val="张--正文 Char"/>
    <w:link w:val="489"/>
    <w:qFormat/>
    <w:uiPriority w:val="0"/>
    <w:rPr>
      <w:kern w:val="2"/>
      <w:sz w:val="28"/>
      <w:szCs w:val="28"/>
    </w:rPr>
  </w:style>
  <w:style w:type="paragraph" w:customStyle="1" w:styleId="489">
    <w:name w:val="张--正文"/>
    <w:basedOn w:val="1"/>
    <w:link w:val="488"/>
    <w:qFormat/>
    <w:uiPriority w:val="0"/>
    <w:pPr>
      <w:adjustRightInd w:val="0"/>
      <w:snapToGrid w:val="0"/>
      <w:spacing w:line="360" w:lineRule="auto"/>
      <w:ind w:firstLine="200" w:firstLineChars="200"/>
    </w:pPr>
    <w:rPr>
      <w:rFonts w:asciiTheme="minorHAnsi" w:hAnsiTheme="minorHAnsi" w:eastAsiaTheme="minorEastAsia" w:cstheme="minorBidi"/>
      <w:sz w:val="28"/>
      <w:szCs w:val="28"/>
    </w:rPr>
  </w:style>
  <w:style w:type="character" w:customStyle="1" w:styleId="490">
    <w:name w:val="页眉 Char1"/>
    <w:qFormat/>
    <w:uiPriority w:val="99"/>
    <w:rPr>
      <w:rFonts w:eastAsia="宋体"/>
      <w:kern w:val="2"/>
      <w:sz w:val="18"/>
      <w:szCs w:val="24"/>
      <w:lang w:val="en-US" w:eastAsia="zh-CN" w:bidi="ar-SA"/>
    </w:rPr>
  </w:style>
  <w:style w:type="character" w:styleId="491">
    <w:name w:val="Placeholder Text"/>
    <w:semiHidden/>
    <w:qFormat/>
    <w:uiPriority w:val="99"/>
    <w:rPr>
      <w:color w:val="808080"/>
    </w:rPr>
  </w:style>
  <w:style w:type="character" w:customStyle="1" w:styleId="492">
    <w:name w:val="unnamed1"/>
    <w:qFormat/>
    <w:uiPriority w:val="0"/>
  </w:style>
  <w:style w:type="character" w:customStyle="1" w:styleId="493">
    <w:name w:val="Char Char1 Char Char Char Char Char Char Char Char Char Char Char Char Char Char Char Char Char Char Char Char1 Char Char"/>
    <w:link w:val="494"/>
    <w:qFormat/>
    <w:uiPriority w:val="0"/>
    <w:rPr>
      <w:rFonts w:ascii="宋体" w:hAnsi="宋体" w:cs="宋体"/>
      <w:kern w:val="2"/>
      <w:sz w:val="24"/>
      <w:szCs w:val="24"/>
    </w:rPr>
  </w:style>
  <w:style w:type="paragraph" w:customStyle="1" w:styleId="494">
    <w:name w:val="Char Char1 Char Char Char Char Char Char Char Char Char Char Char Char Char Char Char Char Char Char Char Char1 Char"/>
    <w:basedOn w:val="1"/>
    <w:link w:val="493"/>
    <w:qFormat/>
    <w:uiPriority w:val="0"/>
    <w:pPr>
      <w:spacing w:line="360" w:lineRule="auto"/>
      <w:ind w:firstLine="200" w:firstLineChars="200"/>
    </w:pPr>
    <w:rPr>
      <w:rFonts w:ascii="宋体" w:hAnsi="宋体" w:cs="宋体" w:eastAsiaTheme="minorEastAsia"/>
      <w:sz w:val="24"/>
    </w:rPr>
  </w:style>
  <w:style w:type="character" w:customStyle="1" w:styleId="495">
    <w:name w:val="正文AAA Char"/>
    <w:link w:val="496"/>
    <w:qFormat/>
    <w:uiPriority w:val="0"/>
    <w:rPr>
      <w:rFonts w:ascii="宋体" w:hAnsi="宋体" w:cs="宋体"/>
      <w:kern w:val="2"/>
      <w:sz w:val="24"/>
    </w:rPr>
  </w:style>
  <w:style w:type="paragraph" w:customStyle="1" w:styleId="496">
    <w:name w:val="正文AAA"/>
    <w:basedOn w:val="1"/>
    <w:link w:val="495"/>
    <w:qFormat/>
    <w:uiPriority w:val="0"/>
    <w:pPr>
      <w:spacing w:line="500" w:lineRule="exact"/>
      <w:ind w:firstLine="480" w:firstLineChars="200"/>
    </w:pPr>
    <w:rPr>
      <w:rFonts w:ascii="宋体" w:hAnsi="宋体" w:cs="宋体" w:eastAsiaTheme="minorEastAsia"/>
      <w:sz w:val="24"/>
      <w:szCs w:val="20"/>
    </w:rPr>
  </w:style>
  <w:style w:type="character" w:customStyle="1" w:styleId="497">
    <w:name w:val="样式4 Char"/>
    <w:qFormat/>
    <w:uiPriority w:val="0"/>
    <w:rPr>
      <w:rFonts w:eastAsia="宋体"/>
      <w:bCs/>
      <w:color w:val="000000"/>
      <w:sz w:val="24"/>
      <w:szCs w:val="24"/>
      <w:lang w:val="en-US" w:eastAsia="zh-CN" w:bidi="ar-SA"/>
    </w:rPr>
  </w:style>
  <w:style w:type="character" w:customStyle="1" w:styleId="498">
    <w:name w:val="font-blue1"/>
    <w:qFormat/>
    <w:uiPriority w:val="0"/>
    <w:rPr>
      <w:color w:val="246CBD"/>
      <w:spacing w:val="316"/>
      <w:sz w:val="21"/>
      <w:szCs w:val="21"/>
    </w:rPr>
  </w:style>
  <w:style w:type="character" w:customStyle="1" w:styleId="499">
    <w:name w:val="正文文本 3 Char1"/>
    <w:semiHidden/>
    <w:qFormat/>
    <w:uiPriority w:val="0"/>
    <w:rPr>
      <w:kern w:val="2"/>
      <w:sz w:val="16"/>
      <w:szCs w:val="16"/>
    </w:rPr>
  </w:style>
  <w:style w:type="character" w:customStyle="1" w:styleId="500">
    <w:name w:val="large1"/>
    <w:qFormat/>
    <w:uiPriority w:val="0"/>
    <w:rPr>
      <w:rFonts w:hint="eastAsia" w:ascii="宋体" w:hAnsi="宋体" w:eastAsia="宋体"/>
      <w:spacing w:val="384"/>
      <w:sz w:val="26"/>
      <w:szCs w:val="26"/>
    </w:rPr>
  </w:style>
  <w:style w:type="character" w:customStyle="1" w:styleId="501">
    <w:name w:val="a1"/>
    <w:qFormat/>
    <w:uiPriority w:val="99"/>
  </w:style>
  <w:style w:type="character" w:customStyle="1" w:styleId="502">
    <w:name w:val="正文（首行缩进两字） Char Char Char Char Char Char Char Char Char Char Char Char Char Char Char Char Char Char Char Char Char Char Char Char Char Char Char Char Char Char Char Char Char Char Char Char Char Char Char Char Char Char Char Char Char Char Char"/>
    <w:qFormat/>
    <w:uiPriority w:val="0"/>
    <w:rPr>
      <w:rFonts w:eastAsia="宋体"/>
      <w:kern w:val="2"/>
      <w:sz w:val="24"/>
      <w:lang w:val="en-US" w:eastAsia="zh-CN" w:bidi="ar-SA"/>
    </w:rPr>
  </w:style>
  <w:style w:type="character" w:customStyle="1" w:styleId="503">
    <w:name w:val="脚注文本 字符1"/>
    <w:link w:val="67"/>
    <w:qFormat/>
    <w:uiPriority w:val="0"/>
    <w:rPr>
      <w:kern w:val="2"/>
      <w:sz w:val="18"/>
      <w:szCs w:val="18"/>
    </w:rPr>
  </w:style>
  <w:style w:type="character" w:customStyle="1" w:styleId="504">
    <w:name w:val="fs"/>
    <w:qFormat/>
    <w:uiPriority w:val="99"/>
  </w:style>
  <w:style w:type="character" w:customStyle="1" w:styleId="505">
    <w:name w:val="标题 4 Char1"/>
    <w:semiHidden/>
    <w:qFormat/>
    <w:uiPriority w:val="0"/>
    <w:rPr>
      <w:rFonts w:ascii="Cambria" w:hAnsi="Cambria" w:eastAsia="宋体" w:cs="Times New Roman"/>
      <w:b/>
      <w:bCs/>
      <w:kern w:val="2"/>
      <w:sz w:val="28"/>
      <w:szCs w:val="28"/>
    </w:rPr>
  </w:style>
  <w:style w:type="character" w:customStyle="1" w:styleId="506">
    <w:name w:val="批注主题 Char1"/>
    <w:semiHidden/>
    <w:qFormat/>
    <w:uiPriority w:val="99"/>
    <w:rPr>
      <w:b/>
      <w:bCs/>
      <w:kern w:val="2"/>
      <w:sz w:val="21"/>
      <w:szCs w:val="22"/>
    </w:rPr>
  </w:style>
  <w:style w:type="character" w:customStyle="1" w:styleId="507">
    <w:name w:val="正文字体样式1111 Char"/>
    <w:link w:val="508"/>
    <w:qFormat/>
    <w:uiPriority w:val="0"/>
    <w:rPr>
      <w:rFonts w:hAnsi="宋体" w:cs="宋体"/>
      <w:kern w:val="2"/>
      <w:sz w:val="24"/>
    </w:rPr>
  </w:style>
  <w:style w:type="paragraph" w:customStyle="1" w:styleId="508">
    <w:name w:val="正文字体样式1111"/>
    <w:basedOn w:val="1"/>
    <w:link w:val="507"/>
    <w:qFormat/>
    <w:uiPriority w:val="0"/>
    <w:pPr>
      <w:spacing w:line="360" w:lineRule="auto"/>
      <w:ind w:firstLine="200" w:firstLineChars="200"/>
    </w:pPr>
    <w:rPr>
      <w:rFonts w:hAnsi="宋体" w:cs="宋体" w:asciiTheme="minorHAnsi" w:eastAsiaTheme="minorEastAsia"/>
      <w:sz w:val="24"/>
      <w:szCs w:val="20"/>
    </w:rPr>
  </w:style>
  <w:style w:type="character" w:customStyle="1" w:styleId="509">
    <w:name w:val="Char161"/>
    <w:qFormat/>
    <w:uiPriority w:val="0"/>
    <w:rPr>
      <w:rFonts w:ascii="Times New Roman" w:hAnsi="Times New Roman" w:eastAsia="宋体" w:cs="Times New Roman"/>
      <w:sz w:val="24"/>
      <w:szCs w:val="24"/>
      <w:lang w:bidi="ar-SA"/>
    </w:rPr>
  </w:style>
  <w:style w:type="character" w:customStyle="1" w:styleId="510">
    <w:name w:val="Char61"/>
    <w:qFormat/>
    <w:uiPriority w:val="0"/>
    <w:rPr>
      <w:rFonts w:ascii="Times New Roman" w:hAnsi="Times New Roman"/>
      <w:kern w:val="2"/>
      <w:sz w:val="21"/>
      <w:szCs w:val="24"/>
    </w:rPr>
  </w:style>
  <w:style w:type="character" w:customStyle="1" w:styleId="511">
    <w:name w:val="Char41"/>
    <w:qFormat/>
    <w:uiPriority w:val="0"/>
    <w:rPr>
      <w:rFonts w:ascii="仿宋_GB2312" w:eastAsia="仿宋_GB2312"/>
      <w:kern w:val="2"/>
      <w:sz w:val="21"/>
      <w:szCs w:val="24"/>
    </w:rPr>
  </w:style>
  <w:style w:type="character" w:customStyle="1" w:styleId="512">
    <w:name w:val="Char131"/>
    <w:qFormat/>
    <w:uiPriority w:val="0"/>
    <w:rPr>
      <w:rFonts w:ascii="Times New Roman" w:hAnsi="Times New Roman" w:eastAsia="宋体" w:cs="Times New Roman"/>
      <w:kern w:val="0"/>
      <w:sz w:val="27"/>
      <w:szCs w:val="24"/>
      <w:lang w:bidi="ar-SA"/>
    </w:rPr>
  </w:style>
  <w:style w:type="character" w:customStyle="1" w:styleId="513">
    <w:name w:val="正文02 Char"/>
    <w:link w:val="514"/>
    <w:qFormat/>
    <w:uiPriority w:val="0"/>
    <w:rPr>
      <w:sz w:val="24"/>
    </w:rPr>
  </w:style>
  <w:style w:type="paragraph" w:customStyle="1" w:styleId="514">
    <w:name w:val="正文02"/>
    <w:basedOn w:val="158"/>
    <w:link w:val="513"/>
    <w:qFormat/>
    <w:uiPriority w:val="0"/>
    <w:pPr>
      <w:widowControl w:val="0"/>
      <w:spacing w:before="300" w:line="440" w:lineRule="exact"/>
      <w:jc w:val="both"/>
    </w:pPr>
    <w:rPr>
      <w:rFonts w:asciiTheme="minorHAnsi"/>
      <w:kern w:val="0"/>
    </w:rPr>
  </w:style>
  <w:style w:type="character" w:customStyle="1" w:styleId="515">
    <w:name w:val="3zw1"/>
    <w:qFormat/>
    <w:uiPriority w:val="0"/>
    <w:rPr>
      <w:color w:val="000000"/>
      <w:sz w:val="21"/>
      <w:szCs w:val="21"/>
    </w:rPr>
  </w:style>
  <w:style w:type="character" w:customStyle="1" w:styleId="516">
    <w:name w:val="样式 正文01 + 首行缩进:  2 字符 Char Char Char"/>
    <w:link w:val="517"/>
    <w:qFormat/>
    <w:uiPriority w:val="0"/>
    <w:rPr>
      <w:color w:val="000000"/>
      <w:sz w:val="24"/>
      <w:szCs w:val="24"/>
    </w:rPr>
  </w:style>
  <w:style w:type="paragraph" w:customStyle="1" w:styleId="517">
    <w:name w:val="样式 正文01 + 首行缩进:  2 字符 Char Char"/>
    <w:basedOn w:val="1"/>
    <w:link w:val="516"/>
    <w:qFormat/>
    <w:uiPriority w:val="0"/>
    <w:pPr>
      <w:adjustRightInd w:val="0"/>
      <w:snapToGrid w:val="0"/>
      <w:spacing w:before="60" w:line="460" w:lineRule="exact"/>
      <w:ind w:firstLine="480" w:firstLineChars="200"/>
    </w:pPr>
    <w:rPr>
      <w:rFonts w:asciiTheme="minorHAnsi" w:hAnsiTheme="minorHAnsi" w:eastAsiaTheme="minorEastAsia" w:cstheme="minorBidi"/>
      <w:color w:val="000000"/>
      <w:kern w:val="0"/>
      <w:sz w:val="24"/>
    </w:rPr>
  </w:style>
  <w:style w:type="character" w:customStyle="1" w:styleId="518">
    <w:name w:val="样式 (中文) 仿宋_GB2312 四号"/>
    <w:qFormat/>
    <w:uiPriority w:val="0"/>
    <w:rPr>
      <w:rFonts w:eastAsia="仿宋_GB2312"/>
      <w:sz w:val="24"/>
    </w:rPr>
  </w:style>
  <w:style w:type="character" w:customStyle="1" w:styleId="519">
    <w:name w:val="z-窗体底端 Char1"/>
    <w:semiHidden/>
    <w:qFormat/>
    <w:uiPriority w:val="99"/>
    <w:rPr>
      <w:rFonts w:ascii="Arial" w:hAnsi="Arial" w:cs="Arial"/>
      <w:vanish/>
      <w:kern w:val="2"/>
      <w:sz w:val="16"/>
      <w:szCs w:val="16"/>
    </w:rPr>
  </w:style>
  <w:style w:type="paragraph" w:customStyle="1" w:styleId="520">
    <w:name w:val="Char Char Char1 Char Char Char Char"/>
    <w:basedOn w:val="1"/>
    <w:qFormat/>
    <w:uiPriority w:val="0"/>
    <w:rPr>
      <w:rFonts w:ascii="Tahoma" w:hAnsi="Tahoma"/>
      <w:sz w:val="24"/>
      <w:szCs w:val="20"/>
    </w:rPr>
  </w:style>
  <w:style w:type="paragraph" w:customStyle="1" w:styleId="521">
    <w:name w:val="目录 61"/>
    <w:basedOn w:val="1"/>
    <w:next w:val="522"/>
    <w:qFormat/>
    <w:uiPriority w:val="39"/>
    <w:pPr>
      <w:widowControl/>
      <w:spacing w:before="60" w:line="351" w:lineRule="atLeast"/>
      <w:ind w:firstLine="419"/>
      <w:textAlignment w:val="baseline"/>
    </w:pPr>
    <w:rPr>
      <w:color w:val="000000"/>
      <w:kern w:val="0"/>
      <w:szCs w:val="20"/>
      <w:u w:color="000000"/>
    </w:rPr>
  </w:style>
  <w:style w:type="paragraph" w:styleId="522">
    <w:name w:val="List Paragraph"/>
    <w:basedOn w:val="1"/>
    <w:qFormat/>
    <w:uiPriority w:val="99"/>
    <w:pPr>
      <w:ind w:firstLine="420" w:firstLineChars="200"/>
    </w:pPr>
  </w:style>
  <w:style w:type="paragraph" w:customStyle="1" w:styleId="523">
    <w:name w:val="Char Char Char Char Char Char Char Char Char Char"/>
    <w:basedOn w:val="1"/>
    <w:qFormat/>
    <w:uiPriority w:val="0"/>
    <w:pPr>
      <w:spacing w:line="360" w:lineRule="auto"/>
      <w:ind w:firstLine="200" w:firstLineChars="200"/>
    </w:pPr>
    <w:rPr>
      <w:rFonts w:ascii="宋体" w:hAnsi="宋体" w:cs="宋体"/>
      <w:sz w:val="24"/>
    </w:rPr>
  </w:style>
  <w:style w:type="character" w:customStyle="1" w:styleId="524">
    <w:name w:val="文档结构图 字符"/>
    <w:basedOn w:val="95"/>
    <w:qFormat/>
    <w:uiPriority w:val="99"/>
    <w:rPr>
      <w:rFonts w:ascii="Microsoft YaHei UI" w:hAnsi="Times New Roman" w:eastAsia="Microsoft YaHei UI" w:cs="Times New Roman"/>
      <w:kern w:val="2"/>
      <w:sz w:val="18"/>
      <w:szCs w:val="18"/>
    </w:rPr>
  </w:style>
  <w:style w:type="character" w:customStyle="1" w:styleId="525">
    <w:name w:val="文档结构图 Char2"/>
    <w:qFormat/>
    <w:uiPriority w:val="0"/>
    <w:rPr>
      <w:rFonts w:ascii="宋体"/>
      <w:kern w:val="2"/>
      <w:sz w:val="18"/>
      <w:szCs w:val="18"/>
    </w:rPr>
  </w:style>
  <w:style w:type="character" w:customStyle="1" w:styleId="526">
    <w:name w:val="标题 字符"/>
    <w:basedOn w:val="95"/>
    <w:qFormat/>
    <w:uiPriority w:val="10"/>
    <w:rPr>
      <w:rFonts w:asciiTheme="majorHAnsi" w:hAnsiTheme="majorHAnsi" w:eastAsiaTheme="majorEastAsia" w:cstheme="majorBidi"/>
      <w:b/>
      <w:bCs/>
      <w:kern w:val="2"/>
      <w:sz w:val="32"/>
      <w:szCs w:val="32"/>
    </w:rPr>
  </w:style>
  <w:style w:type="character" w:customStyle="1" w:styleId="527">
    <w:name w:val="标题 Char3"/>
    <w:qFormat/>
    <w:uiPriority w:val="0"/>
    <w:rPr>
      <w:rFonts w:ascii="Cambria" w:hAnsi="Cambria" w:cs="Times New Roman"/>
      <w:b/>
      <w:bCs/>
      <w:kern w:val="2"/>
      <w:sz w:val="32"/>
      <w:szCs w:val="32"/>
    </w:rPr>
  </w:style>
  <w:style w:type="paragraph" w:customStyle="1" w:styleId="528">
    <w:name w:val="默认段落字体 Para Char Char Char Char"/>
    <w:basedOn w:val="1"/>
    <w:qFormat/>
    <w:uiPriority w:val="0"/>
    <w:pPr>
      <w:spacing w:line="360" w:lineRule="auto"/>
      <w:ind w:firstLine="200" w:firstLineChars="200"/>
    </w:pPr>
    <w:rPr>
      <w:rFonts w:ascii="宋体" w:hAnsi="宋体" w:cs="宋体"/>
      <w:sz w:val="24"/>
    </w:rPr>
  </w:style>
  <w:style w:type="paragraph" w:customStyle="1" w:styleId="529">
    <w:name w:val="正文五"/>
    <w:basedOn w:val="1"/>
    <w:qFormat/>
    <w:uiPriority w:val="0"/>
    <w:pPr>
      <w:snapToGrid w:val="0"/>
      <w:jc w:val="center"/>
    </w:pPr>
    <w:rPr>
      <w:szCs w:val="28"/>
    </w:rPr>
  </w:style>
  <w:style w:type="character" w:customStyle="1" w:styleId="530">
    <w:name w:val="正文文本缩进 2 字符"/>
    <w:basedOn w:val="95"/>
    <w:qFormat/>
    <w:uiPriority w:val="0"/>
    <w:rPr>
      <w:rFonts w:ascii="Times New Roman" w:hAnsi="Times New Roman" w:eastAsia="宋体" w:cs="Times New Roman"/>
      <w:kern w:val="2"/>
      <w:sz w:val="21"/>
      <w:szCs w:val="24"/>
    </w:rPr>
  </w:style>
  <w:style w:type="character" w:customStyle="1" w:styleId="531">
    <w:name w:val="正文文本缩进 2 Char2"/>
    <w:qFormat/>
    <w:uiPriority w:val="0"/>
    <w:rPr>
      <w:kern w:val="2"/>
      <w:sz w:val="21"/>
      <w:szCs w:val="24"/>
    </w:rPr>
  </w:style>
  <w:style w:type="character" w:customStyle="1" w:styleId="532">
    <w:name w:val="称呼 字符"/>
    <w:basedOn w:val="95"/>
    <w:qFormat/>
    <w:uiPriority w:val="0"/>
    <w:rPr>
      <w:rFonts w:ascii="Times New Roman" w:hAnsi="Times New Roman" w:eastAsia="宋体" w:cs="Times New Roman"/>
      <w:kern w:val="2"/>
      <w:sz w:val="21"/>
      <w:szCs w:val="24"/>
    </w:rPr>
  </w:style>
  <w:style w:type="character" w:customStyle="1" w:styleId="533">
    <w:name w:val="称呼 Char3"/>
    <w:qFormat/>
    <w:uiPriority w:val="0"/>
    <w:rPr>
      <w:kern w:val="2"/>
      <w:sz w:val="21"/>
      <w:szCs w:val="24"/>
    </w:rPr>
  </w:style>
  <w:style w:type="paragraph" w:customStyle="1" w:styleId="534">
    <w:name w:val="样式 居中"/>
    <w:basedOn w:val="1"/>
    <w:qFormat/>
    <w:uiPriority w:val="0"/>
    <w:pPr>
      <w:widowControl/>
      <w:spacing w:line="360" w:lineRule="auto"/>
      <w:jc w:val="center"/>
    </w:pPr>
    <w:rPr>
      <w:rFonts w:cs="宋体"/>
      <w:kern w:val="0"/>
      <w:sz w:val="24"/>
      <w:szCs w:val="20"/>
      <w:lang w:eastAsia="en-US" w:bidi="en-US"/>
    </w:rPr>
  </w:style>
  <w:style w:type="character" w:customStyle="1" w:styleId="535">
    <w:name w:val="正文文本缩进 3 字符"/>
    <w:basedOn w:val="95"/>
    <w:qFormat/>
    <w:uiPriority w:val="0"/>
    <w:rPr>
      <w:rFonts w:ascii="Times New Roman" w:hAnsi="Times New Roman" w:eastAsia="宋体" w:cs="Times New Roman"/>
      <w:kern w:val="2"/>
      <w:sz w:val="16"/>
      <w:szCs w:val="16"/>
    </w:rPr>
  </w:style>
  <w:style w:type="character" w:customStyle="1" w:styleId="536">
    <w:name w:val="正文文本缩进 3 Char2"/>
    <w:qFormat/>
    <w:uiPriority w:val="0"/>
    <w:rPr>
      <w:kern w:val="2"/>
      <w:sz w:val="16"/>
      <w:szCs w:val="16"/>
    </w:rPr>
  </w:style>
  <w:style w:type="character" w:customStyle="1" w:styleId="537">
    <w:name w:val="正文文本 2 字符"/>
    <w:basedOn w:val="95"/>
    <w:qFormat/>
    <w:uiPriority w:val="0"/>
    <w:rPr>
      <w:rFonts w:ascii="Times New Roman" w:hAnsi="Times New Roman" w:eastAsia="宋体" w:cs="Times New Roman"/>
      <w:kern w:val="2"/>
      <w:sz w:val="21"/>
      <w:szCs w:val="24"/>
    </w:rPr>
  </w:style>
  <w:style w:type="character" w:customStyle="1" w:styleId="538">
    <w:name w:val="正文文本 2 Char3"/>
    <w:qFormat/>
    <w:uiPriority w:val="0"/>
    <w:rPr>
      <w:kern w:val="2"/>
      <w:sz w:val="21"/>
      <w:szCs w:val="24"/>
    </w:rPr>
  </w:style>
  <w:style w:type="paragraph" w:customStyle="1" w:styleId="539">
    <w:name w:val="表文"/>
    <w:basedOn w:val="34"/>
    <w:next w:val="21"/>
    <w:qFormat/>
    <w:uiPriority w:val="0"/>
    <w:pPr>
      <w:widowControl w:val="0"/>
      <w:snapToGrid/>
      <w:spacing w:before="0" w:after="0" w:line="360" w:lineRule="exact"/>
      <w:ind w:right="0"/>
      <w:jc w:val="center"/>
    </w:pPr>
    <w:rPr>
      <w:rFonts w:ascii="宋体" w:hAnsi="宋体"/>
      <w:color w:val="000000"/>
      <w:kern w:val="2"/>
      <w:sz w:val="21"/>
      <w:szCs w:val="21"/>
      <w:lang w:val="zh-CN"/>
    </w:rPr>
  </w:style>
  <w:style w:type="paragraph" w:customStyle="1" w:styleId="540">
    <w:name w:val="标题3 Char Char Char Char"/>
    <w:basedOn w:val="1"/>
    <w:qFormat/>
    <w:uiPriority w:val="0"/>
    <w:pPr>
      <w:spacing w:after="156" w:afterLines="50" w:line="560" w:lineRule="exact"/>
    </w:pPr>
    <w:rPr>
      <w:rFonts w:eastAsia="黑体"/>
      <w:sz w:val="30"/>
      <w:szCs w:val="30"/>
    </w:rPr>
  </w:style>
  <w:style w:type="paragraph" w:customStyle="1" w:styleId="541">
    <w:name w:val="正文缩近"/>
    <w:basedOn w:val="1"/>
    <w:qFormat/>
    <w:uiPriority w:val="0"/>
    <w:pPr>
      <w:spacing w:line="360" w:lineRule="auto"/>
      <w:ind w:firstLine="560" w:firstLineChars="200"/>
    </w:pPr>
    <w:rPr>
      <w:rFonts w:ascii="Calibri" w:hAnsi="Calibri"/>
      <w:sz w:val="28"/>
      <w:szCs w:val="28"/>
    </w:rPr>
  </w:style>
  <w:style w:type="paragraph" w:customStyle="1" w:styleId="542">
    <w:name w:val="表图题"/>
    <w:basedOn w:val="1"/>
    <w:qFormat/>
    <w:uiPriority w:val="99"/>
    <w:pPr>
      <w:spacing w:line="440" w:lineRule="exact"/>
      <w:jc w:val="center"/>
    </w:pPr>
    <w:rPr>
      <w:rFonts w:eastAsia="华文细黑"/>
      <w:b/>
      <w:szCs w:val="28"/>
    </w:rPr>
  </w:style>
  <w:style w:type="character" w:customStyle="1" w:styleId="543">
    <w:name w:val="脚注文本 字符"/>
    <w:basedOn w:val="95"/>
    <w:qFormat/>
    <w:uiPriority w:val="0"/>
    <w:rPr>
      <w:rFonts w:ascii="Times New Roman" w:hAnsi="Times New Roman" w:eastAsia="宋体" w:cs="Times New Roman"/>
      <w:kern w:val="2"/>
      <w:sz w:val="18"/>
      <w:szCs w:val="18"/>
    </w:rPr>
  </w:style>
  <w:style w:type="character" w:customStyle="1" w:styleId="544">
    <w:name w:val="脚注文本 Char3"/>
    <w:qFormat/>
    <w:uiPriority w:val="0"/>
    <w:rPr>
      <w:kern w:val="2"/>
      <w:sz w:val="18"/>
      <w:szCs w:val="18"/>
    </w:rPr>
  </w:style>
  <w:style w:type="paragraph" w:customStyle="1" w:styleId="545">
    <w:name w:val="居中正文"/>
    <w:basedOn w:val="86"/>
    <w:link w:val="1008"/>
    <w:qFormat/>
    <w:uiPriority w:val="99"/>
    <w:pPr>
      <w:adjustRightInd w:val="0"/>
      <w:spacing w:before="120" w:after="0" w:line="360" w:lineRule="auto"/>
      <w:ind w:firstLine="0" w:firstLineChars="0"/>
      <w:jc w:val="center"/>
      <w:textAlignment w:val="baseline"/>
    </w:pPr>
    <w:rPr>
      <w:rFonts w:ascii="宋体"/>
      <w:kern w:val="28"/>
      <w:sz w:val="24"/>
      <w:szCs w:val="20"/>
      <w:lang w:val="zh-CN"/>
    </w:rPr>
  </w:style>
  <w:style w:type="paragraph" w:customStyle="1" w:styleId="546">
    <w:name w:val="标题3.5"/>
    <w:basedOn w:val="1"/>
    <w:qFormat/>
    <w:uiPriority w:val="0"/>
    <w:rPr>
      <w:rFonts w:eastAsia="仿宋_GB2312"/>
      <w:sz w:val="24"/>
    </w:rPr>
  </w:style>
  <w:style w:type="paragraph" w:customStyle="1" w:styleId="547">
    <w:name w:val="xl49"/>
    <w:basedOn w:val="1"/>
    <w:qFormat/>
    <w:uiPriority w:val="0"/>
    <w:pPr>
      <w:widowControl/>
      <w:pBdr>
        <w:bottom w:val="single" w:color="auto" w:sz="8" w:space="0"/>
      </w:pBdr>
      <w:spacing w:before="100" w:beforeAutospacing="1" w:after="100" w:afterAutospacing="1"/>
      <w:jc w:val="center"/>
    </w:pPr>
    <w:rPr>
      <w:rFonts w:ascii="宋体" w:hAnsi="宋体"/>
      <w:kern w:val="0"/>
      <w:sz w:val="24"/>
    </w:rPr>
  </w:style>
  <w:style w:type="paragraph" w:customStyle="1" w:styleId="548">
    <w:name w:val="样式 正文001 + 首行缩进:  2 字符"/>
    <w:basedOn w:val="1"/>
    <w:qFormat/>
    <w:uiPriority w:val="99"/>
    <w:pPr>
      <w:spacing w:line="500" w:lineRule="atLeast"/>
      <w:ind w:firstLine="480" w:firstLineChars="200"/>
    </w:pPr>
    <w:rPr>
      <w:rFonts w:ascii="Calibri" w:hAnsi="Calibri"/>
      <w:sz w:val="24"/>
    </w:rPr>
  </w:style>
  <w:style w:type="paragraph" w:customStyle="1" w:styleId="549">
    <w:name w:val="正文2"/>
    <w:basedOn w:val="1"/>
    <w:link w:val="1089"/>
    <w:qFormat/>
    <w:uiPriority w:val="0"/>
    <w:pPr>
      <w:adjustRightInd w:val="0"/>
      <w:snapToGrid w:val="0"/>
      <w:spacing w:line="440" w:lineRule="atLeast"/>
      <w:ind w:firstLine="567"/>
    </w:pPr>
    <w:rPr>
      <w:sz w:val="24"/>
      <w:szCs w:val="20"/>
    </w:rPr>
  </w:style>
  <w:style w:type="character" w:customStyle="1" w:styleId="550">
    <w:name w:val="正文文本 3 字符"/>
    <w:basedOn w:val="95"/>
    <w:qFormat/>
    <w:uiPriority w:val="99"/>
    <w:rPr>
      <w:rFonts w:ascii="Times New Roman" w:hAnsi="Times New Roman" w:eastAsia="宋体" w:cs="Times New Roman"/>
      <w:kern w:val="2"/>
      <w:sz w:val="16"/>
      <w:szCs w:val="16"/>
    </w:rPr>
  </w:style>
  <w:style w:type="character" w:customStyle="1" w:styleId="551">
    <w:name w:val="正文文本 3 Char3"/>
    <w:qFormat/>
    <w:uiPriority w:val="0"/>
    <w:rPr>
      <w:kern w:val="2"/>
      <w:sz w:val="16"/>
      <w:szCs w:val="16"/>
    </w:rPr>
  </w:style>
  <w:style w:type="paragraph" w:customStyle="1" w:styleId="552">
    <w:name w:val="yu"/>
    <w:basedOn w:val="1"/>
    <w:qFormat/>
    <w:uiPriority w:val="0"/>
    <w:pPr>
      <w:widowControl/>
      <w:spacing w:before="100" w:beforeAutospacing="1" w:after="100" w:afterAutospacing="1" w:line="384" w:lineRule="auto"/>
      <w:ind w:firstLine="480"/>
      <w:jc w:val="left"/>
    </w:pPr>
    <w:rPr>
      <w:rFonts w:ascii="Arial Unicode MS" w:hAnsi="Arial Unicode MS" w:eastAsia="Arial Unicode MS" w:cs="Arial Unicode MS"/>
      <w:color w:val="000000"/>
      <w:kern w:val="0"/>
      <w:sz w:val="18"/>
      <w:szCs w:val="18"/>
    </w:rPr>
  </w:style>
  <w:style w:type="paragraph" w:customStyle="1" w:styleId="553">
    <w:name w:val="Char Char Char Char Char Char1 Char Char Char Char"/>
    <w:basedOn w:val="1"/>
    <w:qFormat/>
    <w:uiPriority w:val="0"/>
    <w:rPr>
      <w:sz w:val="24"/>
    </w:rPr>
  </w:style>
  <w:style w:type="character" w:customStyle="1" w:styleId="554">
    <w:name w:val="HTML 预设格式 字符"/>
    <w:basedOn w:val="95"/>
    <w:qFormat/>
    <w:uiPriority w:val="0"/>
    <w:rPr>
      <w:rFonts w:ascii="Courier New" w:hAnsi="Courier New" w:eastAsia="宋体" w:cs="Courier New"/>
      <w:kern w:val="2"/>
    </w:rPr>
  </w:style>
  <w:style w:type="character" w:customStyle="1" w:styleId="555">
    <w:name w:val="HTML 预设格式 Char3"/>
    <w:qFormat/>
    <w:uiPriority w:val="0"/>
    <w:rPr>
      <w:rFonts w:ascii="Courier New" w:hAnsi="Courier New" w:cs="Courier New"/>
      <w:kern w:val="2"/>
    </w:rPr>
  </w:style>
  <w:style w:type="paragraph" w:customStyle="1" w:styleId="556">
    <w:name w:val="_Style 70"/>
    <w:basedOn w:val="1"/>
    <w:qFormat/>
    <w:uiPriority w:val="0"/>
    <w:pPr>
      <w:spacing w:after="156" w:afterLines="50" w:line="560" w:lineRule="exact"/>
    </w:pPr>
    <w:rPr>
      <w:rFonts w:eastAsia="黑体"/>
      <w:sz w:val="30"/>
      <w:szCs w:val="30"/>
    </w:rPr>
  </w:style>
  <w:style w:type="paragraph" w:customStyle="1" w:styleId="557">
    <w:name w:val="标题C"/>
    <w:basedOn w:val="1"/>
    <w:qFormat/>
    <w:uiPriority w:val="0"/>
    <w:pPr>
      <w:spacing w:line="360" w:lineRule="auto"/>
      <w:outlineLvl w:val="2"/>
    </w:pPr>
    <w:rPr>
      <w:rFonts w:ascii="Calibri" w:hAnsi="Calibri" w:cs="宋体"/>
      <w:b/>
      <w:bCs/>
      <w:sz w:val="24"/>
      <w:szCs w:val="20"/>
    </w:rPr>
  </w:style>
  <w:style w:type="paragraph" w:customStyle="1" w:styleId="558">
    <w:name w:val="xl22"/>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szCs w:val="21"/>
    </w:rPr>
  </w:style>
  <w:style w:type="character" w:customStyle="1" w:styleId="559">
    <w:name w:val="z-窗体顶端 字符"/>
    <w:basedOn w:val="95"/>
    <w:semiHidden/>
    <w:qFormat/>
    <w:uiPriority w:val="99"/>
    <w:rPr>
      <w:rFonts w:ascii="Arial" w:hAnsi="Arial" w:eastAsia="宋体" w:cs="Arial"/>
      <w:vanish/>
      <w:kern w:val="2"/>
      <w:sz w:val="16"/>
      <w:szCs w:val="16"/>
    </w:rPr>
  </w:style>
  <w:style w:type="character" w:customStyle="1" w:styleId="560">
    <w:name w:val="z-窗体顶端 Char2"/>
    <w:semiHidden/>
    <w:qFormat/>
    <w:uiPriority w:val="99"/>
    <w:rPr>
      <w:rFonts w:ascii="Arial" w:hAnsi="Arial" w:cs="Arial"/>
      <w:vanish/>
      <w:kern w:val="2"/>
      <w:sz w:val="16"/>
      <w:szCs w:val="16"/>
    </w:rPr>
  </w:style>
  <w:style w:type="paragraph" w:customStyle="1" w:styleId="561">
    <w:name w:val="热电厂正文"/>
    <w:basedOn w:val="1"/>
    <w:qFormat/>
    <w:uiPriority w:val="0"/>
    <w:pPr>
      <w:spacing w:line="440" w:lineRule="exact"/>
      <w:ind w:firstLine="480" w:firstLineChars="200"/>
    </w:pPr>
    <w:rPr>
      <w:sz w:val="24"/>
    </w:rPr>
  </w:style>
  <w:style w:type="paragraph" w:customStyle="1" w:styleId="562">
    <w:name w:val="CM104"/>
    <w:basedOn w:val="1"/>
    <w:next w:val="1"/>
    <w:qFormat/>
    <w:uiPriority w:val="0"/>
    <w:pPr>
      <w:autoSpaceDE w:val="0"/>
      <w:autoSpaceDN w:val="0"/>
      <w:adjustRightInd w:val="0"/>
      <w:spacing w:after="175"/>
      <w:jc w:val="left"/>
    </w:pPr>
    <w:rPr>
      <w:rFonts w:ascii="楷体_GB2312" w:hAnsi="Calibri" w:eastAsia="楷体_GB2312"/>
      <w:kern w:val="0"/>
      <w:sz w:val="24"/>
    </w:rPr>
  </w:style>
  <w:style w:type="paragraph" w:customStyle="1" w:styleId="563">
    <w:name w:val="my Char1"/>
    <w:qFormat/>
    <w:uiPriority w:val="0"/>
    <w:pPr>
      <w:widowControl w:val="0"/>
      <w:spacing w:before="60" w:line="460" w:lineRule="exact"/>
      <w:ind w:firstLine="200" w:firstLineChars="200"/>
      <w:jc w:val="both"/>
    </w:pPr>
    <w:rPr>
      <w:rFonts w:ascii="Times New Roman" w:hAnsi="Times New Roman" w:eastAsia="宋体" w:cs="Times New Roman"/>
      <w:sz w:val="24"/>
      <w:szCs w:val="24"/>
      <w:lang w:val="en-US" w:eastAsia="zh-CN" w:bidi="ar-SA"/>
    </w:rPr>
  </w:style>
  <w:style w:type="paragraph" w:customStyle="1" w:styleId="564">
    <w:name w:val="正文31"/>
    <w:basedOn w:val="1"/>
    <w:semiHidden/>
    <w:qFormat/>
    <w:uiPriority w:val="0"/>
    <w:pPr>
      <w:keepNext/>
      <w:adjustRightInd w:val="0"/>
      <w:jc w:val="center"/>
      <w:textAlignment w:val="baseline"/>
    </w:pPr>
    <w:rPr>
      <w:kern w:val="0"/>
      <w:sz w:val="28"/>
      <w:szCs w:val="20"/>
    </w:rPr>
  </w:style>
  <w:style w:type="paragraph" w:customStyle="1" w:styleId="565">
    <w:name w:val="正文文本 211"/>
    <w:basedOn w:val="1"/>
    <w:qFormat/>
    <w:uiPriority w:val="0"/>
    <w:pPr>
      <w:adjustRightInd w:val="0"/>
      <w:spacing w:before="60" w:after="120" w:line="460" w:lineRule="exact"/>
      <w:ind w:left="420" w:firstLine="200" w:firstLineChars="200"/>
      <w:textAlignment w:val="baseline"/>
    </w:pPr>
    <w:rPr>
      <w:rFonts w:ascii="宋体"/>
      <w:sz w:val="24"/>
      <w:szCs w:val="20"/>
    </w:rPr>
  </w:style>
  <w:style w:type="paragraph" w:customStyle="1" w:styleId="566">
    <w:name w:val="Char Char Char Char Char Char Char1 Char Char Char Char Char Char Char"/>
    <w:basedOn w:val="1"/>
    <w:qFormat/>
    <w:uiPriority w:val="0"/>
    <w:pPr>
      <w:tabs>
        <w:tab w:val="left" w:pos="432"/>
      </w:tabs>
      <w:ind w:left="432" w:hanging="432"/>
    </w:pPr>
    <w:rPr>
      <w:rFonts w:ascii="Tahoma" w:hAnsi="Tahoma"/>
      <w:sz w:val="24"/>
      <w:szCs w:val="20"/>
    </w:rPr>
  </w:style>
  <w:style w:type="paragraph" w:customStyle="1" w:styleId="567">
    <w:name w:val="nw"/>
    <w:basedOn w:val="1"/>
    <w:qFormat/>
    <w:uiPriority w:val="0"/>
    <w:pPr>
      <w:widowControl/>
      <w:adjustRightInd w:val="0"/>
      <w:spacing w:before="100" w:after="100" w:line="460" w:lineRule="exact"/>
      <w:ind w:firstLine="200" w:firstLineChars="200"/>
      <w:jc w:val="left"/>
      <w:textAlignment w:val="baseline"/>
    </w:pPr>
    <w:rPr>
      <w:rFonts w:ascii="宋体"/>
      <w:color w:val="000000"/>
      <w:kern w:val="0"/>
      <w:szCs w:val="20"/>
    </w:rPr>
  </w:style>
  <w:style w:type="paragraph" w:customStyle="1" w:styleId="568">
    <w:name w:val="2级标题"/>
    <w:basedOn w:val="1"/>
    <w:qFormat/>
    <w:uiPriority w:val="0"/>
    <w:pPr>
      <w:spacing w:before="60" w:line="460" w:lineRule="exact"/>
      <w:outlineLvl w:val="1"/>
    </w:pPr>
    <w:rPr>
      <w:rFonts w:ascii="Calibri" w:hAnsi="Calibri"/>
      <w:b/>
      <w:sz w:val="28"/>
    </w:rPr>
  </w:style>
  <w:style w:type="paragraph" w:customStyle="1" w:styleId="569">
    <w:name w:val="样式 正文1 + 段前: 0.1 行"/>
    <w:basedOn w:val="1"/>
    <w:qFormat/>
    <w:uiPriority w:val="0"/>
    <w:pPr>
      <w:snapToGrid w:val="0"/>
      <w:spacing w:beforeLines="10" w:line="440" w:lineRule="atLeast"/>
      <w:ind w:firstLine="200" w:firstLineChars="200"/>
    </w:pPr>
    <w:rPr>
      <w:sz w:val="24"/>
      <w:szCs w:val="20"/>
    </w:rPr>
  </w:style>
  <w:style w:type="paragraph" w:customStyle="1" w:styleId="570">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571">
    <w:name w:val="样式 标题 1标题章标题 1 Char标题章 Char Char Char Char标题 1 Char Char章标题..."/>
    <w:basedOn w:val="3"/>
    <w:qFormat/>
    <w:uiPriority w:val="0"/>
    <w:pPr>
      <w:keepLines/>
      <w:pageBreakBefore/>
      <w:tabs>
        <w:tab w:val="left" w:pos="933"/>
      </w:tabs>
      <w:overflowPunct/>
      <w:snapToGrid/>
      <w:spacing w:before="240" w:after="240" w:line="360" w:lineRule="auto"/>
      <w:ind w:left="933" w:hanging="720"/>
      <w:jc w:val="center"/>
    </w:pPr>
    <w:rPr>
      <w:rFonts w:ascii="Arial" w:hAnsi="Arial" w:eastAsia="宋体" w:cs="宋体"/>
      <w:color w:val="auto"/>
      <w:kern w:val="32"/>
      <w:sz w:val="32"/>
      <w:szCs w:val="32"/>
      <w:lang w:val="zh-CN"/>
    </w:rPr>
  </w:style>
  <w:style w:type="paragraph" w:customStyle="1" w:styleId="572">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573">
    <w:name w:val="2"/>
    <w:basedOn w:val="1"/>
    <w:next w:val="45"/>
    <w:qFormat/>
    <w:uiPriority w:val="0"/>
    <w:rPr>
      <w:rFonts w:ascii="宋体" w:hAnsi="Courier New"/>
    </w:rPr>
  </w:style>
  <w:style w:type="paragraph" w:customStyle="1" w:styleId="574">
    <w:name w:val="Char Char Char Char Char Char Char Char Char Char11"/>
    <w:basedOn w:val="1"/>
    <w:qFormat/>
    <w:uiPriority w:val="0"/>
    <w:pPr>
      <w:spacing w:line="360" w:lineRule="auto"/>
      <w:ind w:firstLine="200" w:firstLineChars="200"/>
    </w:pPr>
    <w:rPr>
      <w:rFonts w:ascii="宋体" w:hAnsi="宋体" w:cs="宋体"/>
      <w:sz w:val="24"/>
    </w:rPr>
  </w:style>
  <w:style w:type="paragraph" w:customStyle="1" w:styleId="575">
    <w:name w:val="xl24"/>
    <w:basedOn w:val="1"/>
    <w:qFormat/>
    <w:uiPriority w:val="0"/>
    <w:pPr>
      <w:widowControl/>
      <w:spacing w:before="100" w:beforeAutospacing="1" w:after="100" w:afterAutospacing="1"/>
      <w:jc w:val="left"/>
    </w:pPr>
    <w:rPr>
      <w:rFonts w:eastAsia="Arial Unicode MS"/>
      <w:i/>
      <w:iCs/>
      <w:kern w:val="0"/>
      <w:sz w:val="20"/>
      <w:szCs w:val="20"/>
    </w:rPr>
  </w:style>
  <w:style w:type="paragraph" w:customStyle="1" w:styleId="576">
    <w:name w:val="二级标题"/>
    <w:basedOn w:val="1"/>
    <w:qFormat/>
    <w:uiPriority w:val="0"/>
    <w:pPr>
      <w:spacing w:before="60" w:line="460" w:lineRule="exact"/>
      <w:outlineLvl w:val="1"/>
    </w:pPr>
    <w:rPr>
      <w:rFonts w:ascii="Calibri" w:hAnsi="Calibri"/>
      <w:b/>
      <w:sz w:val="28"/>
    </w:rPr>
  </w:style>
  <w:style w:type="paragraph" w:customStyle="1" w:styleId="577">
    <w:name w:val="正文 + 宋体"/>
    <w:basedOn w:val="549"/>
    <w:qFormat/>
    <w:uiPriority w:val="0"/>
    <w:rPr>
      <w:rFonts w:ascii="宋体" w:hAnsi="宋体"/>
      <w:spacing w:val="-4"/>
    </w:rPr>
  </w:style>
  <w:style w:type="paragraph" w:customStyle="1" w:styleId="578">
    <w:name w:val="Char Char1 Char Char Char Char Char Char Char Char Char Char Char Char Char Char Char Char Char Char Char Char1 Char11"/>
    <w:basedOn w:val="1"/>
    <w:qFormat/>
    <w:uiPriority w:val="0"/>
    <w:pPr>
      <w:spacing w:line="360" w:lineRule="auto"/>
      <w:ind w:firstLine="200" w:firstLineChars="200"/>
    </w:pPr>
    <w:rPr>
      <w:rFonts w:ascii="宋体" w:hAnsi="宋体" w:cs="宋体"/>
      <w:sz w:val="24"/>
    </w:rPr>
  </w:style>
  <w:style w:type="paragraph" w:customStyle="1" w:styleId="579">
    <w:name w:val="1"/>
    <w:basedOn w:val="1"/>
    <w:next w:val="35"/>
    <w:qFormat/>
    <w:uiPriority w:val="0"/>
    <w:pPr>
      <w:spacing w:line="360" w:lineRule="auto"/>
      <w:ind w:firstLine="480" w:firstLineChars="200"/>
    </w:pPr>
    <w:rPr>
      <w:rFonts w:ascii="仿宋_GB2312" w:eastAsia="仿宋_GB2312"/>
      <w:sz w:val="24"/>
    </w:rPr>
  </w:style>
  <w:style w:type="paragraph" w:customStyle="1" w:styleId="580">
    <w:name w:val="表格文字"/>
    <w:basedOn w:val="45"/>
    <w:link w:val="1180"/>
    <w:qFormat/>
    <w:uiPriority w:val="0"/>
    <w:pPr>
      <w:widowControl w:val="0"/>
      <w:spacing w:line="280" w:lineRule="exact"/>
      <w:ind w:firstLine="0" w:firstLineChars="0"/>
      <w:jc w:val="center"/>
    </w:pPr>
    <w:rPr>
      <w:rFonts w:ascii="仿宋_GB2312" w:hAnsi="宋体" w:eastAsia="仿宋_GB2312"/>
      <w:sz w:val="21"/>
      <w:szCs w:val="21"/>
    </w:rPr>
  </w:style>
  <w:style w:type="paragraph" w:customStyle="1" w:styleId="581">
    <w:name w:val="内容文字"/>
    <w:basedOn w:val="1"/>
    <w:qFormat/>
    <w:uiPriority w:val="0"/>
    <w:pPr>
      <w:spacing w:line="360" w:lineRule="auto"/>
      <w:ind w:firstLine="560" w:firstLineChars="200"/>
    </w:pPr>
    <w:rPr>
      <w:rFonts w:cs="宋体"/>
      <w:sz w:val="28"/>
      <w:szCs w:val="20"/>
    </w:rPr>
  </w:style>
  <w:style w:type="paragraph" w:customStyle="1" w:styleId="582">
    <w:name w:val="Char Char Char Char Char Char"/>
    <w:basedOn w:val="1"/>
    <w:next w:val="1"/>
    <w:qFormat/>
    <w:uiPriority w:val="0"/>
  </w:style>
  <w:style w:type="paragraph" w:customStyle="1" w:styleId="583">
    <w:name w:val="TOC 标题1"/>
    <w:basedOn w:val="3"/>
    <w:next w:val="1"/>
    <w:qFormat/>
    <w:uiPriority w:val="39"/>
    <w:pPr>
      <w:keepLines/>
      <w:widowControl/>
      <w:overflowPunct/>
      <w:snapToGrid/>
      <w:spacing w:before="480" w:after="0" w:line="276" w:lineRule="auto"/>
      <w:ind w:left="0" w:firstLine="0"/>
      <w:jc w:val="left"/>
      <w:outlineLvl w:val="9"/>
    </w:pPr>
    <w:rPr>
      <w:rFonts w:ascii="Cambria" w:hAnsi="Cambria" w:eastAsia="宋体"/>
      <w:color w:val="365F91"/>
      <w:kern w:val="0"/>
      <w:sz w:val="28"/>
      <w:szCs w:val="28"/>
      <w:lang w:val="zh-CN"/>
    </w:rPr>
  </w:style>
  <w:style w:type="paragraph" w:customStyle="1" w:styleId="584">
    <w:name w:val="Char Char Char Char Char Char Char Char Char Char Char Char Char Char"/>
    <w:basedOn w:val="1"/>
    <w:qFormat/>
    <w:uiPriority w:val="0"/>
    <w:rPr>
      <w:sz w:val="24"/>
    </w:rPr>
  </w:style>
  <w:style w:type="paragraph" w:customStyle="1" w:styleId="585">
    <w:name w:val="标题A"/>
    <w:basedOn w:val="1"/>
    <w:qFormat/>
    <w:uiPriority w:val="0"/>
    <w:pPr>
      <w:spacing w:line="360" w:lineRule="auto"/>
      <w:outlineLvl w:val="0"/>
    </w:pPr>
    <w:rPr>
      <w:rFonts w:cs="宋体"/>
      <w:b/>
      <w:bCs/>
      <w:sz w:val="32"/>
      <w:szCs w:val="20"/>
    </w:rPr>
  </w:style>
  <w:style w:type="paragraph" w:customStyle="1" w:styleId="586">
    <w:name w:val="Char Char1 Char Char Char1 Char Char Char Char Char Char Char Char Char Char Char Char Char"/>
    <w:basedOn w:val="1"/>
    <w:qFormat/>
    <w:uiPriority w:val="0"/>
    <w:pPr>
      <w:spacing w:beforeLines="20" w:line="440" w:lineRule="atLeast"/>
      <w:ind w:firstLine="200" w:firstLineChars="200"/>
    </w:pPr>
    <w:rPr>
      <w:sz w:val="24"/>
    </w:rPr>
  </w:style>
  <w:style w:type="paragraph" w:customStyle="1" w:styleId="587">
    <w:name w:val="标题 22"/>
    <w:basedOn w:val="3"/>
    <w:qFormat/>
    <w:uiPriority w:val="0"/>
    <w:pPr>
      <w:keepNext w:val="0"/>
      <w:pageBreakBefore/>
      <w:overflowPunct/>
      <w:snapToGrid/>
      <w:spacing w:before="0" w:beforeLines="50" w:after="0" w:afterLines="50" w:line="240" w:lineRule="auto"/>
      <w:ind w:left="117" w:firstLine="0"/>
    </w:pPr>
    <w:rPr>
      <w:rFonts w:ascii="宋体" w:hAnsi="宋体"/>
      <w:b w:val="0"/>
      <w:bCs w:val="0"/>
      <w:color w:val="auto"/>
      <w:kern w:val="2"/>
      <w:sz w:val="24"/>
      <w:szCs w:val="32"/>
      <w:lang w:val="zh-CN"/>
    </w:rPr>
  </w:style>
  <w:style w:type="paragraph" w:customStyle="1" w:styleId="588">
    <w:name w:val="表文字"/>
    <w:basedOn w:val="1"/>
    <w:link w:val="1209"/>
    <w:qFormat/>
    <w:uiPriority w:val="0"/>
    <w:pPr>
      <w:topLinePunct/>
      <w:adjustRightInd w:val="0"/>
      <w:spacing w:line="240" w:lineRule="exact"/>
      <w:jc w:val="center"/>
      <w:textAlignment w:val="baseline"/>
    </w:pPr>
    <w:rPr>
      <w:szCs w:val="21"/>
    </w:rPr>
  </w:style>
  <w:style w:type="paragraph" w:customStyle="1" w:styleId="589">
    <w:name w:val="一级标题"/>
    <w:basedOn w:val="1"/>
    <w:qFormat/>
    <w:uiPriority w:val="0"/>
    <w:pPr>
      <w:adjustRightInd w:val="0"/>
      <w:snapToGrid w:val="0"/>
      <w:jc w:val="center"/>
      <w:outlineLvl w:val="0"/>
    </w:pPr>
    <w:rPr>
      <w:rFonts w:ascii="Calibri" w:hAnsi="Calibri" w:eastAsia="方正小标宋简体"/>
      <w:bCs/>
      <w:snapToGrid w:val="0"/>
      <w:kern w:val="0"/>
      <w:sz w:val="36"/>
    </w:rPr>
  </w:style>
  <w:style w:type="paragraph" w:customStyle="1" w:styleId="590">
    <w:name w:val="样式4"/>
    <w:basedOn w:val="21"/>
    <w:qFormat/>
    <w:uiPriority w:val="0"/>
    <w:pPr>
      <w:widowControl w:val="0"/>
      <w:ind w:firstLine="480"/>
    </w:pPr>
    <w:rPr>
      <w:rFonts w:ascii="Arial" w:hAnsi="Arial" w:cs="Arial"/>
      <w:szCs w:val="24"/>
      <w:lang w:val="zh-CN"/>
    </w:rPr>
  </w:style>
  <w:style w:type="paragraph" w:customStyle="1" w:styleId="591">
    <w:name w:val="Char Char Char Char Char Char Char Char"/>
    <w:basedOn w:val="1"/>
    <w:qFormat/>
    <w:uiPriority w:val="0"/>
    <w:pPr>
      <w:spacing w:line="360" w:lineRule="auto"/>
      <w:ind w:firstLine="200" w:firstLineChars="200"/>
    </w:pPr>
    <w:rPr>
      <w:rFonts w:ascii="宋体" w:hAnsi="宋体" w:cs="宋体"/>
      <w:sz w:val="24"/>
    </w:rPr>
  </w:style>
  <w:style w:type="paragraph" w:customStyle="1" w:styleId="592">
    <w:name w:val="小四表格"/>
    <w:basedOn w:val="1"/>
    <w:qFormat/>
    <w:uiPriority w:val="99"/>
    <w:pPr>
      <w:snapToGrid w:val="0"/>
      <w:jc w:val="center"/>
    </w:pPr>
    <w:rPr>
      <w:kern w:val="0"/>
      <w:sz w:val="24"/>
      <w:szCs w:val="20"/>
    </w:rPr>
  </w:style>
  <w:style w:type="paragraph" w:customStyle="1" w:styleId="593">
    <w:name w:val="法规列表"/>
    <w:basedOn w:val="1"/>
    <w:semiHidden/>
    <w:qFormat/>
    <w:uiPriority w:val="0"/>
    <w:pPr>
      <w:tabs>
        <w:tab w:val="left" w:pos="420"/>
      </w:tabs>
      <w:spacing w:beforeLines="50"/>
      <w:ind w:left="420" w:hanging="420"/>
    </w:pPr>
    <w:rPr>
      <w:rFonts w:eastAsia="仿宋_GB2312"/>
      <w:sz w:val="24"/>
    </w:rPr>
  </w:style>
  <w:style w:type="paragraph" w:customStyle="1" w:styleId="594">
    <w:name w:val="my"/>
    <w:qFormat/>
    <w:uiPriority w:val="99"/>
    <w:pPr>
      <w:widowControl w:val="0"/>
      <w:spacing w:before="60" w:line="460" w:lineRule="exact"/>
      <w:ind w:firstLine="200" w:firstLineChars="200"/>
    </w:pPr>
    <w:rPr>
      <w:rFonts w:ascii="Times New Roman" w:hAnsi="Times New Roman" w:eastAsia="宋体" w:cs="Times New Roman"/>
      <w:sz w:val="24"/>
      <w:szCs w:val="24"/>
      <w:lang w:val="en-US" w:eastAsia="zh-CN" w:bidi="ar-SA"/>
    </w:rPr>
  </w:style>
  <w:style w:type="paragraph" w:customStyle="1" w:styleId="595">
    <w:name w:val="正文一"/>
    <w:basedOn w:val="1"/>
    <w:qFormat/>
    <w:uiPriority w:val="0"/>
    <w:pPr>
      <w:spacing w:before="60" w:line="440" w:lineRule="atLeast"/>
      <w:ind w:firstLine="200" w:firstLineChars="200"/>
    </w:pPr>
    <w:rPr>
      <w:sz w:val="24"/>
    </w:rPr>
  </w:style>
  <w:style w:type="paragraph" w:customStyle="1" w:styleId="596">
    <w:name w:val="Char Char Char2 Char Char Char Char Char Char Char Char Char Char Char"/>
    <w:basedOn w:val="1"/>
    <w:qFormat/>
    <w:uiPriority w:val="0"/>
    <w:pPr>
      <w:spacing w:beforeLines="20" w:line="440" w:lineRule="atLeast"/>
      <w:ind w:firstLine="200" w:firstLineChars="200"/>
    </w:pPr>
    <w:rPr>
      <w:sz w:val="24"/>
    </w:rPr>
  </w:style>
  <w:style w:type="paragraph" w:customStyle="1" w:styleId="597">
    <w:name w:val="生态表格正文"/>
    <w:basedOn w:val="1"/>
    <w:qFormat/>
    <w:uiPriority w:val="99"/>
    <w:pPr>
      <w:widowControl/>
      <w:spacing w:line="400" w:lineRule="exact"/>
      <w:ind w:firstLine="200" w:firstLineChars="200"/>
      <w:jc w:val="center"/>
    </w:pPr>
    <w:rPr>
      <w:rFonts w:ascii="Calibri" w:hAnsi="Calibri" w:eastAsia="仿宋_GB2312"/>
      <w:kern w:val="0"/>
      <w:sz w:val="24"/>
      <w:szCs w:val="21"/>
    </w:rPr>
  </w:style>
  <w:style w:type="paragraph" w:customStyle="1" w:styleId="598">
    <w:name w:val="宏文本1"/>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before="60" w:line="460" w:lineRule="exact"/>
      <w:ind w:firstLine="482"/>
      <w:jc w:val="center"/>
    </w:pPr>
    <w:rPr>
      <w:rFonts w:ascii="Courier New" w:hAnsi="Courier New" w:eastAsia="宋体" w:cs="Times New Roman"/>
      <w:kern w:val="2"/>
      <w:sz w:val="24"/>
      <w:lang w:val="en-US" w:eastAsia="zh-CN" w:bidi="ar-SA"/>
    </w:rPr>
  </w:style>
  <w:style w:type="paragraph" w:customStyle="1" w:styleId="599">
    <w:name w:val="表格内部的标题"/>
    <w:basedOn w:val="1"/>
    <w:qFormat/>
    <w:uiPriority w:val="0"/>
    <w:pPr>
      <w:keepNext/>
      <w:keepLines/>
      <w:jc w:val="center"/>
    </w:pPr>
    <w:rPr>
      <w:rFonts w:ascii="黑体" w:eastAsia="黑体" w:cs="黑体"/>
      <w:sz w:val="20"/>
      <w:szCs w:val="20"/>
    </w:rPr>
  </w:style>
  <w:style w:type="paragraph" w:customStyle="1" w:styleId="600">
    <w:name w:val="标题001"/>
    <w:basedOn w:val="1"/>
    <w:qFormat/>
    <w:uiPriority w:val="0"/>
    <w:pPr>
      <w:spacing w:before="60" w:line="460" w:lineRule="exact"/>
      <w:outlineLvl w:val="0"/>
    </w:pPr>
    <w:rPr>
      <w:rFonts w:ascii="Calibri" w:hAnsi="Calibri"/>
      <w:b/>
      <w:sz w:val="32"/>
      <w:szCs w:val="20"/>
    </w:rPr>
  </w:style>
  <w:style w:type="paragraph" w:customStyle="1" w:styleId="601">
    <w:name w:val="标题3 Char"/>
    <w:basedOn w:val="1"/>
    <w:next w:val="549"/>
    <w:qFormat/>
    <w:uiPriority w:val="0"/>
    <w:pPr>
      <w:snapToGrid w:val="0"/>
      <w:spacing w:before="60" w:line="500" w:lineRule="atLeast"/>
      <w:ind w:firstLine="200" w:firstLineChars="200"/>
      <w:outlineLvl w:val="2"/>
    </w:pPr>
    <w:rPr>
      <w:b/>
      <w:bCs/>
      <w:sz w:val="24"/>
      <w:szCs w:val="20"/>
    </w:rPr>
  </w:style>
  <w:style w:type="paragraph" w:customStyle="1" w:styleId="602">
    <w:name w:val="影响评价正文"/>
    <w:basedOn w:val="1"/>
    <w:qFormat/>
    <w:uiPriority w:val="0"/>
    <w:pPr>
      <w:spacing w:line="400" w:lineRule="exact"/>
      <w:ind w:firstLine="567"/>
    </w:pPr>
    <w:rPr>
      <w:snapToGrid w:val="0"/>
      <w:spacing w:val="4"/>
      <w:kern w:val="0"/>
      <w:sz w:val="24"/>
      <w:szCs w:val="20"/>
    </w:rPr>
  </w:style>
  <w:style w:type="paragraph" w:customStyle="1" w:styleId="603">
    <w:name w:val="样式 3级标题 + 段前: 3 磅"/>
    <w:basedOn w:val="364"/>
    <w:qFormat/>
    <w:uiPriority w:val="99"/>
    <w:pPr>
      <w:outlineLvl w:val="2"/>
    </w:pPr>
    <w:rPr>
      <w:rFonts w:cs="宋体"/>
      <w:bCs/>
      <w:szCs w:val="20"/>
    </w:rPr>
  </w:style>
  <w:style w:type="paragraph" w:customStyle="1" w:styleId="604">
    <w:name w:val="正文小四首缩1.3行距"/>
    <w:basedOn w:val="1"/>
    <w:qFormat/>
    <w:uiPriority w:val="0"/>
    <w:pPr>
      <w:spacing w:line="312" w:lineRule="auto"/>
      <w:ind w:firstLine="420" w:firstLineChars="200"/>
    </w:pPr>
    <w:rPr>
      <w:rFonts w:ascii="Calibri" w:hAnsi="Calibri"/>
      <w:sz w:val="24"/>
    </w:rPr>
  </w:style>
  <w:style w:type="paragraph" w:customStyle="1" w:styleId="605">
    <w:name w:val="Char Char Char2 Char Char Char Char"/>
    <w:basedOn w:val="1"/>
    <w:qFormat/>
    <w:uiPriority w:val="0"/>
    <w:pPr>
      <w:spacing w:before="20" w:beforeLines="20" w:line="440" w:lineRule="atLeast"/>
      <w:ind w:firstLine="200" w:firstLineChars="200"/>
    </w:pPr>
    <w:rPr>
      <w:sz w:val="24"/>
    </w:rPr>
  </w:style>
  <w:style w:type="paragraph" w:customStyle="1" w:styleId="606">
    <w:name w:val="表格字体"/>
    <w:basedOn w:val="1"/>
    <w:qFormat/>
    <w:uiPriority w:val="0"/>
    <w:pPr>
      <w:jc w:val="center"/>
    </w:pPr>
    <w:rPr>
      <w:rFonts w:ascii="Calibri" w:hAnsi="Calibri" w:cs="宋体"/>
      <w:szCs w:val="20"/>
    </w:rPr>
  </w:style>
  <w:style w:type="paragraph" w:customStyle="1" w:styleId="607">
    <w:name w:val="简单回函地址"/>
    <w:basedOn w:val="1"/>
    <w:qFormat/>
    <w:uiPriority w:val="0"/>
    <w:pPr>
      <w:spacing w:before="60" w:line="460" w:lineRule="exact"/>
      <w:ind w:firstLine="200" w:firstLineChars="200"/>
    </w:pPr>
    <w:rPr>
      <w:szCs w:val="20"/>
    </w:rPr>
  </w:style>
  <w:style w:type="paragraph" w:customStyle="1" w:styleId="608">
    <w:name w:val="文字缩进"/>
    <w:basedOn w:val="21"/>
    <w:qFormat/>
    <w:uiPriority w:val="0"/>
    <w:pPr>
      <w:widowControl w:val="0"/>
      <w:tabs>
        <w:tab w:val="left" w:pos="840"/>
        <w:tab w:val="left" w:pos="4802"/>
      </w:tabs>
      <w:topLinePunct/>
      <w:adjustRightInd w:val="0"/>
      <w:snapToGrid w:val="0"/>
      <w:spacing w:line="240" w:lineRule="auto"/>
      <w:ind w:left="1134"/>
    </w:pPr>
    <w:rPr>
      <w:rFonts w:eastAsia="仿宋_GB2312"/>
      <w:szCs w:val="24"/>
      <w:lang w:val="es-ES"/>
    </w:rPr>
  </w:style>
  <w:style w:type="paragraph" w:customStyle="1" w:styleId="609">
    <w:name w:val="表标题"/>
    <w:next w:val="1"/>
    <w:qFormat/>
    <w:uiPriority w:val="0"/>
    <w:pPr>
      <w:widowControl w:val="0"/>
      <w:adjustRightInd w:val="0"/>
      <w:spacing w:before="60" w:line="480" w:lineRule="atLeast"/>
      <w:jc w:val="center"/>
    </w:pPr>
    <w:rPr>
      <w:rFonts w:ascii="黑体" w:hAnsi="Times New Roman" w:eastAsia="黑体" w:cs="Times New Roman"/>
      <w:sz w:val="24"/>
      <w:szCs w:val="22"/>
      <w:lang w:val="en-US" w:eastAsia="zh-CN" w:bidi="ar-SA"/>
    </w:rPr>
  </w:style>
  <w:style w:type="paragraph" w:customStyle="1" w:styleId="610">
    <w:name w:val="p0"/>
    <w:basedOn w:val="1"/>
    <w:qFormat/>
    <w:uiPriority w:val="0"/>
    <w:pPr>
      <w:widowControl/>
      <w:jc w:val="left"/>
    </w:pPr>
    <w:rPr>
      <w:kern w:val="0"/>
      <w:szCs w:val="21"/>
    </w:rPr>
  </w:style>
  <w:style w:type="paragraph" w:customStyle="1" w:styleId="611">
    <w:name w:val="图形标题"/>
    <w:basedOn w:val="21"/>
    <w:next w:val="1"/>
    <w:qFormat/>
    <w:uiPriority w:val="0"/>
    <w:pPr>
      <w:widowControl w:val="0"/>
      <w:topLinePunct/>
      <w:snapToGrid w:val="0"/>
      <w:spacing w:before="120" w:after="120" w:line="240" w:lineRule="auto"/>
      <w:ind w:firstLine="0"/>
      <w:jc w:val="center"/>
    </w:pPr>
    <w:rPr>
      <w:rFonts w:ascii="Times" w:hAnsi="Times"/>
      <w:b/>
      <w:sz w:val="21"/>
      <w:szCs w:val="24"/>
      <w:lang w:val="zh-CN"/>
    </w:rPr>
  </w:style>
  <w:style w:type="paragraph" w:customStyle="1" w:styleId="612">
    <w:name w:val="xl31"/>
    <w:basedOn w:val="1"/>
    <w:qFormat/>
    <w:uiPriority w:val="0"/>
    <w:pPr>
      <w:widowControl/>
      <w:pBdr>
        <w:right w:val="single" w:color="auto" w:sz="4" w:space="0"/>
      </w:pBdr>
      <w:spacing w:before="100" w:beforeAutospacing="1" w:after="100" w:afterAutospacing="1" w:line="460" w:lineRule="exact"/>
      <w:jc w:val="center"/>
    </w:pPr>
    <w:rPr>
      <w:rFonts w:ascii="Arial Unicode MS" w:eastAsia="Arial Unicode MS" w:cs="Arial Unicode MS"/>
      <w:color w:val="000000"/>
      <w:kern w:val="0"/>
      <w:sz w:val="24"/>
    </w:rPr>
  </w:style>
  <w:style w:type="paragraph" w:customStyle="1" w:styleId="613">
    <w:name w:val="正文my"/>
    <w:basedOn w:val="35"/>
    <w:qFormat/>
    <w:uiPriority w:val="0"/>
    <w:pPr>
      <w:spacing w:before="60" w:after="0" w:line="480" w:lineRule="exact"/>
      <w:ind w:left="0" w:leftChars="0" w:firstLine="200" w:firstLineChars="200"/>
    </w:pPr>
    <w:rPr>
      <w:rFonts w:ascii="Calibri" w:hAnsi="Calibri"/>
      <w:kern w:val="2"/>
      <w:szCs w:val="24"/>
    </w:rPr>
  </w:style>
  <w:style w:type="paragraph" w:customStyle="1" w:styleId="614">
    <w:name w:val="reader-word-layer reader-word-s1-17"/>
    <w:basedOn w:val="1"/>
    <w:qFormat/>
    <w:uiPriority w:val="0"/>
    <w:pPr>
      <w:widowControl/>
      <w:spacing w:before="100" w:beforeAutospacing="1" w:after="100" w:afterAutospacing="1"/>
      <w:jc w:val="left"/>
    </w:pPr>
    <w:rPr>
      <w:rFonts w:ascii="宋体" w:hAnsi="宋体" w:cs="宋体"/>
      <w:kern w:val="0"/>
      <w:sz w:val="24"/>
    </w:rPr>
  </w:style>
  <w:style w:type="paragraph" w:customStyle="1" w:styleId="615">
    <w:name w:val="Char1 Char Char Char"/>
    <w:basedOn w:val="1"/>
    <w:qFormat/>
    <w:uiPriority w:val="0"/>
    <w:rPr>
      <w:sz w:val="24"/>
    </w:rPr>
  </w:style>
  <w:style w:type="paragraph" w:customStyle="1" w:styleId="616">
    <w:name w:val="Char"/>
    <w:basedOn w:val="1"/>
    <w:next w:val="1"/>
    <w:qFormat/>
    <w:uiPriority w:val="0"/>
    <w:rPr>
      <w:rFonts w:ascii="Calibri" w:hAnsi="Calibri"/>
    </w:rPr>
  </w:style>
  <w:style w:type="paragraph" w:customStyle="1" w:styleId="617">
    <w:name w:val="注释"/>
    <w:basedOn w:val="239"/>
    <w:qFormat/>
    <w:uiPriority w:val="0"/>
    <w:pPr>
      <w:widowControl w:val="0"/>
      <w:spacing w:line="360" w:lineRule="exact"/>
      <w:ind w:firstLine="200" w:firstLineChars="200"/>
      <w:outlineLvl w:val="9"/>
    </w:pPr>
    <w:rPr>
      <w:b w:val="0"/>
      <w:color w:val="auto"/>
      <w:sz w:val="21"/>
      <w:szCs w:val="24"/>
    </w:rPr>
  </w:style>
  <w:style w:type="paragraph" w:customStyle="1" w:styleId="618">
    <w:name w:val="标题B"/>
    <w:basedOn w:val="1"/>
    <w:qFormat/>
    <w:uiPriority w:val="0"/>
    <w:pPr>
      <w:spacing w:line="360" w:lineRule="auto"/>
      <w:outlineLvl w:val="1"/>
    </w:pPr>
    <w:rPr>
      <w:rFonts w:cs="宋体"/>
      <w:b/>
      <w:bCs/>
      <w:sz w:val="28"/>
      <w:szCs w:val="20"/>
    </w:rPr>
  </w:style>
  <w:style w:type="paragraph" w:customStyle="1" w:styleId="619">
    <w:name w:val="表格内文字"/>
    <w:basedOn w:val="1"/>
    <w:qFormat/>
    <w:uiPriority w:val="0"/>
    <w:pPr>
      <w:spacing w:before="100" w:after="100" w:line="320" w:lineRule="exact"/>
      <w:ind w:firstLine="200" w:firstLineChars="200"/>
      <w:jc w:val="center"/>
    </w:pPr>
    <w:rPr>
      <w:spacing w:val="10"/>
      <w:sz w:val="24"/>
      <w:szCs w:val="20"/>
    </w:rPr>
  </w:style>
  <w:style w:type="paragraph" w:customStyle="1" w:styleId="620">
    <w:name w:val="章"/>
    <w:basedOn w:val="1"/>
    <w:qFormat/>
    <w:uiPriority w:val="0"/>
    <w:pPr>
      <w:spacing w:before="60" w:line="360" w:lineRule="auto"/>
      <w:ind w:firstLine="200" w:firstLineChars="200"/>
    </w:pPr>
    <w:rPr>
      <w:szCs w:val="20"/>
    </w:rPr>
  </w:style>
  <w:style w:type="paragraph" w:customStyle="1" w:styleId="621">
    <w:name w:val="表号"/>
    <w:basedOn w:val="622"/>
    <w:next w:val="622"/>
    <w:link w:val="1197"/>
    <w:qFormat/>
    <w:uiPriority w:val="0"/>
    <w:pPr>
      <w:tabs>
        <w:tab w:val="left" w:pos="4500"/>
      </w:tabs>
      <w:spacing w:before="120" w:after="120" w:line="240" w:lineRule="atLeast"/>
      <w:ind w:left="3549" w:firstLine="231"/>
    </w:pPr>
    <w:rPr>
      <w:rFonts w:ascii="黑体" w:eastAsia="黑体"/>
      <w:b/>
      <w:color w:val="auto"/>
      <w:sz w:val="28"/>
    </w:rPr>
  </w:style>
  <w:style w:type="paragraph" w:customStyle="1" w:styleId="622">
    <w:name w:val="表内字"/>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623">
    <w:name w:val="reader-word-layer reader-word-s1-15"/>
    <w:basedOn w:val="1"/>
    <w:qFormat/>
    <w:uiPriority w:val="0"/>
    <w:pPr>
      <w:widowControl/>
      <w:spacing w:before="100" w:beforeAutospacing="1" w:after="100" w:afterAutospacing="1"/>
      <w:jc w:val="left"/>
    </w:pPr>
    <w:rPr>
      <w:rFonts w:ascii="宋体" w:hAnsi="宋体" w:cs="宋体"/>
      <w:kern w:val="0"/>
      <w:sz w:val="24"/>
    </w:rPr>
  </w:style>
  <w:style w:type="paragraph" w:customStyle="1" w:styleId="624">
    <w:name w:val="表格后文"/>
    <w:basedOn w:val="156"/>
    <w:qFormat/>
    <w:uiPriority w:val="0"/>
    <w:pPr>
      <w:widowControl w:val="0"/>
      <w:spacing w:before="300" w:after="10" w:afterLines="10" w:line="460" w:lineRule="exact"/>
      <w:jc w:val="both"/>
    </w:pPr>
    <w:rPr>
      <w:snapToGrid w:val="0"/>
      <w:kern w:val="0"/>
      <w:sz w:val="24"/>
      <w:lang w:val="zh-CN"/>
    </w:rPr>
  </w:style>
  <w:style w:type="paragraph" w:customStyle="1" w:styleId="625">
    <w:name w:val="五号框图文字"/>
    <w:basedOn w:val="1"/>
    <w:qFormat/>
    <w:uiPriority w:val="0"/>
    <w:pPr>
      <w:tabs>
        <w:tab w:val="left" w:pos="567"/>
      </w:tabs>
      <w:jc w:val="center"/>
    </w:pPr>
    <w:rPr>
      <w:rFonts w:eastAsia="华文中宋"/>
      <w:szCs w:val="21"/>
    </w:rPr>
  </w:style>
  <w:style w:type="paragraph" w:customStyle="1" w:styleId="626">
    <w:name w:val="Char Char Char Char Char Char Char Char Char Char Char Char Char Char Char Char Char Char Char Char Char Char Char Char Char Char Char Char Char Char Char Char Char1"/>
    <w:basedOn w:val="1"/>
    <w:qFormat/>
    <w:uiPriority w:val="0"/>
    <w:pPr>
      <w:widowControl/>
      <w:spacing w:after="160" w:line="240" w:lineRule="exact"/>
      <w:jc w:val="left"/>
    </w:pPr>
    <w:rPr>
      <w:rFonts w:ascii="Verdana" w:hAnsi="Verdana" w:eastAsia="仿宋_GB2312" w:cs="Verdana"/>
      <w:kern w:val="0"/>
      <w:sz w:val="24"/>
      <w:lang w:eastAsia="en-US"/>
    </w:rPr>
  </w:style>
  <w:style w:type="paragraph" w:customStyle="1" w:styleId="627">
    <w:name w:val="样式 正文1 + 段前: 0.1 行 Char"/>
    <w:basedOn w:val="1"/>
    <w:qFormat/>
    <w:uiPriority w:val="99"/>
    <w:pPr>
      <w:snapToGrid w:val="0"/>
      <w:spacing w:beforeLines="10" w:line="440" w:lineRule="atLeast"/>
      <w:ind w:firstLine="200" w:firstLineChars="200"/>
    </w:pPr>
    <w:rPr>
      <w:sz w:val="24"/>
      <w:szCs w:val="20"/>
    </w:rPr>
  </w:style>
  <w:style w:type="paragraph" w:customStyle="1" w:styleId="628">
    <w:name w:val="Char Char Char2 Char Char Char Char Char Char Char Char Char Char Char1"/>
    <w:basedOn w:val="1"/>
    <w:qFormat/>
    <w:uiPriority w:val="0"/>
    <w:pPr>
      <w:spacing w:before="20" w:beforeLines="20" w:line="440" w:lineRule="atLeast"/>
      <w:ind w:firstLine="200" w:firstLineChars="200"/>
    </w:pPr>
    <w:rPr>
      <w:sz w:val="24"/>
    </w:rPr>
  </w:style>
  <w:style w:type="paragraph" w:customStyle="1" w:styleId="629">
    <w:name w:val="SEK level 2"/>
    <w:basedOn w:val="630"/>
    <w:semiHidden/>
    <w:qFormat/>
    <w:uiPriority w:val="0"/>
    <w:pPr>
      <w:numPr>
        <w:ilvl w:val="0"/>
        <w:numId w:val="11"/>
      </w:numPr>
      <w:tabs>
        <w:tab w:val="left" w:pos="567"/>
        <w:tab w:val="left" w:pos="1080"/>
        <w:tab w:val="clear" w:pos="1440"/>
      </w:tabs>
      <w:ind w:left="567" w:hanging="567"/>
      <w:outlineLvl w:val="1"/>
    </w:pPr>
    <w:rPr>
      <w:caps w:val="0"/>
    </w:rPr>
  </w:style>
  <w:style w:type="paragraph" w:customStyle="1" w:styleId="630">
    <w:name w:val="SEK level 1"/>
    <w:basedOn w:val="1"/>
    <w:next w:val="631"/>
    <w:semiHidden/>
    <w:qFormat/>
    <w:uiPriority w:val="0"/>
    <w:pPr>
      <w:keepNext/>
      <w:widowControl/>
      <w:tabs>
        <w:tab w:val="left" w:pos="1080"/>
      </w:tabs>
      <w:spacing w:before="380" w:line="360" w:lineRule="auto"/>
      <w:ind w:left="1080" w:hanging="1080" w:firstLineChars="200"/>
      <w:jc w:val="left"/>
      <w:outlineLvl w:val="0"/>
    </w:pPr>
    <w:rPr>
      <w:rFonts w:ascii="Arial" w:hAnsi="Arial" w:eastAsia="PMingLiU"/>
      <w:b/>
      <w:caps/>
      <w:kern w:val="0"/>
      <w:sz w:val="24"/>
      <w:szCs w:val="20"/>
      <w:lang w:val="en-GB" w:eastAsia="zh-TW"/>
    </w:rPr>
  </w:style>
  <w:style w:type="paragraph" w:customStyle="1" w:styleId="631">
    <w:name w:val="Report Text"/>
    <w:basedOn w:val="1"/>
    <w:semiHidden/>
    <w:qFormat/>
    <w:uiPriority w:val="0"/>
    <w:pPr>
      <w:widowControl/>
      <w:tabs>
        <w:tab w:val="left" w:pos="1134"/>
      </w:tabs>
      <w:spacing w:before="138" w:line="360" w:lineRule="auto"/>
      <w:ind w:left="1134" w:firstLine="200" w:firstLineChars="200"/>
      <w:jc w:val="left"/>
    </w:pPr>
    <w:rPr>
      <w:rFonts w:eastAsia="PMingLiU"/>
      <w:kern w:val="0"/>
      <w:sz w:val="22"/>
      <w:szCs w:val="20"/>
      <w:lang w:val="en-GB" w:eastAsia="zh-TW"/>
    </w:rPr>
  </w:style>
  <w:style w:type="paragraph" w:customStyle="1" w:styleId="632">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textAlignment w:val="top"/>
    </w:pPr>
    <w:rPr>
      <w:rFonts w:ascii="Arial Unicode MS" w:eastAsia="Arial Unicode MS" w:cs="Arial Unicode MS"/>
      <w:color w:val="FF0000"/>
      <w:kern w:val="0"/>
      <w:szCs w:val="21"/>
    </w:rPr>
  </w:style>
  <w:style w:type="paragraph" w:customStyle="1" w:styleId="633">
    <w:name w:val="Char Char Char Char Char Char Char1"/>
    <w:basedOn w:val="1"/>
    <w:qFormat/>
    <w:uiPriority w:val="0"/>
  </w:style>
  <w:style w:type="paragraph" w:customStyle="1" w:styleId="634">
    <w:name w:val="xl30"/>
    <w:basedOn w:val="1"/>
    <w:qFormat/>
    <w:uiPriority w:val="0"/>
    <w:pPr>
      <w:widowControl/>
      <w:pBdr>
        <w:left w:val="single" w:color="auto" w:sz="4" w:space="0"/>
        <w:bottom w:val="single" w:color="auto" w:sz="4" w:space="0"/>
        <w:right w:val="single" w:color="auto" w:sz="4" w:space="0"/>
      </w:pBdr>
      <w:spacing w:before="100" w:beforeAutospacing="1" w:after="100" w:afterAutospacing="1" w:line="460" w:lineRule="exact"/>
      <w:jc w:val="center"/>
      <w:textAlignment w:val="top"/>
    </w:pPr>
    <w:rPr>
      <w:rFonts w:ascii="Arial" w:hAnsi="Arial" w:cs="Arial"/>
      <w:kern w:val="0"/>
      <w:sz w:val="18"/>
      <w:szCs w:val="18"/>
    </w:rPr>
  </w:style>
  <w:style w:type="paragraph" w:customStyle="1" w:styleId="635">
    <w:name w:val="正文01 Char Char Char Char"/>
    <w:basedOn w:val="1"/>
    <w:qFormat/>
    <w:uiPriority w:val="0"/>
    <w:pPr>
      <w:spacing w:before="60" w:line="460" w:lineRule="exact"/>
      <w:ind w:firstLine="200" w:firstLineChars="200"/>
    </w:pPr>
    <w:rPr>
      <w:sz w:val="24"/>
    </w:rPr>
  </w:style>
  <w:style w:type="paragraph" w:customStyle="1" w:styleId="636">
    <w:name w:val="ljx正文1"/>
    <w:basedOn w:val="35"/>
    <w:qFormat/>
    <w:uiPriority w:val="0"/>
    <w:pPr>
      <w:spacing w:after="0"/>
      <w:ind w:left="0" w:leftChars="0"/>
    </w:pPr>
    <w:rPr>
      <w:kern w:val="2"/>
      <w:sz w:val="28"/>
    </w:rPr>
  </w:style>
  <w:style w:type="paragraph" w:customStyle="1" w:styleId="637">
    <w:name w:val="Char Char Char Char Char Char Char Char Char Char Char Char Char1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638">
    <w:name w:val="二级条标题"/>
    <w:basedOn w:val="639"/>
    <w:next w:val="1"/>
    <w:qFormat/>
    <w:uiPriority w:val="0"/>
    <w:pPr>
      <w:tabs>
        <w:tab w:val="left" w:pos="360"/>
        <w:tab w:val="left" w:pos="1260"/>
        <w:tab w:val="left" w:pos="1680"/>
      </w:tabs>
      <w:ind w:left="1680"/>
      <w:outlineLvl w:val="3"/>
    </w:pPr>
  </w:style>
  <w:style w:type="paragraph" w:customStyle="1" w:styleId="639">
    <w:name w:val="一级条标题"/>
    <w:basedOn w:val="3"/>
    <w:next w:val="1"/>
    <w:qFormat/>
    <w:uiPriority w:val="0"/>
    <w:pPr>
      <w:keepNext w:val="0"/>
      <w:widowControl/>
      <w:tabs>
        <w:tab w:val="left" w:pos="360"/>
        <w:tab w:val="left" w:pos="1260"/>
      </w:tabs>
      <w:overflowPunct/>
      <w:snapToGrid/>
      <w:spacing w:before="0" w:after="0" w:line="460" w:lineRule="exact"/>
      <w:ind w:left="1260" w:hanging="420"/>
      <w:outlineLvl w:val="2"/>
    </w:pPr>
    <w:rPr>
      <w:rFonts w:ascii="黑体"/>
      <w:b w:val="0"/>
      <w:bCs w:val="0"/>
      <w:color w:val="auto"/>
      <w:kern w:val="0"/>
      <w:sz w:val="21"/>
      <w:szCs w:val="20"/>
      <w:lang w:val="zh-CN"/>
    </w:rPr>
  </w:style>
  <w:style w:type="paragraph" w:customStyle="1" w:styleId="640">
    <w:name w:val="样式 正文缩进 + 首行缩进:  2 字符 行距: 1.5 倍行距"/>
    <w:basedOn w:val="21"/>
    <w:qFormat/>
    <w:uiPriority w:val="0"/>
    <w:pPr>
      <w:widowControl w:val="0"/>
      <w:adjustRightInd w:val="0"/>
      <w:spacing w:line="300" w:lineRule="auto"/>
      <w:ind w:firstLine="200"/>
      <w:textAlignment w:val="baseline"/>
    </w:pPr>
    <w:rPr>
      <w:rFonts w:cs="宋体"/>
      <w:lang w:val="zh-CN"/>
    </w:rPr>
  </w:style>
  <w:style w:type="paragraph" w:customStyle="1" w:styleId="641">
    <w:name w:val="标题5"/>
    <w:next w:val="21"/>
    <w:qFormat/>
    <w:uiPriority w:val="0"/>
    <w:pPr>
      <w:spacing w:line="360" w:lineRule="auto"/>
    </w:pPr>
    <w:rPr>
      <w:rFonts w:ascii="宋体" w:hAnsi="宋体" w:eastAsia="宋体" w:cs="Times New Roman"/>
      <w:b/>
      <w:bCs/>
      <w:kern w:val="2"/>
      <w:sz w:val="24"/>
      <w:szCs w:val="24"/>
      <w:lang w:val="en-US" w:eastAsia="zh-CN" w:bidi="ar-SA"/>
    </w:rPr>
  </w:style>
  <w:style w:type="paragraph" w:customStyle="1" w:styleId="642">
    <w:name w:val="reader-word-layer reader-word-s1-18"/>
    <w:basedOn w:val="1"/>
    <w:qFormat/>
    <w:uiPriority w:val="0"/>
    <w:pPr>
      <w:widowControl/>
      <w:spacing w:before="100" w:beforeAutospacing="1" w:after="100" w:afterAutospacing="1"/>
      <w:jc w:val="left"/>
    </w:pPr>
    <w:rPr>
      <w:rFonts w:ascii="宋体" w:hAnsi="宋体" w:cs="宋体"/>
      <w:kern w:val="0"/>
      <w:sz w:val="24"/>
    </w:rPr>
  </w:style>
  <w:style w:type="paragraph" w:customStyle="1" w:styleId="643">
    <w:name w:val="Char Char Char Char Char Char Char Char Char Char Char Char Char1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644">
    <w:name w:val="Char Char Char Char Char Char Char Char Char Char Char"/>
    <w:basedOn w:val="1"/>
    <w:qFormat/>
    <w:uiPriority w:val="0"/>
    <w:rPr>
      <w:sz w:val="24"/>
    </w:rPr>
  </w:style>
  <w:style w:type="paragraph" w:customStyle="1" w:styleId="645">
    <w:name w:val="reader-word-layer reader-word-s1-14"/>
    <w:basedOn w:val="1"/>
    <w:qFormat/>
    <w:uiPriority w:val="0"/>
    <w:pPr>
      <w:widowControl/>
      <w:spacing w:before="100" w:beforeAutospacing="1" w:after="100" w:afterAutospacing="1"/>
      <w:jc w:val="left"/>
    </w:pPr>
    <w:rPr>
      <w:rFonts w:ascii="宋体" w:hAnsi="宋体" w:cs="宋体"/>
      <w:kern w:val="0"/>
      <w:sz w:val="24"/>
    </w:rPr>
  </w:style>
  <w:style w:type="paragraph" w:customStyle="1" w:styleId="646">
    <w:name w:val="样式 标题 3标题 3 Char Char + 黑体 四号 非加粗"/>
    <w:basedOn w:val="5"/>
    <w:qFormat/>
    <w:uiPriority w:val="0"/>
    <w:pPr>
      <w:keepLines/>
      <w:widowControl w:val="0"/>
      <w:tabs>
        <w:tab w:val="left" w:pos="3780"/>
      </w:tabs>
      <w:overflowPunct/>
      <w:autoSpaceDE/>
      <w:autoSpaceDN/>
      <w:adjustRightInd/>
      <w:spacing w:before="260" w:beforeLines="50" w:after="260" w:afterLines="50" w:line="415" w:lineRule="auto"/>
      <w:ind w:left="0" w:firstLine="0"/>
      <w:textAlignment w:val="auto"/>
    </w:pPr>
    <w:rPr>
      <w:rFonts w:ascii="黑体" w:hAnsi="黑体"/>
      <w:color w:val="auto"/>
      <w:spacing w:val="0"/>
      <w:kern w:val="2"/>
      <w:szCs w:val="32"/>
    </w:rPr>
  </w:style>
  <w:style w:type="paragraph" w:customStyle="1" w:styleId="647">
    <w:name w:val="aaa"/>
    <w:basedOn w:val="1"/>
    <w:qFormat/>
    <w:uiPriority w:val="0"/>
    <w:pPr>
      <w:spacing w:line="360" w:lineRule="auto"/>
      <w:ind w:firstLine="200" w:firstLineChars="200"/>
    </w:pPr>
    <w:rPr>
      <w:b/>
      <w:sz w:val="24"/>
    </w:rPr>
  </w:style>
  <w:style w:type="paragraph" w:customStyle="1" w:styleId="648">
    <w:name w:val="Char Char Char Char Char Char Char1 Char Char Char Char Char Char Char1"/>
    <w:basedOn w:val="1"/>
    <w:qFormat/>
    <w:uiPriority w:val="0"/>
    <w:pPr>
      <w:tabs>
        <w:tab w:val="left" w:pos="432"/>
      </w:tabs>
      <w:ind w:left="432" w:hanging="432"/>
    </w:pPr>
    <w:rPr>
      <w:rFonts w:ascii="Tahoma" w:hAnsi="Tahoma"/>
      <w:sz w:val="24"/>
      <w:szCs w:val="20"/>
    </w:rPr>
  </w:style>
  <w:style w:type="paragraph" w:customStyle="1" w:styleId="649">
    <w:name w:val="Char Char Char Char Char Char Char Char Char Char Char Char Char1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650">
    <w:name w:val="Char Char Char2 Char Char Char Char Char Char Char Char Char Char"/>
    <w:basedOn w:val="1"/>
    <w:qFormat/>
    <w:uiPriority w:val="0"/>
    <w:pPr>
      <w:spacing w:before="20" w:beforeLines="20" w:line="440" w:lineRule="atLeast"/>
      <w:ind w:firstLine="200" w:firstLineChars="200"/>
    </w:pPr>
    <w:rPr>
      <w:sz w:val="24"/>
    </w:rPr>
  </w:style>
  <w:style w:type="paragraph" w:customStyle="1" w:styleId="651">
    <w:name w:val="Char Char Char Char Char Char Char Char Char Char Char Char Char1 Char 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652">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653">
    <w:name w:val="表格题注"/>
    <w:basedOn w:val="1"/>
    <w:qFormat/>
    <w:uiPriority w:val="0"/>
    <w:pPr>
      <w:jc w:val="center"/>
    </w:pPr>
  </w:style>
  <w:style w:type="paragraph" w:customStyle="1" w:styleId="654">
    <w:name w:val="单元格"/>
    <w:basedOn w:val="1"/>
    <w:semiHidden/>
    <w:qFormat/>
    <w:uiPriority w:val="0"/>
    <w:pPr>
      <w:jc w:val="center"/>
    </w:pPr>
    <w:rPr>
      <w:rFonts w:ascii="楷体_GB2312" w:eastAsia="楷体_GB2312"/>
      <w:szCs w:val="20"/>
    </w:rPr>
  </w:style>
  <w:style w:type="paragraph" w:customStyle="1" w:styleId="655">
    <w:name w:val="a01"/>
    <w:basedOn w:val="1"/>
    <w:qFormat/>
    <w:uiPriority w:val="0"/>
    <w:pPr>
      <w:widowControl/>
      <w:spacing w:before="100" w:beforeAutospacing="1" w:after="100" w:afterAutospacing="1" w:line="385" w:lineRule="atLeast"/>
      <w:jc w:val="left"/>
    </w:pPr>
    <w:rPr>
      <w:rFonts w:ascii="Arial Unicode MS" w:hAnsi="Arial Unicode MS"/>
      <w:color w:val="000000"/>
      <w:kern w:val="0"/>
      <w:sz w:val="23"/>
      <w:szCs w:val="23"/>
    </w:rPr>
  </w:style>
  <w:style w:type="paragraph" w:customStyle="1" w:styleId="656">
    <w:name w:val="表格式"/>
    <w:basedOn w:val="66"/>
    <w:semiHidden/>
    <w:qFormat/>
    <w:uiPriority w:val="0"/>
    <w:pPr>
      <w:spacing w:before="60" w:beforeLines="50" w:afterLines="50" w:line="240" w:lineRule="exact"/>
    </w:pPr>
    <w:rPr>
      <w:rFonts w:ascii="宋体"/>
      <w:sz w:val="21"/>
      <w:szCs w:val="20"/>
    </w:rPr>
  </w:style>
  <w:style w:type="paragraph" w:customStyle="1" w:styleId="657">
    <w:name w:val="样式 正文缩进正文（首行缩进两字） + 宋体 行距: 1.5 倍行距"/>
    <w:basedOn w:val="21"/>
    <w:qFormat/>
    <w:uiPriority w:val="0"/>
    <w:pPr>
      <w:widowControl w:val="0"/>
      <w:adjustRightInd w:val="0"/>
      <w:spacing w:line="300" w:lineRule="auto"/>
      <w:ind w:firstLine="482" w:firstLineChars="0"/>
      <w:jc w:val="left"/>
      <w:textAlignment w:val="baseline"/>
    </w:pPr>
    <w:rPr>
      <w:rFonts w:ascii="宋体"/>
      <w:lang w:val="zh-CN"/>
    </w:rPr>
  </w:style>
  <w:style w:type="paragraph" w:customStyle="1" w:styleId="658">
    <w:name w:val="表中文字1"/>
    <w:qFormat/>
    <w:uiPriority w:val="0"/>
    <w:pPr>
      <w:widowControl w:val="0"/>
      <w:adjustRightInd w:val="0"/>
      <w:snapToGrid w:val="0"/>
      <w:jc w:val="center"/>
    </w:pPr>
    <w:rPr>
      <w:rFonts w:ascii="仿宋_GB2312" w:hAnsi="华文仿宋" w:eastAsia="仿宋_GB2312" w:cs="Times New Roman"/>
      <w:b/>
      <w:kern w:val="2"/>
      <w:sz w:val="21"/>
      <w:szCs w:val="21"/>
      <w:lang w:val="en-US" w:eastAsia="zh-CN" w:bidi="ar-SA"/>
    </w:rPr>
  </w:style>
  <w:style w:type="paragraph" w:customStyle="1" w:styleId="659">
    <w:name w:val="方程式"/>
    <w:basedOn w:val="1"/>
    <w:qFormat/>
    <w:uiPriority w:val="0"/>
    <w:pPr>
      <w:overflowPunct w:val="0"/>
      <w:autoSpaceDE w:val="0"/>
      <w:autoSpaceDN w:val="0"/>
      <w:adjustRightInd w:val="0"/>
      <w:spacing w:before="60" w:after="60" w:line="340" w:lineRule="exact"/>
      <w:jc w:val="left"/>
      <w:textAlignment w:val="bottom"/>
    </w:pPr>
    <w:rPr>
      <w:rFonts w:ascii="宋体"/>
      <w:kern w:val="0"/>
      <w:sz w:val="24"/>
      <w:szCs w:val="20"/>
    </w:rPr>
  </w:style>
  <w:style w:type="paragraph" w:customStyle="1" w:styleId="660">
    <w:name w:val="样式3"/>
    <w:basedOn w:val="1"/>
    <w:qFormat/>
    <w:uiPriority w:val="0"/>
    <w:pPr>
      <w:spacing w:before="300" w:line="460" w:lineRule="exact"/>
      <w:outlineLvl w:val="2"/>
    </w:pPr>
    <w:rPr>
      <w:rFonts w:ascii="Arial" w:hAnsi="Arial"/>
      <w:b/>
      <w:sz w:val="24"/>
    </w:rPr>
  </w:style>
  <w:style w:type="paragraph" w:customStyle="1" w:styleId="661">
    <w:name w:val="项目编号"/>
    <w:basedOn w:val="1"/>
    <w:next w:val="1"/>
    <w:qFormat/>
    <w:uiPriority w:val="0"/>
    <w:pPr>
      <w:spacing w:before="120" w:after="120" w:line="360" w:lineRule="auto"/>
    </w:pPr>
    <w:rPr>
      <w:b/>
      <w:sz w:val="24"/>
      <w:szCs w:val="20"/>
    </w:rPr>
  </w:style>
  <w:style w:type="paragraph" w:customStyle="1" w:styleId="662">
    <w:name w:val="注解"/>
    <w:basedOn w:val="158"/>
    <w:qFormat/>
    <w:uiPriority w:val="0"/>
    <w:pPr>
      <w:widowControl w:val="0"/>
      <w:spacing w:before="60" w:line="360" w:lineRule="exact"/>
      <w:jc w:val="both"/>
    </w:pPr>
    <w:rPr>
      <w:rFonts w:ascii="Times New Roman"/>
      <w:kern w:val="0"/>
      <w:sz w:val="21"/>
      <w:lang w:val="zh-CN"/>
    </w:rPr>
  </w:style>
  <w:style w:type="paragraph" w:customStyle="1" w:styleId="663">
    <w:name w:val="Char Char Char2 Char Char Char Char Char Char Char Char Char Char Char Char Char"/>
    <w:basedOn w:val="1"/>
    <w:qFormat/>
    <w:uiPriority w:val="0"/>
    <w:pPr>
      <w:spacing w:beforeLines="20" w:line="440" w:lineRule="atLeast"/>
      <w:ind w:firstLine="200" w:firstLineChars="200"/>
    </w:pPr>
    <w:rPr>
      <w:sz w:val="24"/>
    </w:rPr>
  </w:style>
  <w:style w:type="paragraph" w:customStyle="1" w:styleId="664">
    <w:name w:val="xl36"/>
    <w:basedOn w:val="1"/>
    <w:qFormat/>
    <w:uiPriority w:val="0"/>
    <w:pPr>
      <w:widowControl/>
      <w:spacing w:before="100" w:after="100" w:line="460" w:lineRule="exact"/>
      <w:jc w:val="center"/>
    </w:pPr>
    <w:rPr>
      <w:rFonts w:ascii="宋体"/>
      <w:kern w:val="0"/>
      <w:sz w:val="24"/>
    </w:rPr>
  </w:style>
  <w:style w:type="paragraph" w:customStyle="1" w:styleId="665">
    <w:name w:val="标题002"/>
    <w:basedOn w:val="1"/>
    <w:qFormat/>
    <w:uiPriority w:val="0"/>
    <w:pPr>
      <w:adjustRightInd w:val="0"/>
      <w:spacing w:before="160" w:line="480" w:lineRule="exact"/>
      <w:textAlignment w:val="baseline"/>
      <w:outlineLvl w:val="1"/>
    </w:pPr>
    <w:rPr>
      <w:b/>
      <w:kern w:val="0"/>
      <w:sz w:val="28"/>
    </w:rPr>
  </w:style>
  <w:style w:type="paragraph" w:customStyle="1" w:styleId="666">
    <w:name w:val="表2-1"/>
    <w:basedOn w:val="1"/>
    <w:qFormat/>
    <w:uiPriority w:val="0"/>
    <w:pPr>
      <w:tabs>
        <w:tab w:val="center" w:pos="1051"/>
        <w:tab w:val="left" w:pos="2251"/>
      </w:tabs>
      <w:adjustRightInd w:val="0"/>
      <w:snapToGrid w:val="0"/>
      <w:spacing w:before="60" w:line="360" w:lineRule="auto"/>
      <w:ind w:left="420" w:hanging="420"/>
      <w:jc w:val="center"/>
      <w:textAlignment w:val="baseline"/>
    </w:pPr>
    <w:rPr>
      <w:rFonts w:eastAsia="黑体"/>
      <w:sz w:val="28"/>
      <w:szCs w:val="28"/>
    </w:rPr>
  </w:style>
  <w:style w:type="paragraph" w:customStyle="1" w:styleId="667">
    <w:name w:val="标题111 Char Char Char Char"/>
    <w:basedOn w:val="1"/>
    <w:qFormat/>
    <w:uiPriority w:val="99"/>
    <w:pPr>
      <w:spacing w:line="360" w:lineRule="auto"/>
      <w:ind w:firstLine="200" w:firstLineChars="200"/>
    </w:pPr>
    <w:rPr>
      <w:rFonts w:ascii="宋体" w:hAnsi="宋体" w:cs="宋体"/>
      <w:sz w:val="24"/>
    </w:rPr>
  </w:style>
  <w:style w:type="paragraph" w:customStyle="1" w:styleId="668">
    <w:name w:val="表文左对齐"/>
    <w:basedOn w:val="539"/>
    <w:semiHidden/>
    <w:qFormat/>
    <w:uiPriority w:val="0"/>
    <w:pPr>
      <w:adjustRightInd w:val="0"/>
      <w:spacing w:after="120" w:line="240" w:lineRule="auto"/>
      <w:jc w:val="left"/>
    </w:pPr>
    <w:rPr>
      <w:rFonts w:ascii="Times" w:hAnsi="Times" w:eastAsia="仿宋_GB2312"/>
      <w:color w:val="auto"/>
      <w:sz w:val="18"/>
      <w:szCs w:val="24"/>
    </w:rPr>
  </w:style>
  <w:style w:type="paragraph" w:customStyle="1" w:styleId="669">
    <w:name w:val="正文报告"/>
    <w:basedOn w:val="1"/>
    <w:qFormat/>
    <w:uiPriority w:val="0"/>
    <w:pPr>
      <w:tabs>
        <w:tab w:val="left" w:pos="510"/>
      </w:tabs>
      <w:adjustRightInd w:val="0"/>
      <w:spacing w:before="60" w:line="460" w:lineRule="exact"/>
      <w:ind w:firstLine="200" w:firstLineChars="200"/>
      <w:textAlignment w:val="baseline"/>
    </w:pPr>
    <w:rPr>
      <w:kern w:val="0"/>
      <w:sz w:val="24"/>
      <w:szCs w:val="20"/>
    </w:rPr>
  </w:style>
  <w:style w:type="paragraph" w:customStyle="1" w:styleId="670">
    <w:name w:val="表头字体宋"/>
    <w:basedOn w:val="1"/>
    <w:qFormat/>
    <w:uiPriority w:val="0"/>
    <w:pPr>
      <w:spacing w:line="500" w:lineRule="exact"/>
      <w:jc w:val="center"/>
    </w:pPr>
    <w:rPr>
      <w:rFonts w:ascii="宋体" w:hAnsi="宋体" w:cs="宋体"/>
      <w:b/>
      <w:bCs/>
      <w:sz w:val="24"/>
      <w:szCs w:val="20"/>
    </w:rPr>
  </w:style>
  <w:style w:type="paragraph" w:customStyle="1" w:styleId="671">
    <w:name w:val="图注"/>
    <w:basedOn w:val="1"/>
    <w:next w:val="1"/>
    <w:qFormat/>
    <w:uiPriority w:val="0"/>
    <w:pPr>
      <w:spacing w:before="60" w:line="320" w:lineRule="exact"/>
      <w:jc w:val="center"/>
    </w:pPr>
    <w:rPr>
      <w:bCs/>
      <w:sz w:val="20"/>
    </w:rPr>
  </w:style>
  <w:style w:type="paragraph" w:customStyle="1" w:styleId="672">
    <w:name w:val="样式14"/>
    <w:basedOn w:val="1"/>
    <w:qFormat/>
    <w:uiPriority w:val="0"/>
    <w:pPr>
      <w:spacing w:before="60" w:line="500" w:lineRule="exact"/>
      <w:ind w:firstLine="200" w:firstLineChars="200"/>
    </w:pPr>
    <w:rPr>
      <w:sz w:val="24"/>
    </w:rPr>
  </w:style>
  <w:style w:type="paragraph" w:customStyle="1" w:styleId="673">
    <w:name w:val="标题003"/>
    <w:basedOn w:val="1"/>
    <w:qFormat/>
    <w:uiPriority w:val="0"/>
    <w:pPr>
      <w:adjustRightInd w:val="0"/>
      <w:spacing w:before="120" w:line="440" w:lineRule="exact"/>
      <w:textAlignment w:val="baseline"/>
      <w:outlineLvl w:val="2"/>
    </w:pPr>
    <w:rPr>
      <w:b/>
      <w:kern w:val="0"/>
      <w:sz w:val="27"/>
    </w:rPr>
  </w:style>
  <w:style w:type="paragraph" w:customStyle="1" w:styleId="674">
    <w:name w:val="批注框文本 Char Char"/>
    <w:basedOn w:val="1"/>
    <w:qFormat/>
    <w:uiPriority w:val="0"/>
    <w:rPr>
      <w:sz w:val="18"/>
      <w:szCs w:val="20"/>
    </w:rPr>
  </w:style>
  <w:style w:type="paragraph" w:customStyle="1" w:styleId="675">
    <w:name w:val="普通 (Web)"/>
    <w:basedOn w:val="1"/>
    <w:qFormat/>
    <w:uiPriority w:val="0"/>
    <w:pPr>
      <w:widowControl/>
      <w:spacing w:before="100" w:beforeAutospacing="1" w:after="100" w:afterAutospacing="1" w:line="460" w:lineRule="exact"/>
      <w:jc w:val="left"/>
    </w:pPr>
    <w:rPr>
      <w:rFonts w:ascii="宋体"/>
      <w:kern w:val="0"/>
      <w:sz w:val="18"/>
      <w:szCs w:val="18"/>
    </w:rPr>
  </w:style>
  <w:style w:type="paragraph" w:customStyle="1" w:styleId="676">
    <w:name w:val="文本框"/>
    <w:basedOn w:val="1"/>
    <w:qFormat/>
    <w:uiPriority w:val="0"/>
    <w:pPr>
      <w:adjustRightInd w:val="0"/>
      <w:snapToGrid w:val="0"/>
      <w:spacing w:before="60" w:line="300" w:lineRule="exact"/>
      <w:ind w:firstLine="200" w:firstLineChars="200"/>
      <w:jc w:val="center"/>
    </w:pPr>
    <w:rPr>
      <w:sz w:val="24"/>
    </w:rPr>
  </w:style>
  <w:style w:type="paragraph" w:customStyle="1" w:styleId="677">
    <w:name w:val="Char Char Char Char Char Char Char Char Char Char Char Char Char1 Char Char 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678">
    <w:name w:val="宏福4"/>
    <w:basedOn w:val="1"/>
    <w:qFormat/>
    <w:uiPriority w:val="0"/>
    <w:pPr>
      <w:adjustRightInd w:val="0"/>
      <w:spacing w:before="60" w:line="400" w:lineRule="atLeast"/>
      <w:ind w:firstLine="200" w:firstLineChars="200"/>
      <w:jc w:val="left"/>
      <w:textAlignment w:val="baseline"/>
    </w:pPr>
    <w:rPr>
      <w:sz w:val="28"/>
      <w:szCs w:val="20"/>
    </w:rPr>
  </w:style>
  <w:style w:type="paragraph" w:customStyle="1" w:styleId="679">
    <w:name w:val="xl27"/>
    <w:basedOn w:val="1"/>
    <w:qFormat/>
    <w:uiPriority w:val="0"/>
    <w:pPr>
      <w:widowControl/>
      <w:pBdr>
        <w:bottom w:val="single" w:color="auto" w:sz="4" w:space="0"/>
        <w:right w:val="single" w:color="auto" w:sz="4" w:space="0"/>
      </w:pBdr>
      <w:spacing w:before="100" w:beforeAutospacing="1" w:after="100" w:afterAutospacing="1" w:line="460" w:lineRule="exact"/>
      <w:jc w:val="center"/>
      <w:textAlignment w:val="top"/>
    </w:pPr>
    <w:rPr>
      <w:kern w:val="0"/>
      <w:szCs w:val="21"/>
    </w:rPr>
  </w:style>
  <w:style w:type="paragraph" w:customStyle="1" w:styleId="680">
    <w:name w:val="Char Char Char2"/>
    <w:basedOn w:val="1"/>
    <w:qFormat/>
    <w:uiPriority w:val="0"/>
    <w:pPr>
      <w:spacing w:before="20" w:beforeLines="20" w:line="440" w:lineRule="atLeast"/>
      <w:ind w:firstLine="200" w:firstLineChars="200"/>
    </w:pPr>
    <w:rPr>
      <w:sz w:val="24"/>
    </w:rPr>
  </w:style>
  <w:style w:type="paragraph" w:customStyle="1" w:styleId="681">
    <w:name w:val="表格正文 Char Char Char Char Char"/>
    <w:basedOn w:val="1"/>
    <w:qFormat/>
    <w:uiPriority w:val="0"/>
    <w:pPr>
      <w:spacing w:line="360" w:lineRule="exact"/>
      <w:jc w:val="center"/>
    </w:pPr>
  </w:style>
  <w:style w:type="paragraph" w:customStyle="1" w:styleId="682">
    <w:name w:val="样式 小四 首行缩进:  24 磅 行距: 多倍行距 1.25 字行"/>
    <w:basedOn w:val="1"/>
    <w:qFormat/>
    <w:uiPriority w:val="0"/>
    <w:pPr>
      <w:adjustRightInd w:val="0"/>
      <w:spacing w:line="440" w:lineRule="exact"/>
      <w:ind w:firstLine="480"/>
      <w:textAlignment w:val="baseline"/>
    </w:pPr>
    <w:rPr>
      <w:rFonts w:cs="宋体"/>
      <w:kern w:val="0"/>
      <w:sz w:val="24"/>
      <w:szCs w:val="20"/>
    </w:rPr>
  </w:style>
  <w:style w:type="paragraph" w:customStyle="1" w:styleId="683">
    <w:name w:val="正文2 Char Char Char Char Char Char Char Char Char Char Char Char1 Char Char Char Char Char Char Char Char1 Char Char Char Char Char Char"/>
    <w:basedOn w:val="1"/>
    <w:qFormat/>
    <w:uiPriority w:val="0"/>
    <w:pPr>
      <w:widowControl/>
      <w:spacing w:line="400" w:lineRule="exact"/>
      <w:jc w:val="center"/>
    </w:pPr>
    <w:rPr>
      <w:rFonts w:ascii="Verdana" w:hAnsi="Verdana"/>
      <w:kern w:val="0"/>
      <w:szCs w:val="20"/>
      <w:lang w:eastAsia="en-US"/>
    </w:rPr>
  </w:style>
  <w:style w:type="paragraph" w:customStyle="1" w:styleId="684">
    <w:name w:val="yz"/>
    <w:basedOn w:val="34"/>
    <w:qFormat/>
    <w:uiPriority w:val="0"/>
    <w:pPr>
      <w:widowControl w:val="0"/>
      <w:tabs>
        <w:tab w:val="left" w:pos="900"/>
      </w:tabs>
      <w:adjustRightInd w:val="0"/>
      <w:snapToGrid/>
      <w:spacing w:after="0" w:line="460" w:lineRule="exact"/>
      <w:ind w:right="0" w:firstLine="200" w:firstLineChars="200"/>
      <w:textAlignment w:val="baseline"/>
    </w:pPr>
    <w:rPr>
      <w:rFonts w:ascii="宋体"/>
      <w:kern w:val="2"/>
      <w:sz w:val="24"/>
      <w:lang w:val="zh-CN"/>
    </w:rPr>
  </w:style>
  <w:style w:type="paragraph" w:customStyle="1" w:styleId="685">
    <w:name w:val="Char Char Char1 Char Char Char"/>
    <w:basedOn w:val="1"/>
    <w:qFormat/>
    <w:uiPriority w:val="0"/>
    <w:pPr>
      <w:spacing w:beforeLines="20" w:line="440" w:lineRule="atLeast"/>
      <w:ind w:firstLine="200" w:firstLineChars="200"/>
    </w:pPr>
    <w:rPr>
      <w:sz w:val="24"/>
    </w:rPr>
  </w:style>
  <w:style w:type="paragraph" w:customStyle="1" w:styleId="686">
    <w:name w:val="Char Char2"/>
    <w:basedOn w:val="1"/>
    <w:qFormat/>
    <w:uiPriority w:val="0"/>
    <w:pPr>
      <w:spacing w:before="60" w:line="360" w:lineRule="auto"/>
      <w:ind w:firstLine="200" w:firstLineChars="200"/>
    </w:pPr>
    <w:rPr>
      <w:rFonts w:ascii="宋体" w:cs="宋体"/>
      <w:sz w:val="24"/>
    </w:rPr>
  </w:style>
  <w:style w:type="paragraph" w:customStyle="1" w:styleId="687">
    <w:name w:val="普通(网站)1"/>
    <w:basedOn w:val="1"/>
    <w:qFormat/>
    <w:uiPriority w:val="0"/>
    <w:pPr>
      <w:adjustRightInd w:val="0"/>
      <w:spacing w:before="60" w:line="460" w:lineRule="exact"/>
      <w:ind w:firstLine="200" w:firstLineChars="200"/>
      <w:textAlignment w:val="baseline"/>
    </w:pPr>
    <w:rPr>
      <w:sz w:val="24"/>
      <w:szCs w:val="20"/>
    </w:rPr>
  </w:style>
  <w:style w:type="paragraph" w:customStyle="1" w:styleId="688">
    <w:name w:val="样式 表3－1 + 段前: 0.5 行 段后: 0.5 行"/>
    <w:basedOn w:val="689"/>
    <w:qFormat/>
    <w:uiPriority w:val="0"/>
    <w:pPr>
      <w:tabs>
        <w:tab w:val="center" w:pos="992"/>
        <w:tab w:val="left" w:pos="3690"/>
      </w:tabs>
      <w:spacing w:beforeLines="0" w:afterLines="0"/>
      <w:ind w:left="100" w:leftChars="100" w:right="100" w:rightChars="100"/>
    </w:pPr>
    <w:rPr>
      <w:rFonts w:cs="宋体"/>
    </w:rPr>
  </w:style>
  <w:style w:type="paragraph" w:customStyle="1" w:styleId="689">
    <w:name w:val="表3－1"/>
    <w:basedOn w:val="1"/>
    <w:qFormat/>
    <w:uiPriority w:val="0"/>
    <w:pPr>
      <w:tabs>
        <w:tab w:val="center" w:pos="992"/>
        <w:tab w:val="left" w:pos="3690"/>
      </w:tabs>
      <w:adjustRightInd w:val="0"/>
      <w:spacing w:beforeLines="50" w:afterLines="50" w:line="460" w:lineRule="exact"/>
      <w:ind w:left="3102" w:hanging="132"/>
      <w:jc w:val="center"/>
      <w:textAlignment w:val="baseline"/>
    </w:pPr>
    <w:rPr>
      <w:sz w:val="24"/>
      <w:szCs w:val="20"/>
    </w:rPr>
  </w:style>
  <w:style w:type="paragraph" w:customStyle="1" w:styleId="690">
    <w:name w:val="Char Char Char1 Char Char Char1"/>
    <w:basedOn w:val="1"/>
    <w:qFormat/>
    <w:uiPriority w:val="0"/>
    <w:pPr>
      <w:spacing w:before="20" w:beforeLines="20" w:line="440" w:lineRule="atLeast"/>
      <w:ind w:firstLine="200" w:firstLineChars="200"/>
    </w:pPr>
    <w:rPr>
      <w:sz w:val="24"/>
    </w:rPr>
  </w:style>
  <w:style w:type="paragraph" w:customStyle="1" w:styleId="691">
    <w:name w:val="环评正文"/>
    <w:basedOn w:val="1"/>
    <w:qFormat/>
    <w:uiPriority w:val="0"/>
    <w:pPr>
      <w:spacing w:line="360" w:lineRule="auto"/>
    </w:pPr>
    <w:rPr>
      <w:rFonts w:ascii="宋体" w:hAnsi="宋体" w:cs="宋体"/>
      <w:sz w:val="24"/>
    </w:rPr>
  </w:style>
  <w:style w:type="paragraph" w:customStyle="1" w:styleId="692">
    <w:name w:val="三级"/>
    <w:basedOn w:val="52"/>
    <w:next w:val="1"/>
    <w:qFormat/>
    <w:uiPriority w:val="99"/>
    <w:pPr>
      <w:spacing w:before="60" w:line="460" w:lineRule="exact"/>
      <w:ind w:firstLine="200"/>
    </w:pPr>
    <w:rPr>
      <w:rFonts w:ascii="Times New Roman" w:hAnsi="Times New Roman"/>
      <w:bCs/>
    </w:rPr>
  </w:style>
  <w:style w:type="paragraph" w:customStyle="1" w:styleId="693">
    <w:name w:val="Char Char1 Char Char Char 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694">
    <w:name w:val="Char Char Char Char1"/>
    <w:basedOn w:val="1"/>
    <w:qFormat/>
    <w:uiPriority w:val="0"/>
    <w:pPr>
      <w:spacing w:beforeLines="20" w:line="440" w:lineRule="atLeast"/>
      <w:ind w:firstLine="200" w:firstLineChars="200"/>
    </w:pPr>
    <w:rPr>
      <w:sz w:val="24"/>
    </w:rPr>
  </w:style>
  <w:style w:type="paragraph" w:customStyle="1" w:styleId="695">
    <w:name w:val="表中正文居中"/>
    <w:semiHidden/>
    <w:qFormat/>
    <w:uiPriority w:val="0"/>
    <w:pPr>
      <w:spacing w:before="120" w:after="120" w:line="240" w:lineRule="atLeast"/>
      <w:jc w:val="center"/>
    </w:pPr>
    <w:rPr>
      <w:rFonts w:ascii="宋体" w:hAnsi="Times New Roman" w:eastAsia="宋体" w:cs="Times New Roman"/>
      <w:kern w:val="2"/>
      <w:sz w:val="21"/>
      <w:lang w:val="en-US" w:eastAsia="zh-CN" w:bidi="ar-SA"/>
    </w:rPr>
  </w:style>
  <w:style w:type="paragraph" w:customStyle="1" w:styleId="696">
    <w:name w:val="样式 my + 黑色"/>
    <w:basedOn w:val="697"/>
    <w:qFormat/>
    <w:uiPriority w:val="0"/>
    <w:rPr>
      <w:color w:val="000000"/>
    </w:rPr>
  </w:style>
  <w:style w:type="paragraph" w:customStyle="1" w:styleId="697">
    <w:name w:val="my Char"/>
    <w:qFormat/>
    <w:uiPriority w:val="0"/>
    <w:pPr>
      <w:widowControl w:val="0"/>
      <w:spacing w:before="60" w:line="460" w:lineRule="exact"/>
      <w:ind w:firstLine="200" w:firstLineChars="200"/>
      <w:jc w:val="both"/>
    </w:pPr>
    <w:rPr>
      <w:rFonts w:ascii="Times New Roman" w:hAnsi="Times New Roman" w:eastAsia="宋体" w:cs="Times New Roman"/>
      <w:sz w:val="24"/>
      <w:lang w:val="en-US" w:eastAsia="zh-CN" w:bidi="ar-SA"/>
    </w:rPr>
  </w:style>
  <w:style w:type="paragraph" w:customStyle="1" w:styleId="698">
    <w:name w:val="样式 标题2 + 首行缩进:  1 字符 段前: 0.5 行"/>
    <w:basedOn w:val="1"/>
    <w:qFormat/>
    <w:uiPriority w:val="0"/>
    <w:pPr>
      <w:spacing w:beforeLines="50" w:line="500" w:lineRule="atLeast"/>
      <w:ind w:firstLine="100" w:firstLineChars="100"/>
      <w:jc w:val="left"/>
      <w:outlineLvl w:val="1"/>
    </w:pPr>
    <w:rPr>
      <w:b/>
      <w:bCs/>
      <w:sz w:val="28"/>
      <w:szCs w:val="20"/>
    </w:rPr>
  </w:style>
  <w:style w:type="paragraph" w:customStyle="1" w:styleId="699">
    <w:name w:val="Char Char Char2 Char Char Char Char Char Char Char Char Char Char Char Char Char1"/>
    <w:basedOn w:val="1"/>
    <w:qFormat/>
    <w:uiPriority w:val="0"/>
    <w:pPr>
      <w:spacing w:before="20" w:beforeLines="20" w:line="440" w:lineRule="atLeast"/>
      <w:ind w:firstLine="200" w:firstLineChars="200"/>
    </w:pPr>
    <w:rPr>
      <w:sz w:val="24"/>
    </w:rPr>
  </w:style>
  <w:style w:type="paragraph" w:customStyle="1" w:styleId="700">
    <w:name w:val="样式8"/>
    <w:basedOn w:val="1"/>
    <w:qFormat/>
    <w:uiPriority w:val="0"/>
    <w:pPr>
      <w:ind w:firstLine="499"/>
    </w:pPr>
    <w:rPr>
      <w:rFonts w:ascii="宋体"/>
      <w:sz w:val="24"/>
      <w:szCs w:val="20"/>
    </w:rPr>
  </w:style>
  <w:style w:type="paragraph" w:customStyle="1" w:styleId="701">
    <w:name w:val="Char2 Char Char Char Char Char Char Char Char Char Char Char Char1"/>
    <w:basedOn w:val="1"/>
    <w:qFormat/>
    <w:uiPriority w:val="0"/>
    <w:pPr>
      <w:spacing w:beforeLines="20" w:line="440" w:lineRule="atLeast"/>
      <w:ind w:firstLine="200" w:firstLineChars="200"/>
    </w:pPr>
    <w:rPr>
      <w:sz w:val="24"/>
    </w:rPr>
  </w:style>
  <w:style w:type="paragraph" w:customStyle="1" w:styleId="702">
    <w:name w:val="正文缩进11"/>
    <w:basedOn w:val="1"/>
    <w:qFormat/>
    <w:uiPriority w:val="0"/>
    <w:pPr>
      <w:spacing w:beforeLines="50" w:afterLines="50" w:line="460" w:lineRule="exact"/>
      <w:ind w:firstLine="1411" w:firstLineChars="588"/>
    </w:pPr>
    <w:rPr>
      <w:sz w:val="24"/>
      <w:szCs w:val="20"/>
    </w:rPr>
  </w:style>
  <w:style w:type="paragraph" w:customStyle="1" w:styleId="703">
    <w:name w:val="样式 样式 正文1 + 段前: 0.1 行1 + 段前: 0.1 行"/>
    <w:basedOn w:val="704"/>
    <w:qFormat/>
    <w:uiPriority w:val="0"/>
    <w:pPr>
      <w:spacing w:beforeLines="0"/>
      <w:ind w:firstLine="200" w:firstLineChars="200"/>
    </w:pPr>
    <w:rPr>
      <w:rFonts w:cs="Times New Roman"/>
      <w:szCs w:val="20"/>
    </w:rPr>
  </w:style>
  <w:style w:type="paragraph" w:customStyle="1" w:styleId="704">
    <w:name w:val="样式 正文1 + 段前: 0.1 行1"/>
    <w:basedOn w:val="189"/>
    <w:qFormat/>
    <w:uiPriority w:val="0"/>
    <w:pPr>
      <w:adjustRightInd/>
      <w:spacing w:before="60" w:beforeLines="10" w:line="440" w:lineRule="atLeast"/>
      <w:ind w:firstLine="567" w:firstLineChars="0"/>
    </w:pPr>
    <w:rPr>
      <w:rFonts w:eastAsia="宋体" w:cs="宋体"/>
    </w:rPr>
  </w:style>
  <w:style w:type="paragraph" w:customStyle="1" w:styleId="705">
    <w:name w:val="表格方案样式2"/>
    <w:basedOn w:val="1"/>
    <w:qFormat/>
    <w:uiPriority w:val="0"/>
    <w:pPr>
      <w:jc w:val="center"/>
    </w:pPr>
    <w:rPr>
      <w:rFonts w:eastAsia="华文中宋"/>
      <w:kern w:val="0"/>
      <w:sz w:val="24"/>
    </w:rPr>
  </w:style>
  <w:style w:type="paragraph" w:customStyle="1" w:styleId="706">
    <w:name w:val="Char1 Char Char Char Char Char"/>
    <w:basedOn w:val="1"/>
    <w:qFormat/>
    <w:uiPriority w:val="0"/>
    <w:rPr>
      <w:sz w:val="24"/>
    </w:rPr>
  </w:style>
  <w:style w:type="paragraph" w:customStyle="1" w:styleId="707">
    <w:name w:val="正文001 Char Char Char"/>
    <w:basedOn w:val="1"/>
    <w:qFormat/>
    <w:uiPriority w:val="0"/>
    <w:pPr>
      <w:spacing w:line="500" w:lineRule="atLeast"/>
      <w:ind w:firstLine="200" w:firstLineChars="200"/>
    </w:pPr>
    <w:rPr>
      <w:color w:val="000000"/>
      <w:sz w:val="24"/>
    </w:rPr>
  </w:style>
  <w:style w:type="paragraph" w:customStyle="1" w:styleId="708">
    <w:name w:val="样式 3级标题 + 非加粗 段前: 3 磅"/>
    <w:basedOn w:val="364"/>
    <w:qFormat/>
    <w:uiPriority w:val="0"/>
    <w:pPr>
      <w:adjustRightInd w:val="0"/>
      <w:snapToGrid w:val="0"/>
      <w:ind w:firstLine="200" w:firstLineChars="200"/>
      <w:outlineLvl w:val="9"/>
    </w:pPr>
    <w:rPr>
      <w:rFonts w:ascii="Times New Roman" w:hAnsi="Times New Roman" w:cs="宋体"/>
      <w:b w:val="0"/>
      <w:szCs w:val="20"/>
    </w:rPr>
  </w:style>
  <w:style w:type="paragraph" w:customStyle="1" w:styleId="709">
    <w:name w:val="图文框"/>
    <w:basedOn w:val="1"/>
    <w:qFormat/>
    <w:uiPriority w:val="0"/>
    <w:pPr>
      <w:autoSpaceDE w:val="0"/>
      <w:autoSpaceDN w:val="0"/>
      <w:adjustRightInd w:val="0"/>
      <w:snapToGrid w:val="0"/>
      <w:spacing w:before="60" w:line="460" w:lineRule="exact"/>
      <w:ind w:firstLine="200" w:firstLineChars="200"/>
      <w:jc w:val="center"/>
      <w:textAlignment w:val="baseline"/>
    </w:pPr>
    <w:rPr>
      <w:kern w:val="0"/>
      <w:szCs w:val="21"/>
    </w:rPr>
  </w:style>
  <w:style w:type="paragraph" w:customStyle="1" w:styleId="710">
    <w:name w:val="ST20_1"/>
    <w:basedOn w:val="1"/>
    <w:qFormat/>
    <w:uiPriority w:val="0"/>
    <w:pPr>
      <w:autoSpaceDE w:val="0"/>
      <w:autoSpaceDN w:val="0"/>
      <w:adjustRightInd w:val="0"/>
      <w:spacing w:before="60" w:line="312" w:lineRule="atLeast"/>
      <w:ind w:firstLine="200" w:firstLineChars="200"/>
      <w:jc w:val="center"/>
      <w:textAlignment w:val="baseline"/>
    </w:pPr>
    <w:rPr>
      <w:rFonts w:ascii="宋体"/>
      <w:kern w:val="0"/>
      <w:sz w:val="24"/>
      <w:szCs w:val="20"/>
    </w:rPr>
  </w:style>
  <w:style w:type="paragraph" w:customStyle="1" w:styleId="711">
    <w:name w:val="6表(图)头(治)"/>
    <w:next w:val="1"/>
    <w:qFormat/>
    <w:uiPriority w:val="0"/>
    <w:pPr>
      <w:widowControl w:val="0"/>
      <w:spacing w:before="60" w:line="460" w:lineRule="exact"/>
      <w:jc w:val="center"/>
    </w:pPr>
    <w:rPr>
      <w:rFonts w:ascii="Times New Roman" w:hAnsi="Times New Roman" w:eastAsia="宋体" w:cs="Times New Roman"/>
      <w:sz w:val="24"/>
      <w:szCs w:val="24"/>
      <w:lang w:val="en-US" w:eastAsia="zh-CN" w:bidi="ar-SA"/>
    </w:rPr>
  </w:style>
  <w:style w:type="paragraph" w:customStyle="1" w:styleId="712">
    <w:name w:val="正文表标题"/>
    <w:next w:val="1"/>
    <w:uiPriority w:val="0"/>
    <w:pPr>
      <w:numPr>
        <w:ilvl w:val="0"/>
        <w:numId w:val="12"/>
      </w:numPr>
      <w:jc w:val="center"/>
    </w:pPr>
    <w:rPr>
      <w:rFonts w:ascii="黑体" w:hAnsi="Times New Roman" w:eastAsia="黑体" w:cs="Times New Roman"/>
      <w:sz w:val="21"/>
      <w:lang w:val="en-US" w:eastAsia="zh-CN" w:bidi="ar-SA"/>
    </w:rPr>
  </w:style>
  <w:style w:type="paragraph" w:customStyle="1" w:styleId="713">
    <w:name w:val="文本条款 Char Char"/>
    <w:basedOn w:val="187"/>
    <w:qFormat/>
    <w:uiPriority w:val="0"/>
    <w:pPr>
      <w:widowControl w:val="0"/>
      <w:spacing w:before="40" w:after="60" w:line="420" w:lineRule="exact"/>
      <w:ind w:firstLine="0" w:firstLineChars="0"/>
      <w:jc w:val="center"/>
    </w:pPr>
    <w:rPr>
      <w:color w:val="000000"/>
    </w:rPr>
  </w:style>
  <w:style w:type="paragraph" w:customStyle="1" w:styleId="714">
    <w:name w:val="Char Char1 Char Char Char1 Char Char Char Char"/>
    <w:basedOn w:val="1"/>
    <w:qFormat/>
    <w:uiPriority w:val="0"/>
    <w:pPr>
      <w:spacing w:beforeLines="20" w:line="440" w:lineRule="atLeast"/>
      <w:ind w:firstLine="200" w:firstLineChars="200"/>
    </w:pPr>
    <w:rPr>
      <w:sz w:val="24"/>
    </w:rPr>
  </w:style>
  <w:style w:type="paragraph" w:customStyle="1" w:styleId="715">
    <w:name w:val="zhang正文"/>
    <w:basedOn w:val="35"/>
    <w:uiPriority w:val="0"/>
    <w:pPr>
      <w:autoSpaceDE w:val="0"/>
      <w:autoSpaceDN w:val="0"/>
      <w:adjustRightInd w:val="0"/>
      <w:snapToGrid w:val="0"/>
      <w:spacing w:before="60" w:beforeLines="50" w:after="0" w:line="460" w:lineRule="exact"/>
      <w:ind w:left="0" w:leftChars="0" w:firstLine="539"/>
      <w:textAlignment w:val="baseline"/>
    </w:pPr>
    <w:rPr>
      <w:rFonts w:ascii="宋体"/>
      <w:szCs w:val="24"/>
    </w:rPr>
  </w:style>
  <w:style w:type="paragraph" w:customStyle="1" w:styleId="716">
    <w:name w:val="正文bg"/>
    <w:basedOn w:val="1"/>
    <w:qFormat/>
    <w:uiPriority w:val="0"/>
    <w:pPr>
      <w:spacing w:before="60" w:line="316" w:lineRule="exact"/>
      <w:jc w:val="center"/>
    </w:pPr>
    <w:rPr>
      <w:rFonts w:ascii="仿宋_GB2312" w:eastAsia="仿宋_GB2312"/>
      <w:color w:val="000000"/>
      <w:szCs w:val="20"/>
    </w:rPr>
  </w:style>
  <w:style w:type="paragraph" w:customStyle="1" w:styleId="717">
    <w:name w:val="样式 表格 + 左侧:  -0.5 字符 首行缩进:  0.74 厘米 右侧:  -0.5 字符"/>
    <w:basedOn w:val="1"/>
    <w:qFormat/>
    <w:uiPriority w:val="0"/>
    <w:pPr>
      <w:ind w:left="-50" w:leftChars="-50" w:right="-50" w:rightChars="-50"/>
      <w:jc w:val="center"/>
    </w:pPr>
    <w:rPr>
      <w:rFonts w:cs="宋体"/>
      <w:kern w:val="0"/>
      <w:szCs w:val="20"/>
    </w:rPr>
  </w:style>
  <w:style w:type="paragraph" w:customStyle="1" w:styleId="718">
    <w:name w:val="reader-word-layer reader-word-s1-12"/>
    <w:basedOn w:val="1"/>
    <w:qFormat/>
    <w:uiPriority w:val="0"/>
    <w:pPr>
      <w:widowControl/>
      <w:spacing w:before="100" w:beforeAutospacing="1" w:after="100" w:afterAutospacing="1"/>
      <w:jc w:val="left"/>
    </w:pPr>
    <w:rPr>
      <w:rFonts w:ascii="宋体" w:hAnsi="宋体" w:cs="宋体"/>
      <w:kern w:val="0"/>
      <w:sz w:val="24"/>
    </w:rPr>
  </w:style>
  <w:style w:type="paragraph" w:customStyle="1" w:styleId="719">
    <w:name w:val="报告书表格"/>
    <w:basedOn w:val="1"/>
    <w:qFormat/>
    <w:uiPriority w:val="0"/>
    <w:pPr>
      <w:adjustRightInd w:val="0"/>
      <w:spacing w:before="60" w:after="60" w:line="240" w:lineRule="atLeast"/>
      <w:jc w:val="center"/>
      <w:textAlignment w:val="baseline"/>
    </w:pPr>
    <w:rPr>
      <w:kern w:val="0"/>
      <w:szCs w:val="20"/>
    </w:rPr>
  </w:style>
  <w:style w:type="paragraph" w:customStyle="1" w:styleId="720">
    <w:name w:val="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721">
    <w:name w:val="Char Char Char Char Char Char1 Char Char Char Char11"/>
    <w:basedOn w:val="1"/>
    <w:uiPriority w:val="0"/>
    <w:rPr>
      <w:sz w:val="24"/>
    </w:rPr>
  </w:style>
  <w:style w:type="paragraph" w:customStyle="1" w:styleId="722">
    <w:name w:val="Char Char Char2 Char Char Char Char1"/>
    <w:basedOn w:val="1"/>
    <w:qFormat/>
    <w:uiPriority w:val="0"/>
    <w:pPr>
      <w:spacing w:beforeLines="20" w:line="440" w:lineRule="atLeast"/>
      <w:ind w:firstLine="200" w:firstLineChars="200"/>
    </w:pPr>
    <w:rPr>
      <w:sz w:val="24"/>
    </w:rPr>
  </w:style>
  <w:style w:type="paragraph" w:customStyle="1" w:styleId="723">
    <w:name w:val="久不通函，至以为念。"/>
    <w:qFormat/>
    <w:uiPriority w:val="0"/>
    <w:pPr>
      <w:widowControl w:val="0"/>
      <w:spacing w:before="60" w:line="460" w:lineRule="exact"/>
      <w:jc w:val="both"/>
    </w:pPr>
    <w:rPr>
      <w:rFonts w:ascii="Times New Roman" w:hAnsi="Times New Roman" w:eastAsia="宋体" w:cs="Times New Roman"/>
      <w:kern w:val="2"/>
      <w:sz w:val="21"/>
      <w:szCs w:val="24"/>
      <w:lang w:val="en-US" w:eastAsia="zh-CN" w:bidi="ar-SA"/>
    </w:rPr>
  </w:style>
  <w:style w:type="paragraph" w:customStyle="1" w:styleId="724">
    <w:name w:val="样式 样式 样式 首行缩进:  2 字符 + 首行缩进:  2 字符2 + 仿宋_GB2312 行距: 1.5 倍行距"/>
    <w:basedOn w:val="1"/>
    <w:qFormat/>
    <w:uiPriority w:val="0"/>
    <w:pPr>
      <w:spacing w:line="440" w:lineRule="exact"/>
      <w:ind w:firstLine="200" w:firstLineChars="200"/>
    </w:pPr>
    <w:rPr>
      <w:rFonts w:eastAsia="楷体_GB2312"/>
      <w:spacing w:val="6"/>
      <w:kern w:val="0"/>
      <w:sz w:val="28"/>
      <w:szCs w:val="28"/>
    </w:rPr>
  </w:style>
  <w:style w:type="paragraph" w:customStyle="1" w:styleId="725">
    <w:name w:val="编号正文"/>
    <w:basedOn w:val="1"/>
    <w:qFormat/>
    <w:uiPriority w:val="0"/>
    <w:pPr>
      <w:tabs>
        <w:tab w:val="left" w:pos="1200"/>
      </w:tabs>
      <w:ind w:left="1200" w:hanging="720"/>
    </w:pPr>
    <w:rPr>
      <w:rFonts w:eastAsia="仿宋_GB2312"/>
      <w:sz w:val="28"/>
      <w:szCs w:val="20"/>
    </w:rPr>
  </w:style>
  <w:style w:type="paragraph" w:customStyle="1" w:styleId="726">
    <w:name w:val="文本"/>
    <w:basedOn w:val="1"/>
    <w:uiPriority w:val="0"/>
    <w:pPr>
      <w:spacing w:line="360" w:lineRule="auto"/>
      <w:ind w:firstLine="200" w:firstLineChars="200"/>
    </w:pPr>
    <w:rPr>
      <w:sz w:val="24"/>
    </w:rPr>
  </w:style>
  <w:style w:type="paragraph" w:customStyle="1" w:styleId="727">
    <w:name w:val="题目2"/>
    <w:basedOn w:val="1"/>
    <w:next w:val="549"/>
    <w:qFormat/>
    <w:uiPriority w:val="0"/>
    <w:pPr>
      <w:snapToGrid w:val="0"/>
      <w:spacing w:before="600" w:line="600" w:lineRule="atLeast"/>
      <w:ind w:firstLine="200" w:firstLineChars="200"/>
      <w:jc w:val="left"/>
    </w:pPr>
    <w:rPr>
      <w:b/>
      <w:sz w:val="28"/>
      <w:szCs w:val="20"/>
    </w:rPr>
  </w:style>
  <w:style w:type="paragraph" w:customStyle="1" w:styleId="728">
    <w:name w:val="xl32"/>
    <w:basedOn w:val="1"/>
    <w:qFormat/>
    <w:uiPriority w:val="0"/>
    <w:pPr>
      <w:widowControl/>
      <w:spacing w:before="100" w:beforeAutospacing="1" w:after="100" w:afterAutospacing="1" w:line="440" w:lineRule="exact"/>
      <w:ind w:firstLine="200" w:firstLineChars="200"/>
      <w:jc w:val="center"/>
    </w:pPr>
    <w:rPr>
      <w:rFonts w:ascii="宋体"/>
      <w:kern w:val="0"/>
      <w:sz w:val="28"/>
      <w:szCs w:val="28"/>
    </w:rPr>
  </w:style>
  <w:style w:type="paragraph" w:customStyle="1" w:styleId="729">
    <w:name w:val="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cs="宋体"/>
      <w:sz w:val="24"/>
    </w:rPr>
  </w:style>
  <w:style w:type="paragraph" w:customStyle="1" w:styleId="730">
    <w:name w:val="正文a"/>
    <w:basedOn w:val="376"/>
    <w:qFormat/>
    <w:uiPriority w:val="0"/>
    <w:pPr>
      <w:ind w:firstLine="0"/>
    </w:pPr>
  </w:style>
  <w:style w:type="paragraph" w:customStyle="1" w:styleId="731">
    <w:name w:val="Char Char Char Char Char Char Char Char Char Char Char Char Char Char Char Char"/>
    <w:basedOn w:val="1"/>
    <w:qFormat/>
    <w:uiPriority w:val="0"/>
    <w:pPr>
      <w:spacing w:before="60" w:line="460" w:lineRule="exact"/>
    </w:pPr>
    <w:rPr>
      <w:sz w:val="24"/>
    </w:rPr>
  </w:style>
  <w:style w:type="paragraph" w:customStyle="1" w:styleId="732">
    <w:name w:val="1表格"/>
    <w:basedOn w:val="1"/>
    <w:qFormat/>
    <w:uiPriority w:val="0"/>
    <w:pPr>
      <w:adjustRightInd w:val="0"/>
      <w:snapToGrid w:val="0"/>
      <w:spacing w:before="60" w:line="460" w:lineRule="exact"/>
      <w:ind w:firstLine="200" w:firstLineChars="200"/>
      <w:jc w:val="center"/>
      <w:textAlignment w:val="baseline"/>
    </w:pPr>
    <w:rPr>
      <w:rFonts w:ascii="宋体"/>
      <w:spacing w:val="4"/>
      <w:sz w:val="24"/>
      <w:szCs w:val="20"/>
    </w:rPr>
  </w:style>
  <w:style w:type="paragraph" w:customStyle="1" w:styleId="733">
    <w:name w:val="表注"/>
    <w:basedOn w:val="1"/>
    <w:uiPriority w:val="0"/>
    <w:pPr>
      <w:adjustRightInd w:val="0"/>
      <w:spacing w:before="120" w:after="40" w:line="320" w:lineRule="exact"/>
      <w:ind w:firstLine="200" w:firstLineChars="200"/>
      <w:textAlignment w:val="baseline"/>
    </w:pPr>
    <w:rPr>
      <w:kern w:val="0"/>
      <w:szCs w:val="20"/>
    </w:rPr>
  </w:style>
  <w:style w:type="paragraph" w:customStyle="1" w:styleId="734">
    <w:name w:val="xl33"/>
    <w:basedOn w:val="1"/>
    <w:qFormat/>
    <w:uiPriority w:val="0"/>
    <w:pPr>
      <w:widowControl/>
      <w:pBdr>
        <w:left w:val="single" w:color="auto" w:sz="4" w:space="0"/>
        <w:bottom w:val="single" w:color="auto" w:sz="4" w:space="0"/>
        <w:right w:val="single" w:color="auto" w:sz="4" w:space="0"/>
      </w:pBdr>
      <w:spacing w:before="100" w:after="100" w:line="460" w:lineRule="exact"/>
      <w:jc w:val="center"/>
      <w:textAlignment w:val="center"/>
    </w:pPr>
    <w:rPr>
      <w:rFonts w:ascii="宋体"/>
      <w:kern w:val="0"/>
      <w:sz w:val="24"/>
      <w:szCs w:val="20"/>
    </w:rPr>
  </w:style>
  <w:style w:type="paragraph" w:customStyle="1" w:styleId="735">
    <w:name w:val="样式 样式 标题2 + 首行缩进:  1 字符 段前: 0.5 行 + 段前: 0.5 行"/>
    <w:basedOn w:val="698"/>
    <w:qFormat/>
    <w:uiPriority w:val="0"/>
    <w:pPr>
      <w:spacing w:beforeLines="0"/>
    </w:pPr>
  </w:style>
  <w:style w:type="paragraph" w:customStyle="1" w:styleId="736">
    <w:name w:val="表格表题"/>
    <w:basedOn w:val="1"/>
    <w:qFormat/>
    <w:uiPriority w:val="0"/>
    <w:pPr>
      <w:spacing w:before="60" w:line="460" w:lineRule="exact"/>
      <w:ind w:firstLine="200" w:firstLineChars="200"/>
      <w:jc w:val="center"/>
    </w:pPr>
    <w:rPr>
      <w:bCs/>
      <w:snapToGrid w:val="0"/>
      <w:kern w:val="0"/>
      <w:sz w:val="24"/>
    </w:rPr>
  </w:style>
  <w:style w:type="paragraph" w:customStyle="1" w:styleId="737">
    <w:name w:val="Char Char Char2 Char Char Char Char Char Char Char Char Char Char1"/>
    <w:basedOn w:val="1"/>
    <w:qFormat/>
    <w:uiPriority w:val="0"/>
    <w:pPr>
      <w:spacing w:beforeLines="20" w:line="440" w:lineRule="atLeast"/>
      <w:ind w:firstLine="200" w:firstLineChars="200"/>
    </w:pPr>
    <w:rPr>
      <w:sz w:val="24"/>
    </w:rPr>
  </w:style>
  <w:style w:type="paragraph" w:customStyle="1" w:styleId="7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zh-CN" w:bidi="ar-SA"/>
    </w:rPr>
  </w:style>
  <w:style w:type="paragraph" w:customStyle="1" w:styleId="739">
    <w:name w:val="样式 标题 1 + 段前: 2 行"/>
    <w:basedOn w:val="3"/>
    <w:qFormat/>
    <w:uiPriority w:val="0"/>
    <w:pPr>
      <w:keepLines/>
      <w:widowControl/>
      <w:overflowPunct/>
      <w:snapToGrid/>
      <w:spacing w:before="0" w:after="0" w:line="312" w:lineRule="auto"/>
      <w:ind w:left="0" w:firstLine="0"/>
      <w:jc w:val="center"/>
    </w:pPr>
    <w:rPr>
      <w:rFonts w:ascii="黑体"/>
      <w:bCs w:val="0"/>
      <w:color w:val="auto"/>
      <w:spacing w:val="10"/>
      <w:kern w:val="0"/>
      <w:sz w:val="32"/>
      <w:szCs w:val="20"/>
      <w:lang w:val="zh-CN"/>
    </w:rPr>
  </w:style>
  <w:style w:type="paragraph" w:customStyle="1" w:styleId="740">
    <w:name w:val="样式 标题1 + 段前: 0.5 行"/>
    <w:basedOn w:val="1"/>
    <w:qFormat/>
    <w:uiPriority w:val="0"/>
    <w:pPr>
      <w:spacing w:beforeLines="50" w:line="500" w:lineRule="exact"/>
      <w:ind w:firstLine="200" w:firstLineChars="200"/>
      <w:jc w:val="left"/>
      <w:outlineLvl w:val="0"/>
    </w:pPr>
    <w:rPr>
      <w:b/>
      <w:bCs/>
      <w:sz w:val="32"/>
      <w:szCs w:val="20"/>
    </w:rPr>
  </w:style>
  <w:style w:type="paragraph" w:customStyle="1" w:styleId="741">
    <w:name w:val="假设列表"/>
    <w:semiHidden/>
    <w:qFormat/>
    <w:uiPriority w:val="0"/>
    <w:pPr>
      <w:tabs>
        <w:tab w:val="left" w:pos="1200"/>
      </w:tabs>
      <w:spacing w:before="156"/>
      <w:ind w:left="1200" w:hanging="720"/>
    </w:pPr>
    <w:rPr>
      <w:rFonts w:ascii="仿宋_GB2312" w:hAnsi="Times New Roman" w:eastAsia="仿宋_GB2312" w:cs="Times New Roman"/>
      <w:sz w:val="24"/>
      <w:lang w:val="en-US" w:eastAsia="zh-CN" w:bidi="ar-SA"/>
    </w:rPr>
  </w:style>
  <w:style w:type="paragraph" w:customStyle="1" w:styleId="742">
    <w:name w:val="Char Char Char2 Char Char Char Char Char"/>
    <w:basedOn w:val="1"/>
    <w:qFormat/>
    <w:uiPriority w:val="0"/>
    <w:pPr>
      <w:spacing w:before="20" w:beforeLines="20" w:line="440" w:lineRule="atLeast"/>
      <w:ind w:firstLine="200" w:firstLineChars="200"/>
    </w:pPr>
    <w:rPr>
      <w:sz w:val="24"/>
    </w:rPr>
  </w:style>
  <w:style w:type="paragraph" w:customStyle="1" w:styleId="743">
    <w:name w:val="样式 (中文) 仿宋_GB2312 四号 黑色"/>
    <w:basedOn w:val="1"/>
    <w:qFormat/>
    <w:uiPriority w:val="99"/>
    <w:pPr>
      <w:spacing w:line="580" w:lineRule="exact"/>
      <w:ind w:left="178" w:leftChars="85" w:firstLine="496" w:firstLineChars="177"/>
    </w:pPr>
    <w:rPr>
      <w:rFonts w:eastAsia="仿宋_GB2312" w:cs="宋体"/>
      <w:color w:val="000000"/>
      <w:sz w:val="28"/>
      <w:szCs w:val="20"/>
    </w:rPr>
  </w:style>
  <w:style w:type="paragraph" w:customStyle="1" w:styleId="744">
    <w:name w:val="Char Char Char Char Char Char Char Char Char Char Char Char Char Char Char"/>
    <w:basedOn w:val="1"/>
    <w:qFormat/>
    <w:uiPriority w:val="0"/>
    <w:pPr>
      <w:spacing w:before="60" w:line="460" w:lineRule="exact"/>
    </w:pPr>
    <w:rPr>
      <w:szCs w:val="20"/>
    </w:rPr>
  </w:style>
  <w:style w:type="paragraph" w:customStyle="1" w:styleId="745">
    <w:name w:val="样式10"/>
    <w:basedOn w:val="746"/>
    <w:qFormat/>
    <w:uiPriority w:val="0"/>
    <w:pPr>
      <w:spacing w:before="0" w:line="500" w:lineRule="exact"/>
      <w:ind w:firstLine="480" w:firstLineChars="200"/>
      <w:jc w:val="both"/>
    </w:pPr>
    <w:rPr>
      <w:rFonts w:hAnsi="宋体"/>
    </w:rPr>
  </w:style>
  <w:style w:type="paragraph" w:customStyle="1" w:styleId="746">
    <w:name w:val="样式5"/>
    <w:basedOn w:val="1"/>
    <w:qFormat/>
    <w:uiPriority w:val="0"/>
    <w:pPr>
      <w:spacing w:before="60" w:line="460" w:lineRule="exact"/>
      <w:jc w:val="center"/>
    </w:pPr>
    <w:rPr>
      <w:sz w:val="24"/>
    </w:rPr>
  </w:style>
  <w:style w:type="paragraph" w:customStyle="1" w:styleId="747">
    <w:name w:val="Filename"/>
    <w:basedOn w:val="56"/>
    <w:semiHidden/>
    <w:qFormat/>
    <w:uiPriority w:val="0"/>
    <w:pPr>
      <w:widowControl/>
      <w:numPr>
        <w:ilvl w:val="0"/>
        <w:numId w:val="13"/>
      </w:numPr>
      <w:tabs>
        <w:tab w:val="clear" w:pos="1080"/>
      </w:tabs>
      <w:snapToGrid/>
      <w:spacing w:before="72"/>
      <w:ind w:left="0" w:firstLine="0" w:firstLineChars="200"/>
    </w:pPr>
    <w:rPr>
      <w:rFonts w:eastAsia="PMingLiU"/>
      <w:caps/>
      <w:sz w:val="12"/>
      <w:lang w:val="en-GB" w:eastAsia="zh-TW"/>
    </w:rPr>
  </w:style>
  <w:style w:type="paragraph" w:customStyle="1" w:styleId="748">
    <w:name w:val="Char Char 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749">
    <w:name w:val="表格01"/>
    <w:basedOn w:val="1"/>
    <w:qFormat/>
    <w:uiPriority w:val="0"/>
    <w:pPr>
      <w:spacing w:before="60" w:line="460" w:lineRule="exact"/>
      <w:jc w:val="center"/>
    </w:pPr>
    <w:rPr>
      <w:sz w:val="24"/>
      <w:szCs w:val="20"/>
    </w:rPr>
  </w:style>
  <w:style w:type="paragraph" w:customStyle="1" w:styleId="750">
    <w:name w:val="Char Char Char2 Char Char Char Char Char1"/>
    <w:basedOn w:val="1"/>
    <w:qFormat/>
    <w:uiPriority w:val="0"/>
    <w:pPr>
      <w:spacing w:beforeLines="20" w:line="440" w:lineRule="atLeast"/>
      <w:ind w:firstLine="200" w:firstLineChars="200"/>
    </w:pPr>
    <w:rPr>
      <w:sz w:val="24"/>
    </w:rPr>
  </w:style>
  <w:style w:type="paragraph" w:customStyle="1" w:styleId="751">
    <w:name w:val="批注主题 Char Char"/>
    <w:basedOn w:val="28"/>
    <w:next w:val="28"/>
    <w:qFormat/>
    <w:uiPriority w:val="0"/>
    <w:rPr>
      <w:b/>
      <w:szCs w:val="20"/>
      <w:lang w:val="zh-CN"/>
    </w:rPr>
  </w:style>
  <w:style w:type="paragraph" w:customStyle="1" w:styleId="752">
    <w:name w:val="biao2"/>
    <w:basedOn w:val="1"/>
    <w:qFormat/>
    <w:uiPriority w:val="0"/>
    <w:pPr>
      <w:widowControl/>
      <w:adjustRightInd w:val="0"/>
      <w:spacing w:before="100" w:after="100" w:line="460" w:lineRule="exact"/>
      <w:ind w:firstLine="200" w:firstLineChars="200"/>
      <w:jc w:val="center"/>
      <w:textAlignment w:val="center"/>
    </w:pPr>
    <w:rPr>
      <w:rFonts w:ascii="??" w:hAnsi="??"/>
      <w:color w:val="000000"/>
      <w:kern w:val="0"/>
      <w:sz w:val="27"/>
      <w:szCs w:val="20"/>
    </w:rPr>
  </w:style>
  <w:style w:type="paragraph" w:customStyle="1" w:styleId="753">
    <w:name w:val="标题11"/>
    <w:basedOn w:val="1"/>
    <w:next w:val="4"/>
    <w:qFormat/>
    <w:uiPriority w:val="0"/>
    <w:pPr>
      <w:adjustRightInd w:val="0"/>
      <w:snapToGrid w:val="0"/>
      <w:spacing w:before="480" w:line="440" w:lineRule="exact"/>
      <w:ind w:firstLine="200" w:firstLineChars="200"/>
      <w:jc w:val="center"/>
    </w:pPr>
    <w:rPr>
      <w:rFonts w:eastAsia="黑体"/>
      <w:b/>
      <w:sz w:val="32"/>
      <w:szCs w:val="20"/>
    </w:rPr>
  </w:style>
  <w:style w:type="paragraph" w:customStyle="1" w:styleId="754">
    <w:name w:val="In Table (II)"/>
    <w:basedOn w:val="755"/>
    <w:qFormat/>
    <w:uiPriority w:val="0"/>
    <w:pPr>
      <w:tabs>
        <w:tab w:val="left" w:pos="2200"/>
        <w:tab w:val="left" w:pos="3960"/>
        <w:tab w:val="left" w:pos="5280"/>
      </w:tabs>
      <w:spacing w:before="60" w:after="60"/>
      <w:ind w:left="52" w:leftChars="20" w:right="-588"/>
      <w:jc w:val="both"/>
    </w:pPr>
    <w:rPr>
      <w:sz w:val="18"/>
    </w:rPr>
  </w:style>
  <w:style w:type="paragraph" w:customStyle="1" w:styleId="755">
    <w:name w:val="In Table"/>
    <w:basedOn w:val="1"/>
    <w:qFormat/>
    <w:uiPriority w:val="0"/>
    <w:pPr>
      <w:tabs>
        <w:tab w:val="left" w:pos="2200"/>
        <w:tab w:val="left" w:pos="3960"/>
        <w:tab w:val="left" w:pos="5280"/>
      </w:tabs>
      <w:spacing w:before="96" w:after="96" w:line="0" w:lineRule="atLeast"/>
      <w:jc w:val="center"/>
    </w:pPr>
    <w:rPr>
      <w:rFonts w:hint="eastAsia" w:ascii="Tahoma" w:hAnsi="Tahoma" w:eastAsia="华文中宋"/>
      <w:szCs w:val="20"/>
    </w:rPr>
  </w:style>
  <w:style w:type="paragraph" w:customStyle="1" w:styleId="756">
    <w:name w:val="样式7"/>
    <w:basedOn w:val="757"/>
    <w:qFormat/>
    <w:uiPriority w:val="0"/>
    <w:pPr>
      <w:spacing w:line="440" w:lineRule="exact"/>
    </w:pPr>
    <w:rPr>
      <w:snapToGrid/>
      <w:kern w:val="2"/>
    </w:rPr>
  </w:style>
  <w:style w:type="paragraph" w:customStyle="1" w:styleId="757">
    <w:name w:val="三级标题 Char"/>
    <w:basedOn w:val="1"/>
    <w:qFormat/>
    <w:uiPriority w:val="0"/>
    <w:pPr>
      <w:spacing w:before="260" w:line="460" w:lineRule="exact"/>
      <w:outlineLvl w:val="2"/>
    </w:pPr>
    <w:rPr>
      <w:b/>
      <w:bCs/>
      <w:snapToGrid w:val="0"/>
      <w:kern w:val="0"/>
      <w:sz w:val="24"/>
    </w:rPr>
  </w:style>
  <w:style w:type="paragraph" w:customStyle="1" w:styleId="758">
    <w:name w:val="表格文字居中"/>
    <w:basedOn w:val="1"/>
    <w:qFormat/>
    <w:uiPriority w:val="0"/>
    <w:pPr>
      <w:adjustRightInd w:val="0"/>
      <w:snapToGrid w:val="0"/>
      <w:spacing w:before="60" w:line="440" w:lineRule="exact"/>
      <w:ind w:firstLine="200" w:firstLineChars="200"/>
      <w:jc w:val="center"/>
    </w:pPr>
    <w:rPr>
      <w:rFonts w:ascii="宋体"/>
      <w:szCs w:val="20"/>
    </w:rPr>
  </w:style>
  <w:style w:type="paragraph" w:customStyle="1" w:styleId="759">
    <w:name w:val="zg1"/>
    <w:basedOn w:val="1"/>
    <w:qFormat/>
    <w:uiPriority w:val="0"/>
    <w:pPr>
      <w:adjustRightInd w:val="0"/>
      <w:spacing w:before="60" w:line="500" w:lineRule="exact"/>
      <w:ind w:firstLine="200" w:firstLineChars="200"/>
      <w:textAlignment w:val="baseline"/>
    </w:pPr>
    <w:rPr>
      <w:rFonts w:ascii="宋体"/>
      <w:sz w:val="24"/>
      <w:szCs w:val="20"/>
    </w:rPr>
  </w:style>
  <w:style w:type="paragraph" w:customStyle="1" w:styleId="760">
    <w:name w:val="样式 1级标题 + Times New Roman"/>
    <w:basedOn w:val="239"/>
    <w:qFormat/>
    <w:uiPriority w:val="0"/>
    <w:pPr>
      <w:widowControl w:val="0"/>
    </w:pPr>
    <w:rPr>
      <w:bCs/>
      <w:color w:val="auto"/>
      <w:kern w:val="2"/>
      <w:szCs w:val="32"/>
    </w:rPr>
  </w:style>
  <w:style w:type="paragraph" w:customStyle="1" w:styleId="761">
    <w:name w:val="_Style 1"/>
    <w:basedOn w:val="1"/>
    <w:next w:val="21"/>
    <w:qFormat/>
    <w:uiPriority w:val="0"/>
    <w:pPr>
      <w:adjustRightInd w:val="0"/>
      <w:spacing w:before="60" w:line="288" w:lineRule="auto"/>
      <w:ind w:firstLine="200" w:firstLineChars="200"/>
      <w:textAlignment w:val="baseline"/>
    </w:pPr>
    <w:rPr>
      <w:rFonts w:ascii="宋体"/>
      <w:sz w:val="24"/>
      <w:szCs w:val="20"/>
    </w:rPr>
  </w:style>
  <w:style w:type="paragraph" w:customStyle="1" w:styleId="762">
    <w:name w:val="Char Char Char1 Char"/>
    <w:basedOn w:val="1"/>
    <w:qFormat/>
    <w:uiPriority w:val="0"/>
  </w:style>
  <w:style w:type="paragraph" w:customStyle="1" w:styleId="763">
    <w:name w:val="Body Text 22"/>
    <w:basedOn w:val="1"/>
    <w:qFormat/>
    <w:uiPriority w:val="99"/>
    <w:pPr>
      <w:adjustRightInd w:val="0"/>
      <w:spacing w:before="60" w:line="440" w:lineRule="atLeast"/>
      <w:ind w:firstLine="480"/>
      <w:textAlignment w:val="baseline"/>
    </w:pPr>
    <w:rPr>
      <w:rFonts w:eastAsia="仿宋_GB2312"/>
      <w:sz w:val="24"/>
      <w:szCs w:val="20"/>
    </w:rPr>
  </w:style>
  <w:style w:type="paragraph" w:customStyle="1" w:styleId="764">
    <w:name w:val="1标题2级"/>
    <w:basedOn w:val="1"/>
    <w:qFormat/>
    <w:uiPriority w:val="0"/>
    <w:pPr>
      <w:keepNext/>
      <w:snapToGrid w:val="0"/>
      <w:spacing w:before="60" w:line="420" w:lineRule="auto"/>
      <w:ind w:firstLine="200" w:firstLineChars="200"/>
    </w:pPr>
    <w:rPr>
      <w:rFonts w:eastAsia="黑体"/>
      <w:b/>
      <w:sz w:val="30"/>
      <w:szCs w:val="20"/>
    </w:rPr>
  </w:style>
  <w:style w:type="paragraph" w:customStyle="1" w:styleId="765">
    <w:name w:val="Char Char1 Char Char Char1 Char Char Char Char Char Char Char Char Char Char Char Char Char Char Char Char Char Char Char Char Char Char"/>
    <w:basedOn w:val="1"/>
    <w:qFormat/>
    <w:uiPriority w:val="0"/>
    <w:pPr>
      <w:spacing w:beforeLines="20" w:line="440" w:lineRule="atLeast"/>
      <w:ind w:firstLine="200" w:firstLineChars="200"/>
    </w:pPr>
    <w:rPr>
      <w:sz w:val="24"/>
    </w:rPr>
  </w:style>
  <w:style w:type="paragraph" w:customStyle="1" w:styleId="766">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767">
    <w:name w:val="表1"/>
    <w:basedOn w:val="1"/>
    <w:next w:val="1"/>
    <w:qFormat/>
    <w:uiPriority w:val="0"/>
    <w:pPr>
      <w:spacing w:line="300" w:lineRule="auto"/>
      <w:ind w:left="900" w:leftChars="200" w:hanging="480" w:hangingChars="200"/>
      <w:jc w:val="center"/>
    </w:pPr>
    <w:rPr>
      <w:sz w:val="24"/>
    </w:rPr>
  </w:style>
  <w:style w:type="paragraph" w:customStyle="1" w:styleId="768">
    <w:name w:val="表文_M5"/>
    <w:qFormat/>
    <w:uiPriority w:val="0"/>
    <w:pPr>
      <w:widowControl w:val="0"/>
      <w:spacing w:line="360" w:lineRule="exact"/>
      <w:jc w:val="center"/>
    </w:pPr>
    <w:rPr>
      <w:rFonts w:ascii="Garamond" w:hAnsi="Garamond" w:eastAsia="楷体_GB2312" w:cs="Times New Roman"/>
      <w:bCs/>
      <w:color w:val="000000"/>
      <w:sz w:val="21"/>
      <w:szCs w:val="21"/>
      <w:lang w:val="en-US" w:eastAsia="zh-CN" w:bidi="ar-SA"/>
    </w:rPr>
  </w:style>
  <w:style w:type="paragraph" w:customStyle="1" w:styleId="769">
    <w:name w:val="样式9"/>
    <w:basedOn w:val="6"/>
    <w:qFormat/>
    <w:uiPriority w:val="0"/>
    <w:pPr>
      <w:widowControl w:val="0"/>
      <w:tabs>
        <w:tab w:val="left" w:pos="2903"/>
      </w:tabs>
      <w:spacing w:before="120" w:after="0" w:line="240" w:lineRule="auto"/>
      <w:ind w:left="2903" w:hanging="563" w:firstLineChars="0"/>
      <w:jc w:val="center"/>
    </w:pPr>
    <w:rPr>
      <w:rFonts w:ascii="Arial" w:hAnsi="Arial" w:eastAsia="仿宋_GB2312"/>
      <w:bCs w:val="0"/>
      <w:kern w:val="0"/>
      <w:sz w:val="24"/>
      <w:szCs w:val="20"/>
    </w:rPr>
  </w:style>
  <w:style w:type="paragraph" w:customStyle="1" w:styleId="770">
    <w:name w:val="title2"/>
    <w:basedOn w:val="1"/>
    <w:qFormat/>
    <w:uiPriority w:val="0"/>
    <w:pPr>
      <w:widowControl/>
      <w:spacing w:before="100" w:beforeAutospacing="1" w:after="100" w:afterAutospacing="1" w:line="312" w:lineRule="auto"/>
      <w:jc w:val="left"/>
    </w:pPr>
    <w:rPr>
      <w:kern w:val="0"/>
      <w:szCs w:val="21"/>
    </w:rPr>
  </w:style>
  <w:style w:type="paragraph" w:customStyle="1" w:styleId="771">
    <w:name w:val="燕山正文"/>
    <w:basedOn w:val="1"/>
    <w:qFormat/>
    <w:uiPriority w:val="0"/>
    <w:pPr>
      <w:tabs>
        <w:tab w:val="left" w:pos="4680"/>
      </w:tabs>
      <w:adjustRightInd w:val="0"/>
      <w:snapToGrid w:val="0"/>
      <w:spacing w:line="360" w:lineRule="auto"/>
      <w:ind w:firstLine="560" w:firstLineChars="200"/>
    </w:pPr>
    <w:rPr>
      <w:rFonts w:ascii="宋体" w:hAnsi="宋体"/>
      <w:color w:val="000000"/>
      <w:sz w:val="28"/>
      <w:szCs w:val="28"/>
    </w:rPr>
  </w:style>
  <w:style w:type="paragraph" w:customStyle="1" w:styleId="772">
    <w:name w:val="表格样式"/>
    <w:basedOn w:val="1"/>
    <w:qFormat/>
    <w:uiPriority w:val="0"/>
    <w:pPr>
      <w:adjustRightInd w:val="0"/>
      <w:snapToGrid w:val="0"/>
    </w:pPr>
    <w:rPr>
      <w:sz w:val="24"/>
    </w:rPr>
  </w:style>
  <w:style w:type="paragraph" w:customStyle="1" w:styleId="773">
    <w:name w:val="Char Char Char2 Char Char Char"/>
    <w:basedOn w:val="1"/>
    <w:qFormat/>
    <w:uiPriority w:val="0"/>
    <w:pPr>
      <w:spacing w:beforeLines="20" w:line="440" w:lineRule="atLeast"/>
      <w:ind w:firstLine="200" w:firstLineChars="200"/>
    </w:pPr>
    <w:rPr>
      <w:sz w:val="24"/>
    </w:rPr>
  </w:style>
  <w:style w:type="paragraph" w:customStyle="1" w:styleId="774">
    <w:name w:val="f&lt;4&gt;23.5"/>
    <w:qFormat/>
    <w:uiPriority w:val="0"/>
    <w:pPr>
      <w:widowControl w:val="0"/>
      <w:adjustRightInd w:val="0"/>
      <w:spacing w:line="470" w:lineRule="atLeast"/>
      <w:textAlignment w:val="baseline"/>
    </w:pPr>
    <w:rPr>
      <w:rFonts w:ascii="仿宋体" w:hAnsi="Times New Roman" w:eastAsia="仿宋体" w:cs="Times New Roman"/>
      <w:kern w:val="24"/>
      <w:sz w:val="24"/>
      <w:lang w:val="en-US" w:eastAsia="zh-CN" w:bidi="ar-SA"/>
    </w:rPr>
  </w:style>
  <w:style w:type="paragraph" w:customStyle="1" w:styleId="775">
    <w:name w:val="新正文"/>
    <w:basedOn w:val="1"/>
    <w:qFormat/>
    <w:uiPriority w:val="0"/>
    <w:pPr>
      <w:spacing w:before="60" w:line="460" w:lineRule="exact"/>
      <w:ind w:firstLine="200" w:firstLineChars="200"/>
    </w:pPr>
    <w:rPr>
      <w:sz w:val="24"/>
    </w:rPr>
  </w:style>
  <w:style w:type="paragraph" w:customStyle="1" w:styleId="776">
    <w:name w:val="正文3"/>
    <w:qFormat/>
    <w:uiPriority w:val="0"/>
    <w:pPr>
      <w:widowControl w:val="0"/>
      <w:adjustRightInd w:val="0"/>
      <w:spacing w:before="60" w:line="360" w:lineRule="atLeast"/>
      <w:jc w:val="both"/>
      <w:textAlignment w:val="baseline"/>
    </w:pPr>
    <w:rPr>
      <w:rFonts w:ascii="宋体" w:hAnsi="Times New Roman" w:eastAsia="宋体" w:cs="Times New Roman"/>
      <w:sz w:val="24"/>
      <w:lang w:val="en-US" w:eastAsia="zh-CN" w:bidi="ar-SA"/>
    </w:rPr>
  </w:style>
  <w:style w:type="paragraph" w:customStyle="1" w:styleId="777">
    <w:name w:val="4"/>
    <w:basedOn w:val="1"/>
    <w:next w:val="39"/>
    <w:qFormat/>
    <w:uiPriority w:val="0"/>
    <w:pPr>
      <w:spacing w:before="60" w:line="20" w:lineRule="atLeast"/>
      <w:ind w:left="-85" w:leftChars="-85" w:right="-187" w:rightChars="-187" w:firstLine="200" w:firstLineChars="200"/>
    </w:pPr>
    <w:rPr>
      <w:bCs/>
      <w:sz w:val="28"/>
    </w:rPr>
  </w:style>
  <w:style w:type="paragraph" w:customStyle="1" w:styleId="778">
    <w:name w:val="修订1"/>
    <w:qFormat/>
    <w:uiPriority w:val="99"/>
    <w:rPr>
      <w:rFonts w:ascii="Calibri" w:hAnsi="Calibri" w:eastAsia="宋体" w:cs="Times New Roman"/>
      <w:kern w:val="2"/>
      <w:sz w:val="21"/>
      <w:szCs w:val="22"/>
      <w:lang w:val="en-US" w:eastAsia="zh-CN" w:bidi="ar-SA"/>
    </w:rPr>
  </w:style>
  <w:style w:type="paragraph" w:customStyle="1" w:styleId="779">
    <w:name w:val="正文文本 21"/>
    <w:basedOn w:val="1"/>
    <w:qFormat/>
    <w:uiPriority w:val="0"/>
    <w:pPr>
      <w:adjustRightInd w:val="0"/>
      <w:spacing w:before="60" w:line="460" w:lineRule="exact"/>
      <w:ind w:right="9" w:firstLine="630"/>
      <w:textAlignment w:val="baseline"/>
    </w:pPr>
    <w:rPr>
      <w:rFonts w:ascii="楷体_GB2312" w:eastAsia="楷体_GB2312"/>
      <w:sz w:val="28"/>
      <w:szCs w:val="20"/>
    </w:rPr>
  </w:style>
  <w:style w:type="paragraph" w:customStyle="1" w:styleId="780">
    <w:name w:val="表格_表头"/>
    <w:next w:val="1"/>
    <w:qFormat/>
    <w:uiPriority w:val="0"/>
    <w:pPr>
      <w:widowControl w:val="0"/>
      <w:spacing w:line="258" w:lineRule="atLeast"/>
      <w:jc w:val="center"/>
    </w:pPr>
    <w:rPr>
      <w:rFonts w:ascii="Times New Roman" w:hAnsi="Times New Roman" w:eastAsia="宋体" w:cs="Times New Roman"/>
      <w:b/>
      <w:bCs/>
      <w:kern w:val="2"/>
      <w:sz w:val="21"/>
      <w:szCs w:val="16"/>
      <w:lang w:val="en-US" w:eastAsia="zh-CN" w:bidi="ar-SA"/>
    </w:rPr>
  </w:style>
  <w:style w:type="paragraph" w:customStyle="1" w:styleId="781">
    <w:name w:val="Char Char Char 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782">
    <w:name w:val="样式 正文001 + Times New Roman Char Char Char"/>
    <w:basedOn w:val="707"/>
    <w:qFormat/>
    <w:uiPriority w:val="0"/>
    <w:pPr>
      <w:spacing w:before="60" w:line="460" w:lineRule="exact"/>
      <w:ind w:firstLine="482" w:firstLineChars="0"/>
    </w:pPr>
  </w:style>
  <w:style w:type="paragraph" w:customStyle="1" w:styleId="783">
    <w:name w:val="Char Char Char Char Char Char Char Char Char1"/>
    <w:basedOn w:val="1"/>
    <w:qFormat/>
    <w:uiPriority w:val="0"/>
    <w:pPr>
      <w:spacing w:line="360" w:lineRule="auto"/>
      <w:ind w:firstLine="200" w:firstLineChars="200"/>
    </w:pPr>
    <w:rPr>
      <w:rFonts w:ascii="宋体" w:hAnsi="宋体"/>
      <w:sz w:val="24"/>
      <w:szCs w:val="20"/>
    </w:rPr>
  </w:style>
  <w:style w:type="paragraph" w:customStyle="1" w:styleId="784">
    <w:name w:val="正文（首行缩进）"/>
    <w:basedOn w:val="1"/>
    <w:qFormat/>
    <w:uiPriority w:val="0"/>
    <w:pPr>
      <w:autoSpaceDE w:val="0"/>
      <w:autoSpaceDN w:val="0"/>
      <w:adjustRightInd w:val="0"/>
      <w:snapToGrid w:val="0"/>
      <w:spacing w:before="60" w:afterLines="50" w:line="460" w:lineRule="exact"/>
      <w:ind w:firstLine="200" w:firstLineChars="200"/>
    </w:pPr>
    <w:rPr>
      <w:rFonts w:ascii="仿宋_GB2312" w:eastAsia="仿宋_GB2312"/>
      <w:kern w:val="0"/>
      <w:sz w:val="24"/>
      <w:szCs w:val="25"/>
    </w:rPr>
  </w:style>
  <w:style w:type="paragraph" w:customStyle="1" w:styleId="785">
    <w:name w:val="标题03"/>
    <w:basedOn w:val="1"/>
    <w:next w:val="1"/>
    <w:qFormat/>
    <w:uiPriority w:val="0"/>
    <w:pPr>
      <w:spacing w:line="480" w:lineRule="atLeast"/>
      <w:ind w:firstLine="480"/>
    </w:pPr>
    <w:rPr>
      <w:b/>
      <w:sz w:val="24"/>
      <w:szCs w:val="20"/>
    </w:rPr>
  </w:style>
  <w:style w:type="paragraph" w:customStyle="1" w:styleId="786">
    <w:name w:val="标题 31"/>
    <w:basedOn w:val="1"/>
    <w:next w:val="1"/>
    <w:qFormat/>
    <w:uiPriority w:val="0"/>
    <w:pPr>
      <w:keepNext/>
      <w:keepLines/>
      <w:adjustRightInd w:val="0"/>
      <w:spacing w:before="120" w:after="120" w:line="500" w:lineRule="exact"/>
      <w:ind w:firstLine="200" w:firstLineChars="200"/>
      <w:textAlignment w:val="baseline"/>
    </w:pPr>
    <w:rPr>
      <w:rFonts w:ascii="宋体" w:hAnsi="宋体" w:eastAsia="黑体"/>
      <w:sz w:val="30"/>
      <w:szCs w:val="20"/>
    </w:rPr>
  </w:style>
  <w:style w:type="paragraph" w:customStyle="1" w:styleId="787">
    <w:name w:val="框图"/>
    <w:basedOn w:val="1"/>
    <w:qFormat/>
    <w:uiPriority w:val="0"/>
    <w:pPr>
      <w:adjustRightInd w:val="0"/>
      <w:snapToGrid w:val="0"/>
      <w:spacing w:before="60" w:line="320" w:lineRule="exact"/>
      <w:ind w:firstLine="200" w:firstLineChars="200"/>
      <w:jc w:val="center"/>
    </w:pPr>
    <w:rPr>
      <w:kern w:val="0"/>
      <w:szCs w:val="20"/>
    </w:rPr>
  </w:style>
  <w:style w:type="paragraph" w:customStyle="1" w:styleId="788">
    <w:name w:val="Char2 Char Char Char Char Char Char Char Char Char Char Char Char"/>
    <w:basedOn w:val="1"/>
    <w:qFormat/>
    <w:uiPriority w:val="0"/>
    <w:pPr>
      <w:spacing w:beforeLines="20" w:line="440" w:lineRule="atLeast"/>
      <w:ind w:firstLine="200" w:firstLineChars="200"/>
    </w:pPr>
    <w:rPr>
      <w:sz w:val="24"/>
    </w:rPr>
  </w:style>
  <w:style w:type="paragraph" w:customStyle="1" w:styleId="789">
    <w:name w:val="Char1 Char Char Char Char Char1"/>
    <w:basedOn w:val="1"/>
    <w:qFormat/>
    <w:uiPriority w:val="0"/>
    <w:rPr>
      <w:sz w:val="24"/>
    </w:rPr>
  </w:style>
  <w:style w:type="paragraph" w:customStyle="1" w:styleId="790">
    <w:name w:val="基准页眉样式"/>
    <w:basedOn w:val="34"/>
    <w:qFormat/>
    <w:uiPriority w:val="0"/>
    <w:pPr>
      <w:widowControl w:val="0"/>
      <w:spacing w:before="80" w:after="80" w:line="460" w:lineRule="exact"/>
      <w:ind w:right="0" w:firstLine="200" w:firstLineChars="200"/>
      <w:jc w:val="center"/>
    </w:pPr>
    <w:rPr>
      <w:color w:val="000000"/>
      <w:kern w:val="2"/>
      <w:sz w:val="24"/>
      <w:lang w:val="zh-CN"/>
    </w:rPr>
  </w:style>
  <w:style w:type="paragraph" w:customStyle="1" w:styleId="791">
    <w:name w:val="样式 2级标题 + Times New Roman"/>
    <w:basedOn w:val="568"/>
    <w:qFormat/>
    <w:uiPriority w:val="0"/>
    <w:rPr>
      <w:rFonts w:ascii="Times New Roman" w:hAnsi="Times New Roman"/>
      <w:bCs/>
      <w:szCs w:val="28"/>
    </w:rPr>
  </w:style>
  <w:style w:type="paragraph" w:customStyle="1" w:styleId="792">
    <w:name w:val="标题样式"/>
    <w:basedOn w:val="793"/>
    <w:qFormat/>
    <w:uiPriority w:val="0"/>
    <w:pPr>
      <w:keepLines/>
      <w:adjustRightInd w:val="0"/>
      <w:spacing w:before="0" w:line="360" w:lineRule="auto"/>
      <w:ind w:firstLine="0" w:firstLineChars="0"/>
      <w:jc w:val="left"/>
      <w:textAlignment w:val="baseline"/>
    </w:pPr>
    <w:rPr>
      <w:rFonts w:ascii="宋体" w:hAnsi="宋体"/>
      <w:szCs w:val="18"/>
    </w:rPr>
  </w:style>
  <w:style w:type="paragraph" w:customStyle="1" w:styleId="793">
    <w:name w:val="正文样式1"/>
    <w:basedOn w:val="1"/>
    <w:qFormat/>
    <w:uiPriority w:val="0"/>
    <w:pPr>
      <w:spacing w:before="60" w:line="460" w:lineRule="exact"/>
      <w:ind w:firstLine="200" w:firstLineChars="200"/>
    </w:pPr>
    <w:rPr>
      <w:kern w:val="0"/>
      <w:sz w:val="24"/>
    </w:rPr>
  </w:style>
  <w:style w:type="paragraph" w:customStyle="1" w:styleId="794">
    <w:name w:val="Char Char Char Char Char Char Char Char Char Char Char Char Char1 Char Char Char Char Char 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795">
    <w:name w:val="Char Char Char Char Char Char Char Char Char1 Char Char Char Char Char Char Char1"/>
    <w:basedOn w:val="1"/>
    <w:qFormat/>
    <w:uiPriority w:val="0"/>
    <w:pPr>
      <w:spacing w:line="360" w:lineRule="auto"/>
      <w:ind w:firstLine="200" w:firstLineChars="200"/>
    </w:pPr>
    <w:rPr>
      <w:rFonts w:ascii="宋体" w:hAnsi="宋体" w:cs="宋体"/>
      <w:sz w:val="24"/>
    </w:rPr>
  </w:style>
  <w:style w:type="paragraph" w:customStyle="1" w:styleId="796">
    <w:name w:val="Char Char Char2 Char Char Char Char Char Char Char Char Char Char Char Char Char Char Char"/>
    <w:basedOn w:val="1"/>
    <w:qFormat/>
    <w:uiPriority w:val="0"/>
    <w:pPr>
      <w:spacing w:beforeLines="20" w:line="440" w:lineRule="atLeast"/>
      <w:ind w:firstLine="200" w:firstLineChars="200"/>
    </w:pPr>
    <w:rPr>
      <w:sz w:val="24"/>
    </w:rPr>
  </w:style>
  <w:style w:type="paragraph" w:customStyle="1" w:styleId="797">
    <w:name w:val="font6"/>
    <w:basedOn w:val="1"/>
    <w:qFormat/>
    <w:uiPriority w:val="0"/>
    <w:pPr>
      <w:widowControl/>
      <w:spacing w:before="100" w:beforeAutospacing="1" w:after="100" w:afterAutospacing="1" w:line="460" w:lineRule="exact"/>
      <w:jc w:val="left"/>
    </w:pPr>
    <w:rPr>
      <w:rFonts w:ascii="宋体"/>
      <w:kern w:val="0"/>
      <w:szCs w:val="21"/>
    </w:rPr>
  </w:style>
  <w:style w:type="paragraph" w:customStyle="1" w:styleId="798">
    <w:name w:val="lsw表格文字"/>
    <w:basedOn w:val="1"/>
    <w:qFormat/>
    <w:uiPriority w:val="0"/>
    <w:pPr>
      <w:ind w:left="-32" w:leftChars="-32" w:hanging="67" w:hangingChars="32"/>
      <w:jc w:val="center"/>
    </w:pPr>
  </w:style>
  <w:style w:type="paragraph" w:customStyle="1" w:styleId="799">
    <w:name w:val="表格_正文"/>
    <w:qFormat/>
    <w:uiPriority w:val="0"/>
    <w:pPr>
      <w:snapToGrid w:val="0"/>
      <w:spacing w:before="60" w:after="60"/>
    </w:pPr>
    <w:rPr>
      <w:rFonts w:ascii="Times New Roman" w:hAnsi="Times New Roman" w:eastAsia="宋体" w:cs="Times New Roman"/>
      <w:sz w:val="21"/>
      <w:lang w:val="en-US" w:eastAsia="zh-CN" w:bidi="ar-SA"/>
    </w:rPr>
  </w:style>
  <w:style w:type="paragraph" w:customStyle="1" w:styleId="800">
    <w:name w:val="前言、引言标题"/>
    <w:next w:val="1"/>
    <w:qFormat/>
    <w:uiPriority w:val="0"/>
    <w:pPr>
      <w:shd w:val="clear" w:color="FFFFFF" w:fill="FFFFFF"/>
      <w:tabs>
        <w:tab w:val="left" w:pos="903"/>
      </w:tabs>
      <w:spacing w:before="640" w:after="560" w:line="460" w:lineRule="exact"/>
      <w:ind w:left="903" w:hanging="315"/>
      <w:jc w:val="center"/>
      <w:outlineLvl w:val="0"/>
    </w:pPr>
    <w:rPr>
      <w:rFonts w:ascii="黑体" w:hAnsi="Times New Roman" w:eastAsia="黑体" w:cs="Times New Roman"/>
      <w:sz w:val="32"/>
      <w:lang w:val="en-US" w:eastAsia="zh-CN" w:bidi="ar-SA"/>
    </w:rPr>
  </w:style>
  <w:style w:type="paragraph" w:customStyle="1" w:styleId="801">
    <w:name w:val="Char Char1 Char Char Char Char Char Char Char Char Char Char Char Char Char Char Char Char Char Char Char Char1 Char1"/>
    <w:basedOn w:val="1"/>
    <w:qFormat/>
    <w:uiPriority w:val="0"/>
    <w:pPr>
      <w:spacing w:line="360" w:lineRule="auto"/>
      <w:ind w:firstLine="200" w:firstLineChars="200"/>
    </w:pPr>
    <w:rPr>
      <w:rFonts w:ascii="宋体" w:hAnsi="宋体" w:cs="宋体"/>
      <w:sz w:val="24"/>
    </w:rPr>
  </w:style>
  <w:style w:type="paragraph" w:customStyle="1" w:styleId="802">
    <w:name w:val="Report List 1"/>
    <w:basedOn w:val="66"/>
    <w:semiHidden/>
    <w:qFormat/>
    <w:uiPriority w:val="0"/>
    <w:pPr>
      <w:widowControl/>
      <w:numPr>
        <w:ilvl w:val="0"/>
        <w:numId w:val="14"/>
      </w:numPr>
      <w:tabs>
        <w:tab w:val="left" w:pos="1440"/>
        <w:tab w:val="clear" w:pos="420"/>
      </w:tabs>
      <w:spacing w:before="138" w:line="360" w:lineRule="auto"/>
      <w:ind w:left="1440" w:hanging="360" w:firstLineChars="200"/>
      <w:jc w:val="left"/>
    </w:pPr>
    <w:rPr>
      <w:rFonts w:eastAsia="PMingLiU"/>
      <w:kern w:val="0"/>
      <w:szCs w:val="20"/>
      <w:lang w:val="en-GB" w:eastAsia="zh-TW"/>
    </w:rPr>
  </w:style>
  <w:style w:type="paragraph" w:customStyle="1" w:styleId="803">
    <w:name w:val="xl3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DFKai-SB" w:eastAsia="DFKai-SB"/>
      <w:kern w:val="0"/>
      <w:sz w:val="24"/>
      <w:lang w:eastAsia="zh-TW"/>
    </w:rPr>
  </w:style>
  <w:style w:type="paragraph" w:customStyle="1" w:styleId="804">
    <w:name w:val="五号表格"/>
    <w:basedOn w:val="1"/>
    <w:qFormat/>
    <w:uiPriority w:val="99"/>
    <w:pPr>
      <w:spacing w:line="360" w:lineRule="auto"/>
      <w:jc w:val="center"/>
    </w:pPr>
    <w:rPr>
      <w:kern w:val="0"/>
      <w:sz w:val="24"/>
      <w:szCs w:val="20"/>
    </w:rPr>
  </w:style>
  <w:style w:type="paragraph" w:customStyle="1" w:styleId="805">
    <w:name w:val="表居中（中文）"/>
    <w:basedOn w:val="1"/>
    <w:qFormat/>
    <w:uiPriority w:val="0"/>
    <w:pPr>
      <w:adjustRightInd w:val="0"/>
      <w:spacing w:before="60" w:line="380" w:lineRule="atLeast"/>
      <w:ind w:firstLine="200" w:firstLineChars="200"/>
      <w:jc w:val="center"/>
    </w:pPr>
    <w:rPr>
      <w:rFonts w:eastAsia="楷体_GB2312"/>
      <w:kern w:val="0"/>
      <w:szCs w:val="20"/>
    </w:rPr>
  </w:style>
  <w:style w:type="paragraph" w:customStyle="1" w:styleId="806">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460" w:lineRule="exact"/>
      <w:jc w:val="center"/>
      <w:textAlignment w:val="top"/>
    </w:pPr>
    <w:rPr>
      <w:kern w:val="0"/>
      <w:sz w:val="18"/>
      <w:szCs w:val="18"/>
    </w:rPr>
  </w:style>
  <w:style w:type="paragraph" w:customStyle="1" w:styleId="807">
    <w:name w:val="表2"/>
    <w:basedOn w:val="37"/>
    <w:qFormat/>
    <w:uiPriority w:val="0"/>
    <w:pPr>
      <w:tabs>
        <w:tab w:val="left" w:pos="8304"/>
      </w:tabs>
      <w:autoSpaceDE w:val="0"/>
      <w:autoSpaceDN w:val="0"/>
      <w:adjustRightInd w:val="0"/>
      <w:ind w:left="2" w:leftChars="0" w:right="-32" w:rightChars="-32" w:firstLine="0" w:firstLineChars="0"/>
      <w:jc w:val="center"/>
    </w:pPr>
    <w:rPr>
      <w:rFonts w:ascii="宋体" w:hAnsi="宋体"/>
      <w:bCs/>
      <w:color w:val="000000"/>
      <w:kern w:val="0"/>
      <w:szCs w:val="21"/>
    </w:rPr>
  </w:style>
  <w:style w:type="paragraph" w:customStyle="1" w:styleId="808">
    <w:name w:val="正文缩进1"/>
    <w:basedOn w:val="1"/>
    <w:qFormat/>
    <w:uiPriority w:val="0"/>
    <w:pPr>
      <w:widowControl/>
      <w:overflowPunct w:val="0"/>
      <w:autoSpaceDE w:val="0"/>
      <w:autoSpaceDN w:val="0"/>
      <w:adjustRightInd w:val="0"/>
      <w:spacing w:before="60" w:line="460" w:lineRule="exact"/>
      <w:ind w:firstLine="200"/>
      <w:textAlignment w:val="baseline"/>
    </w:pPr>
    <w:rPr>
      <w:kern w:val="0"/>
      <w:sz w:val="24"/>
    </w:rPr>
  </w:style>
  <w:style w:type="paragraph" w:customStyle="1" w:styleId="809">
    <w:name w:val="表题"/>
    <w:basedOn w:val="1"/>
    <w:qFormat/>
    <w:uiPriority w:val="0"/>
    <w:pPr>
      <w:snapToGrid w:val="0"/>
      <w:spacing w:before="60" w:line="460" w:lineRule="exact"/>
      <w:ind w:firstLine="200" w:firstLineChars="200"/>
      <w:jc w:val="center"/>
    </w:pPr>
    <w:rPr>
      <w:rFonts w:eastAsia="黑体"/>
      <w:sz w:val="24"/>
      <w:szCs w:val="20"/>
    </w:rPr>
  </w:style>
  <w:style w:type="paragraph" w:customStyle="1" w:styleId="810">
    <w:name w:val="表格编号"/>
    <w:basedOn w:val="1"/>
    <w:next w:val="1"/>
    <w:qFormat/>
    <w:uiPriority w:val="0"/>
    <w:pPr>
      <w:tabs>
        <w:tab w:val="left" w:pos="720"/>
      </w:tabs>
      <w:spacing w:before="300" w:after="200" w:line="460" w:lineRule="exact"/>
      <w:ind w:firstLine="200" w:firstLineChars="200"/>
      <w:jc w:val="center"/>
    </w:pPr>
    <w:rPr>
      <w:sz w:val="24"/>
      <w:szCs w:val="20"/>
    </w:rPr>
  </w:style>
  <w:style w:type="paragraph" w:customStyle="1" w:styleId="811">
    <w:name w:val="小四表文左齐"/>
    <w:basedOn w:val="1"/>
    <w:qFormat/>
    <w:uiPriority w:val="0"/>
    <w:pPr>
      <w:spacing w:before="60" w:line="460" w:lineRule="exact"/>
      <w:ind w:firstLine="200" w:firstLineChars="200"/>
      <w:jc w:val="center"/>
    </w:pPr>
  </w:style>
  <w:style w:type="paragraph" w:customStyle="1" w:styleId="812">
    <w:name w:val="批注框文本1"/>
    <w:basedOn w:val="1"/>
    <w:qFormat/>
    <w:uiPriority w:val="0"/>
    <w:pPr>
      <w:spacing w:before="60" w:line="460" w:lineRule="exact"/>
    </w:pPr>
    <w:rPr>
      <w:sz w:val="18"/>
      <w:szCs w:val="18"/>
    </w:rPr>
  </w:style>
  <w:style w:type="paragraph" w:customStyle="1" w:styleId="813">
    <w:name w:val="样式 首行缩进:  0.77 厘米 段前: 7.8 磅 段后: 0.5 行"/>
    <w:basedOn w:val="1"/>
    <w:qFormat/>
    <w:uiPriority w:val="0"/>
    <w:pPr>
      <w:snapToGrid w:val="0"/>
      <w:spacing w:after="120" w:line="480" w:lineRule="exact"/>
      <w:ind w:firstLine="437"/>
    </w:pPr>
    <w:rPr>
      <w:rFonts w:eastAsia="仿宋_GB2312"/>
      <w:sz w:val="28"/>
      <w:szCs w:val="20"/>
    </w:rPr>
  </w:style>
  <w:style w:type="paragraph" w:customStyle="1" w:styleId="814">
    <w:name w:val="brdrw15brsp20 tqctx4153t"/>
    <w:qFormat/>
    <w:uiPriority w:val="0"/>
    <w:pPr>
      <w:widowControl w:val="0"/>
      <w:pBdr>
        <w:bottom w:val="single" w:color="auto" w:sz="6" w:space="0"/>
      </w:pBdr>
      <w:adjustRightInd w:val="0"/>
      <w:spacing w:before="60" w:line="312" w:lineRule="atLeast"/>
      <w:jc w:val="center"/>
      <w:textAlignment w:val="baseline"/>
    </w:pPr>
    <w:rPr>
      <w:rFonts w:ascii="Times New Roman" w:hAnsi="Times New Roman" w:eastAsia="宋体" w:cs="Times New Roman"/>
      <w:sz w:val="21"/>
      <w:lang w:val="en-US" w:eastAsia="zh-CN" w:bidi="ar-SA"/>
    </w:rPr>
  </w:style>
  <w:style w:type="paragraph" w:customStyle="1" w:styleId="815">
    <w:name w:val="表格样式2"/>
    <w:basedOn w:val="1"/>
    <w:qFormat/>
    <w:uiPriority w:val="0"/>
    <w:pPr>
      <w:spacing w:before="60" w:line="320" w:lineRule="exact"/>
      <w:jc w:val="center"/>
    </w:pPr>
    <w:rPr>
      <w:color w:val="000000"/>
      <w:szCs w:val="21"/>
    </w:rPr>
  </w:style>
  <w:style w:type="paragraph" w:customStyle="1" w:styleId="816">
    <w:name w:val="p15"/>
    <w:basedOn w:val="1"/>
    <w:qFormat/>
    <w:uiPriority w:val="0"/>
    <w:pPr>
      <w:widowControl/>
      <w:spacing w:before="60" w:line="460" w:lineRule="atLeast"/>
      <w:jc w:val="left"/>
    </w:pPr>
    <w:rPr>
      <w:kern w:val="0"/>
      <w:szCs w:val="21"/>
    </w:rPr>
  </w:style>
  <w:style w:type="paragraph" w:customStyle="1" w:styleId="817">
    <w:name w:val="样式20"/>
    <w:basedOn w:val="1"/>
    <w:qFormat/>
    <w:uiPriority w:val="0"/>
    <w:pPr>
      <w:spacing w:line="500" w:lineRule="exact"/>
      <w:ind w:firstLine="141" w:firstLineChars="50"/>
      <w:outlineLvl w:val="1"/>
    </w:pPr>
    <w:rPr>
      <w:rFonts w:eastAsia="Times New Roman"/>
      <w:b/>
      <w:sz w:val="28"/>
    </w:rPr>
  </w:style>
  <w:style w:type="paragraph" w:customStyle="1" w:styleId="818">
    <w:name w:val="正文文本缩进 21"/>
    <w:basedOn w:val="1"/>
    <w:qFormat/>
    <w:uiPriority w:val="0"/>
    <w:pPr>
      <w:adjustRightInd w:val="0"/>
      <w:spacing w:before="60" w:after="120" w:line="480" w:lineRule="auto"/>
      <w:ind w:left="420" w:firstLine="200" w:firstLineChars="200"/>
      <w:textAlignment w:val="baseline"/>
    </w:pPr>
    <w:rPr>
      <w:rFonts w:ascii="宋体"/>
      <w:sz w:val="24"/>
      <w:szCs w:val="20"/>
    </w:rPr>
  </w:style>
  <w:style w:type="paragraph" w:customStyle="1" w:styleId="819">
    <w:name w:val="my1"/>
    <w:basedOn w:val="594"/>
    <w:qFormat/>
    <w:uiPriority w:val="0"/>
    <w:pPr>
      <w:widowControl/>
      <w:spacing w:before="240" w:line="440" w:lineRule="exact"/>
      <w:ind w:firstLine="0" w:firstLineChars="0"/>
    </w:pPr>
    <w:rPr>
      <w:szCs w:val="20"/>
    </w:rPr>
  </w:style>
  <w:style w:type="paragraph" w:customStyle="1" w:styleId="820">
    <w:name w:val="Char Char Char2 Char Char Char Char Char Char Char Char Char Char Char Char Char Char Char Char Char Char Char Char"/>
    <w:basedOn w:val="1"/>
    <w:qFormat/>
    <w:uiPriority w:val="0"/>
    <w:pPr>
      <w:spacing w:before="20" w:beforeLines="20" w:line="440" w:lineRule="atLeast"/>
      <w:ind w:firstLine="200" w:firstLineChars="200"/>
    </w:pPr>
    <w:rPr>
      <w:sz w:val="24"/>
    </w:rPr>
  </w:style>
  <w:style w:type="paragraph" w:customStyle="1" w:styleId="821">
    <w:name w:val="环正文"/>
    <w:basedOn w:val="1"/>
    <w:qFormat/>
    <w:uiPriority w:val="0"/>
    <w:pPr>
      <w:widowControl/>
      <w:tabs>
        <w:tab w:val="left" w:pos="5094"/>
      </w:tabs>
      <w:adjustRightInd w:val="0"/>
      <w:snapToGrid w:val="0"/>
      <w:spacing w:beforeLines="50" w:line="360" w:lineRule="auto"/>
      <w:ind w:firstLine="218" w:firstLineChars="218"/>
      <w:textAlignment w:val="baseline"/>
    </w:pPr>
    <w:rPr>
      <w:rFonts w:ascii="宋体"/>
      <w:kern w:val="0"/>
      <w:sz w:val="24"/>
      <w:szCs w:val="20"/>
    </w:rPr>
  </w:style>
  <w:style w:type="paragraph" w:customStyle="1" w:styleId="822">
    <w:name w:val="td"/>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823">
    <w:name w:val="正文文本 31"/>
    <w:basedOn w:val="1"/>
    <w:semiHidden/>
    <w:qFormat/>
    <w:uiPriority w:val="0"/>
    <w:pPr>
      <w:adjustRightInd w:val="0"/>
      <w:spacing w:line="360" w:lineRule="atLeast"/>
      <w:jc w:val="center"/>
      <w:textAlignment w:val="baseline"/>
    </w:pPr>
    <w:rPr>
      <w:rFonts w:ascii="仿宋体" w:eastAsia="仿宋体"/>
      <w:kern w:val="0"/>
      <w:sz w:val="24"/>
      <w:szCs w:val="20"/>
    </w:rPr>
  </w:style>
  <w:style w:type="paragraph" w:customStyle="1" w:styleId="824">
    <w:name w:val="reader-word-layer reader-word-s1-19"/>
    <w:basedOn w:val="1"/>
    <w:qFormat/>
    <w:uiPriority w:val="0"/>
    <w:pPr>
      <w:widowControl/>
      <w:spacing w:before="100" w:beforeAutospacing="1" w:after="100" w:afterAutospacing="1"/>
      <w:jc w:val="left"/>
    </w:pPr>
    <w:rPr>
      <w:rFonts w:ascii="宋体" w:hAnsi="宋体" w:cs="宋体"/>
      <w:kern w:val="0"/>
      <w:sz w:val="24"/>
    </w:rPr>
  </w:style>
  <w:style w:type="paragraph" w:customStyle="1" w:styleId="825">
    <w:name w:val="y表格"/>
    <w:basedOn w:val="34"/>
    <w:qFormat/>
    <w:uiPriority w:val="0"/>
    <w:pPr>
      <w:adjustRightInd w:val="0"/>
      <w:spacing w:after="0" w:line="460" w:lineRule="exact"/>
      <w:ind w:right="0" w:firstLine="200" w:firstLineChars="200"/>
      <w:jc w:val="center"/>
      <w:textAlignment w:val="baseline"/>
    </w:pPr>
    <w:rPr>
      <w:rFonts w:ascii="宋体"/>
      <w:sz w:val="24"/>
      <w:lang w:val="zh-CN"/>
    </w:rPr>
  </w:style>
  <w:style w:type="paragraph" w:customStyle="1" w:styleId="826">
    <w:name w:val="1 Char Char Char"/>
    <w:basedOn w:val="1"/>
    <w:qFormat/>
    <w:uiPriority w:val="0"/>
    <w:pPr>
      <w:spacing w:before="60" w:line="360" w:lineRule="auto"/>
      <w:ind w:firstLine="200" w:firstLineChars="200"/>
    </w:pPr>
    <w:rPr>
      <w:rFonts w:ascii="宋体" w:cs="宋体"/>
      <w:sz w:val="24"/>
    </w:rPr>
  </w:style>
  <w:style w:type="paragraph" w:customStyle="1" w:styleId="827">
    <w:name w:val="样式 题注 + 小四"/>
    <w:basedOn w:val="22"/>
    <w:qFormat/>
    <w:uiPriority w:val="0"/>
    <w:pPr>
      <w:keepNext/>
      <w:tabs>
        <w:tab w:val="left" w:pos="1727"/>
        <w:tab w:val="left" w:pos="1884"/>
      </w:tabs>
      <w:spacing w:before="0" w:after="0" w:line="360" w:lineRule="auto"/>
    </w:pPr>
    <w:rPr>
      <w:rFonts w:hint="eastAsia" w:ascii="Times New Roman" w:hAnsi="Times New Roman" w:cs="Times New Roman"/>
      <w:sz w:val="24"/>
      <w:szCs w:val="20"/>
    </w:rPr>
  </w:style>
  <w:style w:type="paragraph" w:customStyle="1" w:styleId="828">
    <w:name w:val="样式 正文缩进首行缩进两字标题4正文不缩进s4正文（首行缩进两字） Char Char Char Char Char ..."/>
    <w:basedOn w:val="21"/>
    <w:qFormat/>
    <w:uiPriority w:val="0"/>
    <w:pPr>
      <w:widowControl w:val="0"/>
      <w:ind w:firstLine="480"/>
    </w:pPr>
    <w:rPr>
      <w:rFonts w:ascii="Arial" w:hAnsi="Arial"/>
      <w:color w:val="FF0000"/>
      <w:lang w:val="zh-CN"/>
    </w:rPr>
  </w:style>
  <w:style w:type="paragraph" w:customStyle="1" w:styleId="829">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830">
    <w:name w:val="二级无标题条"/>
    <w:basedOn w:val="1"/>
    <w:qFormat/>
    <w:uiPriority w:val="0"/>
    <w:pPr>
      <w:spacing w:before="60" w:line="460" w:lineRule="exact"/>
    </w:pPr>
  </w:style>
  <w:style w:type="paragraph" w:customStyle="1" w:styleId="831">
    <w:name w:val="列表段落1"/>
    <w:basedOn w:val="1"/>
    <w:qFormat/>
    <w:uiPriority w:val="0"/>
    <w:pPr>
      <w:ind w:firstLine="420" w:firstLineChars="200"/>
    </w:pPr>
    <w:rPr>
      <w:szCs w:val="21"/>
    </w:rPr>
  </w:style>
  <w:style w:type="paragraph" w:customStyle="1" w:styleId="832">
    <w:name w:val="CM4"/>
    <w:basedOn w:val="1"/>
    <w:next w:val="1"/>
    <w:qFormat/>
    <w:uiPriority w:val="0"/>
    <w:pPr>
      <w:autoSpaceDE w:val="0"/>
      <w:autoSpaceDN w:val="0"/>
      <w:adjustRightInd w:val="0"/>
      <w:spacing w:line="468" w:lineRule="atLeast"/>
      <w:jc w:val="left"/>
    </w:pPr>
    <w:rPr>
      <w:rFonts w:ascii="楷体_GB2312" w:eastAsia="楷体_GB2312"/>
      <w:kern w:val="0"/>
      <w:sz w:val="24"/>
    </w:rPr>
  </w:style>
  <w:style w:type="paragraph" w:customStyle="1" w:styleId="833">
    <w:name w:val="样式 四号 首行缩进:  2 字符"/>
    <w:basedOn w:val="1"/>
    <w:qFormat/>
    <w:uiPriority w:val="0"/>
    <w:pPr>
      <w:spacing w:line="480" w:lineRule="atLeast"/>
      <w:ind w:firstLine="200" w:firstLineChars="200"/>
    </w:pPr>
    <w:rPr>
      <w:sz w:val="24"/>
      <w:szCs w:val="20"/>
    </w:rPr>
  </w:style>
  <w:style w:type="paragraph" w:customStyle="1" w:styleId="834">
    <w:name w:val="样式 样式 正文1 + 段前: 0.1 行 + 段前: 0.1 行"/>
    <w:basedOn w:val="1"/>
    <w:qFormat/>
    <w:uiPriority w:val="99"/>
    <w:pPr>
      <w:snapToGrid w:val="0"/>
      <w:spacing w:beforeLines="10" w:line="440" w:lineRule="atLeast"/>
      <w:ind w:firstLine="567"/>
    </w:pPr>
    <w:rPr>
      <w:rFonts w:cs="宋体"/>
      <w:sz w:val="24"/>
      <w:szCs w:val="20"/>
    </w:rPr>
  </w:style>
  <w:style w:type="paragraph" w:customStyle="1" w:styleId="835">
    <w:name w:val="Char Char21"/>
    <w:basedOn w:val="1"/>
    <w:qFormat/>
    <w:uiPriority w:val="0"/>
    <w:pPr>
      <w:spacing w:before="60" w:line="360" w:lineRule="auto"/>
      <w:ind w:firstLine="200" w:firstLineChars="200"/>
    </w:pPr>
    <w:rPr>
      <w:rFonts w:ascii="宋体" w:cs="宋体"/>
      <w:sz w:val="24"/>
    </w:rPr>
  </w:style>
  <w:style w:type="paragraph" w:customStyle="1" w:styleId="836">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Arial" w:hAnsi="Arial" w:cs="Arial"/>
      <w:kern w:val="0"/>
      <w:sz w:val="24"/>
    </w:rPr>
  </w:style>
  <w:style w:type="paragraph" w:customStyle="1" w:styleId="837">
    <w:name w:val="CM13"/>
    <w:basedOn w:val="1"/>
    <w:next w:val="1"/>
    <w:qFormat/>
    <w:uiPriority w:val="0"/>
    <w:pPr>
      <w:autoSpaceDE w:val="0"/>
      <w:autoSpaceDN w:val="0"/>
      <w:adjustRightInd w:val="0"/>
      <w:jc w:val="left"/>
    </w:pPr>
    <w:rPr>
      <w:rFonts w:ascii="楷体_GB2312" w:eastAsia="楷体_GB2312"/>
      <w:kern w:val="0"/>
      <w:sz w:val="24"/>
    </w:rPr>
  </w:style>
  <w:style w:type="paragraph" w:customStyle="1" w:styleId="838">
    <w:name w:val="正文b"/>
    <w:basedOn w:val="1"/>
    <w:qFormat/>
    <w:uiPriority w:val="0"/>
    <w:pPr>
      <w:spacing w:line="360" w:lineRule="auto"/>
      <w:ind w:firstLine="200" w:firstLineChars="200"/>
    </w:pPr>
    <w:rPr>
      <w:rFonts w:cs="宋体"/>
      <w:sz w:val="24"/>
      <w:szCs w:val="20"/>
    </w:rPr>
  </w:style>
  <w:style w:type="paragraph" w:customStyle="1" w:styleId="839">
    <w:name w:val="四级标题"/>
    <w:basedOn w:val="589"/>
    <w:qFormat/>
    <w:uiPriority w:val="0"/>
    <w:pPr>
      <w:adjustRightInd/>
      <w:snapToGrid/>
      <w:spacing w:before="60" w:line="460" w:lineRule="exact"/>
      <w:jc w:val="both"/>
      <w:outlineLvl w:val="9"/>
    </w:pPr>
    <w:rPr>
      <w:rFonts w:ascii="Times New Roman" w:hAnsi="Times New Roman" w:eastAsia="宋体"/>
      <w:b/>
      <w:snapToGrid/>
      <w:kern w:val="2"/>
      <w:sz w:val="24"/>
    </w:rPr>
  </w:style>
  <w:style w:type="paragraph" w:customStyle="1" w:styleId="840">
    <w:name w:val="表格001"/>
    <w:basedOn w:val="1"/>
    <w:qFormat/>
    <w:uiPriority w:val="0"/>
    <w:pPr>
      <w:spacing w:before="60" w:line="360" w:lineRule="exact"/>
      <w:jc w:val="center"/>
    </w:pPr>
    <w:rPr>
      <w:rFonts w:ascii="Arial" w:hAnsi="Arial"/>
      <w:sz w:val="24"/>
    </w:rPr>
  </w:style>
  <w:style w:type="paragraph" w:customStyle="1" w:styleId="841">
    <w:name w:val="zxj三级节标题"/>
    <w:basedOn w:val="1"/>
    <w:next w:val="1"/>
    <w:qFormat/>
    <w:uiPriority w:val="0"/>
    <w:pPr>
      <w:tabs>
        <w:tab w:val="left" w:pos="1425"/>
      </w:tabs>
      <w:snapToGrid w:val="0"/>
      <w:spacing w:beforeLines="100" w:afterLines="50" w:line="360" w:lineRule="auto"/>
      <w:ind w:left="420" w:leftChars="200"/>
      <w:outlineLvl w:val="2"/>
    </w:pPr>
    <w:rPr>
      <w:rFonts w:ascii="楷体_GB2312" w:eastAsia="黑体"/>
      <w:b/>
      <w:sz w:val="24"/>
      <w:szCs w:val="21"/>
    </w:rPr>
  </w:style>
  <w:style w:type="paragraph" w:customStyle="1" w:styleId="842">
    <w:name w:val="报告表格"/>
    <w:basedOn w:val="1"/>
    <w:qFormat/>
    <w:uiPriority w:val="0"/>
    <w:pPr>
      <w:autoSpaceDE w:val="0"/>
      <w:autoSpaceDN w:val="0"/>
      <w:adjustRightInd w:val="0"/>
      <w:spacing w:before="40" w:after="40"/>
      <w:jc w:val="center"/>
      <w:textAlignment w:val="bottom"/>
    </w:pPr>
    <w:rPr>
      <w:kern w:val="0"/>
      <w:szCs w:val="20"/>
    </w:rPr>
  </w:style>
  <w:style w:type="paragraph" w:customStyle="1" w:styleId="843">
    <w:name w:val="标1"/>
    <w:basedOn w:val="1"/>
    <w:qFormat/>
    <w:uiPriority w:val="0"/>
    <w:pPr>
      <w:spacing w:before="60" w:line="460" w:lineRule="exact"/>
      <w:ind w:firstLine="200" w:firstLineChars="200"/>
      <w:outlineLvl w:val="0"/>
    </w:pPr>
    <w:rPr>
      <w:b/>
      <w:sz w:val="32"/>
      <w:szCs w:val="20"/>
    </w:rPr>
  </w:style>
  <w:style w:type="paragraph" w:customStyle="1" w:styleId="844">
    <w:name w:val="样式 样式 标题1 + 段前: 0.5 行 + 段前: 0.5 行"/>
    <w:basedOn w:val="740"/>
    <w:qFormat/>
    <w:uiPriority w:val="0"/>
    <w:pPr>
      <w:spacing w:beforeLines="0"/>
    </w:pPr>
  </w:style>
  <w:style w:type="paragraph" w:customStyle="1" w:styleId="845">
    <w:name w:val="样式 左侧:  -0.21 厘米 首行缩进:  0.85 厘米 右侧:  -0.21 厘米1"/>
    <w:basedOn w:val="1"/>
    <w:qFormat/>
    <w:uiPriority w:val="0"/>
    <w:pPr>
      <w:spacing w:line="360" w:lineRule="auto"/>
      <w:ind w:left="-119" w:right="-119" w:firstLine="482"/>
    </w:pPr>
    <w:rPr>
      <w:rFonts w:cs="宋体"/>
      <w:kern w:val="0"/>
      <w:sz w:val="24"/>
      <w:szCs w:val="20"/>
    </w:rPr>
  </w:style>
  <w:style w:type="paragraph" w:customStyle="1" w:styleId="846">
    <w:name w:val="Char Char Char Char Char Char Char Char Char Char Char Char Char Char Char Char1"/>
    <w:basedOn w:val="1"/>
    <w:qFormat/>
    <w:uiPriority w:val="99"/>
    <w:pPr>
      <w:spacing w:before="60" w:line="460" w:lineRule="exact"/>
    </w:pPr>
    <w:rPr>
      <w:sz w:val="24"/>
    </w:rPr>
  </w:style>
  <w:style w:type="paragraph" w:customStyle="1" w:styleId="847">
    <w:name w:val="表格标题居中"/>
    <w:basedOn w:val="758"/>
    <w:qFormat/>
    <w:uiPriority w:val="0"/>
    <w:pPr>
      <w:tabs>
        <w:tab w:val="left" w:pos="180"/>
        <w:tab w:val="center" w:pos="279"/>
      </w:tabs>
      <w:adjustRightInd/>
      <w:snapToGrid/>
      <w:spacing w:before="0" w:line="240" w:lineRule="auto"/>
      <w:ind w:firstLine="0" w:firstLineChars="0"/>
    </w:pPr>
    <w:rPr>
      <w:rFonts w:hint="eastAsia" w:ascii="Times New Roman" w:hAnsi="宋体" w:eastAsia="黑体"/>
      <w:color w:val="000000"/>
      <w:szCs w:val="21"/>
    </w:rPr>
  </w:style>
  <w:style w:type="paragraph" w:customStyle="1" w:styleId="848">
    <w:name w:val="表"/>
    <w:basedOn w:val="1"/>
    <w:qFormat/>
    <w:uiPriority w:val="0"/>
    <w:pPr>
      <w:snapToGrid w:val="0"/>
      <w:spacing w:before="60" w:line="440" w:lineRule="exact"/>
      <w:ind w:firstLine="200" w:firstLineChars="200"/>
      <w:jc w:val="center"/>
    </w:pPr>
    <w:rPr>
      <w:spacing w:val="2"/>
      <w:sz w:val="24"/>
      <w:szCs w:val="20"/>
    </w:rPr>
  </w:style>
  <w:style w:type="paragraph" w:customStyle="1" w:styleId="849">
    <w:name w:val="表格一"/>
    <w:basedOn w:val="1"/>
    <w:qFormat/>
    <w:uiPriority w:val="0"/>
    <w:pPr>
      <w:spacing w:line="360" w:lineRule="auto"/>
      <w:jc w:val="center"/>
    </w:pPr>
    <w:rPr>
      <w:rFonts w:ascii="宋体" w:hAnsi="宋体" w:cs="宋体"/>
      <w:szCs w:val="20"/>
    </w:rPr>
  </w:style>
  <w:style w:type="paragraph" w:customStyle="1" w:styleId="850">
    <w:name w:val="正文新"/>
    <w:basedOn w:val="1"/>
    <w:qFormat/>
    <w:uiPriority w:val="0"/>
    <w:pPr>
      <w:spacing w:before="80" w:after="60" w:line="300" w:lineRule="auto"/>
      <w:ind w:firstLine="510"/>
    </w:pPr>
    <w:rPr>
      <w:snapToGrid w:val="0"/>
      <w:sz w:val="24"/>
    </w:rPr>
  </w:style>
  <w:style w:type="paragraph" w:customStyle="1" w:styleId="851">
    <w:name w:val="样式 正文一 + 首行缩进:  2 字符"/>
    <w:basedOn w:val="595"/>
    <w:qFormat/>
    <w:uiPriority w:val="0"/>
  </w:style>
  <w:style w:type="paragraph" w:customStyle="1" w:styleId="852">
    <w:name w:val="项目编号文字"/>
    <w:basedOn w:val="1"/>
    <w:next w:val="21"/>
    <w:qFormat/>
    <w:uiPriority w:val="0"/>
    <w:pPr>
      <w:spacing w:before="120" w:after="120" w:line="360" w:lineRule="auto"/>
      <w:ind w:left="1077" w:firstLine="200" w:firstLineChars="200"/>
    </w:pPr>
    <w:rPr>
      <w:sz w:val="24"/>
      <w:szCs w:val="20"/>
    </w:rPr>
  </w:style>
  <w:style w:type="paragraph" w:customStyle="1" w:styleId="853">
    <w:name w:val="样式 正文01 +"/>
    <w:basedOn w:val="187"/>
    <w:qFormat/>
    <w:uiPriority w:val="0"/>
    <w:pPr>
      <w:widowControl w:val="0"/>
    </w:pPr>
    <w:rPr>
      <w:b/>
      <w:kern w:val="0"/>
      <w:szCs w:val="20"/>
    </w:rPr>
  </w:style>
  <w:style w:type="paragraph" w:customStyle="1" w:styleId="854">
    <w:name w:val="三级条标题"/>
    <w:basedOn w:val="638"/>
    <w:next w:val="1"/>
    <w:qFormat/>
    <w:uiPriority w:val="0"/>
    <w:pPr>
      <w:tabs>
        <w:tab w:val="left" w:pos="2100"/>
      </w:tabs>
      <w:ind w:left="2100"/>
      <w:outlineLvl w:val="4"/>
    </w:pPr>
  </w:style>
  <w:style w:type="paragraph" w:customStyle="1" w:styleId="855">
    <w:name w:val="表格后正文"/>
    <w:basedOn w:val="1"/>
    <w:qFormat/>
    <w:uiPriority w:val="0"/>
    <w:pPr>
      <w:spacing w:before="260" w:line="460" w:lineRule="exact"/>
      <w:ind w:firstLine="200" w:firstLineChars="200"/>
    </w:pPr>
    <w:rPr>
      <w:sz w:val="24"/>
    </w:rPr>
  </w:style>
  <w:style w:type="paragraph" w:customStyle="1" w:styleId="856">
    <w:name w:val="Char Char Char Char Char Char Char Char Char Char Char Char Char1 Char Char Char Char Char Char Char Char"/>
    <w:basedOn w:val="1"/>
    <w:qFormat/>
    <w:uiPriority w:val="0"/>
    <w:pPr>
      <w:spacing w:line="360" w:lineRule="auto"/>
      <w:ind w:firstLine="200" w:firstLineChars="200"/>
    </w:pPr>
    <w:rPr>
      <w:rFonts w:ascii="宋体" w:hAnsi="宋体" w:cs="宋体"/>
      <w:sz w:val="24"/>
    </w:rPr>
  </w:style>
  <w:style w:type="paragraph" w:customStyle="1" w:styleId="857">
    <w:name w:val="标准表格"/>
    <w:basedOn w:val="132"/>
    <w:qFormat/>
    <w:uiPriority w:val="0"/>
    <w:pPr>
      <w:adjustRightInd/>
      <w:snapToGrid/>
      <w:spacing w:beforeLines="0" w:afterLines="0" w:line="240" w:lineRule="auto"/>
    </w:pPr>
    <w:rPr>
      <w:rFonts w:ascii="Times New Roman" w:cs="宋体"/>
      <w:kern w:val="2"/>
    </w:rPr>
  </w:style>
  <w:style w:type="paragraph" w:customStyle="1" w:styleId="858">
    <w:name w:val="Char Char Char Char Char Char Char Char Char Char Char Char Char1 Char Char Char Char 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859">
    <w:name w:val="王向东正文"/>
    <w:qFormat/>
    <w:uiPriority w:val="0"/>
    <w:pPr>
      <w:spacing w:before="60" w:line="460" w:lineRule="exact"/>
      <w:ind w:firstLine="560"/>
      <w:jc w:val="both"/>
    </w:pPr>
    <w:rPr>
      <w:rFonts w:ascii="Times New Roman" w:hAnsi="Times New Roman" w:eastAsia="宋体" w:cs="Times New Roman"/>
      <w:sz w:val="24"/>
      <w:szCs w:val="24"/>
      <w:lang w:val="en-US" w:eastAsia="zh-CN" w:bidi="ar-SA"/>
    </w:rPr>
  </w:style>
  <w:style w:type="paragraph" w:customStyle="1" w:styleId="860">
    <w:name w:val="样式 标题 + 黑体 小三 两端对齐 左侧:  0 厘米 首行缩进:  0 厘米 段前: 0 磅 段后: 0 磅 ...1"/>
    <w:basedOn w:val="84"/>
    <w:qFormat/>
    <w:uiPriority w:val="0"/>
    <w:pPr>
      <w:pageBreakBefore/>
      <w:tabs>
        <w:tab w:val="left" w:pos="425"/>
      </w:tabs>
      <w:spacing w:before="100" w:beforeAutospacing="1" w:after="100" w:afterAutospacing="1" w:line="360" w:lineRule="auto"/>
      <w:ind w:left="425" w:hanging="425"/>
      <w:jc w:val="both"/>
    </w:pPr>
    <w:rPr>
      <w:rFonts w:ascii="黑体" w:eastAsia="黑体"/>
      <w:bCs/>
    </w:rPr>
  </w:style>
  <w:style w:type="paragraph" w:customStyle="1" w:styleId="861">
    <w:name w:val="Char1 Char Char Char11"/>
    <w:basedOn w:val="1"/>
    <w:qFormat/>
    <w:uiPriority w:val="0"/>
    <w:rPr>
      <w:rFonts w:ascii="Tahoma" w:hAnsi="Tahoma"/>
      <w:sz w:val="24"/>
      <w:szCs w:val="20"/>
    </w:rPr>
  </w:style>
  <w:style w:type="paragraph" w:customStyle="1" w:styleId="862">
    <w:name w:val="样式 三级标题 + (符号) 宋体"/>
    <w:basedOn w:val="757"/>
    <w:qFormat/>
    <w:uiPriority w:val="0"/>
    <w:pPr>
      <w:spacing w:line="440" w:lineRule="exact"/>
    </w:pPr>
    <w:rPr>
      <w:kern w:val="2"/>
    </w:rPr>
  </w:style>
  <w:style w:type="character" w:customStyle="1" w:styleId="863">
    <w:name w:val="z-窗体底端 字符"/>
    <w:basedOn w:val="95"/>
    <w:semiHidden/>
    <w:qFormat/>
    <w:uiPriority w:val="99"/>
    <w:rPr>
      <w:rFonts w:ascii="Arial" w:hAnsi="Arial" w:eastAsia="宋体" w:cs="Arial"/>
      <w:vanish/>
      <w:kern w:val="2"/>
      <w:sz w:val="16"/>
      <w:szCs w:val="16"/>
    </w:rPr>
  </w:style>
  <w:style w:type="character" w:customStyle="1" w:styleId="864">
    <w:name w:val="z-窗体底端 Char2"/>
    <w:semiHidden/>
    <w:qFormat/>
    <w:uiPriority w:val="99"/>
    <w:rPr>
      <w:rFonts w:ascii="Arial" w:hAnsi="Arial" w:cs="Arial"/>
      <w:vanish/>
      <w:kern w:val="2"/>
      <w:sz w:val="16"/>
      <w:szCs w:val="16"/>
    </w:rPr>
  </w:style>
  <w:style w:type="paragraph" w:customStyle="1" w:styleId="865">
    <w:name w:val="Char Char Char Char"/>
    <w:basedOn w:val="1"/>
    <w:qFormat/>
    <w:uiPriority w:val="0"/>
    <w:pPr>
      <w:tabs>
        <w:tab w:val="left" w:pos="360"/>
      </w:tabs>
    </w:pPr>
  </w:style>
  <w:style w:type="paragraph" w:customStyle="1" w:styleId="866">
    <w:name w:val="流程图"/>
    <w:basedOn w:val="1"/>
    <w:qFormat/>
    <w:uiPriority w:val="0"/>
    <w:pPr>
      <w:suppressAutoHyphens/>
      <w:spacing w:before="60" w:line="460" w:lineRule="exact"/>
      <w:ind w:firstLine="200" w:firstLineChars="200"/>
      <w:jc w:val="center"/>
    </w:pPr>
    <w:rPr>
      <w:rFonts w:ascii="宋体"/>
      <w:szCs w:val="20"/>
    </w:rPr>
  </w:style>
  <w:style w:type="paragraph" w:customStyle="1" w:styleId="867">
    <w:name w:val="样式 正文1 Char + 段前: 0.1 行"/>
    <w:qFormat/>
    <w:uiPriority w:val="0"/>
    <w:pPr>
      <w:snapToGrid w:val="0"/>
      <w:spacing w:line="440" w:lineRule="atLeast"/>
      <w:ind w:firstLine="200" w:firstLineChars="200"/>
    </w:pPr>
    <w:rPr>
      <w:rFonts w:asciiTheme="minorHAnsi" w:hAnsiTheme="minorHAnsi" w:eastAsiaTheme="minorEastAsia" w:cstheme="minorBidi"/>
      <w:sz w:val="24"/>
      <w:lang w:val="en-US" w:eastAsia="zh-CN" w:bidi="ar-SA"/>
    </w:rPr>
  </w:style>
  <w:style w:type="paragraph" w:customStyle="1" w:styleId="868">
    <w:name w:val="h"/>
    <w:basedOn w:val="1"/>
    <w:qFormat/>
    <w:uiPriority w:val="0"/>
    <w:pPr>
      <w:adjustRightInd w:val="0"/>
      <w:spacing w:before="60" w:line="460" w:lineRule="exact"/>
      <w:ind w:firstLine="200" w:firstLineChars="200"/>
      <w:textAlignment w:val="baseline"/>
    </w:pPr>
    <w:rPr>
      <w:rFonts w:ascii="Arial" w:hAnsi="Arial" w:eastAsia="仿宋_GB2312"/>
      <w:sz w:val="24"/>
      <w:szCs w:val="20"/>
    </w:rPr>
  </w:style>
  <w:style w:type="paragraph" w:customStyle="1" w:styleId="869">
    <w:name w:val="table1"/>
    <w:basedOn w:val="1"/>
    <w:qFormat/>
    <w:uiPriority w:val="0"/>
    <w:pPr>
      <w:adjustRightInd w:val="0"/>
      <w:spacing w:before="60" w:line="240" w:lineRule="atLeast"/>
      <w:ind w:firstLine="200" w:firstLineChars="200"/>
      <w:jc w:val="center"/>
      <w:textAlignment w:val="baseline"/>
    </w:pPr>
    <w:rPr>
      <w:rFonts w:eastAsia="黑体"/>
      <w:kern w:val="0"/>
      <w:sz w:val="24"/>
      <w:szCs w:val="20"/>
    </w:rPr>
  </w:style>
  <w:style w:type="paragraph" w:customStyle="1" w:styleId="870">
    <w:name w:val="Date1"/>
    <w:basedOn w:val="1"/>
    <w:next w:val="1"/>
    <w:qFormat/>
    <w:uiPriority w:val="0"/>
    <w:pPr>
      <w:adjustRightInd w:val="0"/>
      <w:spacing w:before="60" w:line="460" w:lineRule="exact"/>
      <w:ind w:firstLine="200" w:firstLineChars="200"/>
      <w:textAlignment w:val="baseline"/>
    </w:pPr>
    <w:rPr>
      <w:szCs w:val="20"/>
    </w:rPr>
  </w:style>
  <w:style w:type="paragraph" w:customStyle="1" w:styleId="871">
    <w:name w:val="Char Char Char2 Char Char Char1"/>
    <w:basedOn w:val="1"/>
    <w:qFormat/>
    <w:uiPriority w:val="0"/>
    <w:pPr>
      <w:spacing w:before="20" w:beforeLines="20" w:line="440" w:lineRule="atLeast"/>
      <w:ind w:firstLine="200" w:firstLineChars="200"/>
    </w:pPr>
    <w:rPr>
      <w:sz w:val="24"/>
    </w:rPr>
  </w:style>
  <w:style w:type="paragraph" w:customStyle="1" w:styleId="872">
    <w:name w:val="Char Char Char21"/>
    <w:basedOn w:val="1"/>
    <w:qFormat/>
    <w:uiPriority w:val="0"/>
    <w:pPr>
      <w:spacing w:beforeLines="20" w:line="440" w:lineRule="atLeast"/>
      <w:ind w:firstLine="200" w:firstLineChars="200"/>
    </w:pPr>
    <w:rPr>
      <w:sz w:val="24"/>
    </w:rPr>
  </w:style>
  <w:style w:type="paragraph" w:customStyle="1" w:styleId="873">
    <w:name w:val="Char Char Char Char Char Char1"/>
    <w:basedOn w:val="1"/>
    <w:next w:val="1"/>
    <w:qFormat/>
    <w:uiPriority w:val="0"/>
  </w:style>
  <w:style w:type="paragraph" w:customStyle="1" w:styleId="874">
    <w:name w:val="样式 样式4 + (中文) 宋体 左侧:  0 厘米 行距: 1.5 倍行距"/>
    <w:basedOn w:val="590"/>
    <w:qFormat/>
    <w:uiPriority w:val="0"/>
    <w:rPr>
      <w:rFonts w:ascii="Times New Roman" w:hAnsi="Times New Roman" w:cs="Times New Roman"/>
      <w:snapToGrid w:val="0"/>
      <w:szCs w:val="20"/>
    </w:rPr>
  </w:style>
  <w:style w:type="paragraph" w:customStyle="1" w:styleId="875">
    <w:name w:val="样式6"/>
    <w:basedOn w:val="34"/>
    <w:link w:val="1225"/>
    <w:qFormat/>
    <w:uiPriority w:val="0"/>
    <w:pPr>
      <w:widowControl w:val="0"/>
      <w:tabs>
        <w:tab w:val="left" w:pos="1218"/>
      </w:tabs>
      <w:adjustRightInd w:val="0"/>
      <w:spacing w:after="0" w:line="460" w:lineRule="exact"/>
      <w:ind w:right="0"/>
      <w:jc w:val="center"/>
    </w:pPr>
    <w:rPr>
      <w:color w:val="0000FF"/>
      <w:sz w:val="21"/>
      <w:szCs w:val="24"/>
      <w:lang w:val="zh-CN"/>
    </w:rPr>
  </w:style>
  <w:style w:type="paragraph" w:customStyle="1" w:styleId="876">
    <w:name w:val="Char Char 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877">
    <w:name w:val="样式 样式 标题1 + 段前: 0.5 行 + 段前: 0.5 行1"/>
    <w:basedOn w:val="1"/>
    <w:qFormat/>
    <w:uiPriority w:val="0"/>
    <w:pPr>
      <w:spacing w:beforeLines="50" w:line="500" w:lineRule="exact"/>
      <w:ind w:firstLine="200" w:firstLineChars="200"/>
      <w:jc w:val="left"/>
      <w:outlineLvl w:val="0"/>
    </w:pPr>
    <w:rPr>
      <w:b/>
      <w:bCs/>
      <w:sz w:val="32"/>
      <w:szCs w:val="32"/>
    </w:rPr>
  </w:style>
  <w:style w:type="paragraph" w:customStyle="1" w:styleId="878">
    <w:name w:val="Char Char Char Char Char Char Char Char1"/>
    <w:basedOn w:val="1"/>
    <w:qFormat/>
    <w:uiPriority w:val="0"/>
    <w:pPr>
      <w:spacing w:line="360" w:lineRule="auto"/>
      <w:ind w:firstLine="200" w:firstLineChars="200"/>
    </w:pPr>
    <w:rPr>
      <w:rFonts w:ascii="宋体" w:hAnsi="宋体" w:cs="宋体"/>
      <w:sz w:val="24"/>
    </w:rPr>
  </w:style>
  <w:style w:type="paragraph" w:customStyle="1" w:styleId="879">
    <w:name w:val="Char Char Char Char Char Char1 Char Char Char Char1"/>
    <w:basedOn w:val="1"/>
    <w:qFormat/>
    <w:uiPriority w:val="0"/>
    <w:rPr>
      <w:sz w:val="24"/>
    </w:rPr>
  </w:style>
  <w:style w:type="paragraph" w:customStyle="1" w:styleId="880">
    <w:name w:val="TABLE2"/>
    <w:basedOn w:val="869"/>
    <w:qFormat/>
    <w:uiPriority w:val="0"/>
    <w:pPr>
      <w:spacing w:before="0"/>
    </w:pPr>
    <w:rPr>
      <w:rFonts w:eastAsia="宋体"/>
      <w:szCs w:val="24"/>
    </w:rPr>
  </w:style>
  <w:style w:type="paragraph" w:customStyle="1" w:styleId="881">
    <w:name w:val="样式 四号 黑色 行距: 1.5 倍行距 首行缩进:  2 字符"/>
    <w:basedOn w:val="1"/>
    <w:qFormat/>
    <w:uiPriority w:val="0"/>
    <w:pPr>
      <w:spacing w:line="360" w:lineRule="auto"/>
      <w:ind w:firstLine="560" w:firstLineChars="200"/>
    </w:pPr>
    <w:rPr>
      <w:rFonts w:eastAsia="仿宋_GB2312"/>
      <w:color w:val="000000"/>
      <w:sz w:val="28"/>
      <w:szCs w:val="28"/>
    </w:rPr>
  </w:style>
  <w:style w:type="paragraph" w:customStyle="1" w:styleId="882">
    <w:name w:val="样式 表格2 + 行距: 最小值 16 磅"/>
    <w:basedOn w:val="1"/>
    <w:qFormat/>
    <w:uiPriority w:val="0"/>
    <w:pPr>
      <w:spacing w:before="60" w:line="360" w:lineRule="atLeast"/>
      <w:ind w:firstLine="200" w:firstLineChars="200"/>
      <w:jc w:val="center"/>
    </w:pPr>
    <w:rPr>
      <w:szCs w:val="20"/>
    </w:rPr>
  </w:style>
  <w:style w:type="paragraph" w:customStyle="1" w:styleId="883">
    <w:name w:val="表文_L5"/>
    <w:qFormat/>
    <w:uiPriority w:val="0"/>
    <w:rPr>
      <w:rFonts w:ascii="Garamond" w:hAnsi="Garamond" w:eastAsia="楷体_GB2312" w:cs="Times New Roman"/>
      <w:bCs/>
      <w:kern w:val="2"/>
      <w:sz w:val="21"/>
      <w:szCs w:val="21"/>
      <w:lang w:val="en-US" w:eastAsia="zh-CN" w:bidi="ar-SA"/>
    </w:rPr>
  </w:style>
  <w:style w:type="paragraph" w:customStyle="1" w:styleId="884">
    <w:name w:val="reader-word-layer reader-word-s1-6"/>
    <w:basedOn w:val="1"/>
    <w:qFormat/>
    <w:uiPriority w:val="99"/>
    <w:pPr>
      <w:widowControl/>
      <w:spacing w:before="100" w:beforeAutospacing="1" w:after="100" w:afterAutospacing="1"/>
      <w:jc w:val="left"/>
    </w:pPr>
    <w:rPr>
      <w:rFonts w:ascii="宋体" w:hAnsi="宋体" w:cs="宋体"/>
      <w:kern w:val="0"/>
      <w:sz w:val="24"/>
    </w:rPr>
  </w:style>
  <w:style w:type="paragraph" w:customStyle="1" w:styleId="885">
    <w:name w:val="标题004"/>
    <w:basedOn w:val="326"/>
    <w:qFormat/>
    <w:uiPriority w:val="0"/>
    <w:pPr>
      <w:ind w:firstLine="0"/>
      <w:outlineLvl w:val="3"/>
    </w:pPr>
    <w:rPr>
      <w:b/>
      <w:bCs/>
    </w:rPr>
  </w:style>
  <w:style w:type="paragraph" w:customStyle="1" w:styleId="886">
    <w:name w:val="Char Char Char Char Char Char Char Char Char Char Char Char Char Char Char1"/>
    <w:basedOn w:val="1"/>
    <w:qFormat/>
    <w:uiPriority w:val="0"/>
    <w:pPr>
      <w:spacing w:before="60" w:line="460" w:lineRule="exact"/>
    </w:pPr>
    <w:rPr>
      <w:szCs w:val="20"/>
    </w:rPr>
  </w:style>
  <w:style w:type="paragraph" w:customStyle="1" w:styleId="887">
    <w:name w:val="样式 表格标题 + 首行缩进:  0.93 厘米"/>
    <w:basedOn w:val="158"/>
    <w:qFormat/>
    <w:uiPriority w:val="0"/>
    <w:pPr>
      <w:widowControl w:val="0"/>
      <w:snapToGrid w:val="0"/>
      <w:spacing w:before="0" w:beforeLines="10" w:line="440" w:lineRule="atLeast"/>
      <w:ind w:firstLine="528" w:firstLineChars="0"/>
    </w:pPr>
    <w:rPr>
      <w:rFonts w:ascii="Times New Roman"/>
      <w:kern w:val="0"/>
      <w:lang w:val="zh-CN"/>
    </w:rPr>
  </w:style>
  <w:style w:type="paragraph" w:customStyle="1" w:styleId="888">
    <w:name w:val="样式 3级标题 + Times New Roman"/>
    <w:basedOn w:val="364"/>
    <w:qFormat/>
    <w:uiPriority w:val="0"/>
    <w:pPr>
      <w:outlineLvl w:val="2"/>
    </w:pPr>
    <w:rPr>
      <w:rFonts w:ascii="Times New Roman" w:hAnsi="Times New Roman" w:cs="Times New Roman"/>
      <w:bCs/>
    </w:rPr>
  </w:style>
  <w:style w:type="paragraph" w:customStyle="1" w:styleId="889">
    <w:name w:val="表格下方文字"/>
    <w:basedOn w:val="1"/>
    <w:qFormat/>
    <w:uiPriority w:val="0"/>
    <w:pPr>
      <w:adjustRightInd w:val="0"/>
      <w:snapToGrid w:val="0"/>
      <w:spacing w:before="400" w:line="460" w:lineRule="exact"/>
      <w:ind w:firstLine="200" w:firstLineChars="200"/>
    </w:pPr>
    <w:rPr>
      <w:sz w:val="24"/>
    </w:rPr>
  </w:style>
  <w:style w:type="paragraph" w:customStyle="1" w:styleId="890">
    <w:name w:val="样式 居中 行距: 固定值 20 磅"/>
    <w:basedOn w:val="1"/>
    <w:qFormat/>
    <w:uiPriority w:val="0"/>
    <w:pPr>
      <w:spacing w:line="400" w:lineRule="exact"/>
      <w:jc w:val="center"/>
    </w:pPr>
    <w:rPr>
      <w:sz w:val="24"/>
    </w:rPr>
  </w:style>
  <w:style w:type="paragraph" w:customStyle="1" w:styleId="891">
    <w:name w:val="表格下文正文"/>
    <w:basedOn w:val="1"/>
    <w:qFormat/>
    <w:uiPriority w:val="0"/>
    <w:pPr>
      <w:spacing w:before="300" w:line="420" w:lineRule="exact"/>
      <w:ind w:firstLine="200" w:firstLineChars="200"/>
    </w:pPr>
    <w:rPr>
      <w:bCs/>
      <w:color w:val="000000"/>
      <w:sz w:val="24"/>
      <w:szCs w:val="20"/>
    </w:rPr>
  </w:style>
  <w:style w:type="paragraph" w:customStyle="1" w:styleId="892">
    <w:name w:val="c"/>
    <w:qFormat/>
    <w:uiPriority w:val="0"/>
    <w:pPr>
      <w:widowControl w:val="0"/>
      <w:autoSpaceDE w:val="0"/>
      <w:autoSpaceDN w:val="0"/>
      <w:adjustRightInd w:val="0"/>
      <w:jc w:val="both"/>
    </w:pPr>
    <w:rPr>
      <w:rFonts w:hint="eastAsia" w:ascii="Arial" w:hAnsi="Arial" w:eastAsia="宋体" w:cs="Times New Roman"/>
      <w:sz w:val="24"/>
      <w:lang w:val="en-US" w:eastAsia="zh-CN" w:bidi="ar-SA"/>
    </w:rPr>
  </w:style>
  <w:style w:type="paragraph" w:customStyle="1" w:styleId="893">
    <w:name w:val="注"/>
    <w:basedOn w:val="1"/>
    <w:next w:val="1"/>
    <w:qFormat/>
    <w:uiPriority w:val="0"/>
    <w:pPr>
      <w:widowControl/>
      <w:spacing w:before="60" w:after="60" w:line="324" w:lineRule="auto"/>
      <w:jc w:val="left"/>
    </w:pPr>
    <w:rPr>
      <w:rFonts w:ascii="黑体" w:eastAsia="黑体"/>
      <w:kern w:val="0"/>
      <w:szCs w:val="20"/>
    </w:rPr>
  </w:style>
  <w:style w:type="paragraph" w:customStyle="1" w:styleId="894">
    <w:name w:val="xl40"/>
    <w:basedOn w:val="1"/>
    <w:qFormat/>
    <w:uiPriority w:val="0"/>
    <w:pPr>
      <w:widowControl/>
      <w:spacing w:before="100" w:after="100" w:line="440" w:lineRule="exact"/>
      <w:ind w:firstLine="200" w:firstLineChars="200"/>
      <w:jc w:val="center"/>
    </w:pPr>
    <w:rPr>
      <w:rFonts w:ascii="宋体"/>
      <w:kern w:val="0"/>
      <w:szCs w:val="20"/>
    </w:rPr>
  </w:style>
  <w:style w:type="paragraph" w:customStyle="1" w:styleId="895">
    <w:name w:val="表中正文"/>
    <w:basedOn w:val="1"/>
    <w:semiHidden/>
    <w:qFormat/>
    <w:uiPriority w:val="0"/>
    <w:pPr>
      <w:tabs>
        <w:tab w:val="left" w:pos="958"/>
        <w:tab w:val="left" w:pos="7320"/>
        <w:tab w:val="left" w:pos="8160"/>
      </w:tabs>
      <w:adjustRightInd w:val="0"/>
      <w:spacing w:line="360" w:lineRule="atLeast"/>
      <w:ind w:right="113"/>
      <w:jc w:val="center"/>
      <w:textAlignment w:val="baseline"/>
    </w:pPr>
    <w:rPr>
      <w:rFonts w:ascii="宋体" w:hAnsi="宋体"/>
      <w:spacing w:val="6"/>
      <w:kern w:val="20"/>
    </w:rPr>
  </w:style>
  <w:style w:type="paragraph" w:customStyle="1" w:styleId="896">
    <w:name w:val="CM16"/>
    <w:basedOn w:val="1"/>
    <w:next w:val="1"/>
    <w:qFormat/>
    <w:uiPriority w:val="0"/>
    <w:pPr>
      <w:autoSpaceDE w:val="0"/>
      <w:autoSpaceDN w:val="0"/>
      <w:adjustRightInd w:val="0"/>
      <w:spacing w:line="466" w:lineRule="atLeast"/>
      <w:jc w:val="left"/>
    </w:pPr>
    <w:rPr>
      <w:rFonts w:ascii="楷体_GB2312" w:eastAsia="楷体_GB2312"/>
      <w:kern w:val="0"/>
      <w:sz w:val="24"/>
    </w:rPr>
  </w:style>
  <w:style w:type="paragraph" w:customStyle="1" w:styleId="897">
    <w:name w:val="Char Char Char Char Char Char Char Char Char Char Char Char Char"/>
    <w:basedOn w:val="1"/>
    <w:qFormat/>
    <w:uiPriority w:val="99"/>
    <w:pPr>
      <w:spacing w:line="360" w:lineRule="auto"/>
      <w:ind w:firstLine="200" w:firstLineChars="200"/>
    </w:pPr>
    <w:rPr>
      <w:rFonts w:ascii="宋体" w:hAnsi="宋体" w:cs="宋体"/>
      <w:sz w:val="24"/>
    </w:rPr>
  </w:style>
  <w:style w:type="paragraph" w:customStyle="1" w:styleId="898">
    <w:name w:val="保留正文"/>
    <w:basedOn w:val="1"/>
    <w:qFormat/>
    <w:uiPriority w:val="0"/>
    <w:pPr>
      <w:keepNext/>
      <w:widowControl/>
      <w:overflowPunct w:val="0"/>
      <w:autoSpaceDE w:val="0"/>
      <w:autoSpaceDN w:val="0"/>
      <w:adjustRightInd w:val="0"/>
      <w:spacing w:before="60" w:after="160" w:line="480" w:lineRule="auto"/>
      <w:jc w:val="left"/>
      <w:textAlignment w:val="baseline"/>
    </w:pPr>
    <w:rPr>
      <w:rFonts w:ascii="@宋体" w:hAnsi="@宋体"/>
      <w:kern w:val="0"/>
      <w:sz w:val="28"/>
      <w:szCs w:val="20"/>
    </w:rPr>
  </w:style>
  <w:style w:type="paragraph" w:customStyle="1" w:styleId="899">
    <w:name w:val="Char Char Char Char Char Char Char Char Char Char Char Char Char Char Char Char Char Char Char Char Char Char Char Char Char Char Char Char Char Char Char Char Char2"/>
    <w:basedOn w:val="1"/>
    <w:qFormat/>
    <w:uiPriority w:val="0"/>
    <w:pPr>
      <w:spacing w:line="360" w:lineRule="auto"/>
      <w:ind w:firstLine="200" w:firstLineChars="200"/>
    </w:pPr>
    <w:rPr>
      <w:rFonts w:ascii="宋体" w:hAnsi="宋体" w:cs="宋体"/>
      <w:sz w:val="24"/>
    </w:rPr>
  </w:style>
  <w:style w:type="paragraph" w:customStyle="1" w:styleId="900">
    <w:name w:val="xl28"/>
    <w:basedOn w:val="1"/>
    <w:qFormat/>
    <w:uiPriority w:val="0"/>
    <w:pPr>
      <w:widowControl/>
      <w:pBdr>
        <w:bottom w:val="single" w:color="auto" w:sz="4" w:space="0"/>
        <w:right w:val="single" w:color="auto" w:sz="4" w:space="0"/>
      </w:pBdr>
      <w:spacing w:before="100" w:beforeAutospacing="1" w:after="100" w:afterAutospacing="1" w:line="460" w:lineRule="exact"/>
      <w:jc w:val="center"/>
    </w:pPr>
    <w:rPr>
      <w:rFonts w:ascii="宋体"/>
      <w:kern w:val="0"/>
      <w:szCs w:val="21"/>
    </w:rPr>
  </w:style>
  <w:style w:type="paragraph" w:customStyle="1" w:styleId="901">
    <w:name w:val="Char Char1 Char Char Char Char Char Char Char Char Char Char Char Char Char Char Char Char Char Char Char Char1 Char3"/>
    <w:basedOn w:val="1"/>
    <w:qFormat/>
    <w:uiPriority w:val="0"/>
    <w:pPr>
      <w:spacing w:before="60" w:line="360" w:lineRule="auto"/>
      <w:ind w:firstLine="200" w:firstLineChars="200"/>
    </w:pPr>
    <w:rPr>
      <w:rFonts w:ascii="宋体" w:hAnsi="宋体" w:cs="宋体"/>
      <w:sz w:val="24"/>
    </w:rPr>
  </w:style>
  <w:style w:type="paragraph" w:customStyle="1" w:styleId="902">
    <w:name w:val="_Style 2"/>
    <w:basedOn w:val="1"/>
    <w:next w:val="70"/>
    <w:qFormat/>
    <w:uiPriority w:val="0"/>
    <w:pPr>
      <w:adjustRightInd w:val="0"/>
      <w:spacing w:before="60" w:line="460" w:lineRule="exact"/>
      <w:ind w:firstLine="200" w:firstLineChars="200"/>
      <w:textAlignment w:val="baseline"/>
    </w:pPr>
    <w:rPr>
      <w:rFonts w:ascii="宋体"/>
      <w:sz w:val="24"/>
      <w:szCs w:val="20"/>
    </w:rPr>
  </w:style>
  <w:style w:type="paragraph" w:customStyle="1" w:styleId="903">
    <w:name w:val="正文文字缩进1"/>
    <w:basedOn w:val="1"/>
    <w:next w:val="35"/>
    <w:qFormat/>
    <w:uiPriority w:val="0"/>
    <w:pPr>
      <w:autoSpaceDE w:val="0"/>
      <w:autoSpaceDN w:val="0"/>
      <w:adjustRightInd w:val="0"/>
      <w:spacing w:before="60" w:line="360" w:lineRule="atLeast"/>
      <w:ind w:firstLine="200" w:firstLineChars="200"/>
      <w:textAlignment w:val="baseline"/>
    </w:pPr>
    <w:rPr>
      <w:rFonts w:ascii="宋体"/>
      <w:kern w:val="0"/>
      <w:sz w:val="28"/>
      <w:szCs w:val="28"/>
    </w:rPr>
  </w:style>
  <w:style w:type="paragraph" w:customStyle="1" w:styleId="904">
    <w:name w:val="默认段落字体 Para Char"/>
    <w:basedOn w:val="1"/>
    <w:qFormat/>
    <w:uiPriority w:val="0"/>
    <w:pPr>
      <w:spacing w:line="360" w:lineRule="auto"/>
      <w:ind w:firstLine="200" w:firstLineChars="200"/>
    </w:pPr>
    <w:rPr>
      <w:rFonts w:ascii="宋体" w:hAnsi="宋体" w:cs="宋体"/>
      <w:sz w:val="24"/>
    </w:rPr>
  </w:style>
  <w:style w:type="paragraph" w:customStyle="1" w:styleId="905">
    <w:name w:val="首行缩进"/>
    <w:basedOn w:val="1"/>
    <w:qFormat/>
    <w:uiPriority w:val="0"/>
    <w:pPr>
      <w:snapToGrid w:val="0"/>
      <w:ind w:firstLine="425"/>
    </w:pPr>
    <w:rPr>
      <w:rFonts w:ascii="宋体"/>
      <w:sz w:val="24"/>
      <w:szCs w:val="20"/>
    </w:rPr>
  </w:style>
  <w:style w:type="paragraph" w:customStyle="1" w:styleId="906">
    <w:name w:val="样式 正文001 + Times New Roman"/>
    <w:basedOn w:val="1"/>
    <w:qFormat/>
    <w:uiPriority w:val="0"/>
    <w:pPr>
      <w:spacing w:before="60" w:line="460" w:lineRule="exact"/>
      <w:ind w:firstLine="482"/>
    </w:pPr>
    <w:rPr>
      <w:sz w:val="24"/>
      <w:szCs w:val="20"/>
    </w:rPr>
  </w:style>
  <w:style w:type="paragraph" w:customStyle="1" w:styleId="907">
    <w:name w:val="font7"/>
    <w:basedOn w:val="1"/>
    <w:qFormat/>
    <w:uiPriority w:val="0"/>
    <w:pPr>
      <w:widowControl/>
      <w:spacing w:before="100" w:beforeAutospacing="1" w:after="100" w:afterAutospacing="1" w:line="460" w:lineRule="exact"/>
      <w:ind w:firstLine="200" w:firstLineChars="200"/>
      <w:jc w:val="left"/>
    </w:pPr>
    <w:rPr>
      <w:rFonts w:eastAsia="Arial Unicode MS"/>
      <w:kern w:val="0"/>
      <w:sz w:val="24"/>
    </w:rPr>
  </w:style>
  <w:style w:type="paragraph" w:customStyle="1" w:styleId="908">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60" w:lineRule="exact"/>
      <w:jc w:val="center"/>
      <w:textAlignment w:val="top"/>
    </w:pPr>
    <w:rPr>
      <w:rFonts w:ascii="Arial" w:hAnsi="Arial" w:cs="Arial"/>
      <w:kern w:val="0"/>
      <w:sz w:val="18"/>
      <w:szCs w:val="18"/>
    </w:rPr>
  </w:style>
  <w:style w:type="paragraph" w:customStyle="1" w:styleId="909">
    <w:name w:val="表格目录"/>
    <w:basedOn w:val="1"/>
    <w:next w:val="1"/>
    <w:qFormat/>
    <w:uiPriority w:val="0"/>
    <w:pPr>
      <w:widowControl/>
      <w:spacing w:line="240" w:lineRule="atLeast"/>
      <w:jc w:val="center"/>
    </w:pPr>
    <w:rPr>
      <w:b/>
      <w:bCs/>
      <w:kern w:val="0"/>
      <w:szCs w:val="20"/>
    </w:rPr>
  </w:style>
  <w:style w:type="paragraph" w:customStyle="1" w:styleId="910">
    <w:name w:val="Char Char Char Char Char Char Char Char Char"/>
    <w:basedOn w:val="1"/>
    <w:qFormat/>
    <w:uiPriority w:val="0"/>
    <w:pPr>
      <w:spacing w:line="360" w:lineRule="auto"/>
      <w:ind w:firstLine="200" w:firstLineChars="200"/>
    </w:pPr>
    <w:rPr>
      <w:rFonts w:ascii="宋体" w:hAnsi="宋体" w:cs="宋体"/>
      <w:sz w:val="24"/>
    </w:rPr>
  </w:style>
  <w:style w:type="paragraph" w:customStyle="1" w:styleId="911">
    <w:name w:val="y表头"/>
    <w:basedOn w:val="34"/>
    <w:qFormat/>
    <w:uiPriority w:val="0"/>
    <w:pPr>
      <w:widowControl w:val="0"/>
      <w:tabs>
        <w:tab w:val="left" w:pos="900"/>
      </w:tabs>
      <w:adjustRightInd w:val="0"/>
      <w:snapToGrid/>
      <w:spacing w:after="0" w:line="460" w:lineRule="exact"/>
      <w:ind w:right="0" w:firstLine="200" w:firstLineChars="200"/>
      <w:jc w:val="center"/>
      <w:textAlignment w:val="baseline"/>
    </w:pPr>
    <w:rPr>
      <w:rFonts w:ascii="宋体" w:hAnsi="宋体" w:eastAsia="楷体_GB2312"/>
      <w:b/>
      <w:kern w:val="2"/>
      <w:sz w:val="24"/>
      <w:lang w:val="zh-CN"/>
    </w:rPr>
  </w:style>
  <w:style w:type="paragraph" w:customStyle="1" w:styleId="912">
    <w:name w:val="Char Char1 Char Char Char Char Char Char Char Char Char Char Char Char Char Char Char Char Char Char11"/>
    <w:basedOn w:val="1"/>
    <w:qFormat/>
    <w:uiPriority w:val="0"/>
    <w:pPr>
      <w:spacing w:line="360" w:lineRule="auto"/>
      <w:ind w:firstLine="200" w:firstLineChars="200"/>
    </w:pPr>
    <w:rPr>
      <w:rFonts w:ascii="宋体" w:hAnsi="宋体" w:cs="宋体"/>
      <w:sz w:val="24"/>
    </w:rPr>
  </w:style>
  <w:style w:type="paragraph" w:customStyle="1" w:styleId="913">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914">
    <w:name w:val="Char Char Char Char Char Char Char Char Char Char Char Char Char Char Char Char Char Char Char Char Char Char Char Char Char Char Char Char Char Char Char1"/>
    <w:basedOn w:val="1"/>
    <w:qFormat/>
    <w:uiPriority w:val="0"/>
    <w:pPr>
      <w:spacing w:line="360" w:lineRule="auto"/>
      <w:ind w:firstLine="200" w:firstLineChars="200"/>
    </w:pPr>
    <w:rPr>
      <w:rFonts w:ascii="宋体" w:cs="宋体"/>
      <w:sz w:val="24"/>
    </w:rPr>
  </w:style>
  <w:style w:type="paragraph" w:customStyle="1" w:styleId="915">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916">
    <w:name w:val="WPS Plain"/>
    <w:qFormat/>
    <w:uiPriority w:val="0"/>
    <w:rPr>
      <w:rFonts w:ascii="Times New Roman" w:hAnsi="Times New Roman" w:eastAsia="宋体" w:cs="Times New Roman"/>
      <w:lang w:val="en-US" w:eastAsia="zh-CN" w:bidi="ar-SA"/>
    </w:rPr>
  </w:style>
  <w:style w:type="paragraph" w:customStyle="1" w:styleId="917">
    <w:name w:val="样式 1级标题 + 行距: 单倍行距"/>
    <w:basedOn w:val="239"/>
    <w:qFormat/>
    <w:uiPriority w:val="0"/>
    <w:pPr>
      <w:widowControl w:val="0"/>
      <w:spacing w:line="480" w:lineRule="exact"/>
    </w:pPr>
    <w:rPr>
      <w:rFonts w:ascii="Arial" w:hAnsi="Arial" w:cs="宋体"/>
      <w:bCs/>
      <w:kern w:val="2"/>
    </w:rPr>
  </w:style>
  <w:style w:type="paragraph" w:customStyle="1" w:styleId="918">
    <w:name w:val="font5"/>
    <w:basedOn w:val="1"/>
    <w:qFormat/>
    <w:uiPriority w:val="0"/>
    <w:pPr>
      <w:widowControl/>
      <w:spacing w:before="100" w:beforeAutospacing="1" w:after="100" w:afterAutospacing="1" w:line="460" w:lineRule="exact"/>
      <w:jc w:val="left"/>
    </w:pPr>
    <w:rPr>
      <w:rFonts w:ascii="宋体" w:cs="Arial Unicode MS"/>
      <w:kern w:val="0"/>
      <w:sz w:val="18"/>
      <w:szCs w:val="18"/>
    </w:rPr>
  </w:style>
  <w:style w:type="paragraph" w:customStyle="1" w:styleId="919">
    <w:name w:val="gao"/>
    <w:basedOn w:val="1"/>
    <w:qFormat/>
    <w:uiPriority w:val="0"/>
    <w:pPr>
      <w:autoSpaceDE w:val="0"/>
      <w:autoSpaceDN w:val="0"/>
      <w:adjustRightInd w:val="0"/>
      <w:spacing w:line="360" w:lineRule="auto"/>
    </w:pPr>
    <w:rPr>
      <w:rFonts w:ascii="宋体"/>
      <w:spacing w:val="-20"/>
      <w:kern w:val="0"/>
      <w:sz w:val="28"/>
    </w:rPr>
  </w:style>
  <w:style w:type="paragraph" w:customStyle="1" w:styleId="920">
    <w:name w:val="CM35"/>
    <w:basedOn w:val="1"/>
    <w:next w:val="1"/>
    <w:qFormat/>
    <w:uiPriority w:val="0"/>
    <w:pPr>
      <w:autoSpaceDE w:val="0"/>
      <w:autoSpaceDN w:val="0"/>
      <w:adjustRightInd w:val="0"/>
      <w:spacing w:line="363" w:lineRule="atLeast"/>
      <w:jc w:val="left"/>
    </w:pPr>
    <w:rPr>
      <w:rFonts w:ascii="楷体_GB2312" w:eastAsia="楷体_GB2312"/>
      <w:kern w:val="0"/>
      <w:sz w:val="24"/>
    </w:rPr>
  </w:style>
  <w:style w:type="paragraph" w:customStyle="1" w:styleId="921">
    <w:name w:val="四级条标题"/>
    <w:basedOn w:val="854"/>
    <w:next w:val="1"/>
    <w:qFormat/>
    <w:uiPriority w:val="0"/>
    <w:pPr>
      <w:tabs>
        <w:tab w:val="left" w:pos="2520"/>
      </w:tabs>
      <w:ind w:left="2520"/>
      <w:outlineLvl w:val="5"/>
    </w:pPr>
  </w:style>
  <w:style w:type="paragraph" w:customStyle="1" w:styleId="922">
    <w:name w:val="文字段落10"/>
    <w:basedOn w:val="1"/>
    <w:qFormat/>
    <w:uiPriority w:val="0"/>
    <w:pPr>
      <w:overflowPunct w:val="0"/>
      <w:autoSpaceDE w:val="0"/>
      <w:autoSpaceDN w:val="0"/>
      <w:adjustRightInd w:val="0"/>
      <w:snapToGrid w:val="0"/>
      <w:spacing w:beforeLines="50" w:afterLines="50" w:line="360" w:lineRule="auto"/>
      <w:ind w:firstLine="200" w:firstLineChars="200"/>
      <w:textAlignment w:val="baseline"/>
    </w:pPr>
    <w:rPr>
      <w:sz w:val="28"/>
      <w:szCs w:val="20"/>
    </w:rPr>
  </w:style>
  <w:style w:type="paragraph" w:customStyle="1" w:styleId="923">
    <w:name w:val="Char Char Char Char Char Char Char Char Char Char Char1"/>
    <w:basedOn w:val="1"/>
    <w:qFormat/>
    <w:uiPriority w:val="0"/>
    <w:rPr>
      <w:sz w:val="24"/>
    </w:rPr>
  </w:style>
  <w:style w:type="paragraph" w:customStyle="1" w:styleId="924">
    <w:name w:val="Main"/>
    <w:basedOn w:val="1"/>
    <w:qFormat/>
    <w:uiPriority w:val="0"/>
    <w:pPr>
      <w:spacing w:line="480" w:lineRule="atLeast"/>
      <w:ind w:left="400" w:leftChars="400" w:right="400" w:rightChars="400" w:firstLine="200" w:firstLineChars="200"/>
    </w:pPr>
    <w:rPr>
      <w:rFonts w:ascii="Tahoma" w:hAnsi="Tahoma"/>
      <w:sz w:val="28"/>
      <w:szCs w:val="28"/>
    </w:rPr>
  </w:style>
  <w:style w:type="paragraph" w:customStyle="1" w:styleId="925">
    <w:name w:val="Char Char Char Char Char Char Char Char Char Char Char Char Char Char1"/>
    <w:basedOn w:val="1"/>
    <w:qFormat/>
    <w:uiPriority w:val="0"/>
    <w:rPr>
      <w:sz w:val="24"/>
    </w:rPr>
  </w:style>
  <w:style w:type="paragraph" w:customStyle="1" w:styleId="926">
    <w:name w:val="1标题4级"/>
    <w:basedOn w:val="927"/>
    <w:qFormat/>
    <w:uiPriority w:val="0"/>
  </w:style>
  <w:style w:type="paragraph" w:customStyle="1" w:styleId="927">
    <w:name w:val="1标题3级"/>
    <w:basedOn w:val="1"/>
    <w:qFormat/>
    <w:uiPriority w:val="0"/>
    <w:pPr>
      <w:keepNext/>
      <w:adjustRightInd w:val="0"/>
      <w:snapToGrid w:val="0"/>
      <w:spacing w:before="60" w:line="420" w:lineRule="auto"/>
      <w:ind w:firstLine="200" w:firstLineChars="200"/>
      <w:textAlignment w:val="baseline"/>
    </w:pPr>
    <w:rPr>
      <w:rFonts w:ascii="宋体" w:hAnsi="宋体" w:eastAsia="黑体"/>
      <w:b/>
      <w:sz w:val="28"/>
      <w:szCs w:val="20"/>
    </w:rPr>
  </w:style>
  <w:style w:type="paragraph" w:customStyle="1" w:styleId="928">
    <w:name w:val="表4-1"/>
    <w:basedOn w:val="1"/>
    <w:qFormat/>
    <w:uiPriority w:val="0"/>
    <w:pPr>
      <w:tabs>
        <w:tab w:val="center" w:pos="992"/>
        <w:tab w:val="left" w:pos="2340"/>
      </w:tabs>
      <w:adjustRightInd w:val="0"/>
      <w:spacing w:beforeLines="50" w:afterLines="50" w:line="460" w:lineRule="exact"/>
      <w:ind w:left="1752" w:hanging="132"/>
      <w:jc w:val="center"/>
      <w:textAlignment w:val="baseline"/>
    </w:pPr>
    <w:rPr>
      <w:sz w:val="24"/>
      <w:szCs w:val="20"/>
    </w:rPr>
  </w:style>
  <w:style w:type="paragraph" w:customStyle="1" w:styleId="929">
    <w:name w:val="表头文字"/>
    <w:basedOn w:val="1"/>
    <w:qFormat/>
    <w:uiPriority w:val="0"/>
    <w:pPr>
      <w:widowControl/>
      <w:adjustRightInd w:val="0"/>
      <w:snapToGrid w:val="0"/>
      <w:spacing w:before="60" w:line="400" w:lineRule="exact"/>
      <w:jc w:val="center"/>
      <w:textAlignment w:val="baseline"/>
    </w:pPr>
    <w:rPr>
      <w:b/>
      <w:kern w:val="0"/>
      <w:szCs w:val="20"/>
    </w:rPr>
  </w:style>
  <w:style w:type="paragraph" w:customStyle="1" w:styleId="930">
    <w:name w:val="Char Char1 Char Char Char1 Char Char Char Char Char Char Char Char Char Char Char Char Char1"/>
    <w:basedOn w:val="1"/>
    <w:qFormat/>
    <w:uiPriority w:val="0"/>
    <w:pPr>
      <w:spacing w:before="20" w:beforeLines="20" w:line="440" w:lineRule="atLeast"/>
      <w:ind w:firstLine="200" w:firstLineChars="200"/>
    </w:pPr>
    <w:rPr>
      <w:sz w:val="24"/>
    </w:rPr>
  </w:style>
  <w:style w:type="paragraph" w:customStyle="1" w:styleId="931">
    <w:name w:val="主体无缩进"/>
    <w:basedOn w:val="254"/>
    <w:qFormat/>
    <w:uiPriority w:val="0"/>
    <w:pPr>
      <w:ind w:firstLine="0" w:firstLineChars="0"/>
    </w:pPr>
    <w:rPr>
      <w:rFonts w:cs="宋体"/>
      <w:bCs w:val="0"/>
      <w:szCs w:val="20"/>
    </w:rPr>
  </w:style>
  <w:style w:type="paragraph" w:customStyle="1" w:styleId="932">
    <w:name w:val="Table-I(S)"/>
    <w:basedOn w:val="1"/>
    <w:qFormat/>
    <w:uiPriority w:val="0"/>
    <w:pPr>
      <w:tabs>
        <w:tab w:val="left" w:pos="2160"/>
        <w:tab w:val="left" w:pos="3840"/>
        <w:tab w:val="left" w:pos="5280"/>
      </w:tabs>
      <w:spacing w:line="0" w:lineRule="atLeast"/>
      <w:jc w:val="center"/>
    </w:pPr>
    <w:rPr>
      <w:rFonts w:hint="eastAsia" w:ascii="Tahoma" w:hAnsi="Tahoma" w:eastAsia="华文中宋"/>
      <w:sz w:val="18"/>
      <w:szCs w:val="20"/>
    </w:rPr>
  </w:style>
  <w:style w:type="paragraph" w:customStyle="1" w:styleId="933">
    <w:name w:val="4级标题"/>
    <w:next w:val="158"/>
    <w:qFormat/>
    <w:uiPriority w:val="0"/>
    <w:pPr>
      <w:widowControl w:val="0"/>
      <w:spacing w:before="60" w:line="460" w:lineRule="exact"/>
      <w:ind w:firstLine="200" w:firstLineChars="200"/>
      <w:jc w:val="both"/>
    </w:pPr>
    <w:rPr>
      <w:rFonts w:ascii="Times New Roman" w:hAnsi="Times New Roman" w:eastAsia="Times New Roman" w:cs="Times New Roman"/>
      <w:kern w:val="2"/>
      <w:sz w:val="24"/>
      <w:szCs w:val="24"/>
      <w:lang w:val="en-US" w:eastAsia="zh-CN" w:bidi="ar-SA"/>
    </w:rPr>
  </w:style>
  <w:style w:type="paragraph" w:customStyle="1" w:styleId="934">
    <w:name w:val="正文中对齐"/>
    <w:basedOn w:val="1"/>
    <w:qFormat/>
    <w:uiPriority w:val="0"/>
    <w:pPr>
      <w:adjustRightInd w:val="0"/>
      <w:snapToGrid w:val="0"/>
      <w:spacing w:before="60" w:after="60" w:line="60" w:lineRule="atLeast"/>
      <w:ind w:firstLine="200" w:firstLineChars="200"/>
      <w:jc w:val="center"/>
      <w:textAlignment w:val="baseline"/>
    </w:pPr>
    <w:rPr>
      <w:rFonts w:ascii="宋体"/>
      <w:sz w:val="24"/>
      <w:szCs w:val="20"/>
    </w:rPr>
  </w:style>
  <w:style w:type="paragraph" w:customStyle="1" w:styleId="935">
    <w:name w:val="样式 标题 + 黑体 小三 两端对齐 左侧:  0 厘米 首行缩进:  0 厘米 段前: 0 磅 段后: 0 磅 ...2"/>
    <w:basedOn w:val="84"/>
    <w:qFormat/>
    <w:uiPriority w:val="0"/>
    <w:pPr>
      <w:pageBreakBefore/>
      <w:tabs>
        <w:tab w:val="left" w:pos="432"/>
      </w:tabs>
      <w:spacing w:before="100" w:beforeAutospacing="1" w:afterLines="150" w:line="360" w:lineRule="auto"/>
      <w:ind w:left="432" w:hanging="432"/>
      <w:jc w:val="both"/>
    </w:pPr>
    <w:rPr>
      <w:rFonts w:ascii="黑体" w:eastAsia="黑体"/>
      <w:bCs/>
      <w:sz w:val="36"/>
    </w:rPr>
  </w:style>
  <w:style w:type="paragraph" w:customStyle="1" w:styleId="936">
    <w:name w:val=":("/>
    <w:qFormat/>
    <w:uiPriority w:val="0"/>
    <w:pPr>
      <w:widowControl w:val="0"/>
      <w:adjustRightInd w:val="0"/>
      <w:spacing w:line="312" w:lineRule="atLeast"/>
      <w:jc w:val="both"/>
      <w:textAlignment w:val="baseline"/>
    </w:pPr>
    <w:rPr>
      <w:rFonts w:ascii="Times New Roman" w:hAnsi="Times New Roman" w:eastAsia="·s²Ó©úÅé" w:cs="Times New Roman"/>
      <w:sz w:val="21"/>
      <w:lang w:val="en-US" w:eastAsia="zh-CN" w:bidi="ar-SA"/>
    </w:rPr>
  </w:style>
  <w:style w:type="paragraph" w:customStyle="1" w:styleId="937">
    <w:name w:val="样式 正文缩进 + 宋体 首行缩进:  2 字符 行距: 1.5 倍行距"/>
    <w:basedOn w:val="21"/>
    <w:qFormat/>
    <w:uiPriority w:val="0"/>
    <w:pPr>
      <w:widowControl w:val="0"/>
      <w:adjustRightInd w:val="0"/>
      <w:spacing w:line="300" w:lineRule="auto"/>
      <w:ind w:firstLine="200"/>
      <w:textAlignment w:val="baseline"/>
    </w:pPr>
    <w:rPr>
      <w:rFonts w:ascii="宋体" w:cs="宋体"/>
      <w:lang w:val="zh-CN"/>
    </w:rPr>
  </w:style>
  <w:style w:type="paragraph" w:customStyle="1" w:styleId="938">
    <w:name w:val="五级条标题"/>
    <w:basedOn w:val="921"/>
    <w:next w:val="1"/>
    <w:qFormat/>
    <w:uiPriority w:val="0"/>
    <w:pPr>
      <w:tabs>
        <w:tab w:val="left" w:pos="2940"/>
      </w:tabs>
      <w:ind w:left="2940"/>
      <w:outlineLvl w:val="6"/>
    </w:pPr>
  </w:style>
  <w:style w:type="paragraph" w:customStyle="1" w:styleId="939">
    <w:name w:val="斜体加粗"/>
    <w:basedOn w:val="1"/>
    <w:next w:val="1"/>
    <w:qFormat/>
    <w:uiPriority w:val="0"/>
    <w:pPr>
      <w:widowControl/>
    </w:pPr>
    <w:rPr>
      <w:b/>
      <w:i/>
      <w:iCs/>
      <w:kern w:val="0"/>
      <w:sz w:val="22"/>
      <w:szCs w:val="20"/>
    </w:rPr>
  </w:style>
  <w:style w:type="paragraph" w:customStyle="1" w:styleId="940">
    <w:name w:val="Char Char Char Char Char Char Char2"/>
    <w:basedOn w:val="1"/>
    <w:qFormat/>
    <w:uiPriority w:val="0"/>
    <w:pPr>
      <w:spacing w:before="60" w:line="360" w:lineRule="auto"/>
      <w:ind w:firstLine="200" w:firstLineChars="200"/>
    </w:pPr>
    <w:rPr>
      <w:rFonts w:ascii="宋体" w:cs="宋体"/>
      <w:sz w:val="24"/>
    </w:rPr>
  </w:style>
  <w:style w:type="paragraph" w:customStyle="1" w:styleId="941">
    <w:name w:val="CM7"/>
    <w:basedOn w:val="1"/>
    <w:next w:val="1"/>
    <w:qFormat/>
    <w:uiPriority w:val="0"/>
    <w:pPr>
      <w:autoSpaceDE w:val="0"/>
      <w:autoSpaceDN w:val="0"/>
      <w:adjustRightInd w:val="0"/>
      <w:jc w:val="left"/>
    </w:pPr>
    <w:rPr>
      <w:rFonts w:ascii="NPPKGL+ArialUnicodeMS" w:eastAsia="NPPKGL+ArialUnicodeMS"/>
      <w:kern w:val="0"/>
      <w:sz w:val="24"/>
    </w:rPr>
  </w:style>
  <w:style w:type="paragraph" w:customStyle="1" w:styleId="942">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943">
    <w:name w:val="表格2"/>
    <w:basedOn w:val="1"/>
    <w:qFormat/>
    <w:uiPriority w:val="0"/>
    <w:pPr>
      <w:spacing w:before="60" w:line="360" w:lineRule="atLeast"/>
      <w:jc w:val="center"/>
    </w:pPr>
    <w:rPr>
      <w:szCs w:val="21"/>
    </w:rPr>
  </w:style>
  <w:style w:type="paragraph" w:customStyle="1" w:styleId="944">
    <w:name w:val="样式 标题 3 + 首行缩进:  2 字符"/>
    <w:basedOn w:val="5"/>
    <w:qFormat/>
    <w:uiPriority w:val="0"/>
    <w:pPr>
      <w:keepNext w:val="0"/>
      <w:widowControl w:val="0"/>
      <w:tabs>
        <w:tab w:val="left" w:pos="420"/>
      </w:tabs>
      <w:overflowPunct/>
      <w:autoSpaceDE/>
      <w:autoSpaceDN/>
      <w:adjustRightInd/>
      <w:spacing w:before="0" w:line="360" w:lineRule="auto"/>
      <w:ind w:left="0" w:firstLine="480" w:firstLineChars="200"/>
      <w:jc w:val="left"/>
      <w:textAlignment w:val="auto"/>
    </w:pPr>
    <w:rPr>
      <w:rFonts w:ascii="Times New Roman" w:hAnsi="Times New Roman" w:cs="宋体"/>
      <w:bCs/>
      <w:color w:val="auto"/>
      <w:spacing w:val="0"/>
      <w:kern w:val="2"/>
      <w:sz w:val="24"/>
      <w:szCs w:val="24"/>
    </w:rPr>
  </w:style>
  <w:style w:type="paragraph" w:customStyle="1" w:styleId="945">
    <w:name w:val="正文文本 22"/>
    <w:basedOn w:val="1"/>
    <w:qFormat/>
    <w:uiPriority w:val="0"/>
    <w:pPr>
      <w:adjustRightInd w:val="0"/>
      <w:spacing w:before="60" w:line="460" w:lineRule="exact"/>
      <w:ind w:right="9" w:firstLine="630"/>
      <w:textAlignment w:val="baseline"/>
    </w:pPr>
    <w:rPr>
      <w:rFonts w:ascii="楷体_GB2312" w:eastAsia="楷体_GB2312"/>
      <w:sz w:val="28"/>
      <w:szCs w:val="20"/>
    </w:rPr>
  </w:style>
  <w:style w:type="paragraph" w:customStyle="1" w:styleId="946">
    <w:name w:val="Char Char Char Char Char Char Char Char Char2"/>
    <w:basedOn w:val="1"/>
    <w:qFormat/>
    <w:uiPriority w:val="0"/>
    <w:pPr>
      <w:spacing w:line="360" w:lineRule="auto"/>
      <w:ind w:firstLine="200" w:firstLineChars="200"/>
    </w:pPr>
    <w:rPr>
      <w:rFonts w:ascii="宋体" w:hAnsi="宋体" w:cs="宋体"/>
      <w:sz w:val="24"/>
    </w:rPr>
  </w:style>
  <w:style w:type="paragraph" w:customStyle="1" w:styleId="947">
    <w:name w:val="Char Char Char1 Char11"/>
    <w:basedOn w:val="1"/>
    <w:qFormat/>
    <w:uiPriority w:val="0"/>
  </w:style>
  <w:style w:type="paragraph" w:customStyle="1" w:styleId="948">
    <w:name w:val="Char Char11"/>
    <w:basedOn w:val="1"/>
    <w:qFormat/>
    <w:uiPriority w:val="0"/>
    <w:pPr>
      <w:spacing w:line="360" w:lineRule="auto"/>
      <w:ind w:firstLine="200" w:firstLineChars="200"/>
    </w:pPr>
    <w:rPr>
      <w:rFonts w:ascii="宋体" w:hAnsi="宋体" w:cs="宋体"/>
      <w:sz w:val="24"/>
    </w:rPr>
  </w:style>
  <w:style w:type="paragraph" w:customStyle="1" w:styleId="949">
    <w:name w:val="Char Char Char2 Char Char Char Char Char Char Char Char Char Char Char Char Char Char Char Char Char Char Char Char1"/>
    <w:basedOn w:val="1"/>
    <w:qFormat/>
    <w:uiPriority w:val="0"/>
    <w:pPr>
      <w:spacing w:beforeLines="20" w:line="440" w:lineRule="atLeast"/>
      <w:ind w:firstLine="200" w:firstLineChars="200"/>
    </w:pPr>
    <w:rPr>
      <w:sz w:val="24"/>
    </w:rPr>
  </w:style>
  <w:style w:type="paragraph" w:customStyle="1" w:styleId="950">
    <w:name w:val="样式 段前: 0.5 行 段后: 0.5 行"/>
    <w:basedOn w:val="1"/>
    <w:semiHidden/>
    <w:qFormat/>
    <w:uiPriority w:val="0"/>
    <w:pPr>
      <w:adjustRightInd w:val="0"/>
      <w:snapToGrid w:val="0"/>
      <w:spacing w:beforeLines="25" w:afterLines="25" w:line="300" w:lineRule="auto"/>
      <w:ind w:firstLine="510" w:firstLineChars="200"/>
    </w:pPr>
    <w:rPr>
      <w:rFonts w:cs="宋体"/>
      <w:spacing w:val="10"/>
      <w:sz w:val="28"/>
      <w:szCs w:val="20"/>
    </w:rPr>
  </w:style>
  <w:style w:type="paragraph" w:customStyle="1" w:styleId="951">
    <w:name w:val="Char Char Char Char Char Char Char Char Char Char Char Char Char11"/>
    <w:basedOn w:val="1"/>
    <w:qFormat/>
    <w:uiPriority w:val="0"/>
    <w:pPr>
      <w:spacing w:line="360" w:lineRule="auto"/>
      <w:ind w:firstLine="200" w:firstLineChars="200"/>
    </w:pPr>
    <w:rPr>
      <w:rFonts w:ascii="宋体" w:hAnsi="宋体" w:cs="宋体"/>
      <w:sz w:val="24"/>
    </w:rPr>
  </w:style>
  <w:style w:type="paragraph" w:customStyle="1" w:styleId="952">
    <w:name w:val="xl39"/>
    <w:basedOn w:val="1"/>
    <w:qFormat/>
    <w:uiPriority w:val="0"/>
    <w:pPr>
      <w:widowControl/>
      <w:spacing w:before="100" w:beforeAutospacing="1" w:after="100" w:afterAutospacing="1"/>
      <w:jc w:val="left"/>
    </w:pPr>
    <w:rPr>
      <w:rFonts w:hint="eastAsia" w:ascii="Arial Unicode MS" w:hAnsi="Arial Unicode MS" w:eastAsia="Arial Unicode MS"/>
      <w:szCs w:val="20"/>
    </w:rPr>
  </w:style>
  <w:style w:type="paragraph" w:customStyle="1" w:styleId="953">
    <w:name w:val="正文文本 32"/>
    <w:basedOn w:val="1"/>
    <w:semiHidden/>
    <w:qFormat/>
    <w:uiPriority w:val="0"/>
    <w:pPr>
      <w:adjustRightInd w:val="0"/>
      <w:spacing w:line="360" w:lineRule="atLeast"/>
      <w:jc w:val="center"/>
      <w:textAlignment w:val="baseline"/>
    </w:pPr>
    <w:rPr>
      <w:rFonts w:ascii="仿宋体" w:eastAsia="仿宋体"/>
      <w:kern w:val="0"/>
      <w:sz w:val="24"/>
      <w:szCs w:val="20"/>
    </w:rPr>
  </w:style>
  <w:style w:type="paragraph" w:customStyle="1" w:styleId="954">
    <w:name w:val="正文5"/>
    <w:qFormat/>
    <w:uiPriority w:val="0"/>
    <w:pPr>
      <w:widowControl w:val="0"/>
      <w:adjustRightInd w:val="0"/>
      <w:spacing w:line="360" w:lineRule="atLeast"/>
      <w:textAlignment w:val="baseline"/>
    </w:pPr>
    <w:rPr>
      <w:rFonts w:ascii="宋体" w:hAnsi="Times New Roman" w:eastAsia="宋体" w:cs="Times New Roman"/>
      <w:sz w:val="24"/>
      <w:lang w:val="en-US" w:eastAsia="zh-CN" w:bidi="ar-SA"/>
    </w:rPr>
  </w:style>
  <w:style w:type="paragraph" w:customStyle="1" w:styleId="955">
    <w:name w:val="Char Char Char Char Char Char Char Char Char Char Char Char Char1 Char Char Char Char Char Char Char Char Char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956">
    <w:name w:val="Char Char Char Char Char Char Char Char Char Char Char Char Char1 Char Char Char Char Char Char Char Char1"/>
    <w:basedOn w:val="1"/>
    <w:qFormat/>
    <w:uiPriority w:val="0"/>
    <w:pPr>
      <w:spacing w:line="360" w:lineRule="auto"/>
      <w:ind w:firstLine="200" w:firstLineChars="200"/>
    </w:pPr>
    <w:rPr>
      <w:rFonts w:ascii="宋体" w:hAnsi="宋体" w:cs="宋体"/>
      <w:sz w:val="24"/>
    </w:rPr>
  </w:style>
  <w:style w:type="paragraph" w:customStyle="1" w:styleId="957">
    <w:name w:val="Char Char Char Char Char Char Char Char Char Char Char Char Char2"/>
    <w:basedOn w:val="1"/>
    <w:qFormat/>
    <w:uiPriority w:val="0"/>
    <w:pPr>
      <w:spacing w:line="360" w:lineRule="auto"/>
      <w:ind w:firstLine="200" w:firstLineChars="200"/>
    </w:pPr>
    <w:rPr>
      <w:rFonts w:ascii="宋体" w:hAnsi="宋体" w:cs="宋体"/>
      <w:sz w:val="24"/>
    </w:rPr>
  </w:style>
  <w:style w:type="paragraph" w:customStyle="1" w:styleId="958">
    <w:name w:val="Char Char1 Char Char Char1 Char Char Char Char1"/>
    <w:basedOn w:val="1"/>
    <w:qFormat/>
    <w:uiPriority w:val="0"/>
    <w:pPr>
      <w:spacing w:before="20" w:beforeLines="20" w:line="440" w:lineRule="atLeast"/>
      <w:ind w:firstLine="200" w:firstLineChars="200"/>
    </w:pPr>
    <w:rPr>
      <w:sz w:val="24"/>
    </w:rPr>
  </w:style>
  <w:style w:type="paragraph" w:customStyle="1" w:styleId="959">
    <w:name w:val="Char Char Char2 Char Char Char Char Char Char Char Char Char Char Char Char Char Char Char1"/>
    <w:basedOn w:val="1"/>
    <w:qFormat/>
    <w:uiPriority w:val="0"/>
    <w:pPr>
      <w:spacing w:before="20" w:beforeLines="20" w:line="440" w:lineRule="atLeast"/>
      <w:ind w:firstLine="200" w:firstLineChars="200"/>
    </w:pPr>
    <w:rPr>
      <w:sz w:val="24"/>
    </w:rPr>
  </w:style>
  <w:style w:type="paragraph" w:customStyle="1" w:styleId="960">
    <w:name w:val="Char Char1 Char Char Char1 Char Char Char Char Char Char Char Char Char Char Char Char Char Char Char Char Char Char Char Char Char Char1"/>
    <w:basedOn w:val="1"/>
    <w:qFormat/>
    <w:uiPriority w:val="0"/>
    <w:pPr>
      <w:spacing w:before="20" w:beforeLines="20" w:line="440" w:lineRule="atLeast"/>
      <w:ind w:firstLine="200" w:firstLineChars="200"/>
    </w:pPr>
    <w:rPr>
      <w:sz w:val="24"/>
    </w:rPr>
  </w:style>
  <w:style w:type="paragraph" w:customStyle="1" w:styleId="961">
    <w:name w:val="Char Char Char Char Char Char Char Char Char1 Char Char Char Char Char Char Char11"/>
    <w:basedOn w:val="1"/>
    <w:qFormat/>
    <w:uiPriority w:val="0"/>
    <w:pPr>
      <w:spacing w:line="360" w:lineRule="auto"/>
      <w:ind w:firstLine="200" w:firstLineChars="200"/>
    </w:pPr>
    <w:rPr>
      <w:rFonts w:ascii="宋体" w:hAnsi="宋体" w:cs="宋体"/>
      <w:sz w:val="24"/>
    </w:rPr>
  </w:style>
  <w:style w:type="paragraph" w:customStyle="1" w:styleId="962">
    <w:name w:val="样式 页眉页眉1页眉2 + (中文) 黑体 小四 加粗 首行缩进:  0.85 厘米 顶端: (单实线 自动设置..."/>
    <w:basedOn w:val="1"/>
    <w:qFormat/>
    <w:uiPriority w:val="0"/>
    <w:pPr>
      <w:pBdr>
        <w:top w:val="single" w:color="auto" w:sz="4" w:space="7"/>
      </w:pBdr>
      <w:tabs>
        <w:tab w:val="center" w:pos="4153"/>
        <w:tab w:val="right" w:pos="8306"/>
      </w:tabs>
      <w:snapToGrid w:val="0"/>
      <w:jc w:val="center"/>
    </w:pPr>
    <w:rPr>
      <w:rFonts w:eastAsia="黑体" w:cs="宋体"/>
      <w:b/>
      <w:bCs/>
      <w:sz w:val="24"/>
      <w:szCs w:val="20"/>
    </w:rPr>
  </w:style>
  <w:style w:type="paragraph" w:customStyle="1" w:styleId="963">
    <w:name w:val="font8"/>
    <w:basedOn w:val="1"/>
    <w:qFormat/>
    <w:uiPriority w:val="0"/>
    <w:pPr>
      <w:widowControl/>
      <w:spacing w:before="100" w:beforeAutospacing="1" w:after="100" w:afterAutospacing="1"/>
      <w:jc w:val="left"/>
    </w:pPr>
    <w:rPr>
      <w:rFonts w:ascii="Arial" w:hAnsi="Arial" w:cs="Arial"/>
      <w:color w:val="000000"/>
      <w:kern w:val="0"/>
      <w:sz w:val="22"/>
      <w:szCs w:val="22"/>
    </w:rPr>
  </w:style>
  <w:style w:type="paragraph" w:customStyle="1" w:styleId="964">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Cs w:val="21"/>
    </w:rPr>
  </w:style>
  <w:style w:type="paragraph" w:customStyle="1" w:styleId="965">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Arial" w:hAnsi="Arial" w:cs="Arial"/>
      <w:kern w:val="0"/>
      <w:szCs w:val="21"/>
    </w:rPr>
  </w:style>
  <w:style w:type="paragraph" w:customStyle="1" w:styleId="96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967">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rPr>
  </w:style>
  <w:style w:type="paragraph" w:customStyle="1" w:styleId="96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24"/>
    </w:rPr>
  </w:style>
  <w:style w:type="paragraph" w:customStyle="1" w:styleId="969">
    <w:name w:val="xl73"/>
    <w:basedOn w:val="1"/>
    <w:qFormat/>
    <w:uiPriority w:val="0"/>
    <w:pPr>
      <w:widowControl/>
      <w:spacing w:before="100" w:beforeAutospacing="1" w:after="100" w:afterAutospacing="1"/>
      <w:jc w:val="center"/>
    </w:pPr>
    <w:rPr>
      <w:rFonts w:ascii="宋体" w:hAnsi="宋体" w:cs="宋体"/>
      <w:kern w:val="0"/>
      <w:sz w:val="24"/>
    </w:rPr>
  </w:style>
  <w:style w:type="paragraph" w:customStyle="1" w:styleId="970">
    <w:name w:val="表格文字1"/>
    <w:basedOn w:val="232"/>
    <w:qFormat/>
    <w:uiPriority w:val="0"/>
    <w:pPr>
      <w:jc w:val="both"/>
    </w:pPr>
    <w:rPr>
      <w:rFonts w:ascii="Times New Roman" w:hAnsi="Times New Roman" w:cs="宋体"/>
    </w:rPr>
  </w:style>
  <w:style w:type="paragraph" w:customStyle="1" w:styleId="971">
    <w:name w:val="样式 环保局表格 + 首行缩进:  2 字符"/>
    <w:basedOn w:val="1"/>
    <w:semiHidden/>
    <w:qFormat/>
    <w:uiPriority w:val="0"/>
    <w:pPr>
      <w:adjustRightInd w:val="0"/>
      <w:snapToGrid w:val="0"/>
      <w:jc w:val="center"/>
    </w:pPr>
    <w:rPr>
      <w:rFonts w:eastAsia="仿宋_GB2312" w:cs="宋体"/>
      <w:snapToGrid w:val="0"/>
      <w:kern w:val="24"/>
      <w:szCs w:val="20"/>
    </w:rPr>
  </w:style>
  <w:style w:type="paragraph" w:customStyle="1" w:styleId="972">
    <w:name w:val="_Style 4"/>
    <w:basedOn w:val="1"/>
    <w:qFormat/>
    <w:uiPriority w:val="34"/>
    <w:pPr>
      <w:ind w:firstLine="420" w:firstLineChars="200"/>
    </w:pPr>
    <w:rPr>
      <w:szCs w:val="21"/>
    </w:rPr>
  </w:style>
  <w:style w:type="paragraph" w:customStyle="1" w:styleId="973">
    <w:name w:val="Char11"/>
    <w:basedOn w:val="1"/>
    <w:next w:val="1"/>
    <w:qFormat/>
    <w:uiPriority w:val="0"/>
  </w:style>
  <w:style w:type="table" w:customStyle="1" w:styleId="974">
    <w:name w:val="网格型c2"/>
    <w:basedOn w:val="8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5">
    <w:name w:val="网格型4"/>
    <w:basedOn w:val="88"/>
    <w:qFormat/>
    <w:uiPriority w:val="59"/>
    <w:pPr>
      <w:widowControl w:val="0"/>
      <w:spacing w:before="60" w:line="460" w:lineRule="exact"/>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6">
    <w:name w:val="网格型13"/>
    <w:basedOn w:val="88"/>
    <w:qFormat/>
    <w:uiPriority w:val="99"/>
    <w:pPr>
      <w:widowControl w:val="0"/>
      <w:spacing w:before="60" w:line="460" w:lineRule="exact"/>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7">
    <w:name w:val="网格型c9"/>
    <w:basedOn w:val="8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8">
    <w:name w:val="网格型c7"/>
    <w:basedOn w:val="8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79">
    <w:name w:val="网格型2"/>
    <w:basedOn w:val="88"/>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0">
    <w:name w:val="网格型c1"/>
    <w:basedOn w:val="8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1">
    <w:name w:val="网格型111"/>
    <w:basedOn w:val="88"/>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2">
    <w:name w:val="网格型12"/>
    <w:basedOn w:val="88"/>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3">
    <w:name w:val="网格型112"/>
    <w:basedOn w:val="8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4">
    <w:name w:val="网格型5"/>
    <w:basedOn w:val="88"/>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5">
    <w:name w:val="网格型c8"/>
    <w:basedOn w:val="8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6">
    <w:name w:val="网格型c6"/>
    <w:basedOn w:val="8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7">
    <w:name w:val="网格型c3"/>
    <w:basedOn w:val="88"/>
    <w:qFormat/>
    <w:uiPriority w:val="0"/>
    <w:pPr>
      <w:widowControl w:val="0"/>
      <w:spacing w:line="460" w:lineRule="exact"/>
      <w:ind w:firstLine="200" w:firstLineChars="20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8">
    <w:name w:val="网格型1"/>
    <w:basedOn w:val="88"/>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9">
    <w:name w:val="网格型c5"/>
    <w:basedOn w:val="88"/>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0">
    <w:name w:val="网格型11"/>
    <w:basedOn w:val="88"/>
    <w:qFormat/>
    <w:uiPriority w:val="59"/>
    <w:pPr>
      <w:widowControl w:val="0"/>
      <w:spacing w:before="60" w:line="460" w:lineRule="exact"/>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1">
    <w:name w:val="网格型c4"/>
    <w:basedOn w:val="88"/>
    <w:qFormat/>
    <w:uiPriority w:val="0"/>
    <w:pPr>
      <w:widowControl w:val="0"/>
      <w:spacing w:before="60" w:line="460" w:lineRule="exact"/>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92">
    <w:name w:val="网格型3"/>
    <w:basedOn w:val="88"/>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93">
    <w:name w:val="表格内标 Char"/>
    <w:qFormat/>
    <w:uiPriority w:val="99"/>
    <w:rPr>
      <w:rFonts w:ascii="黑体" w:eastAsia="黑体"/>
      <w:kern w:val="2"/>
      <w:lang w:val="en-US" w:eastAsia="zh-CN"/>
    </w:rPr>
  </w:style>
  <w:style w:type="character" w:customStyle="1" w:styleId="994">
    <w:name w:val="表格内标 Char Char"/>
    <w:link w:val="995"/>
    <w:qFormat/>
    <w:locked/>
    <w:uiPriority w:val="99"/>
    <w:rPr>
      <w:rFonts w:ascii="黑体" w:eastAsia="黑体"/>
      <w:kern w:val="2"/>
    </w:rPr>
  </w:style>
  <w:style w:type="paragraph" w:customStyle="1" w:styleId="995">
    <w:name w:val="表格内标"/>
    <w:basedOn w:val="1"/>
    <w:next w:val="1"/>
    <w:link w:val="994"/>
    <w:qFormat/>
    <w:uiPriority w:val="99"/>
    <w:pPr>
      <w:keepNext/>
      <w:keepLines/>
      <w:jc w:val="center"/>
    </w:pPr>
    <w:rPr>
      <w:rFonts w:ascii="黑体" w:eastAsia="黑体" w:hAnsiTheme="minorHAnsi" w:cstheme="minorBidi"/>
      <w:sz w:val="20"/>
      <w:szCs w:val="20"/>
    </w:rPr>
  </w:style>
  <w:style w:type="character" w:customStyle="1" w:styleId="996">
    <w:name w:val="lh15"/>
    <w:qFormat/>
    <w:uiPriority w:val="99"/>
  </w:style>
  <w:style w:type="character" w:customStyle="1" w:styleId="997">
    <w:name w:val="description"/>
    <w:qFormat/>
    <w:uiPriority w:val="0"/>
  </w:style>
  <w:style w:type="character" w:customStyle="1" w:styleId="998">
    <w:name w:val="Body Text Char1"/>
    <w:semiHidden/>
    <w:qFormat/>
    <w:uiPriority w:val="99"/>
    <w:rPr>
      <w:kern w:val="2"/>
      <w:sz w:val="21"/>
    </w:rPr>
  </w:style>
  <w:style w:type="character" w:customStyle="1" w:styleId="999">
    <w:name w:val="bsharetext"/>
    <w:basedOn w:val="95"/>
    <w:qFormat/>
    <w:uiPriority w:val="0"/>
  </w:style>
  <w:style w:type="character" w:customStyle="1" w:styleId="1000">
    <w:name w:val="cur1"/>
    <w:qFormat/>
    <w:uiPriority w:val="0"/>
    <w:rPr>
      <w:color w:val="FFFFFF"/>
      <w:shd w:val="clear" w:color="auto" w:fill="2F6B98"/>
    </w:rPr>
  </w:style>
  <w:style w:type="character" w:customStyle="1" w:styleId="1001">
    <w:name w:val="radio-btn2"/>
    <w:qFormat/>
    <w:uiPriority w:val="0"/>
    <w:rPr>
      <w:sz w:val="24"/>
      <w:szCs w:val="24"/>
    </w:rPr>
  </w:style>
  <w:style w:type="character" w:customStyle="1" w:styleId="1002">
    <w:name w:val="radio-btn1"/>
    <w:qFormat/>
    <w:uiPriority w:val="0"/>
    <w:rPr>
      <w:sz w:val="24"/>
      <w:szCs w:val="24"/>
    </w:rPr>
  </w:style>
  <w:style w:type="character" w:customStyle="1" w:styleId="1003">
    <w:name w:val="style391"/>
    <w:qFormat/>
    <w:uiPriority w:val="99"/>
    <w:rPr>
      <w:b/>
      <w:color w:val="287D3C"/>
      <w:sz w:val="26"/>
    </w:rPr>
  </w:style>
  <w:style w:type="character" w:customStyle="1" w:styleId="1004">
    <w:name w:val="正文文本首行缩进 2 字符"/>
    <w:qFormat/>
    <w:locked/>
    <w:uiPriority w:val="0"/>
    <w:rPr>
      <w:rFonts w:cs="Times New Roman"/>
      <w:kern w:val="2"/>
      <w:sz w:val="27"/>
    </w:rPr>
  </w:style>
  <w:style w:type="character" w:customStyle="1" w:styleId="1005">
    <w:name w:val="Char Char7"/>
    <w:qFormat/>
    <w:uiPriority w:val="99"/>
    <w:rPr>
      <w:rFonts w:eastAsia="宋体"/>
      <w:kern w:val="2"/>
      <w:sz w:val="27"/>
      <w:lang w:val="en-US" w:eastAsia="zh-CN"/>
    </w:rPr>
  </w:style>
  <w:style w:type="character" w:customStyle="1" w:styleId="1006">
    <w:name w:val="radio-btn"/>
    <w:qFormat/>
    <w:uiPriority w:val="0"/>
    <w:rPr>
      <w:sz w:val="21"/>
      <w:szCs w:val="21"/>
    </w:rPr>
  </w:style>
  <w:style w:type="character" w:customStyle="1" w:styleId="1007">
    <w:name w:val="dec_font_style"/>
    <w:qFormat/>
    <w:uiPriority w:val="99"/>
  </w:style>
  <w:style w:type="character" w:customStyle="1" w:styleId="1008">
    <w:name w:val="居中正文 Char"/>
    <w:link w:val="545"/>
    <w:qFormat/>
    <w:locked/>
    <w:uiPriority w:val="99"/>
    <w:rPr>
      <w:rFonts w:ascii="宋体"/>
      <w:kern w:val="28"/>
      <w:sz w:val="24"/>
      <w:lang w:val="zh-CN" w:eastAsia="zh-CN"/>
    </w:rPr>
  </w:style>
  <w:style w:type="character" w:customStyle="1" w:styleId="1009">
    <w:name w:val="Header Char1"/>
    <w:semiHidden/>
    <w:qFormat/>
    <w:uiPriority w:val="99"/>
    <w:rPr>
      <w:kern w:val="2"/>
      <w:sz w:val="18"/>
    </w:rPr>
  </w:style>
  <w:style w:type="character" w:customStyle="1" w:styleId="1010">
    <w:name w:val="lable"/>
    <w:qFormat/>
    <w:uiPriority w:val="0"/>
    <w:rPr>
      <w:sz w:val="24"/>
      <w:szCs w:val="24"/>
    </w:rPr>
  </w:style>
  <w:style w:type="character" w:customStyle="1" w:styleId="1011">
    <w:name w:val="正文1 Char1"/>
    <w:qFormat/>
    <w:locked/>
    <w:uiPriority w:val="99"/>
    <w:rPr>
      <w:rFonts w:cs="宋体"/>
      <w:color w:val="000000"/>
      <w:sz w:val="24"/>
      <w:szCs w:val="24"/>
    </w:rPr>
  </w:style>
  <w:style w:type="character" w:customStyle="1" w:styleId="1012">
    <w:name w:val="正文缩进 字符"/>
    <w:qFormat/>
    <w:locked/>
    <w:uiPriority w:val="0"/>
    <w:rPr>
      <w:rFonts w:eastAsia="宋体"/>
      <w:kern w:val="2"/>
      <w:sz w:val="27"/>
      <w:lang w:val="en-US" w:eastAsia="zh-CN"/>
    </w:rPr>
  </w:style>
  <w:style w:type="character" w:customStyle="1" w:styleId="1013">
    <w:name w:val="正文文本首行缩进 字符"/>
    <w:qFormat/>
    <w:locked/>
    <w:uiPriority w:val="0"/>
    <w:rPr>
      <w:rFonts w:ascii="黑体" w:eastAsia="宋体" w:cs="Times New Roman"/>
      <w:kern w:val="2"/>
      <w:sz w:val="27"/>
      <w:lang w:val="en-US" w:eastAsia="zh-CN"/>
    </w:rPr>
  </w:style>
  <w:style w:type="character" w:customStyle="1" w:styleId="1014">
    <w:name w:val="Char Char Char"/>
    <w:qFormat/>
    <w:uiPriority w:val="99"/>
    <w:rPr>
      <w:rFonts w:ascii="宋体" w:hAnsi="Courier New" w:eastAsia="宋体"/>
      <w:kern w:val="2"/>
      <w:sz w:val="21"/>
      <w:lang w:val="en-US" w:eastAsia="zh-CN"/>
    </w:rPr>
  </w:style>
  <w:style w:type="character" w:customStyle="1" w:styleId="1015">
    <w:name w:val="信息表 Char"/>
    <w:link w:val="1016"/>
    <w:qFormat/>
    <w:locked/>
    <w:uiPriority w:val="99"/>
    <w:rPr>
      <w:rFonts w:hAnsi="宋体"/>
      <w:sz w:val="22"/>
    </w:rPr>
  </w:style>
  <w:style w:type="paragraph" w:customStyle="1" w:styleId="1016">
    <w:name w:val="信息表"/>
    <w:next w:val="1"/>
    <w:link w:val="1015"/>
    <w:qFormat/>
    <w:uiPriority w:val="99"/>
    <w:pPr>
      <w:adjustRightInd w:val="0"/>
      <w:snapToGrid w:val="0"/>
      <w:spacing w:line="440" w:lineRule="exact"/>
      <w:jc w:val="both"/>
    </w:pPr>
    <w:rPr>
      <w:rFonts w:hAnsi="宋体" w:asciiTheme="minorHAnsi" w:eastAsiaTheme="minorEastAsia" w:cstheme="minorBidi"/>
      <w:sz w:val="22"/>
      <w:lang w:val="en-US" w:eastAsia="zh-CN" w:bidi="ar-SA"/>
    </w:rPr>
  </w:style>
  <w:style w:type="character" w:customStyle="1" w:styleId="1017">
    <w:name w:val="Body Text Indent Char1"/>
    <w:semiHidden/>
    <w:qFormat/>
    <w:uiPriority w:val="99"/>
    <w:rPr>
      <w:kern w:val="2"/>
      <w:sz w:val="21"/>
    </w:rPr>
  </w:style>
  <w:style w:type="character" w:customStyle="1" w:styleId="1018">
    <w:name w:val="lishishuju"/>
    <w:uiPriority w:val="0"/>
    <w:rPr>
      <w:b/>
      <w:color w:val="000052"/>
      <w:sz w:val="24"/>
      <w:szCs w:val="24"/>
      <w:bdr w:val="single" w:color="E3E3E3" w:sz="6" w:space="0"/>
    </w:rPr>
  </w:style>
  <w:style w:type="character" w:customStyle="1" w:styleId="1019">
    <w:name w:val="报告表表格 Char"/>
    <w:link w:val="1020"/>
    <w:qFormat/>
    <w:locked/>
    <w:uiPriority w:val="99"/>
    <w:rPr>
      <w:rFonts w:ascii="Arial" w:hAnsi="Arial"/>
      <w:kern w:val="2"/>
      <w:sz w:val="21"/>
    </w:rPr>
  </w:style>
  <w:style w:type="paragraph" w:customStyle="1" w:styleId="1020">
    <w:name w:val="报告表表格"/>
    <w:basedOn w:val="1"/>
    <w:link w:val="1019"/>
    <w:qFormat/>
    <w:uiPriority w:val="99"/>
    <w:pPr>
      <w:spacing w:line="360" w:lineRule="exact"/>
      <w:jc w:val="center"/>
    </w:pPr>
    <w:rPr>
      <w:rFonts w:ascii="Arial" w:hAnsi="Arial" w:eastAsiaTheme="minorEastAsia" w:cstheme="minorBidi"/>
      <w:szCs w:val="20"/>
    </w:rPr>
  </w:style>
  <w:style w:type="character" w:customStyle="1" w:styleId="1021">
    <w:name w:val="Body Text First Indent 2 Char1"/>
    <w:semiHidden/>
    <w:qFormat/>
    <w:uiPriority w:val="99"/>
    <w:rPr>
      <w:kern w:val="2"/>
      <w:sz w:val="21"/>
    </w:rPr>
  </w:style>
  <w:style w:type="character" w:customStyle="1" w:styleId="1022">
    <w:name w:val="style421"/>
    <w:qFormat/>
    <w:uiPriority w:val="99"/>
    <w:rPr>
      <w:color w:val="287D3C"/>
      <w:sz w:val="26"/>
    </w:rPr>
  </w:style>
  <w:style w:type="character" w:customStyle="1" w:styleId="1023">
    <w:name w:val="Title Char1"/>
    <w:qFormat/>
    <w:uiPriority w:val="99"/>
    <w:rPr>
      <w:rFonts w:ascii="Cambria" w:hAnsi="Cambria"/>
      <w:b/>
      <w:kern w:val="2"/>
      <w:sz w:val="32"/>
    </w:rPr>
  </w:style>
  <w:style w:type="character" w:customStyle="1" w:styleId="1024">
    <w:name w:val="普通文字 Char2"/>
    <w:qFormat/>
    <w:uiPriority w:val="99"/>
    <w:rPr>
      <w:rFonts w:ascii="宋体" w:hAnsi="Courier New" w:eastAsia="宋体"/>
      <w:kern w:val="2"/>
      <w:lang w:val="en-US" w:eastAsia="zh-CN"/>
    </w:rPr>
  </w:style>
  <w:style w:type="character" w:customStyle="1" w:styleId="1025">
    <w:name w:val="znspantitle"/>
    <w:uiPriority w:val="0"/>
    <w:rPr>
      <w:b/>
      <w:color w:val="333333"/>
    </w:rPr>
  </w:style>
  <w:style w:type="paragraph" w:customStyle="1" w:styleId="1026">
    <w:name w:val="表格文字2018"/>
    <w:qFormat/>
    <w:uiPriority w:val="0"/>
    <w:pPr>
      <w:spacing w:line="320" w:lineRule="exact"/>
      <w:jc w:val="center"/>
    </w:pPr>
    <w:rPr>
      <w:rFonts w:ascii="Times New Roman" w:hAnsi="Times New Roman" w:eastAsia="仿宋_GB2312" w:cs="Times New Roman"/>
      <w:kern w:val="2"/>
      <w:sz w:val="21"/>
      <w:szCs w:val="21"/>
      <w:lang w:val="en-US" w:eastAsia="zh-CN" w:bidi="ar-SA"/>
    </w:rPr>
  </w:style>
  <w:style w:type="paragraph" w:customStyle="1" w:styleId="1027">
    <w:name w:val="文字"/>
    <w:basedOn w:val="1"/>
    <w:qFormat/>
    <w:uiPriority w:val="0"/>
    <w:pPr>
      <w:widowControl/>
      <w:spacing w:afterLines="50" w:line="360" w:lineRule="auto"/>
      <w:ind w:firstLine="420"/>
    </w:pPr>
    <w:rPr>
      <w:kern w:val="0"/>
      <w:sz w:val="24"/>
    </w:rPr>
  </w:style>
  <w:style w:type="paragraph" w:customStyle="1" w:styleId="1028">
    <w:name w:val="封面6"/>
    <w:qFormat/>
    <w:uiPriority w:val="99"/>
    <w:pPr>
      <w:widowControl w:val="0"/>
      <w:ind w:firstLine="200" w:firstLineChars="200"/>
    </w:pPr>
    <w:rPr>
      <w:rFonts w:ascii="宋体" w:hAnsi="Times New Roman" w:eastAsia="宋体" w:cs="Times New Roman"/>
      <w:b/>
      <w:kern w:val="2"/>
      <w:sz w:val="30"/>
      <w:szCs w:val="24"/>
      <w:lang w:val="en-US" w:eastAsia="zh-CN" w:bidi="ar-SA"/>
    </w:rPr>
  </w:style>
  <w:style w:type="paragraph" w:customStyle="1" w:styleId="1029">
    <w:name w:val="reader-word-layer reader-word-s1-2"/>
    <w:basedOn w:val="1"/>
    <w:qFormat/>
    <w:uiPriority w:val="99"/>
    <w:pPr>
      <w:widowControl/>
      <w:spacing w:before="100" w:beforeAutospacing="1" w:after="100" w:afterAutospacing="1"/>
      <w:jc w:val="left"/>
    </w:pPr>
    <w:rPr>
      <w:rFonts w:ascii="宋体" w:hAnsi="宋体" w:cs="宋体"/>
      <w:kern w:val="0"/>
      <w:sz w:val="24"/>
    </w:rPr>
  </w:style>
  <w:style w:type="paragraph" w:customStyle="1" w:styleId="1030">
    <w:name w:val="表格标题-02"/>
    <w:basedOn w:val="1"/>
    <w:uiPriority w:val="0"/>
    <w:pPr>
      <w:spacing w:beforeLines="30" w:line="460" w:lineRule="exact"/>
      <w:jc w:val="center"/>
    </w:pPr>
    <w:rPr>
      <w:snapToGrid w:val="0"/>
      <w:kern w:val="0"/>
    </w:rPr>
  </w:style>
  <w:style w:type="paragraph" w:customStyle="1" w:styleId="1031">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1032">
    <w:name w:val="reader-word-layer reader-word-s1-7"/>
    <w:basedOn w:val="1"/>
    <w:qFormat/>
    <w:uiPriority w:val="99"/>
    <w:pPr>
      <w:widowControl/>
      <w:spacing w:before="100" w:beforeAutospacing="1" w:after="100" w:afterAutospacing="1"/>
      <w:jc w:val="left"/>
    </w:pPr>
    <w:rPr>
      <w:rFonts w:ascii="宋体" w:hAnsi="宋体" w:cs="宋体"/>
      <w:kern w:val="0"/>
      <w:sz w:val="24"/>
    </w:rPr>
  </w:style>
  <w:style w:type="paragraph" w:customStyle="1" w:styleId="1033">
    <w:name w:val="正文-1"/>
    <w:basedOn w:val="1"/>
    <w:qFormat/>
    <w:uiPriority w:val="99"/>
    <w:pPr>
      <w:spacing w:line="560" w:lineRule="exact"/>
      <w:ind w:firstLine="200" w:firstLineChars="200"/>
    </w:pPr>
    <w:rPr>
      <w:rFonts w:eastAsia="仿宋_GB2312"/>
      <w:sz w:val="32"/>
    </w:rPr>
  </w:style>
  <w:style w:type="paragraph" w:customStyle="1" w:styleId="1034">
    <w:name w:val="Normal1"/>
    <w:qFormat/>
    <w:uiPriority w:val="99"/>
    <w:pPr>
      <w:jc w:val="both"/>
    </w:pPr>
    <w:rPr>
      <w:rFonts w:ascii="Times New Roman" w:hAnsi="Times New Roman" w:eastAsia="宋体" w:cs="Times New Roman"/>
      <w:kern w:val="2"/>
      <w:sz w:val="21"/>
      <w:szCs w:val="21"/>
      <w:lang w:val="en-US" w:eastAsia="zh-CN" w:bidi="ar-SA"/>
    </w:rPr>
  </w:style>
  <w:style w:type="paragraph" w:customStyle="1" w:styleId="1035">
    <w:name w:val="标题2"/>
    <w:basedOn w:val="1"/>
    <w:qFormat/>
    <w:uiPriority w:val="0"/>
    <w:pPr>
      <w:outlineLvl w:val="1"/>
    </w:pPr>
    <w:rPr>
      <w:rFonts w:ascii="宋体" w:hAnsi="宋体"/>
      <w:b/>
      <w:sz w:val="28"/>
      <w:szCs w:val="28"/>
    </w:rPr>
  </w:style>
  <w:style w:type="paragraph" w:customStyle="1" w:styleId="1036">
    <w:name w:val="style44"/>
    <w:basedOn w:val="1"/>
    <w:qFormat/>
    <w:uiPriority w:val="99"/>
    <w:pPr>
      <w:widowControl/>
      <w:spacing w:before="100" w:beforeAutospacing="1" w:after="100" w:afterAutospacing="1"/>
      <w:jc w:val="left"/>
    </w:pPr>
    <w:rPr>
      <w:rFonts w:ascii="宋体" w:hAnsi="宋体" w:cs="宋体"/>
      <w:kern w:val="0"/>
      <w:sz w:val="22"/>
      <w:szCs w:val="22"/>
    </w:rPr>
  </w:style>
  <w:style w:type="paragraph" w:customStyle="1" w:styleId="1037">
    <w:name w:val="reader-word-layer reader-word-s1-11"/>
    <w:basedOn w:val="1"/>
    <w:qFormat/>
    <w:uiPriority w:val="99"/>
    <w:pPr>
      <w:widowControl/>
      <w:spacing w:before="100" w:beforeAutospacing="1" w:after="100" w:afterAutospacing="1"/>
      <w:jc w:val="left"/>
    </w:pPr>
    <w:rPr>
      <w:rFonts w:ascii="宋体" w:hAnsi="宋体" w:cs="宋体"/>
      <w:kern w:val="0"/>
      <w:sz w:val="24"/>
    </w:rPr>
  </w:style>
  <w:style w:type="paragraph" w:customStyle="1" w:styleId="1038">
    <w:name w:val="改表内容居中"/>
    <w:basedOn w:val="1"/>
    <w:qFormat/>
    <w:uiPriority w:val="99"/>
    <w:pPr>
      <w:jc w:val="center"/>
      <w:textAlignment w:val="center"/>
    </w:pPr>
  </w:style>
  <w:style w:type="paragraph" w:customStyle="1" w:styleId="1039">
    <w:name w:val="reader-word-layer reader-word-s1-5"/>
    <w:basedOn w:val="1"/>
    <w:qFormat/>
    <w:uiPriority w:val="99"/>
    <w:pPr>
      <w:widowControl/>
      <w:spacing w:before="100" w:beforeAutospacing="1" w:after="100" w:afterAutospacing="1"/>
      <w:jc w:val="left"/>
    </w:pPr>
    <w:rPr>
      <w:rFonts w:ascii="宋体" w:hAnsi="宋体" w:cs="宋体"/>
      <w:kern w:val="0"/>
      <w:sz w:val="24"/>
    </w:rPr>
  </w:style>
  <w:style w:type="paragraph" w:customStyle="1" w:styleId="1040">
    <w:name w:val="reader-word-layer reader-word-s1-9"/>
    <w:basedOn w:val="1"/>
    <w:qFormat/>
    <w:uiPriority w:val="99"/>
    <w:pPr>
      <w:widowControl/>
      <w:spacing w:before="100" w:beforeAutospacing="1" w:after="100" w:afterAutospacing="1"/>
      <w:jc w:val="left"/>
    </w:pPr>
    <w:rPr>
      <w:rFonts w:ascii="宋体" w:hAnsi="宋体" w:cs="宋体"/>
      <w:kern w:val="0"/>
      <w:sz w:val="24"/>
    </w:rPr>
  </w:style>
  <w:style w:type="paragraph" w:customStyle="1" w:styleId="1041">
    <w:name w:val="正文开头二"/>
    <w:basedOn w:val="1"/>
    <w:qFormat/>
    <w:uiPriority w:val="99"/>
    <w:pPr>
      <w:autoSpaceDE w:val="0"/>
      <w:autoSpaceDN w:val="0"/>
      <w:adjustRightInd w:val="0"/>
      <w:spacing w:line="400" w:lineRule="atLeast"/>
      <w:textAlignment w:val="baseline"/>
    </w:pPr>
    <w:rPr>
      <w:rFonts w:ascii="Calibri" w:hAnsi="Calibri"/>
      <w:kern w:val="0"/>
      <w:szCs w:val="20"/>
    </w:rPr>
  </w:style>
  <w:style w:type="paragraph" w:customStyle="1" w:styleId="1042">
    <w:name w:val="reader-word-layer reader-word-s1-10"/>
    <w:basedOn w:val="1"/>
    <w:qFormat/>
    <w:uiPriority w:val="99"/>
    <w:pPr>
      <w:widowControl/>
      <w:spacing w:before="100" w:beforeAutospacing="1" w:after="100" w:afterAutospacing="1"/>
      <w:jc w:val="left"/>
    </w:pPr>
    <w:rPr>
      <w:rFonts w:ascii="宋体" w:hAnsi="宋体" w:cs="宋体"/>
      <w:kern w:val="0"/>
      <w:sz w:val="24"/>
    </w:rPr>
  </w:style>
  <w:style w:type="paragraph" w:customStyle="1" w:styleId="1043">
    <w:name w:val="reader-word-layer reader-word-s1-4"/>
    <w:basedOn w:val="1"/>
    <w:qFormat/>
    <w:uiPriority w:val="99"/>
    <w:pPr>
      <w:widowControl/>
      <w:spacing w:before="100" w:beforeAutospacing="1" w:after="100" w:afterAutospacing="1"/>
      <w:jc w:val="left"/>
    </w:pPr>
    <w:rPr>
      <w:rFonts w:ascii="宋体" w:hAnsi="宋体" w:cs="宋体"/>
      <w:kern w:val="0"/>
      <w:sz w:val="24"/>
    </w:rPr>
  </w:style>
  <w:style w:type="paragraph" w:customStyle="1" w:styleId="1044">
    <w:name w:val="修订11"/>
    <w:qFormat/>
    <w:uiPriority w:val="99"/>
    <w:rPr>
      <w:rFonts w:ascii="Times New Roman" w:hAnsi="Times New Roman" w:eastAsia="宋体" w:cs="Times New Roman"/>
      <w:kern w:val="2"/>
      <w:sz w:val="21"/>
      <w:szCs w:val="21"/>
      <w:lang w:val="en-US" w:eastAsia="zh-CN" w:bidi="ar-SA"/>
    </w:rPr>
  </w:style>
  <w:style w:type="paragraph" w:customStyle="1" w:styleId="1045">
    <w:name w:val="文本2018"/>
    <w:qFormat/>
    <w:uiPriority w:val="0"/>
    <w:pPr>
      <w:spacing w:line="440" w:lineRule="exact"/>
      <w:ind w:firstLine="200" w:firstLineChars="200"/>
    </w:pPr>
    <w:rPr>
      <w:rFonts w:ascii="Times New Roman" w:hAnsi="Times New Roman" w:eastAsia="仿宋_GB2312" w:cs="Times New Roman"/>
      <w:kern w:val="2"/>
      <w:sz w:val="24"/>
      <w:lang w:val="en-US" w:eastAsia="zh-CN" w:bidi="ar-SA"/>
    </w:rPr>
  </w:style>
  <w:style w:type="table" w:customStyle="1" w:styleId="1046">
    <w:name w:val="网格型6"/>
    <w:basedOn w:val="88"/>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47">
    <w:name w:val="正文文本首行缩进 2 字符1"/>
    <w:basedOn w:val="145"/>
    <w:qFormat/>
    <w:uiPriority w:val="0"/>
    <w:rPr>
      <w:rFonts w:ascii="Times New Roman" w:hAnsi="Times New Roman" w:eastAsia="宋体" w:cs="Times New Roman"/>
      <w:kern w:val="2"/>
      <w:sz w:val="21"/>
      <w:szCs w:val="24"/>
    </w:rPr>
  </w:style>
  <w:style w:type="character" w:customStyle="1" w:styleId="1048">
    <w:name w:val="正文首行缩进 2 Char2"/>
    <w:qFormat/>
    <w:uiPriority w:val="0"/>
    <w:rPr>
      <w:rFonts w:ascii="Times New Roman" w:hAnsi="Times New Roman" w:eastAsia="宋体"/>
      <w:kern w:val="2"/>
      <w:sz w:val="21"/>
      <w:szCs w:val="24"/>
    </w:rPr>
  </w:style>
  <w:style w:type="character" w:customStyle="1" w:styleId="1049">
    <w:name w:val="正文文本首行缩进 字符1"/>
    <w:basedOn w:val="140"/>
    <w:qFormat/>
    <w:uiPriority w:val="0"/>
    <w:rPr>
      <w:rFonts w:ascii="Times New Roman" w:hAnsi="Times New Roman" w:eastAsia="宋体" w:cs="Times New Roman"/>
      <w:kern w:val="2"/>
      <w:sz w:val="21"/>
      <w:szCs w:val="24"/>
    </w:rPr>
  </w:style>
  <w:style w:type="character" w:customStyle="1" w:styleId="1050">
    <w:name w:val="正文首行缩进 Char4"/>
    <w:uiPriority w:val="0"/>
    <w:rPr>
      <w:kern w:val="2"/>
      <w:sz w:val="21"/>
      <w:szCs w:val="24"/>
    </w:rPr>
  </w:style>
  <w:style w:type="character" w:customStyle="1" w:styleId="1051">
    <w:name w:val="az Char Char"/>
    <w:link w:val="1052"/>
    <w:qFormat/>
    <w:uiPriority w:val="0"/>
    <w:rPr>
      <w:sz w:val="24"/>
    </w:rPr>
  </w:style>
  <w:style w:type="paragraph" w:customStyle="1" w:styleId="1052">
    <w:name w:val="az"/>
    <w:basedOn w:val="1"/>
    <w:link w:val="1051"/>
    <w:qFormat/>
    <w:uiPriority w:val="0"/>
    <w:pPr>
      <w:spacing w:line="360" w:lineRule="auto"/>
      <w:ind w:firstLine="480" w:firstLineChars="200"/>
    </w:pPr>
    <w:rPr>
      <w:rFonts w:asciiTheme="minorHAnsi" w:hAnsiTheme="minorHAnsi" w:eastAsiaTheme="minorEastAsia" w:cstheme="minorBidi"/>
      <w:kern w:val="0"/>
      <w:sz w:val="24"/>
      <w:szCs w:val="20"/>
    </w:rPr>
  </w:style>
  <w:style w:type="character" w:customStyle="1" w:styleId="1053">
    <w:name w:val="报告 Char Char"/>
    <w:link w:val="1054"/>
    <w:qFormat/>
    <w:uiPriority w:val="0"/>
    <w:rPr>
      <w:rFonts w:ascii="TimesNewRoman" w:hAnsi="TimesNewRoman"/>
      <w:sz w:val="24"/>
    </w:rPr>
  </w:style>
  <w:style w:type="paragraph" w:customStyle="1" w:styleId="1054">
    <w:name w:val="报告"/>
    <w:basedOn w:val="1"/>
    <w:link w:val="1053"/>
    <w:qFormat/>
    <w:uiPriority w:val="0"/>
    <w:pPr>
      <w:adjustRightInd w:val="0"/>
      <w:spacing w:line="360" w:lineRule="auto"/>
      <w:ind w:firstLine="505"/>
      <w:textAlignment w:val="center"/>
    </w:pPr>
    <w:rPr>
      <w:rFonts w:ascii="TimesNewRoman" w:hAnsi="TimesNewRoman" w:eastAsiaTheme="minorEastAsia" w:cstheme="minorBidi"/>
      <w:kern w:val="0"/>
      <w:sz w:val="24"/>
      <w:szCs w:val="20"/>
    </w:rPr>
  </w:style>
  <w:style w:type="character" w:customStyle="1" w:styleId="1055">
    <w:name w:val="尾注文本 字符"/>
    <w:link w:val="53"/>
    <w:qFormat/>
    <w:uiPriority w:val="0"/>
    <w:rPr>
      <w:szCs w:val="24"/>
    </w:rPr>
  </w:style>
  <w:style w:type="character" w:customStyle="1" w:styleId="1056">
    <w:name w:val="报告书正文 Char"/>
    <w:link w:val="1057"/>
    <w:uiPriority w:val="0"/>
    <w:rPr>
      <w:rFonts w:eastAsia="仿宋_GB2312"/>
      <w:sz w:val="24"/>
    </w:rPr>
  </w:style>
  <w:style w:type="paragraph" w:customStyle="1" w:styleId="1057">
    <w:name w:val="报告书正文"/>
    <w:basedOn w:val="1"/>
    <w:link w:val="1056"/>
    <w:qFormat/>
    <w:uiPriority w:val="0"/>
    <w:pPr>
      <w:spacing w:line="360" w:lineRule="auto"/>
      <w:ind w:firstLine="200" w:firstLineChars="200"/>
    </w:pPr>
    <w:rPr>
      <w:rFonts w:eastAsia="仿宋_GB2312" w:asciiTheme="minorHAnsi" w:hAnsiTheme="minorHAnsi" w:cstheme="minorBidi"/>
      <w:kern w:val="0"/>
      <w:sz w:val="24"/>
      <w:szCs w:val="20"/>
    </w:rPr>
  </w:style>
  <w:style w:type="character" w:customStyle="1" w:styleId="1058">
    <w:name w:val="正文文本 (2)_"/>
    <w:link w:val="1059"/>
    <w:unhideWhenUsed/>
    <w:qFormat/>
    <w:uiPriority w:val="99"/>
    <w:rPr>
      <w:rFonts w:ascii="MingLiU" w:hAnsi="MingLiU" w:eastAsia="MingLiU"/>
      <w:shd w:val="clear" w:color="auto" w:fill="FFFFFF"/>
      <w:lang w:eastAsia="en-US"/>
    </w:rPr>
  </w:style>
  <w:style w:type="paragraph" w:customStyle="1" w:styleId="1059">
    <w:name w:val="正文文本 (2)"/>
    <w:basedOn w:val="1"/>
    <w:link w:val="1058"/>
    <w:unhideWhenUsed/>
    <w:qFormat/>
    <w:uiPriority w:val="99"/>
    <w:pPr>
      <w:shd w:val="clear" w:color="auto" w:fill="FFFFFF"/>
      <w:spacing w:line="466" w:lineRule="exact"/>
    </w:pPr>
    <w:rPr>
      <w:rFonts w:ascii="MingLiU" w:hAnsi="MingLiU" w:eastAsia="MingLiU" w:cstheme="minorBidi"/>
      <w:kern w:val="0"/>
      <w:sz w:val="20"/>
      <w:szCs w:val="20"/>
      <w:lang w:eastAsia="en-US"/>
    </w:rPr>
  </w:style>
  <w:style w:type="character" w:customStyle="1" w:styleId="1060">
    <w:name w:val="标题 #13_"/>
    <w:link w:val="1061"/>
    <w:unhideWhenUsed/>
    <w:qFormat/>
    <w:uiPriority w:val="99"/>
    <w:rPr>
      <w:rFonts w:ascii="MingLiU" w:hAnsi="MingLiU" w:eastAsia="MingLiU"/>
      <w:shd w:val="clear" w:color="auto" w:fill="FFFFFF"/>
      <w:lang w:eastAsia="en-US"/>
    </w:rPr>
  </w:style>
  <w:style w:type="paragraph" w:customStyle="1" w:styleId="1061">
    <w:name w:val="标题 #13"/>
    <w:basedOn w:val="1"/>
    <w:link w:val="1060"/>
    <w:unhideWhenUsed/>
    <w:qFormat/>
    <w:uiPriority w:val="99"/>
    <w:pPr>
      <w:shd w:val="clear" w:color="auto" w:fill="FFFFFF"/>
      <w:spacing w:line="600" w:lineRule="exact"/>
    </w:pPr>
    <w:rPr>
      <w:rFonts w:ascii="MingLiU" w:hAnsi="MingLiU" w:eastAsia="MingLiU" w:cstheme="minorBidi"/>
      <w:kern w:val="0"/>
      <w:sz w:val="20"/>
      <w:szCs w:val="20"/>
      <w:lang w:eastAsia="en-US"/>
    </w:rPr>
  </w:style>
  <w:style w:type="character" w:customStyle="1" w:styleId="1062">
    <w:name w:val="标题 #9 (2)_"/>
    <w:link w:val="1063"/>
    <w:unhideWhenUsed/>
    <w:qFormat/>
    <w:uiPriority w:val="99"/>
    <w:rPr>
      <w:rFonts w:ascii="MingLiU" w:hAnsi="MingLiU" w:eastAsia="MingLiU"/>
      <w:spacing w:val="-10"/>
      <w:shd w:val="clear" w:color="auto" w:fill="FFFFFF"/>
    </w:rPr>
  </w:style>
  <w:style w:type="paragraph" w:customStyle="1" w:styleId="1063">
    <w:name w:val="标题 #9 (2)"/>
    <w:basedOn w:val="1"/>
    <w:link w:val="1062"/>
    <w:unhideWhenUsed/>
    <w:qFormat/>
    <w:uiPriority w:val="99"/>
    <w:pPr>
      <w:shd w:val="clear" w:color="auto" w:fill="FFFFFF"/>
      <w:spacing w:line="240" w:lineRule="atLeast"/>
      <w:outlineLvl w:val="8"/>
    </w:pPr>
    <w:rPr>
      <w:rFonts w:ascii="MingLiU" w:hAnsi="MingLiU" w:eastAsia="MingLiU" w:cstheme="minorBidi"/>
      <w:spacing w:val="-10"/>
      <w:kern w:val="0"/>
      <w:sz w:val="20"/>
      <w:szCs w:val="20"/>
    </w:rPr>
  </w:style>
  <w:style w:type="character" w:customStyle="1" w:styleId="1064">
    <w:name w:val="正weng Char"/>
    <w:link w:val="1065"/>
    <w:qFormat/>
    <w:uiPriority w:val="0"/>
    <w:rPr>
      <w:rFonts w:cs="宋体"/>
      <w:sz w:val="24"/>
      <w:szCs w:val="24"/>
    </w:rPr>
  </w:style>
  <w:style w:type="paragraph" w:customStyle="1" w:styleId="1065">
    <w:name w:val="正weng"/>
    <w:basedOn w:val="1"/>
    <w:link w:val="1064"/>
    <w:qFormat/>
    <w:uiPriority w:val="0"/>
    <w:pPr>
      <w:widowControl/>
      <w:overflowPunct w:val="0"/>
      <w:spacing w:line="360" w:lineRule="auto"/>
      <w:ind w:firstLine="200" w:firstLineChars="200"/>
      <w:jc w:val="left"/>
    </w:pPr>
    <w:rPr>
      <w:rFonts w:cs="宋体" w:asciiTheme="minorHAnsi" w:hAnsiTheme="minorHAnsi" w:eastAsiaTheme="minorEastAsia"/>
      <w:kern w:val="0"/>
      <w:sz w:val="24"/>
    </w:rPr>
  </w:style>
  <w:style w:type="character" w:customStyle="1" w:styleId="1066">
    <w:name w:val="正文文本 + AngsanaUPC"/>
    <w:unhideWhenUsed/>
    <w:qFormat/>
    <w:uiPriority w:val="99"/>
    <w:rPr>
      <w:rFonts w:hint="eastAsia" w:ascii="AngsanaUPC" w:hAnsi="AngsanaUPC" w:eastAsia="AngsanaUPC"/>
      <w:spacing w:val="10"/>
      <w:sz w:val="20"/>
      <w:u w:val="single"/>
    </w:rPr>
  </w:style>
  <w:style w:type="character" w:customStyle="1" w:styleId="1067">
    <w:name w:val="正文文本 (4)_"/>
    <w:link w:val="1068"/>
    <w:unhideWhenUsed/>
    <w:qFormat/>
    <w:uiPriority w:val="99"/>
    <w:rPr>
      <w:rFonts w:ascii="MingLiU" w:hAnsi="MingLiU" w:eastAsia="MingLiU"/>
      <w:shd w:val="clear" w:color="auto" w:fill="FFFFFF"/>
    </w:rPr>
  </w:style>
  <w:style w:type="paragraph" w:customStyle="1" w:styleId="1068">
    <w:name w:val="正文文本 (4)"/>
    <w:basedOn w:val="1"/>
    <w:link w:val="1067"/>
    <w:unhideWhenUsed/>
    <w:qFormat/>
    <w:uiPriority w:val="99"/>
    <w:pPr>
      <w:shd w:val="clear" w:color="auto" w:fill="FFFFFF"/>
      <w:spacing w:line="466" w:lineRule="exact"/>
    </w:pPr>
    <w:rPr>
      <w:rFonts w:ascii="MingLiU" w:hAnsi="MingLiU" w:eastAsia="MingLiU" w:cstheme="minorBidi"/>
      <w:kern w:val="0"/>
      <w:sz w:val="20"/>
      <w:szCs w:val="20"/>
    </w:rPr>
  </w:style>
  <w:style w:type="character" w:customStyle="1" w:styleId="1069">
    <w:name w:val="正文文本 (4)1"/>
    <w:unhideWhenUsed/>
    <w:qFormat/>
    <w:uiPriority w:val="99"/>
    <w:rPr>
      <w:rFonts w:hint="default" w:ascii="MingLiU" w:hAnsi="MingLiU" w:eastAsia="MingLiU"/>
      <w:sz w:val="21"/>
      <w:lang w:val="en-US" w:eastAsia="en-US"/>
    </w:rPr>
  </w:style>
  <w:style w:type="character" w:customStyle="1" w:styleId="1070">
    <w:name w:val="a3"/>
    <w:basedOn w:val="95"/>
    <w:qFormat/>
    <w:uiPriority w:val="0"/>
  </w:style>
  <w:style w:type="character" w:customStyle="1" w:styleId="1071">
    <w:name w:val="正文文本_"/>
    <w:link w:val="1072"/>
    <w:unhideWhenUsed/>
    <w:qFormat/>
    <w:uiPriority w:val="99"/>
    <w:rPr>
      <w:rFonts w:ascii="MingLiU" w:hAnsi="MingLiU" w:eastAsia="MingLiU"/>
      <w:spacing w:val="10"/>
      <w:shd w:val="clear" w:color="auto" w:fill="FFFFFF"/>
    </w:rPr>
  </w:style>
  <w:style w:type="paragraph" w:customStyle="1" w:styleId="1072">
    <w:name w:val="正文文本1"/>
    <w:basedOn w:val="1"/>
    <w:link w:val="1071"/>
    <w:unhideWhenUsed/>
    <w:qFormat/>
    <w:uiPriority w:val="99"/>
    <w:pPr>
      <w:shd w:val="clear" w:color="auto" w:fill="FFFFFF"/>
      <w:spacing w:line="466" w:lineRule="exact"/>
      <w:jc w:val="distribute"/>
    </w:pPr>
    <w:rPr>
      <w:rFonts w:ascii="MingLiU" w:hAnsi="MingLiU" w:eastAsia="MingLiU" w:cstheme="minorBidi"/>
      <w:spacing w:val="10"/>
      <w:kern w:val="0"/>
      <w:sz w:val="20"/>
      <w:szCs w:val="20"/>
    </w:rPr>
  </w:style>
  <w:style w:type="character" w:customStyle="1" w:styleId="1073">
    <w:name w:val="文本 Char"/>
    <w:link w:val="1074"/>
    <w:qFormat/>
    <w:uiPriority w:val="0"/>
    <w:rPr>
      <w:rFonts w:cs="黑体"/>
    </w:rPr>
  </w:style>
  <w:style w:type="paragraph" w:customStyle="1" w:styleId="1074">
    <w:name w:val="无间隔1"/>
    <w:link w:val="1073"/>
    <w:qFormat/>
    <w:uiPriority w:val="0"/>
    <w:pPr>
      <w:widowControl w:val="0"/>
      <w:jc w:val="center"/>
    </w:pPr>
    <w:rPr>
      <w:rFonts w:cs="黑体" w:asciiTheme="minorHAnsi" w:hAnsiTheme="minorHAnsi" w:eastAsiaTheme="minorEastAsia"/>
      <w:lang w:val="en-US" w:eastAsia="zh-CN" w:bidi="ar-SA"/>
    </w:rPr>
  </w:style>
  <w:style w:type="character" w:customStyle="1" w:styleId="1075">
    <w:name w:val="标题 #41"/>
    <w:unhideWhenUsed/>
    <w:qFormat/>
    <w:uiPriority w:val="99"/>
    <w:rPr>
      <w:rFonts w:hint="eastAsia" w:ascii="MingLiU" w:hAnsi="MingLiU" w:eastAsia="MingLiU"/>
      <w:spacing w:val="10"/>
      <w:sz w:val="21"/>
    </w:rPr>
  </w:style>
  <w:style w:type="character" w:customStyle="1" w:styleId="1076">
    <w:name w:val="MY正文 Char"/>
    <w:link w:val="1077"/>
    <w:qFormat/>
    <w:uiPriority w:val="0"/>
    <w:rPr>
      <w:sz w:val="28"/>
      <w:szCs w:val="28"/>
    </w:rPr>
  </w:style>
  <w:style w:type="paragraph" w:customStyle="1" w:styleId="1077">
    <w:name w:val="MY正文"/>
    <w:basedOn w:val="1"/>
    <w:link w:val="1076"/>
    <w:qFormat/>
    <w:uiPriority w:val="0"/>
    <w:pPr>
      <w:spacing w:line="360" w:lineRule="auto"/>
      <w:ind w:firstLine="560" w:firstLineChars="200"/>
    </w:pPr>
    <w:rPr>
      <w:rFonts w:asciiTheme="minorHAnsi" w:hAnsiTheme="minorHAnsi" w:eastAsiaTheme="minorEastAsia" w:cstheme="minorBidi"/>
      <w:kern w:val="0"/>
      <w:sz w:val="28"/>
      <w:szCs w:val="28"/>
    </w:rPr>
  </w:style>
  <w:style w:type="character" w:customStyle="1" w:styleId="1078">
    <w:name w:val="font01"/>
    <w:qFormat/>
    <w:uiPriority w:val="0"/>
    <w:rPr>
      <w:rFonts w:hint="eastAsia" w:ascii="宋体" w:hAnsi="宋体" w:eastAsia="宋体"/>
      <w:color w:val="000000"/>
      <w:sz w:val="24"/>
    </w:rPr>
  </w:style>
  <w:style w:type="character" w:customStyle="1" w:styleId="1079">
    <w:name w:val="标题 #13 + 17.5 pt"/>
    <w:unhideWhenUsed/>
    <w:qFormat/>
    <w:uiPriority w:val="99"/>
    <w:rPr>
      <w:rFonts w:hint="eastAsia" w:ascii="MingLiU" w:hAnsi="MingLiU" w:eastAsia="MingLiU"/>
      <w:sz w:val="35"/>
      <w:lang w:val="en-US" w:eastAsia="en-US"/>
    </w:rPr>
  </w:style>
  <w:style w:type="character" w:customStyle="1" w:styleId="1080">
    <w:name w:val="标题 #61"/>
    <w:unhideWhenUsed/>
    <w:qFormat/>
    <w:uiPriority w:val="99"/>
    <w:rPr>
      <w:rFonts w:hint="eastAsia" w:ascii="MingLiU" w:hAnsi="MingLiU" w:eastAsia="MingLiU"/>
      <w:spacing w:val="10"/>
      <w:sz w:val="21"/>
    </w:rPr>
  </w:style>
  <w:style w:type="character" w:customStyle="1" w:styleId="1081">
    <w:name w:val="标题 #5_"/>
    <w:link w:val="1082"/>
    <w:unhideWhenUsed/>
    <w:qFormat/>
    <w:uiPriority w:val="99"/>
    <w:rPr>
      <w:rFonts w:ascii="MingLiU" w:hAnsi="MingLiU" w:eastAsia="MingLiU"/>
      <w:spacing w:val="10"/>
      <w:shd w:val="clear" w:color="auto" w:fill="FFFFFF"/>
    </w:rPr>
  </w:style>
  <w:style w:type="paragraph" w:customStyle="1" w:styleId="1082">
    <w:name w:val="标题 #5"/>
    <w:basedOn w:val="1"/>
    <w:link w:val="1081"/>
    <w:unhideWhenUsed/>
    <w:qFormat/>
    <w:uiPriority w:val="99"/>
    <w:pPr>
      <w:shd w:val="clear" w:color="auto" w:fill="FFFFFF"/>
      <w:spacing w:line="240" w:lineRule="atLeast"/>
      <w:outlineLvl w:val="4"/>
    </w:pPr>
    <w:rPr>
      <w:rFonts w:ascii="MingLiU" w:hAnsi="MingLiU" w:eastAsia="MingLiU" w:cstheme="minorBidi"/>
      <w:spacing w:val="10"/>
      <w:kern w:val="0"/>
      <w:sz w:val="20"/>
      <w:szCs w:val="20"/>
    </w:rPr>
  </w:style>
  <w:style w:type="character" w:customStyle="1" w:styleId="1083">
    <w:name w:val="正文文本 (2) + 间距 6 pt"/>
    <w:unhideWhenUsed/>
    <w:qFormat/>
    <w:uiPriority w:val="99"/>
    <w:rPr>
      <w:rFonts w:hint="eastAsia" w:ascii="MingLiU" w:hAnsi="MingLiU" w:eastAsia="MingLiU"/>
      <w:spacing w:val="130"/>
      <w:sz w:val="21"/>
      <w:lang w:val="en-US" w:eastAsia="en-US"/>
    </w:rPr>
  </w:style>
  <w:style w:type="character" w:customStyle="1" w:styleId="1084">
    <w:name w:val="正文（首行缩进两字） Char"/>
    <w:qFormat/>
    <w:uiPriority w:val="0"/>
    <w:rPr>
      <w:rFonts w:eastAsia="宋体"/>
      <w:kern w:val="2"/>
      <w:sz w:val="24"/>
      <w:lang w:val="en-US" w:eastAsia="zh-CN"/>
    </w:rPr>
  </w:style>
  <w:style w:type="character" w:customStyle="1" w:styleId="1085">
    <w:name w:val="fontborder"/>
    <w:qFormat/>
    <w:uiPriority w:val="0"/>
    <w:rPr>
      <w:bdr w:val="single" w:color="000000" w:sz="6" w:space="0"/>
    </w:rPr>
  </w:style>
  <w:style w:type="character" w:customStyle="1" w:styleId="1086">
    <w:name w:val="正文文本 (2) + 间距 5 pt"/>
    <w:unhideWhenUsed/>
    <w:qFormat/>
    <w:uiPriority w:val="99"/>
    <w:rPr>
      <w:rFonts w:hint="eastAsia" w:ascii="MingLiU" w:hAnsi="MingLiU" w:eastAsia="MingLiU"/>
      <w:spacing w:val="100"/>
      <w:sz w:val="21"/>
      <w:u w:val="single"/>
      <w:lang w:val="en-US" w:eastAsia="en-US"/>
    </w:rPr>
  </w:style>
  <w:style w:type="character" w:customStyle="1" w:styleId="1087">
    <w:name w:val="表格标题 + 间距 0 pt"/>
    <w:unhideWhenUsed/>
    <w:qFormat/>
    <w:uiPriority w:val="99"/>
    <w:rPr>
      <w:rFonts w:hint="default" w:ascii="MingLiU" w:hAnsi="MingLiU" w:eastAsia="MingLiU"/>
      <w:spacing w:val="0"/>
      <w:sz w:val="21"/>
      <w:lang w:val="en-US" w:eastAsia="en-US"/>
    </w:rPr>
  </w:style>
  <w:style w:type="character" w:customStyle="1" w:styleId="1088">
    <w:name w:val="正文文本 + Georgia"/>
    <w:unhideWhenUsed/>
    <w:qFormat/>
    <w:uiPriority w:val="99"/>
    <w:rPr>
      <w:rFonts w:hint="default" w:ascii="Georgia" w:hAnsi="Georgia" w:eastAsia="Georgia"/>
      <w:spacing w:val="10"/>
      <w:sz w:val="13"/>
      <w:u w:val="single"/>
    </w:rPr>
  </w:style>
  <w:style w:type="character" w:customStyle="1" w:styleId="1089">
    <w:name w:val="正文2 Char"/>
    <w:link w:val="549"/>
    <w:qFormat/>
    <w:uiPriority w:val="0"/>
    <w:rPr>
      <w:rFonts w:ascii="Times New Roman" w:hAnsi="Times New Roman" w:eastAsia="宋体" w:cs="Times New Roman"/>
      <w:kern w:val="2"/>
      <w:sz w:val="24"/>
    </w:rPr>
  </w:style>
  <w:style w:type="character" w:customStyle="1" w:styleId="1090">
    <w:name w:val="正文文本 + 间距 1 pt"/>
    <w:unhideWhenUsed/>
    <w:qFormat/>
    <w:uiPriority w:val="99"/>
    <w:rPr>
      <w:rFonts w:hint="default" w:ascii="MingLiU" w:hAnsi="MingLiU" w:eastAsia="MingLiU"/>
      <w:spacing w:val="30"/>
      <w:sz w:val="21"/>
      <w:u w:val="single"/>
      <w:lang w:val="en-US" w:eastAsia="en-US"/>
    </w:rPr>
  </w:style>
  <w:style w:type="character" w:customStyle="1" w:styleId="1091">
    <w:name w:val="标题 #9_"/>
    <w:link w:val="1092"/>
    <w:unhideWhenUsed/>
    <w:qFormat/>
    <w:uiPriority w:val="99"/>
    <w:rPr>
      <w:rFonts w:ascii="MingLiU" w:hAnsi="MingLiU" w:eastAsia="MingLiU"/>
      <w:spacing w:val="10"/>
      <w:shd w:val="clear" w:color="auto" w:fill="FFFFFF"/>
    </w:rPr>
  </w:style>
  <w:style w:type="paragraph" w:customStyle="1" w:styleId="1092">
    <w:name w:val="标题 #9"/>
    <w:basedOn w:val="1"/>
    <w:link w:val="1091"/>
    <w:unhideWhenUsed/>
    <w:qFormat/>
    <w:uiPriority w:val="99"/>
    <w:pPr>
      <w:shd w:val="clear" w:color="auto" w:fill="FFFFFF"/>
      <w:spacing w:line="240" w:lineRule="atLeast"/>
      <w:outlineLvl w:val="8"/>
    </w:pPr>
    <w:rPr>
      <w:rFonts w:ascii="MingLiU" w:hAnsi="MingLiU" w:eastAsia="MingLiU" w:cstheme="minorBidi"/>
      <w:spacing w:val="10"/>
      <w:kern w:val="0"/>
      <w:sz w:val="20"/>
      <w:szCs w:val="20"/>
    </w:rPr>
  </w:style>
  <w:style w:type="character" w:customStyle="1" w:styleId="1093">
    <w:name w:val="表格标题 + Georgia"/>
    <w:unhideWhenUsed/>
    <w:qFormat/>
    <w:uiPriority w:val="99"/>
    <w:rPr>
      <w:rFonts w:hint="default" w:ascii="Georgia" w:hAnsi="Georgia" w:eastAsia="Georgia"/>
      <w:spacing w:val="10"/>
      <w:sz w:val="13"/>
    </w:rPr>
  </w:style>
  <w:style w:type="character" w:customStyle="1" w:styleId="1094">
    <w:name w:val="bg"/>
    <w:basedOn w:val="95"/>
    <w:qFormat/>
    <w:uiPriority w:val="0"/>
  </w:style>
  <w:style w:type="character" w:customStyle="1" w:styleId="1095">
    <w:name w:val="标题 #91"/>
    <w:unhideWhenUsed/>
    <w:qFormat/>
    <w:uiPriority w:val="99"/>
    <w:rPr>
      <w:rFonts w:hint="eastAsia" w:ascii="MingLiU" w:hAnsi="MingLiU" w:eastAsia="MingLiU"/>
      <w:spacing w:val="10"/>
      <w:sz w:val="21"/>
      <w:u w:val="single"/>
    </w:rPr>
  </w:style>
  <w:style w:type="character" w:customStyle="1" w:styleId="1096">
    <w:name w:val="表格标题_"/>
    <w:unhideWhenUsed/>
    <w:qFormat/>
    <w:uiPriority w:val="99"/>
    <w:rPr>
      <w:rFonts w:ascii="MingLiU" w:hAnsi="MingLiU" w:eastAsia="MingLiU"/>
      <w:spacing w:val="10"/>
      <w:shd w:val="clear" w:color="auto" w:fill="FFFFFF"/>
    </w:rPr>
  </w:style>
  <w:style w:type="character" w:customStyle="1" w:styleId="1097">
    <w:name w:val="正文文本 (4) + 间距 0 pt"/>
    <w:unhideWhenUsed/>
    <w:qFormat/>
    <w:uiPriority w:val="99"/>
    <w:rPr>
      <w:rFonts w:hint="eastAsia" w:ascii="MingLiU" w:hAnsi="MingLiU" w:eastAsia="MingLiU"/>
      <w:spacing w:val="10"/>
      <w:sz w:val="21"/>
    </w:rPr>
  </w:style>
  <w:style w:type="character" w:customStyle="1" w:styleId="1098">
    <w:name w:val="fontstrikethrough"/>
    <w:qFormat/>
    <w:uiPriority w:val="0"/>
    <w:rPr>
      <w:strike/>
    </w:rPr>
  </w:style>
  <w:style w:type="character" w:customStyle="1" w:styleId="1099">
    <w:name w:val="标题 #51"/>
    <w:unhideWhenUsed/>
    <w:qFormat/>
    <w:uiPriority w:val="99"/>
    <w:rPr>
      <w:rFonts w:hint="eastAsia" w:ascii="MingLiU" w:hAnsi="MingLiU" w:eastAsia="MingLiU"/>
      <w:spacing w:val="10"/>
      <w:sz w:val="21"/>
    </w:rPr>
  </w:style>
  <w:style w:type="character" w:customStyle="1" w:styleId="1100">
    <w:name w:val="fontstyle31"/>
    <w:qFormat/>
    <w:uiPriority w:val="0"/>
    <w:rPr>
      <w:rFonts w:hint="default" w:ascii="Times New Roman" w:hAnsi="Times New Roman" w:cs="Times New Roman"/>
      <w:color w:val="000000"/>
      <w:sz w:val="24"/>
      <w:szCs w:val="24"/>
    </w:rPr>
  </w:style>
  <w:style w:type="character" w:customStyle="1" w:styleId="1101">
    <w:name w:val="Character Style 11"/>
    <w:unhideWhenUsed/>
    <w:qFormat/>
    <w:uiPriority w:val="0"/>
    <w:rPr>
      <w:rFonts w:hint="default"/>
      <w:sz w:val="20"/>
    </w:rPr>
  </w:style>
  <w:style w:type="character" w:customStyle="1" w:styleId="1102">
    <w:name w:val="标题 #6_"/>
    <w:link w:val="1103"/>
    <w:unhideWhenUsed/>
    <w:qFormat/>
    <w:uiPriority w:val="99"/>
    <w:rPr>
      <w:rFonts w:ascii="MingLiU" w:hAnsi="MingLiU" w:eastAsia="MingLiU"/>
      <w:spacing w:val="10"/>
      <w:shd w:val="clear" w:color="auto" w:fill="FFFFFF"/>
    </w:rPr>
  </w:style>
  <w:style w:type="paragraph" w:customStyle="1" w:styleId="1103">
    <w:name w:val="标题 #6"/>
    <w:basedOn w:val="1"/>
    <w:link w:val="1102"/>
    <w:unhideWhenUsed/>
    <w:qFormat/>
    <w:uiPriority w:val="99"/>
    <w:pPr>
      <w:shd w:val="clear" w:color="auto" w:fill="FFFFFF"/>
      <w:spacing w:line="240" w:lineRule="atLeast"/>
      <w:outlineLvl w:val="5"/>
    </w:pPr>
    <w:rPr>
      <w:rFonts w:ascii="MingLiU" w:hAnsi="MingLiU" w:eastAsia="MingLiU" w:cstheme="minorBidi"/>
      <w:spacing w:val="10"/>
      <w:kern w:val="0"/>
      <w:sz w:val="20"/>
      <w:szCs w:val="20"/>
    </w:rPr>
  </w:style>
  <w:style w:type="character" w:customStyle="1" w:styleId="1104">
    <w:name w:val="正文文本 + MingLiU"/>
    <w:unhideWhenUsed/>
    <w:qFormat/>
    <w:uiPriority w:val="99"/>
    <w:rPr>
      <w:rFonts w:hint="default" w:ascii="MingLiU" w:hAnsi="MingLiU" w:eastAsia="MingLiU"/>
      <w:spacing w:val="10"/>
      <w:sz w:val="10"/>
    </w:rPr>
  </w:style>
  <w:style w:type="character" w:customStyle="1" w:styleId="1105">
    <w:name w:val="正文文本 + 间距 2 pt"/>
    <w:unhideWhenUsed/>
    <w:qFormat/>
    <w:uiPriority w:val="99"/>
    <w:rPr>
      <w:rFonts w:hint="eastAsia" w:ascii="MingLiU" w:hAnsi="MingLiU" w:eastAsia="MingLiU"/>
      <w:spacing w:val="40"/>
      <w:sz w:val="21"/>
    </w:rPr>
  </w:style>
  <w:style w:type="character" w:customStyle="1" w:styleId="1106">
    <w:name w:val="表格标题 (4)_"/>
    <w:link w:val="1107"/>
    <w:unhideWhenUsed/>
    <w:qFormat/>
    <w:uiPriority w:val="99"/>
    <w:rPr>
      <w:rFonts w:ascii="MingLiU" w:hAnsi="MingLiU" w:eastAsia="MingLiU"/>
      <w:sz w:val="18"/>
      <w:shd w:val="clear" w:color="auto" w:fill="FFFFFF"/>
    </w:rPr>
  </w:style>
  <w:style w:type="paragraph" w:customStyle="1" w:styleId="1107">
    <w:name w:val="表格标题 (4)"/>
    <w:basedOn w:val="1"/>
    <w:link w:val="1106"/>
    <w:unhideWhenUsed/>
    <w:qFormat/>
    <w:uiPriority w:val="99"/>
    <w:pPr>
      <w:shd w:val="clear" w:color="auto" w:fill="FFFFFF"/>
      <w:spacing w:line="240" w:lineRule="atLeast"/>
    </w:pPr>
    <w:rPr>
      <w:rFonts w:ascii="MingLiU" w:hAnsi="MingLiU" w:eastAsia="MingLiU" w:cstheme="minorBidi"/>
      <w:kern w:val="0"/>
      <w:sz w:val="18"/>
      <w:szCs w:val="20"/>
    </w:rPr>
  </w:style>
  <w:style w:type="character" w:customStyle="1" w:styleId="1108">
    <w:name w:val="正文文本 + 间距 0 pt"/>
    <w:unhideWhenUsed/>
    <w:qFormat/>
    <w:uiPriority w:val="99"/>
    <w:rPr>
      <w:rFonts w:hint="eastAsia" w:ascii="MingLiU" w:hAnsi="MingLiU" w:eastAsia="MingLiU"/>
      <w:spacing w:val="10"/>
      <w:sz w:val="48"/>
    </w:rPr>
  </w:style>
  <w:style w:type="character" w:customStyle="1" w:styleId="1109">
    <w:name w:val="标题 #4_"/>
    <w:link w:val="1110"/>
    <w:unhideWhenUsed/>
    <w:qFormat/>
    <w:uiPriority w:val="99"/>
    <w:rPr>
      <w:rFonts w:ascii="MingLiU" w:hAnsi="MingLiU" w:eastAsia="MingLiU"/>
      <w:spacing w:val="10"/>
      <w:shd w:val="clear" w:color="auto" w:fill="FFFFFF"/>
    </w:rPr>
  </w:style>
  <w:style w:type="paragraph" w:customStyle="1" w:styleId="1110">
    <w:name w:val="标题 #4"/>
    <w:basedOn w:val="1"/>
    <w:link w:val="1109"/>
    <w:unhideWhenUsed/>
    <w:qFormat/>
    <w:uiPriority w:val="99"/>
    <w:pPr>
      <w:shd w:val="clear" w:color="auto" w:fill="FFFFFF"/>
      <w:spacing w:line="240" w:lineRule="atLeast"/>
      <w:outlineLvl w:val="3"/>
    </w:pPr>
    <w:rPr>
      <w:rFonts w:ascii="MingLiU" w:hAnsi="MingLiU" w:eastAsia="MingLiU" w:cstheme="minorBidi"/>
      <w:spacing w:val="10"/>
      <w:kern w:val="0"/>
      <w:sz w:val="20"/>
      <w:szCs w:val="20"/>
    </w:rPr>
  </w:style>
  <w:style w:type="character" w:customStyle="1" w:styleId="1111">
    <w:name w:val="正文111 Char"/>
    <w:link w:val="1112"/>
    <w:qFormat/>
    <w:uiPriority w:val="0"/>
    <w:rPr>
      <w:sz w:val="24"/>
      <w:szCs w:val="24"/>
    </w:rPr>
  </w:style>
  <w:style w:type="paragraph" w:customStyle="1" w:styleId="1112">
    <w:name w:val="正文111"/>
    <w:basedOn w:val="1"/>
    <w:link w:val="1111"/>
    <w:qFormat/>
    <w:uiPriority w:val="0"/>
    <w:pPr>
      <w:spacing w:line="440" w:lineRule="exact"/>
      <w:ind w:firstLine="480" w:firstLineChars="200"/>
    </w:pPr>
    <w:rPr>
      <w:rFonts w:asciiTheme="minorHAnsi" w:hAnsiTheme="minorHAnsi" w:eastAsiaTheme="minorEastAsia" w:cstheme="minorBidi"/>
      <w:kern w:val="0"/>
      <w:sz w:val="24"/>
    </w:rPr>
  </w:style>
  <w:style w:type="character" w:customStyle="1" w:styleId="1113">
    <w:name w:val="标题 #9 (2) + 间距 0 pt"/>
    <w:unhideWhenUsed/>
    <w:qFormat/>
    <w:uiPriority w:val="99"/>
    <w:rPr>
      <w:rFonts w:hint="eastAsia" w:ascii="MingLiU" w:hAnsi="MingLiU" w:eastAsia="MingLiU"/>
      <w:spacing w:val="10"/>
      <w:sz w:val="21"/>
      <w:u w:val="single"/>
    </w:rPr>
  </w:style>
  <w:style w:type="character" w:customStyle="1" w:styleId="1114">
    <w:name w:val="方案正文样式 Char Char"/>
    <w:link w:val="1115"/>
    <w:qFormat/>
    <w:locked/>
    <w:uiPriority w:val="0"/>
    <w:rPr>
      <w:szCs w:val="24"/>
    </w:rPr>
  </w:style>
  <w:style w:type="paragraph" w:customStyle="1" w:styleId="1115">
    <w:name w:val="方案正文样式"/>
    <w:basedOn w:val="1"/>
    <w:link w:val="1114"/>
    <w:qFormat/>
    <w:uiPriority w:val="0"/>
    <w:pPr>
      <w:ind w:firstLine="454"/>
    </w:pPr>
    <w:rPr>
      <w:rFonts w:asciiTheme="minorHAnsi" w:hAnsiTheme="minorHAnsi" w:eastAsiaTheme="minorEastAsia" w:cstheme="minorBidi"/>
      <w:kern w:val="0"/>
      <w:sz w:val="20"/>
    </w:rPr>
  </w:style>
  <w:style w:type="character" w:customStyle="1" w:styleId="1116">
    <w:name w:val="正文文本 + 7 pt"/>
    <w:unhideWhenUsed/>
    <w:qFormat/>
    <w:uiPriority w:val="99"/>
    <w:rPr>
      <w:rFonts w:hint="default" w:ascii="MingLiU" w:hAnsi="MingLiU" w:eastAsia="MingLiU"/>
      <w:spacing w:val="0"/>
      <w:sz w:val="14"/>
    </w:rPr>
  </w:style>
  <w:style w:type="character" w:customStyle="1" w:styleId="1117">
    <w:name w:val="款标题1.1.1 Char1"/>
    <w:qFormat/>
    <w:uiPriority w:val="0"/>
    <w:rPr>
      <w:rFonts w:eastAsia="宋体" w:cs="宋体"/>
      <w:b/>
      <w:kern w:val="2"/>
      <w:sz w:val="24"/>
      <w:szCs w:val="24"/>
      <w:lang w:val="en-US" w:eastAsia="zh-CN" w:bidi="ar-SA"/>
    </w:rPr>
  </w:style>
  <w:style w:type="character" w:customStyle="1" w:styleId="1118">
    <w:name w:val="fontstyle41"/>
    <w:qFormat/>
    <w:uiPriority w:val="0"/>
    <w:rPr>
      <w:rFonts w:hint="eastAsia" w:ascii="Arial Unicode MS" w:hAnsi="Arial Unicode MS" w:eastAsia="Arial Unicode MS" w:cs="Arial Unicode MS"/>
      <w:color w:val="000000"/>
      <w:sz w:val="22"/>
      <w:szCs w:val="22"/>
    </w:rPr>
  </w:style>
  <w:style w:type="character" w:customStyle="1" w:styleId="1119">
    <w:name w:val="尾注文本 字符1"/>
    <w:basedOn w:val="95"/>
    <w:uiPriority w:val="0"/>
    <w:rPr>
      <w:rFonts w:ascii="Times New Roman" w:hAnsi="Times New Roman" w:eastAsia="宋体" w:cs="Times New Roman"/>
      <w:kern w:val="2"/>
      <w:sz w:val="21"/>
      <w:szCs w:val="24"/>
    </w:rPr>
  </w:style>
  <w:style w:type="character" w:customStyle="1" w:styleId="1120">
    <w:name w:val="尾注文本 Char1"/>
    <w:basedOn w:val="95"/>
    <w:semiHidden/>
    <w:qFormat/>
    <w:uiPriority w:val="99"/>
  </w:style>
  <w:style w:type="paragraph" w:customStyle="1" w:styleId="1121">
    <w:name w:val="正文 + 首行缩进:  2 字符"/>
    <w:basedOn w:val="1"/>
    <w:qFormat/>
    <w:uiPriority w:val="0"/>
    <w:pPr>
      <w:spacing w:line="460" w:lineRule="atLeast"/>
      <w:ind w:firstLine="528"/>
    </w:pPr>
    <w:rPr>
      <w:spacing w:val="12"/>
      <w:szCs w:val="20"/>
    </w:rPr>
  </w:style>
  <w:style w:type="paragraph" w:customStyle="1" w:styleId="1122">
    <w:name w:val="正文-欣欣"/>
    <w:basedOn w:val="1"/>
    <w:next w:val="1"/>
    <w:qFormat/>
    <w:uiPriority w:val="0"/>
    <w:pPr>
      <w:spacing w:line="360" w:lineRule="auto"/>
      <w:ind w:firstLine="480" w:firstLineChars="200"/>
    </w:pPr>
    <w:rPr>
      <w:bCs/>
      <w:sz w:val="24"/>
    </w:rPr>
  </w:style>
  <w:style w:type="paragraph" w:customStyle="1" w:styleId="1123">
    <w:name w:val="表体"/>
    <w:basedOn w:val="312"/>
    <w:qFormat/>
    <w:uiPriority w:val="0"/>
    <w:pPr>
      <w:keepNext w:val="0"/>
      <w:overflowPunct w:val="0"/>
      <w:adjustRightInd w:val="0"/>
      <w:snapToGrid/>
      <w:spacing w:before="0" w:line="300" w:lineRule="atLeast"/>
      <w:ind w:left="-57" w:right="-57"/>
      <w:textAlignment w:val="baseline"/>
    </w:pPr>
    <w:rPr>
      <w:b w:val="0"/>
      <w:snapToGrid w:val="0"/>
      <w:kern w:val="0"/>
      <w:sz w:val="18"/>
      <w:szCs w:val="20"/>
    </w:rPr>
  </w:style>
  <w:style w:type="paragraph" w:customStyle="1" w:styleId="1124">
    <w:name w:val="标题五"/>
    <w:basedOn w:val="1"/>
    <w:qFormat/>
    <w:uiPriority w:val="0"/>
    <w:pPr>
      <w:spacing w:line="500" w:lineRule="atLeast"/>
      <w:jc w:val="center"/>
    </w:pPr>
    <w:rPr>
      <w:rFonts w:ascii="宋体" w:hAnsi="宋体"/>
      <w:sz w:val="24"/>
    </w:rPr>
  </w:style>
  <w:style w:type="paragraph" w:customStyle="1" w:styleId="1125">
    <w:name w:val="正文（DMS）"/>
    <w:basedOn w:val="1"/>
    <w:qFormat/>
    <w:uiPriority w:val="0"/>
    <w:pPr>
      <w:spacing w:line="520" w:lineRule="atLeast"/>
      <w:ind w:firstLine="472" w:firstLineChars="200"/>
    </w:pPr>
    <w:rPr>
      <w:color w:val="FF0000"/>
      <w:spacing w:val="-2"/>
      <w:kern w:val="28"/>
      <w:sz w:val="24"/>
    </w:rPr>
  </w:style>
  <w:style w:type="paragraph" w:customStyle="1" w:styleId="1126">
    <w:name w:val="样式 标题 3 + 段前: 自动 段后: 自动"/>
    <w:basedOn w:val="5"/>
    <w:qFormat/>
    <w:uiPriority w:val="0"/>
    <w:pPr>
      <w:keepNext w:val="0"/>
      <w:widowControl w:val="0"/>
      <w:tabs>
        <w:tab w:val="left" w:pos="420"/>
      </w:tabs>
      <w:overflowPunct/>
      <w:autoSpaceDE/>
      <w:autoSpaceDN/>
      <w:snapToGrid w:val="0"/>
      <w:spacing w:before="0" w:afterLines="50" w:line="360" w:lineRule="auto"/>
      <w:ind w:left="720" w:hanging="720"/>
      <w:jc w:val="left"/>
      <w:textAlignment w:val="auto"/>
    </w:pPr>
    <w:rPr>
      <w:rFonts w:ascii="黑体" w:hAnsi="黑体" w:eastAsia="黑体" w:cs="宋体"/>
      <w:b/>
      <w:snapToGrid w:val="0"/>
      <w:color w:val="auto"/>
      <w:spacing w:val="0"/>
      <w:kern w:val="0"/>
      <w:szCs w:val="28"/>
      <w:lang w:val="en-US"/>
    </w:rPr>
  </w:style>
  <w:style w:type="paragraph" w:customStyle="1" w:styleId="1127">
    <w:name w:val="统一正文"/>
    <w:basedOn w:val="1"/>
    <w:qFormat/>
    <w:uiPriority w:val="0"/>
    <w:pPr>
      <w:autoSpaceDE w:val="0"/>
      <w:autoSpaceDN w:val="0"/>
      <w:spacing w:line="360" w:lineRule="auto"/>
      <w:ind w:firstLine="567" w:firstLineChars="200"/>
      <w:jc w:val="left"/>
      <w:textAlignment w:val="baseline"/>
    </w:pPr>
    <w:rPr>
      <w:rFonts w:eastAsia="仿宋_GB2312"/>
      <w:kern w:val="0"/>
      <w:sz w:val="28"/>
      <w:szCs w:val="20"/>
    </w:rPr>
  </w:style>
  <w:style w:type="paragraph" w:customStyle="1" w:styleId="1128">
    <w:name w:val="图表头"/>
    <w:basedOn w:val="1"/>
    <w:qFormat/>
    <w:uiPriority w:val="0"/>
    <w:pPr>
      <w:adjustRightInd w:val="0"/>
      <w:spacing w:line="360" w:lineRule="auto"/>
      <w:jc w:val="center"/>
    </w:pPr>
    <w:rPr>
      <w:rFonts w:ascii="黑体" w:eastAsia="黑体"/>
      <w:spacing w:val="5"/>
      <w:kern w:val="0"/>
      <w:szCs w:val="20"/>
    </w:rPr>
  </w:style>
  <w:style w:type="paragraph" w:customStyle="1" w:styleId="1129">
    <w:name w:val="无间隔21"/>
    <w:basedOn w:val="1"/>
    <w:qFormat/>
    <w:uiPriority w:val="0"/>
    <w:pPr>
      <w:jc w:val="left"/>
    </w:pPr>
    <w:rPr>
      <w:rFonts w:eastAsia="Times New Roman"/>
      <w:kern w:val="0"/>
      <w:szCs w:val="20"/>
    </w:rPr>
  </w:style>
  <w:style w:type="paragraph" w:customStyle="1" w:styleId="1130">
    <w:name w:val="报告书正文段落"/>
    <w:basedOn w:val="1"/>
    <w:qFormat/>
    <w:uiPriority w:val="0"/>
    <w:pPr>
      <w:spacing w:line="520" w:lineRule="exact"/>
      <w:ind w:firstLine="480"/>
    </w:pPr>
    <w:rPr>
      <w:rFonts w:cs="宋体"/>
      <w:kern w:val="0"/>
      <w:szCs w:val="22"/>
      <w:lang w:val="zh-CN"/>
    </w:rPr>
  </w:style>
  <w:style w:type="paragraph" w:customStyle="1" w:styleId="1131">
    <w:name w:val="_Style 74"/>
    <w:basedOn w:val="1"/>
    <w:qFormat/>
    <w:uiPriority w:val="0"/>
    <w:rPr>
      <w:szCs w:val="22"/>
    </w:rPr>
  </w:style>
  <w:style w:type="paragraph" w:customStyle="1" w:styleId="1132">
    <w:name w:val="样式34"/>
    <w:basedOn w:val="817"/>
    <w:qFormat/>
    <w:uiPriority w:val="0"/>
    <w:pPr>
      <w:spacing w:line="360" w:lineRule="auto"/>
      <w:ind w:right="525" w:firstLine="422" w:firstLineChars="200"/>
      <w:outlineLvl w:val="9"/>
    </w:pPr>
    <w:rPr>
      <w:rFonts w:hAnsi="宋体" w:eastAsia="黑体"/>
      <w:sz w:val="21"/>
      <w:szCs w:val="21"/>
      <w:lang w:val="zh-CN"/>
    </w:rPr>
  </w:style>
  <w:style w:type="paragraph" w:customStyle="1" w:styleId="1133">
    <w:name w:val="5文章(治)"/>
    <w:basedOn w:val="1"/>
    <w:qFormat/>
    <w:uiPriority w:val="0"/>
    <w:pPr>
      <w:spacing w:line="360" w:lineRule="auto"/>
      <w:ind w:firstLine="560" w:firstLineChars="200"/>
    </w:pPr>
    <w:rPr>
      <w:rFonts w:eastAsia="楷体_GB2312"/>
      <w:sz w:val="28"/>
      <w:szCs w:val="20"/>
    </w:rPr>
  </w:style>
  <w:style w:type="paragraph" w:customStyle="1" w:styleId="1134">
    <w:name w:val="样式 小四 行距: 1.5 倍行距"/>
    <w:basedOn w:val="1"/>
    <w:qFormat/>
    <w:uiPriority w:val="0"/>
    <w:pPr>
      <w:spacing w:line="360" w:lineRule="auto"/>
      <w:ind w:firstLine="480" w:firstLineChars="200"/>
    </w:pPr>
    <w:rPr>
      <w:rFonts w:cs="宋体"/>
      <w:sz w:val="24"/>
      <w:szCs w:val="20"/>
    </w:rPr>
  </w:style>
  <w:style w:type="paragraph" w:customStyle="1" w:styleId="1135">
    <w:name w:val="自动表格内部"/>
    <w:basedOn w:val="1"/>
    <w:qFormat/>
    <w:uiPriority w:val="0"/>
    <w:pPr>
      <w:numPr>
        <w:ilvl w:val="3"/>
        <w:numId w:val="15"/>
      </w:numPr>
      <w:adjustRightInd w:val="0"/>
      <w:snapToGrid w:val="0"/>
      <w:ind w:left="0" w:firstLine="0"/>
      <w:jc w:val="center"/>
    </w:pPr>
    <w:rPr>
      <w:szCs w:val="21"/>
    </w:rPr>
  </w:style>
  <w:style w:type="paragraph" w:customStyle="1" w:styleId="1136">
    <w:name w:val="表图"/>
    <w:basedOn w:val="1"/>
    <w:qFormat/>
    <w:uiPriority w:val="0"/>
    <w:pPr>
      <w:widowControl/>
      <w:adjustRightInd w:val="0"/>
      <w:snapToGrid w:val="0"/>
      <w:spacing w:line="320" w:lineRule="atLeast"/>
      <w:jc w:val="center"/>
    </w:pPr>
    <w:rPr>
      <w:szCs w:val="22"/>
    </w:rPr>
  </w:style>
  <w:style w:type="paragraph" w:customStyle="1" w:styleId="1137">
    <w:name w:val="无间隔2"/>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1138">
    <w:name w:val="标题 #6 (2)"/>
    <w:basedOn w:val="1"/>
    <w:unhideWhenUsed/>
    <w:qFormat/>
    <w:uiPriority w:val="99"/>
    <w:pPr>
      <w:shd w:val="clear" w:color="auto" w:fill="FFFFFF"/>
      <w:spacing w:line="240" w:lineRule="atLeast"/>
      <w:outlineLvl w:val="5"/>
    </w:pPr>
    <w:rPr>
      <w:rFonts w:ascii="MingLiU" w:hAnsi="MingLiU" w:eastAsia="MingLiU"/>
      <w:szCs w:val="22"/>
      <w:lang w:eastAsia="en-US"/>
    </w:rPr>
  </w:style>
  <w:style w:type="paragraph" w:customStyle="1" w:styleId="1139">
    <w:name w:val="王五"/>
    <w:basedOn w:val="1"/>
    <w:qFormat/>
    <w:uiPriority w:val="0"/>
  </w:style>
  <w:style w:type="paragraph" w:customStyle="1" w:styleId="1140">
    <w:name w:val="aa正文"/>
    <w:basedOn w:val="1"/>
    <w:qFormat/>
    <w:uiPriority w:val="0"/>
    <w:pPr>
      <w:spacing w:line="360" w:lineRule="auto"/>
      <w:ind w:firstLine="200" w:firstLineChars="200"/>
    </w:pPr>
    <w:rPr>
      <w:sz w:val="24"/>
    </w:rPr>
  </w:style>
  <w:style w:type="paragraph" w:customStyle="1" w:styleId="1141">
    <w:name w:val="3级"/>
    <w:basedOn w:val="1142"/>
    <w:qFormat/>
    <w:uiPriority w:val="0"/>
    <w:pPr>
      <w:tabs>
        <w:tab w:val="left" w:pos="420"/>
      </w:tabs>
    </w:pPr>
    <w:rPr>
      <w:szCs w:val="28"/>
    </w:rPr>
  </w:style>
  <w:style w:type="paragraph" w:customStyle="1" w:styleId="1142">
    <w:name w:val="样式 样式 标题 3 + 段前: 自动 段后: 自动 + 段后: 0.5 行"/>
    <w:basedOn w:val="1126"/>
    <w:qFormat/>
    <w:uiPriority w:val="0"/>
    <w:pPr>
      <w:spacing w:afterLines="0"/>
    </w:pPr>
    <w:rPr>
      <w:sz w:val="24"/>
      <w:szCs w:val="24"/>
    </w:rPr>
  </w:style>
  <w:style w:type="paragraph" w:customStyle="1" w:styleId="1143">
    <w:name w:val="样式 正文首行缩进:  2 字符 + 首行缩进:  2 字符"/>
    <w:basedOn w:val="1"/>
    <w:qFormat/>
    <w:uiPriority w:val="0"/>
    <w:pPr>
      <w:spacing w:line="360" w:lineRule="auto"/>
      <w:ind w:firstLine="480" w:firstLineChars="200"/>
    </w:pPr>
    <w:rPr>
      <w:rFonts w:cs="宋体"/>
      <w:sz w:val="24"/>
      <w:szCs w:val="20"/>
    </w:rPr>
  </w:style>
  <w:style w:type="paragraph" w:customStyle="1" w:styleId="1144">
    <w:name w:val="正文YHY"/>
    <w:basedOn w:val="1"/>
    <w:semiHidden/>
    <w:qFormat/>
    <w:uiPriority w:val="0"/>
    <w:pPr>
      <w:spacing w:beforeLines="50" w:afterLines="50"/>
      <w:ind w:firstLine="200" w:firstLineChars="200"/>
    </w:pPr>
    <w:rPr>
      <w:rFonts w:cs="宋体"/>
      <w:szCs w:val="22"/>
    </w:rPr>
  </w:style>
  <w:style w:type="paragraph" w:customStyle="1" w:styleId="1145">
    <w:name w:val="Style 3"/>
    <w:basedOn w:val="1"/>
    <w:unhideWhenUsed/>
    <w:qFormat/>
    <w:uiPriority w:val="0"/>
    <w:pPr>
      <w:autoSpaceDE w:val="0"/>
      <w:autoSpaceDN w:val="0"/>
      <w:adjustRightInd w:val="0"/>
    </w:pPr>
    <w:rPr>
      <w:sz w:val="20"/>
      <w:szCs w:val="20"/>
    </w:rPr>
  </w:style>
  <w:style w:type="paragraph" w:customStyle="1" w:styleId="1146">
    <w:name w:val="Char Char6"/>
    <w:basedOn w:val="1"/>
    <w:qFormat/>
    <w:uiPriority w:val="0"/>
    <w:pPr>
      <w:widowControl/>
      <w:spacing w:after="160" w:line="240" w:lineRule="exact"/>
      <w:ind w:left="835"/>
      <w:jc w:val="left"/>
    </w:pPr>
    <w:rPr>
      <w:rFonts w:ascii="Arial" w:hAnsi="Arial"/>
      <w:spacing w:val="-5"/>
      <w:kern w:val="0"/>
      <w:sz w:val="20"/>
      <w:szCs w:val="20"/>
      <w:lang w:bidi="he-IL"/>
    </w:rPr>
  </w:style>
  <w:style w:type="paragraph" w:customStyle="1" w:styleId="1147">
    <w:name w:val="正文样式 Char"/>
    <w:basedOn w:val="1"/>
    <w:qFormat/>
    <w:uiPriority w:val="0"/>
    <w:pPr>
      <w:ind w:firstLine="560" w:firstLineChars="200"/>
    </w:pPr>
    <w:rPr>
      <w:kern w:val="0"/>
      <w:sz w:val="28"/>
      <w:szCs w:val="22"/>
    </w:rPr>
  </w:style>
  <w:style w:type="paragraph" w:customStyle="1" w:styleId="1148">
    <w:name w:val="CM22"/>
    <w:basedOn w:val="173"/>
    <w:next w:val="173"/>
    <w:qFormat/>
    <w:uiPriority w:val="99"/>
    <w:pPr>
      <w:spacing w:after="165"/>
    </w:pPr>
    <w:rPr>
      <w:rFonts w:ascii="仿宋_GB2312" w:hAnsi="等线" w:eastAsia="仿宋_GB2312" w:cs="Times New Roman"/>
      <w:color w:val="auto"/>
    </w:rPr>
  </w:style>
  <w:style w:type="paragraph" w:customStyle="1" w:styleId="1149">
    <w:name w:val="列出段落1"/>
    <w:basedOn w:val="1"/>
    <w:qFormat/>
    <w:uiPriority w:val="34"/>
    <w:pPr>
      <w:ind w:firstLine="420" w:firstLineChars="200"/>
    </w:pPr>
    <w:rPr>
      <w:szCs w:val="22"/>
    </w:rPr>
  </w:style>
  <w:style w:type="paragraph" w:customStyle="1" w:styleId="1150">
    <w:name w:val="无悬挂正文5号"/>
    <w:basedOn w:val="1"/>
    <w:qFormat/>
    <w:uiPriority w:val="0"/>
    <w:pPr>
      <w:jc w:val="center"/>
    </w:pPr>
    <w:rPr>
      <w:szCs w:val="22"/>
    </w:rPr>
  </w:style>
  <w:style w:type="paragraph" w:customStyle="1" w:styleId="1151">
    <w:name w:val="标题 #7"/>
    <w:basedOn w:val="1"/>
    <w:unhideWhenUsed/>
    <w:qFormat/>
    <w:uiPriority w:val="99"/>
    <w:pPr>
      <w:shd w:val="clear" w:color="auto" w:fill="FFFFFF"/>
      <w:spacing w:line="240" w:lineRule="atLeast"/>
      <w:outlineLvl w:val="6"/>
    </w:pPr>
    <w:rPr>
      <w:rFonts w:hint="eastAsia" w:ascii="MingLiU" w:hAnsi="MingLiU" w:eastAsia="MingLiU"/>
      <w:spacing w:val="10"/>
      <w:szCs w:val="22"/>
    </w:rPr>
  </w:style>
  <w:style w:type="paragraph" w:customStyle="1" w:styleId="1152">
    <w:name w:val="表格标题 (2)"/>
    <w:basedOn w:val="1"/>
    <w:unhideWhenUsed/>
    <w:qFormat/>
    <w:uiPriority w:val="99"/>
    <w:pPr>
      <w:shd w:val="clear" w:color="auto" w:fill="FFFFFF"/>
      <w:spacing w:line="240" w:lineRule="atLeast"/>
    </w:pPr>
    <w:rPr>
      <w:rFonts w:ascii="MingLiU" w:hAnsi="MingLiU" w:eastAsia="MingLiU"/>
      <w:szCs w:val="22"/>
      <w:lang w:eastAsia="en-US"/>
    </w:rPr>
  </w:style>
  <w:style w:type="paragraph" w:customStyle="1" w:styleId="1153">
    <w:name w:val="表1表2"/>
    <w:basedOn w:val="1"/>
    <w:qFormat/>
    <w:uiPriority w:val="0"/>
    <w:pPr>
      <w:autoSpaceDE w:val="0"/>
      <w:autoSpaceDN w:val="0"/>
      <w:adjustRightInd w:val="0"/>
      <w:jc w:val="center"/>
      <w:textAlignment w:val="center"/>
    </w:pPr>
    <w:rPr>
      <w:rFonts w:eastAsia="仿宋_GB2312"/>
      <w:kern w:val="0"/>
      <w:szCs w:val="21"/>
    </w:rPr>
  </w:style>
  <w:style w:type="paragraph" w:customStyle="1" w:styleId="1154">
    <w:name w:val="文本 卢谌"/>
    <w:basedOn w:val="21"/>
    <w:qFormat/>
    <w:uiPriority w:val="0"/>
    <w:pPr>
      <w:widowControl w:val="0"/>
      <w:spacing w:line="240" w:lineRule="auto"/>
      <w:ind w:firstLine="480"/>
    </w:pPr>
    <w:rPr>
      <w:sz w:val="28"/>
      <w:szCs w:val="24"/>
    </w:rPr>
  </w:style>
  <w:style w:type="paragraph" w:customStyle="1" w:styleId="1155">
    <w:name w:val="标准"/>
    <w:basedOn w:val="1"/>
    <w:qFormat/>
    <w:uiPriority w:val="0"/>
    <w:pPr>
      <w:tabs>
        <w:tab w:val="left" w:pos="720"/>
      </w:tabs>
      <w:adjustRightInd w:val="0"/>
      <w:spacing w:line="312" w:lineRule="atLeast"/>
      <w:textAlignment w:val="baseline"/>
    </w:pPr>
    <w:rPr>
      <w:spacing w:val="-20"/>
      <w:kern w:val="0"/>
      <w:szCs w:val="21"/>
    </w:rPr>
  </w:style>
  <w:style w:type="paragraph" w:customStyle="1" w:styleId="1156">
    <w:name w:val="表标题1"/>
    <w:basedOn w:val="1"/>
    <w:qFormat/>
    <w:uiPriority w:val="0"/>
    <w:pPr>
      <w:tabs>
        <w:tab w:val="left" w:pos="1848"/>
        <w:tab w:val="left" w:pos="6061"/>
        <w:tab w:val="left" w:pos="8665"/>
      </w:tabs>
      <w:adjustRightInd w:val="0"/>
      <w:snapToGrid w:val="0"/>
      <w:spacing w:beforeLines="50" w:line="460" w:lineRule="exact"/>
      <w:ind w:firstLine="480" w:firstLineChars="200"/>
      <w:jc w:val="center"/>
    </w:pPr>
    <w:rPr>
      <w:rFonts w:ascii="宋体" w:hAnsi="宋体"/>
      <w:sz w:val="24"/>
      <w:szCs w:val="20"/>
    </w:rPr>
  </w:style>
  <w:style w:type="paragraph" w:customStyle="1" w:styleId="1157">
    <w:name w:val="table"/>
    <w:basedOn w:val="1"/>
    <w:next w:val="1"/>
    <w:qFormat/>
    <w:uiPriority w:val="0"/>
    <w:pPr>
      <w:adjustRightInd w:val="0"/>
      <w:snapToGrid w:val="0"/>
      <w:jc w:val="center"/>
    </w:pPr>
    <w:rPr>
      <w:color w:val="000000"/>
      <w:szCs w:val="28"/>
    </w:rPr>
  </w:style>
  <w:style w:type="paragraph" w:customStyle="1" w:styleId="1158">
    <w:name w:val="样2"/>
    <w:basedOn w:val="1"/>
    <w:next w:val="1"/>
    <w:qFormat/>
    <w:uiPriority w:val="0"/>
    <w:pPr>
      <w:adjustRightInd w:val="0"/>
      <w:jc w:val="center"/>
      <w:textAlignment w:val="baseline"/>
    </w:pPr>
    <w:rPr>
      <w:kern w:val="0"/>
      <w:szCs w:val="20"/>
    </w:rPr>
  </w:style>
  <w:style w:type="paragraph" w:customStyle="1" w:styleId="1159">
    <w:name w:val="缩进正文"/>
    <w:basedOn w:val="1"/>
    <w:qFormat/>
    <w:uiPriority w:val="0"/>
    <w:pPr>
      <w:snapToGrid w:val="0"/>
      <w:spacing w:line="480" w:lineRule="atLeast"/>
      <w:ind w:firstLine="567"/>
    </w:pPr>
    <w:rPr>
      <w:sz w:val="24"/>
      <w:szCs w:val="20"/>
    </w:rPr>
  </w:style>
  <w:style w:type="paragraph" w:customStyle="1" w:styleId="1160">
    <w:name w:val="无间隔3"/>
    <w:basedOn w:val="1"/>
    <w:qFormat/>
    <w:uiPriority w:val="1"/>
    <w:rPr>
      <w:szCs w:val="22"/>
    </w:rPr>
  </w:style>
  <w:style w:type="paragraph" w:customStyle="1" w:styleId="1161">
    <w:name w:val="样式22"/>
    <w:basedOn w:val="1135"/>
    <w:qFormat/>
    <w:uiPriority w:val="0"/>
    <w:pPr>
      <w:numPr>
        <w:ilvl w:val="0"/>
        <w:numId w:val="0"/>
      </w:numPr>
      <w:spacing w:line="300" w:lineRule="exact"/>
    </w:pPr>
    <w:rPr>
      <w:color w:val="000000"/>
    </w:rPr>
  </w:style>
  <w:style w:type="table" w:customStyle="1" w:styleId="1162">
    <w:name w:val="专业网格1"/>
    <w:basedOn w:val="88"/>
    <w:qFormat/>
    <w:uiPriority w:val="59"/>
    <w:rPr>
      <w:rFonts w:ascii="Calibri" w:hAnsi="Calibri" w:eastAsia="宋体" w:cs="Times New Roman"/>
      <w:kern w:val="2"/>
      <w:sz w:val="21"/>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1163">
    <w:name w:val="未处理的提及1"/>
    <w:semiHidden/>
    <w:unhideWhenUsed/>
    <w:qFormat/>
    <w:uiPriority w:val="99"/>
    <w:rPr>
      <w:color w:val="605E5C"/>
      <w:shd w:val="clear" w:color="auto" w:fill="E1DFDD"/>
    </w:rPr>
  </w:style>
  <w:style w:type="paragraph" w:customStyle="1" w:styleId="1164">
    <w:name w:val="中文报告书样式"/>
    <w:basedOn w:val="1"/>
    <w:link w:val="1165"/>
    <w:qFormat/>
    <w:uiPriority w:val="0"/>
    <w:pPr>
      <w:adjustRightInd w:val="0"/>
      <w:spacing w:line="480" w:lineRule="atLeast"/>
      <w:ind w:firstLine="482"/>
      <w:textAlignment w:val="baseline"/>
    </w:pPr>
    <w:rPr>
      <w:kern w:val="24"/>
      <w:sz w:val="24"/>
      <w:szCs w:val="20"/>
    </w:rPr>
  </w:style>
  <w:style w:type="character" w:customStyle="1" w:styleId="1165">
    <w:name w:val="中文报告书样式 Char Char"/>
    <w:link w:val="1164"/>
    <w:qFormat/>
    <w:uiPriority w:val="0"/>
    <w:rPr>
      <w:rFonts w:ascii="Times New Roman" w:hAnsi="Times New Roman" w:eastAsia="宋体" w:cs="Times New Roman"/>
      <w:kern w:val="24"/>
      <w:sz w:val="24"/>
    </w:rPr>
  </w:style>
  <w:style w:type="paragraph" w:customStyle="1" w:styleId="1166">
    <w:name w:val="图表文字注释"/>
    <w:qFormat/>
    <w:uiPriority w:val="0"/>
    <w:pPr>
      <w:spacing w:line="360" w:lineRule="auto"/>
      <w:jc w:val="center"/>
      <w:outlineLvl w:val="3"/>
    </w:pPr>
    <w:rPr>
      <w:rFonts w:ascii="Times New Roman" w:hAnsi="Times New Roman" w:eastAsia="宋体" w:cs="Times New Roman"/>
      <w:kern w:val="2"/>
      <w:sz w:val="21"/>
      <w:szCs w:val="24"/>
      <w:lang w:val="en-US" w:eastAsia="zh-CN" w:bidi="ar-SA"/>
    </w:rPr>
  </w:style>
  <w:style w:type="character" w:customStyle="1" w:styleId="1167">
    <w:name w:val="Body text|1_"/>
    <w:link w:val="1168"/>
    <w:uiPriority w:val="0"/>
    <w:rPr>
      <w:rFonts w:ascii="宋体" w:hAnsi="宋体" w:cs="宋体"/>
      <w:color w:val="231F20"/>
      <w:lang w:val="zh-TW" w:eastAsia="zh-TW" w:bidi="zh-TW"/>
    </w:rPr>
  </w:style>
  <w:style w:type="paragraph" w:customStyle="1" w:styleId="1168">
    <w:name w:val="Body text|1"/>
    <w:basedOn w:val="1"/>
    <w:link w:val="1167"/>
    <w:qFormat/>
    <w:uiPriority w:val="0"/>
    <w:pPr>
      <w:spacing w:line="394" w:lineRule="auto"/>
      <w:ind w:firstLine="400"/>
      <w:jc w:val="left"/>
    </w:pPr>
    <w:rPr>
      <w:rFonts w:ascii="宋体" w:hAnsi="宋体" w:cs="宋体" w:eastAsiaTheme="minorEastAsia"/>
      <w:color w:val="231F20"/>
      <w:kern w:val="0"/>
      <w:sz w:val="20"/>
      <w:szCs w:val="20"/>
      <w:lang w:val="zh-TW" w:eastAsia="zh-TW" w:bidi="zh-TW"/>
    </w:rPr>
  </w:style>
  <w:style w:type="character" w:customStyle="1" w:styleId="1169">
    <w:name w:val="宏文本 字符"/>
    <w:basedOn w:val="95"/>
    <w:link w:val="2"/>
    <w:qFormat/>
    <w:uiPriority w:val="0"/>
    <w:rPr>
      <w:rFonts w:ascii="Courier New" w:hAnsi="Courier New" w:eastAsia="宋体" w:cs="Courier New"/>
      <w:kern w:val="2"/>
      <w:sz w:val="24"/>
      <w:szCs w:val="24"/>
    </w:rPr>
  </w:style>
  <w:style w:type="character" w:customStyle="1" w:styleId="1170">
    <w:name w:val="注释标题 字符"/>
    <w:basedOn w:val="95"/>
    <w:link w:val="16"/>
    <w:qFormat/>
    <w:uiPriority w:val="0"/>
    <w:rPr>
      <w:rFonts w:ascii="宋体" w:hAnsi="宋体" w:eastAsia="宋体" w:cs="Times New Roman"/>
      <w:kern w:val="2"/>
      <w:sz w:val="24"/>
    </w:rPr>
  </w:style>
  <w:style w:type="character" w:customStyle="1" w:styleId="1171">
    <w:name w:val="电子邮件签名 字符"/>
    <w:basedOn w:val="95"/>
    <w:link w:val="19"/>
    <w:qFormat/>
    <w:uiPriority w:val="0"/>
    <w:rPr>
      <w:rFonts w:ascii="宋体" w:hAnsi="Courier New" w:eastAsia="宋体" w:cs="Times New Roman"/>
      <w:kern w:val="2"/>
      <w:sz w:val="26"/>
    </w:rPr>
  </w:style>
  <w:style w:type="character" w:customStyle="1" w:styleId="1172">
    <w:name w:val="结束语 字符"/>
    <w:basedOn w:val="95"/>
    <w:link w:val="32"/>
    <w:qFormat/>
    <w:uiPriority w:val="0"/>
    <w:rPr>
      <w:rFonts w:ascii="宋体" w:hAnsi="Courier New" w:eastAsia="宋体" w:cs="Times New Roman"/>
      <w:kern w:val="2"/>
      <w:sz w:val="26"/>
    </w:rPr>
  </w:style>
  <w:style w:type="character" w:customStyle="1" w:styleId="1173">
    <w:name w:val="HTML 地址 字符"/>
    <w:basedOn w:val="95"/>
    <w:link w:val="41"/>
    <w:qFormat/>
    <w:uiPriority w:val="0"/>
    <w:rPr>
      <w:rFonts w:ascii="宋体" w:hAnsi="Courier New" w:eastAsia="宋体" w:cs="Times New Roman"/>
      <w:i/>
      <w:iCs/>
      <w:kern w:val="2"/>
      <w:sz w:val="26"/>
    </w:rPr>
  </w:style>
  <w:style w:type="character" w:customStyle="1" w:styleId="1174">
    <w:name w:val="签名 字符"/>
    <w:basedOn w:val="95"/>
    <w:link w:val="59"/>
    <w:uiPriority w:val="0"/>
    <w:rPr>
      <w:rFonts w:ascii="宋体" w:hAnsi="Courier New" w:eastAsia="宋体" w:cs="Times New Roman"/>
      <w:kern w:val="2"/>
      <w:sz w:val="26"/>
    </w:rPr>
  </w:style>
  <w:style w:type="character" w:customStyle="1" w:styleId="1175">
    <w:name w:val="信息标题 字符"/>
    <w:basedOn w:val="95"/>
    <w:link w:val="79"/>
    <w:qFormat/>
    <w:uiPriority w:val="0"/>
    <w:rPr>
      <w:rFonts w:ascii="Arial" w:hAnsi="Arial" w:eastAsia="宋体" w:cs="Arial"/>
      <w:kern w:val="2"/>
      <w:sz w:val="24"/>
      <w:szCs w:val="24"/>
      <w:shd w:val="pct20" w:color="auto" w:fill="auto"/>
    </w:rPr>
  </w:style>
  <w:style w:type="character" w:customStyle="1" w:styleId="1176">
    <w:name w:val="标题 1 字符1"/>
    <w:qFormat/>
    <w:uiPriority w:val="0"/>
    <w:rPr>
      <w:rFonts w:ascii="Times New Roman" w:hAnsi="Times New Roman" w:eastAsia="宋体" w:cs="Times New Roman"/>
      <w:b/>
      <w:bCs/>
      <w:kern w:val="44"/>
      <w:sz w:val="36"/>
      <w:szCs w:val="44"/>
    </w:rPr>
  </w:style>
  <w:style w:type="character" w:customStyle="1" w:styleId="1177">
    <w:name w:val="纯文本 字符1"/>
    <w:qFormat/>
    <w:uiPriority w:val="0"/>
    <w:rPr>
      <w:rFonts w:ascii="宋体" w:hAnsi="Courier New" w:cs="Courier New"/>
      <w:szCs w:val="24"/>
    </w:rPr>
  </w:style>
  <w:style w:type="character" w:customStyle="1" w:styleId="1178">
    <w:name w:val="段落正文 Char"/>
    <w:link w:val="1179"/>
    <w:qFormat/>
    <w:uiPriority w:val="0"/>
    <w:rPr>
      <w:rFonts w:cs="宋体"/>
      <w:sz w:val="24"/>
    </w:rPr>
  </w:style>
  <w:style w:type="paragraph" w:customStyle="1" w:styleId="1179">
    <w:name w:val="段落正文"/>
    <w:basedOn w:val="1"/>
    <w:link w:val="1178"/>
    <w:qFormat/>
    <w:uiPriority w:val="0"/>
    <w:pPr>
      <w:ind w:firstLine="480" w:firstLineChars="200"/>
    </w:pPr>
    <w:rPr>
      <w:rFonts w:cs="宋体" w:asciiTheme="minorHAnsi" w:hAnsiTheme="minorHAnsi" w:eastAsiaTheme="minorEastAsia"/>
      <w:kern w:val="0"/>
      <w:sz w:val="24"/>
      <w:szCs w:val="20"/>
    </w:rPr>
  </w:style>
  <w:style w:type="character" w:customStyle="1" w:styleId="1180">
    <w:name w:val="表格文字 Char Char"/>
    <w:link w:val="580"/>
    <w:qFormat/>
    <w:uiPriority w:val="0"/>
    <w:rPr>
      <w:rFonts w:ascii="仿宋_GB2312" w:hAnsi="宋体" w:eastAsia="仿宋_GB2312"/>
      <w:kern w:val="2"/>
      <w:sz w:val="21"/>
      <w:szCs w:val="21"/>
    </w:rPr>
  </w:style>
  <w:style w:type="paragraph" w:customStyle="1" w:styleId="1181">
    <w:name w:val="图表"/>
    <w:basedOn w:val="73"/>
    <w:next w:val="1"/>
    <w:link w:val="1182"/>
    <w:qFormat/>
    <w:uiPriority w:val="0"/>
    <w:pPr>
      <w:ind w:left="0" w:leftChars="0" w:firstLine="200" w:firstLineChars="200"/>
      <w:jc w:val="left"/>
    </w:pPr>
    <w:rPr>
      <w:rFonts w:ascii="Arial" w:hAnsi="Arial"/>
      <w:smallCaps/>
      <w:sz w:val="24"/>
    </w:rPr>
  </w:style>
  <w:style w:type="character" w:customStyle="1" w:styleId="1182">
    <w:name w:val="图表 Char"/>
    <w:link w:val="1181"/>
    <w:qFormat/>
    <w:uiPriority w:val="0"/>
    <w:rPr>
      <w:rFonts w:ascii="Arial" w:hAnsi="Arial" w:eastAsia="宋体" w:cs="Times New Roman"/>
      <w:smallCaps/>
      <w:kern w:val="2"/>
      <w:sz w:val="24"/>
      <w:szCs w:val="24"/>
    </w:rPr>
  </w:style>
  <w:style w:type="character" w:customStyle="1" w:styleId="1183">
    <w:name w:val="样式 宋体 四号 黑色"/>
    <w:qFormat/>
    <w:uiPriority w:val="0"/>
    <w:rPr>
      <w:rFonts w:ascii="Times New Roman" w:hAnsi="Times New Roman" w:eastAsia="宋体"/>
      <w:color w:val="000000"/>
      <w:sz w:val="28"/>
    </w:rPr>
  </w:style>
  <w:style w:type="character" w:customStyle="1" w:styleId="1184">
    <w:name w:val="HBZW"/>
    <w:qFormat/>
    <w:uiPriority w:val="0"/>
    <w:rPr>
      <w:rFonts w:ascii="宋体" w:hAnsi="宋体" w:eastAsia="宋体"/>
      <w:kern w:val="0"/>
      <w:sz w:val="24"/>
      <w:lang w:val="en-US" w:eastAsia="zh-CN" w:bidi="ar-SA"/>
    </w:rPr>
  </w:style>
  <w:style w:type="character" w:customStyle="1" w:styleId="1185">
    <w:name w:val="题注 字符"/>
    <w:link w:val="22"/>
    <w:uiPriority w:val="0"/>
    <w:rPr>
      <w:rFonts w:ascii="Arial" w:hAnsi="Arial" w:eastAsia="黑体" w:cs="Arial"/>
      <w:kern w:val="2"/>
      <w:szCs w:val="24"/>
    </w:rPr>
  </w:style>
  <w:style w:type="character" w:customStyle="1" w:styleId="1186">
    <w:name w:val="unnamed1 style2"/>
    <w:basedOn w:val="95"/>
    <w:uiPriority w:val="0"/>
  </w:style>
  <w:style w:type="character" w:customStyle="1" w:styleId="1187">
    <w:name w:val="文档结构图 字符1"/>
    <w:qFormat/>
    <w:uiPriority w:val="0"/>
    <w:rPr>
      <w:rFonts w:eastAsia="宋体"/>
      <w:szCs w:val="24"/>
      <w:shd w:val="clear" w:color="auto" w:fill="000080"/>
    </w:rPr>
  </w:style>
  <w:style w:type="character" w:customStyle="1" w:styleId="1188">
    <w:name w:val="标 正文 Char Char"/>
    <w:link w:val="1189"/>
    <w:qFormat/>
    <w:uiPriority w:val="0"/>
    <w:rPr>
      <w:sz w:val="24"/>
    </w:rPr>
  </w:style>
  <w:style w:type="paragraph" w:customStyle="1" w:styleId="1189">
    <w:name w:val="标 正文"/>
    <w:link w:val="1188"/>
    <w:qFormat/>
    <w:uiPriority w:val="0"/>
    <w:pPr>
      <w:spacing w:line="360" w:lineRule="auto"/>
      <w:ind w:firstLine="200" w:firstLineChars="200"/>
      <w:jc w:val="both"/>
    </w:pPr>
    <w:rPr>
      <w:rFonts w:asciiTheme="minorHAnsi" w:hAnsiTheme="minorHAnsi" w:eastAsiaTheme="minorEastAsia" w:cstheme="minorBidi"/>
      <w:sz w:val="24"/>
      <w:lang w:val="en-US" w:eastAsia="zh-CN" w:bidi="ar-SA"/>
    </w:rPr>
  </w:style>
  <w:style w:type="character" w:customStyle="1" w:styleId="1190">
    <w:name w:val="表格备注"/>
    <w:qFormat/>
    <w:uiPriority w:val="0"/>
    <w:rPr>
      <w:rFonts w:ascii="华文楷体" w:hAnsi="华文楷体" w:eastAsia="楷体_GB2312"/>
      <w:kern w:val="0"/>
      <w:sz w:val="21"/>
    </w:rPr>
  </w:style>
  <w:style w:type="character" w:customStyle="1" w:styleId="1191">
    <w:name w:val="样式 首行缩进:  1.92 字符 Char Char"/>
    <w:link w:val="1192"/>
    <w:qFormat/>
    <w:uiPriority w:val="0"/>
    <w:rPr>
      <w:rFonts w:ascii="宋体" w:hAnsi="宋体" w:cs="宋体"/>
      <w:sz w:val="28"/>
    </w:rPr>
  </w:style>
  <w:style w:type="paragraph" w:customStyle="1" w:styleId="1192">
    <w:name w:val="样式 首行缩进:  1.92 字符"/>
    <w:basedOn w:val="1"/>
    <w:link w:val="1191"/>
    <w:uiPriority w:val="0"/>
    <w:pPr>
      <w:adjustRightInd w:val="0"/>
      <w:snapToGrid w:val="0"/>
      <w:spacing w:line="360" w:lineRule="auto"/>
      <w:ind w:firstLine="560" w:firstLineChars="200"/>
    </w:pPr>
    <w:rPr>
      <w:rFonts w:ascii="宋体" w:hAnsi="宋体" w:cs="宋体" w:eastAsiaTheme="minorEastAsia"/>
      <w:kern w:val="0"/>
      <w:sz w:val="28"/>
      <w:szCs w:val="20"/>
    </w:rPr>
  </w:style>
  <w:style w:type="character" w:customStyle="1" w:styleId="1193">
    <w:name w:val="qj报告正文 Char Char"/>
    <w:link w:val="1194"/>
    <w:qFormat/>
    <w:uiPriority w:val="0"/>
    <w:rPr>
      <w:rFonts w:ascii="宋体" w:hAnsi="宋体"/>
      <w:sz w:val="24"/>
    </w:rPr>
  </w:style>
  <w:style w:type="paragraph" w:customStyle="1" w:styleId="1194">
    <w:name w:val="qj报告正文"/>
    <w:basedOn w:val="1"/>
    <w:link w:val="1193"/>
    <w:qFormat/>
    <w:uiPriority w:val="0"/>
    <w:pPr>
      <w:adjustRightInd w:val="0"/>
      <w:snapToGrid w:val="0"/>
      <w:spacing w:line="360" w:lineRule="auto"/>
      <w:ind w:firstLine="200" w:firstLineChars="200"/>
    </w:pPr>
    <w:rPr>
      <w:rFonts w:ascii="宋体" w:hAnsi="宋体" w:eastAsiaTheme="minorEastAsia" w:cstheme="minorBidi"/>
      <w:kern w:val="0"/>
      <w:sz w:val="24"/>
      <w:szCs w:val="20"/>
    </w:rPr>
  </w:style>
  <w:style w:type="character" w:customStyle="1" w:styleId="1195">
    <w:name w:val="排版正文 Char Char Char Char Char Char"/>
    <w:link w:val="1196"/>
    <w:qFormat/>
    <w:uiPriority w:val="0"/>
    <w:rPr>
      <w:color w:val="000000"/>
      <w:sz w:val="26"/>
      <w:szCs w:val="26"/>
    </w:rPr>
  </w:style>
  <w:style w:type="paragraph" w:customStyle="1" w:styleId="1196">
    <w:name w:val="排版正文 Char"/>
    <w:basedOn w:val="1"/>
    <w:link w:val="1195"/>
    <w:qFormat/>
    <w:uiPriority w:val="0"/>
    <w:pPr>
      <w:adjustRightInd w:val="0"/>
      <w:snapToGrid w:val="0"/>
      <w:spacing w:line="460" w:lineRule="exact"/>
      <w:ind w:firstLine="200" w:firstLineChars="200"/>
    </w:pPr>
    <w:rPr>
      <w:rFonts w:asciiTheme="minorHAnsi" w:hAnsiTheme="minorHAnsi" w:eastAsiaTheme="minorEastAsia" w:cstheme="minorBidi"/>
      <w:color w:val="000000"/>
      <w:kern w:val="0"/>
      <w:sz w:val="26"/>
      <w:szCs w:val="26"/>
    </w:rPr>
  </w:style>
  <w:style w:type="character" w:customStyle="1" w:styleId="1197">
    <w:name w:val="表号 Char1"/>
    <w:link w:val="621"/>
    <w:qFormat/>
    <w:uiPriority w:val="0"/>
    <w:rPr>
      <w:rFonts w:ascii="黑体" w:hAnsi="Times New Roman" w:eastAsia="黑体" w:cs="Times New Roman"/>
      <w:b/>
      <w:sz w:val="28"/>
    </w:rPr>
  </w:style>
  <w:style w:type="character" w:customStyle="1" w:styleId="1198">
    <w:name w:val="b21"/>
    <w:qFormat/>
    <w:uiPriority w:val="0"/>
    <w:rPr>
      <w:color w:val="000000"/>
      <w:spacing w:val="270"/>
      <w:sz w:val="20"/>
      <w:szCs w:val="20"/>
    </w:rPr>
  </w:style>
  <w:style w:type="character" w:customStyle="1" w:styleId="1199">
    <w:name w:val="居中 Char Char"/>
    <w:link w:val="1200"/>
    <w:qFormat/>
    <w:uiPriority w:val="0"/>
    <w:rPr>
      <w:sz w:val="24"/>
      <w:szCs w:val="24"/>
    </w:rPr>
  </w:style>
  <w:style w:type="paragraph" w:customStyle="1" w:styleId="1200">
    <w:name w:val="居中"/>
    <w:basedOn w:val="1"/>
    <w:link w:val="1199"/>
    <w:qFormat/>
    <w:uiPriority w:val="0"/>
    <w:pPr>
      <w:adjustRightInd w:val="0"/>
      <w:snapToGrid w:val="0"/>
      <w:spacing w:line="500" w:lineRule="exact"/>
      <w:ind w:firstLine="832" w:firstLineChars="200"/>
      <w:jc w:val="center"/>
    </w:pPr>
    <w:rPr>
      <w:rFonts w:asciiTheme="minorHAnsi" w:hAnsiTheme="minorHAnsi" w:eastAsiaTheme="minorEastAsia" w:cstheme="minorBidi"/>
      <w:kern w:val="0"/>
      <w:sz w:val="24"/>
    </w:rPr>
  </w:style>
  <w:style w:type="character" w:customStyle="1" w:styleId="1201">
    <w:name w:val="正文文本 3 字符1"/>
    <w:qFormat/>
    <w:uiPriority w:val="0"/>
    <w:rPr>
      <w:sz w:val="16"/>
      <w:szCs w:val="16"/>
    </w:rPr>
  </w:style>
  <w:style w:type="character" w:customStyle="1" w:styleId="1202">
    <w:name w:val="表名 Char Char"/>
    <w:link w:val="1203"/>
    <w:qFormat/>
    <w:uiPriority w:val="0"/>
    <w:rPr>
      <w:rFonts w:eastAsia="黑体" w:cs="宋体"/>
      <w:szCs w:val="21"/>
    </w:rPr>
  </w:style>
  <w:style w:type="paragraph" w:customStyle="1" w:styleId="1203">
    <w:name w:val="表名"/>
    <w:basedOn w:val="1"/>
    <w:link w:val="1202"/>
    <w:qFormat/>
    <w:uiPriority w:val="0"/>
    <w:pPr>
      <w:adjustRightInd w:val="0"/>
      <w:snapToGrid w:val="0"/>
      <w:spacing w:line="440" w:lineRule="exact"/>
      <w:jc w:val="center"/>
    </w:pPr>
    <w:rPr>
      <w:rFonts w:eastAsia="黑体" w:cs="宋体" w:asciiTheme="minorHAnsi" w:hAnsiTheme="minorHAnsi"/>
      <w:kern w:val="0"/>
      <w:sz w:val="20"/>
      <w:szCs w:val="21"/>
    </w:rPr>
  </w:style>
  <w:style w:type="character" w:customStyle="1" w:styleId="1204">
    <w:name w:val="tt3"/>
    <w:basedOn w:val="95"/>
    <w:qFormat/>
    <w:uiPriority w:val="0"/>
  </w:style>
  <w:style w:type="character" w:customStyle="1" w:styleId="1205">
    <w:name w:val="表格居中 Char Char Char Char Char"/>
    <w:link w:val="1206"/>
    <w:qFormat/>
    <w:uiPriority w:val="0"/>
    <w:rPr>
      <w:rFonts w:ascii="??¨¬?" w:hAnsi="??¨¬?"/>
      <w:sz w:val="24"/>
      <w:szCs w:val="24"/>
    </w:rPr>
  </w:style>
  <w:style w:type="paragraph" w:customStyle="1" w:styleId="1206">
    <w:name w:val="表格居中 Char Char Char"/>
    <w:basedOn w:val="1"/>
    <w:link w:val="1205"/>
    <w:qFormat/>
    <w:uiPriority w:val="0"/>
    <w:pPr>
      <w:adjustRightInd w:val="0"/>
      <w:snapToGrid w:val="0"/>
      <w:spacing w:line="440" w:lineRule="exact"/>
      <w:ind w:firstLine="832" w:firstLineChars="200"/>
      <w:jc w:val="center"/>
    </w:pPr>
    <w:rPr>
      <w:rFonts w:ascii="??¨¬?" w:hAnsi="??¨¬?" w:eastAsiaTheme="minorEastAsia" w:cstheme="minorBidi"/>
      <w:kern w:val="0"/>
      <w:sz w:val="24"/>
    </w:rPr>
  </w:style>
  <w:style w:type="character" w:customStyle="1" w:styleId="1207">
    <w:name w:val="无间隔 字符"/>
    <w:qFormat/>
    <w:uiPriority w:val="1"/>
  </w:style>
  <w:style w:type="character" w:customStyle="1" w:styleId="1208">
    <w:name w:val="Char Char12"/>
    <w:qFormat/>
    <w:uiPriority w:val="0"/>
    <w:rPr>
      <w:rFonts w:ascii="宋体" w:hAnsi="Courier New" w:eastAsia="宋体"/>
      <w:b/>
      <w:kern w:val="2"/>
      <w:sz w:val="28"/>
      <w:lang w:val="en-US" w:eastAsia="zh-CN" w:bidi="ar-SA"/>
    </w:rPr>
  </w:style>
  <w:style w:type="character" w:customStyle="1" w:styleId="1209">
    <w:name w:val="表文字 Char1"/>
    <w:link w:val="588"/>
    <w:qFormat/>
    <w:uiPriority w:val="0"/>
    <w:rPr>
      <w:rFonts w:ascii="Times New Roman" w:hAnsi="Times New Roman" w:eastAsia="宋体" w:cs="Times New Roman"/>
      <w:kern w:val="2"/>
      <w:sz w:val="21"/>
      <w:szCs w:val="21"/>
    </w:rPr>
  </w:style>
  <w:style w:type="character" w:customStyle="1" w:styleId="1210">
    <w:name w:val="表格文字2 Char Char"/>
    <w:qFormat/>
    <w:uiPriority w:val="0"/>
    <w:rPr>
      <w:rFonts w:eastAsia="宋体"/>
    </w:rPr>
  </w:style>
  <w:style w:type="character" w:customStyle="1" w:styleId="1211">
    <w:name w:val="Char Char13"/>
    <w:qFormat/>
    <w:uiPriority w:val="0"/>
    <w:rPr>
      <w:rFonts w:eastAsia="宋体"/>
      <w:kern w:val="2"/>
      <w:sz w:val="21"/>
      <w:szCs w:val="24"/>
      <w:lang w:val="en-US" w:eastAsia="zh-CN" w:bidi="ar-SA"/>
    </w:rPr>
  </w:style>
  <w:style w:type="character" w:customStyle="1" w:styleId="1212">
    <w:name w:val="标题 字符1"/>
    <w:qFormat/>
    <w:uiPriority w:val="0"/>
    <w:rPr>
      <w:rFonts w:ascii="Cambria" w:hAnsi="Cambria" w:cs="Times New Roman"/>
      <w:b/>
      <w:bCs/>
      <w:sz w:val="24"/>
      <w:szCs w:val="32"/>
    </w:rPr>
  </w:style>
  <w:style w:type="character" w:customStyle="1" w:styleId="1213">
    <w:name w:val="样式1 Char Char"/>
    <w:qFormat/>
    <w:uiPriority w:val="0"/>
    <w:rPr>
      <w:sz w:val="24"/>
      <w:szCs w:val="24"/>
    </w:rPr>
  </w:style>
  <w:style w:type="character" w:customStyle="1" w:styleId="1214">
    <w:name w:val="排版正文 Char Char Char Char Char"/>
    <w:link w:val="1215"/>
    <w:qFormat/>
    <w:uiPriority w:val="0"/>
    <w:rPr>
      <w:color w:val="000000"/>
      <w:sz w:val="26"/>
      <w:szCs w:val="26"/>
    </w:rPr>
  </w:style>
  <w:style w:type="paragraph" w:customStyle="1" w:styleId="1215">
    <w:name w:val="排版正文 Char Char Char"/>
    <w:basedOn w:val="1"/>
    <w:link w:val="1214"/>
    <w:qFormat/>
    <w:uiPriority w:val="0"/>
    <w:pPr>
      <w:adjustRightInd w:val="0"/>
      <w:snapToGrid w:val="0"/>
      <w:spacing w:line="460" w:lineRule="exact"/>
      <w:ind w:firstLine="200" w:firstLineChars="200"/>
    </w:pPr>
    <w:rPr>
      <w:rFonts w:asciiTheme="minorHAnsi" w:hAnsiTheme="minorHAnsi" w:eastAsiaTheme="minorEastAsia" w:cstheme="minorBidi"/>
      <w:color w:val="000000"/>
      <w:kern w:val="0"/>
      <w:sz w:val="26"/>
      <w:szCs w:val="26"/>
    </w:rPr>
  </w:style>
  <w:style w:type="character" w:customStyle="1" w:styleId="1216">
    <w:name w:val="中远正文 Char Char"/>
    <w:link w:val="1217"/>
    <w:qFormat/>
    <w:uiPriority w:val="0"/>
    <w:rPr>
      <w:snapToGrid w:val="0"/>
      <w:kern w:val="24"/>
      <w:sz w:val="24"/>
    </w:rPr>
  </w:style>
  <w:style w:type="paragraph" w:customStyle="1" w:styleId="1217">
    <w:name w:val="中远正文"/>
    <w:basedOn w:val="1"/>
    <w:link w:val="1216"/>
    <w:qFormat/>
    <w:uiPriority w:val="0"/>
    <w:pPr>
      <w:adjustRightInd w:val="0"/>
      <w:snapToGrid w:val="0"/>
      <w:spacing w:line="360" w:lineRule="auto"/>
      <w:ind w:firstLine="480" w:firstLineChars="200"/>
      <w:jc w:val="center"/>
      <w:textAlignment w:val="baseline"/>
    </w:pPr>
    <w:rPr>
      <w:rFonts w:asciiTheme="minorHAnsi" w:hAnsiTheme="minorHAnsi" w:eastAsiaTheme="minorEastAsia" w:cstheme="minorBidi"/>
      <w:snapToGrid w:val="0"/>
      <w:kern w:val="24"/>
      <w:sz w:val="24"/>
      <w:szCs w:val="20"/>
    </w:rPr>
  </w:style>
  <w:style w:type="character" w:customStyle="1" w:styleId="1218">
    <w:name w:val="段落文 Char Char"/>
    <w:link w:val="1219"/>
    <w:qFormat/>
    <w:uiPriority w:val="0"/>
    <w:rPr>
      <w:rFonts w:cs="宋体"/>
      <w:sz w:val="24"/>
    </w:rPr>
  </w:style>
  <w:style w:type="paragraph" w:customStyle="1" w:styleId="1219">
    <w:name w:val="段落文"/>
    <w:basedOn w:val="1"/>
    <w:link w:val="1218"/>
    <w:qFormat/>
    <w:uiPriority w:val="0"/>
    <w:pPr>
      <w:adjustRightInd w:val="0"/>
      <w:snapToGrid w:val="0"/>
      <w:spacing w:line="360" w:lineRule="auto"/>
      <w:ind w:firstLine="480" w:firstLineChars="200"/>
    </w:pPr>
    <w:rPr>
      <w:rFonts w:cs="宋体" w:asciiTheme="minorHAnsi" w:hAnsiTheme="minorHAnsi" w:eastAsiaTheme="minorEastAsia"/>
      <w:kern w:val="0"/>
      <w:sz w:val="24"/>
      <w:szCs w:val="20"/>
    </w:rPr>
  </w:style>
  <w:style w:type="character" w:customStyle="1" w:styleId="1220">
    <w:name w:val="标题 3 Char Char"/>
    <w:qFormat/>
    <w:uiPriority w:val="0"/>
    <w:rPr>
      <w:rFonts w:eastAsia="宋体"/>
      <w:b/>
      <w:sz w:val="32"/>
      <w:szCs w:val="24"/>
      <w:lang w:val="en-US" w:eastAsia="zh-CN" w:bidi="ar-SA"/>
    </w:rPr>
  </w:style>
  <w:style w:type="character" w:customStyle="1" w:styleId="1221">
    <w:name w:val="文本 Char Char Char"/>
    <w:qFormat/>
    <w:uiPriority w:val="0"/>
    <w:rPr>
      <w:rFonts w:ascii="宋体" w:hAnsi="Courier New" w:eastAsia="宋体"/>
      <w:kern w:val="2"/>
      <w:sz w:val="28"/>
      <w:lang w:val="en-US" w:eastAsia="zh-CN" w:bidi="ar-SA"/>
    </w:rPr>
  </w:style>
  <w:style w:type="character" w:customStyle="1" w:styleId="1222">
    <w:name w:val="报告表中 Char"/>
    <w:qFormat/>
    <w:uiPriority w:val="0"/>
    <w:rPr>
      <w:rFonts w:eastAsia="宋体"/>
      <w:kern w:val="2"/>
      <w:sz w:val="18"/>
      <w:lang w:val="en-US" w:eastAsia="zh-CN"/>
    </w:rPr>
  </w:style>
  <w:style w:type="character" w:customStyle="1" w:styleId="1223">
    <w:name w:val="0-shiw-正文 4号宋体 Char Char"/>
    <w:link w:val="1224"/>
    <w:qFormat/>
    <w:uiPriority w:val="0"/>
    <w:rPr>
      <w:sz w:val="28"/>
      <w:szCs w:val="28"/>
    </w:rPr>
  </w:style>
  <w:style w:type="paragraph" w:customStyle="1" w:styleId="1224">
    <w:name w:val="0-shiw-正文 4号宋体"/>
    <w:link w:val="1223"/>
    <w:qFormat/>
    <w:uiPriority w:val="0"/>
    <w:pPr>
      <w:widowControl w:val="0"/>
      <w:adjustRightInd w:val="0"/>
      <w:snapToGrid w:val="0"/>
      <w:spacing w:line="520" w:lineRule="exact"/>
      <w:ind w:firstLine="560" w:firstLineChars="200"/>
      <w:jc w:val="both"/>
    </w:pPr>
    <w:rPr>
      <w:rFonts w:asciiTheme="minorHAnsi" w:hAnsiTheme="minorHAnsi" w:eastAsiaTheme="minorEastAsia" w:cstheme="minorBidi"/>
      <w:sz w:val="28"/>
      <w:szCs w:val="28"/>
      <w:lang w:val="en-US" w:eastAsia="zh-CN" w:bidi="ar-SA"/>
    </w:rPr>
  </w:style>
  <w:style w:type="character" w:customStyle="1" w:styleId="1225">
    <w:name w:val="样式6 Char Char"/>
    <w:link w:val="875"/>
    <w:qFormat/>
    <w:uiPriority w:val="0"/>
    <w:rPr>
      <w:color w:val="0000FF"/>
      <w:sz w:val="21"/>
      <w:szCs w:val="24"/>
      <w:lang w:val="zh-CN" w:eastAsia="zh-CN"/>
    </w:rPr>
  </w:style>
  <w:style w:type="character" w:customStyle="1" w:styleId="1226">
    <w:name w:val="font201"/>
    <w:qFormat/>
    <w:uiPriority w:val="0"/>
  </w:style>
  <w:style w:type="character" w:customStyle="1" w:styleId="1227">
    <w:name w:val="样式 13 磅 行距: 固定值 23 磅 首行缩进:  2 字符 Char Char Char"/>
    <w:link w:val="1228"/>
    <w:qFormat/>
    <w:uiPriority w:val="0"/>
    <w:rPr>
      <w:rFonts w:cs="宋体"/>
      <w:sz w:val="26"/>
      <w:szCs w:val="26"/>
    </w:rPr>
  </w:style>
  <w:style w:type="paragraph" w:customStyle="1" w:styleId="1228">
    <w:name w:val="样式 13 磅 行距: 固定值 23 磅 首行缩进:  2 字符 Char"/>
    <w:basedOn w:val="1"/>
    <w:link w:val="1227"/>
    <w:qFormat/>
    <w:uiPriority w:val="0"/>
    <w:pPr>
      <w:adjustRightInd w:val="0"/>
      <w:snapToGrid w:val="0"/>
      <w:spacing w:line="460" w:lineRule="exact"/>
      <w:ind w:firstLine="520" w:firstLineChars="200"/>
    </w:pPr>
    <w:rPr>
      <w:rFonts w:cs="宋体" w:asciiTheme="minorHAnsi" w:hAnsiTheme="minorHAnsi" w:eastAsiaTheme="minorEastAsia"/>
      <w:kern w:val="0"/>
      <w:sz w:val="26"/>
      <w:szCs w:val="26"/>
    </w:rPr>
  </w:style>
  <w:style w:type="character" w:customStyle="1" w:styleId="1229">
    <w:name w:val="正文文本缩进 字符1"/>
    <w:qFormat/>
    <w:uiPriority w:val="0"/>
    <w:rPr>
      <w:sz w:val="24"/>
      <w:szCs w:val="24"/>
    </w:rPr>
  </w:style>
  <w:style w:type="character" w:customStyle="1" w:styleId="1230">
    <w:name w:val="样式33 标题 3标题 3 Char2标题 3 CharSottoparagrafo条标题1.1.1h3H3level...2 Char Char"/>
    <w:link w:val="1231"/>
    <w:qFormat/>
    <w:uiPriority w:val="0"/>
    <w:rPr>
      <w:rFonts w:cs="宋体"/>
      <w:b/>
      <w:color w:val="000000"/>
      <w:sz w:val="28"/>
    </w:rPr>
  </w:style>
  <w:style w:type="paragraph" w:customStyle="1" w:styleId="1231">
    <w:name w:val="样式33 标题 3标题 3 Char2标题 3 CharSottoparagrafo条标题1.1.1h3H3level...2"/>
    <w:basedOn w:val="5"/>
    <w:link w:val="1230"/>
    <w:qFormat/>
    <w:uiPriority w:val="0"/>
    <w:pPr>
      <w:keepLines/>
      <w:widowControl w:val="0"/>
      <w:tabs>
        <w:tab w:val="left" w:pos="0"/>
      </w:tabs>
      <w:overflowPunct/>
      <w:autoSpaceDE/>
      <w:autoSpaceDN/>
      <w:snapToGrid w:val="0"/>
      <w:spacing w:after="120"/>
      <w:ind w:left="0" w:right="108" w:firstLine="0"/>
      <w:textAlignment w:val="auto"/>
    </w:pPr>
    <w:rPr>
      <w:rFonts w:cs="宋体" w:asciiTheme="minorHAnsi" w:hAnsiTheme="minorHAnsi" w:eastAsiaTheme="minorEastAsia"/>
      <w:b/>
      <w:spacing w:val="0"/>
      <w:kern w:val="0"/>
      <w:lang w:val="en-US"/>
    </w:rPr>
  </w:style>
  <w:style w:type="character" w:customStyle="1" w:styleId="1232">
    <w:name w:val="textjianju2"/>
    <w:basedOn w:val="95"/>
    <w:qFormat/>
    <w:uiPriority w:val="0"/>
  </w:style>
  <w:style w:type="character" w:customStyle="1" w:styleId="1233">
    <w:name w:val="style91"/>
    <w:qFormat/>
    <w:uiPriority w:val="0"/>
    <w:rPr>
      <w:sz w:val="30"/>
      <w:szCs w:val="30"/>
    </w:rPr>
  </w:style>
  <w:style w:type="character" w:customStyle="1" w:styleId="1234">
    <w:name w:val="postbody1"/>
    <w:qFormat/>
    <w:uiPriority w:val="0"/>
    <w:rPr>
      <w:sz w:val="18"/>
      <w:szCs w:val="18"/>
    </w:rPr>
  </w:style>
  <w:style w:type="character" w:customStyle="1" w:styleId="1235">
    <w:name w:val="wz"/>
    <w:basedOn w:val="95"/>
    <w:qFormat/>
    <w:uiPriority w:val="0"/>
  </w:style>
  <w:style w:type="character" w:customStyle="1" w:styleId="1236">
    <w:name w:val="tpc_content"/>
    <w:basedOn w:val="95"/>
    <w:qFormat/>
    <w:uiPriority w:val="0"/>
  </w:style>
  <w:style w:type="character" w:customStyle="1" w:styleId="1237">
    <w:name w:val="正文小四 Char Char"/>
    <w:link w:val="1238"/>
    <w:qFormat/>
    <w:uiPriority w:val="0"/>
    <w:rPr>
      <w:sz w:val="24"/>
      <w:szCs w:val="24"/>
    </w:rPr>
  </w:style>
  <w:style w:type="paragraph" w:customStyle="1" w:styleId="1238">
    <w:name w:val="正文小四"/>
    <w:basedOn w:val="1"/>
    <w:link w:val="1237"/>
    <w:qFormat/>
    <w:uiPriority w:val="0"/>
    <w:pPr>
      <w:adjustRightInd w:val="0"/>
      <w:snapToGrid w:val="0"/>
      <w:spacing w:line="360" w:lineRule="auto"/>
      <w:ind w:firstLine="200" w:firstLineChars="200"/>
      <w:jc w:val="left"/>
    </w:pPr>
    <w:rPr>
      <w:rFonts w:asciiTheme="minorHAnsi" w:hAnsiTheme="minorHAnsi" w:eastAsiaTheme="minorEastAsia" w:cstheme="minorBidi"/>
      <w:kern w:val="0"/>
      <w:sz w:val="24"/>
    </w:rPr>
  </w:style>
  <w:style w:type="character" w:customStyle="1" w:styleId="1239">
    <w:name w:val="样式 宋体 加粗"/>
    <w:qFormat/>
    <w:uiPriority w:val="0"/>
    <w:rPr>
      <w:rFonts w:ascii="Times New Roman" w:hAnsi="Times New Roman"/>
      <w:bCs/>
      <w:sz w:val="28"/>
    </w:rPr>
  </w:style>
  <w:style w:type="character" w:customStyle="1" w:styleId="1240">
    <w:name w:val="批注主题 字符1"/>
    <w:qFormat/>
    <w:uiPriority w:val="0"/>
    <w:rPr>
      <w:b/>
      <w:bCs/>
      <w:szCs w:val="24"/>
    </w:rPr>
  </w:style>
  <w:style w:type="character" w:customStyle="1" w:styleId="1241">
    <w:name w:val="题注 Char Char Char Char Char Char Char1"/>
    <w:qFormat/>
    <w:uiPriority w:val="0"/>
    <w:rPr>
      <w:rFonts w:ascii="Arial" w:hAnsi="Arial" w:eastAsia="宋体" w:cs="Arial"/>
      <w:b/>
      <w:kern w:val="2"/>
      <w:sz w:val="24"/>
      <w:lang w:val="en-US" w:eastAsia="zh-CN" w:bidi="ar-SA"/>
    </w:rPr>
  </w:style>
  <w:style w:type="character" w:customStyle="1" w:styleId="1242">
    <w:name w:val="样式 样式 标题2 + Char Char"/>
    <w:link w:val="1243"/>
    <w:qFormat/>
    <w:uiPriority w:val="0"/>
    <w:rPr>
      <w:rFonts w:cs="宋体"/>
      <w:b/>
      <w:bCs/>
      <w:sz w:val="28"/>
    </w:rPr>
  </w:style>
  <w:style w:type="paragraph" w:customStyle="1" w:styleId="1243">
    <w:name w:val="样式 样式 标题2 +"/>
    <w:basedOn w:val="1"/>
    <w:link w:val="1242"/>
    <w:qFormat/>
    <w:uiPriority w:val="0"/>
    <w:pPr>
      <w:keepNext/>
      <w:keepLines/>
      <w:adjustRightInd w:val="0"/>
      <w:snapToGrid w:val="0"/>
      <w:spacing w:line="360" w:lineRule="auto"/>
      <w:ind w:hanging="420" w:firstLineChars="200"/>
      <w:jc w:val="left"/>
      <w:textAlignment w:val="baseline"/>
      <w:outlineLvl w:val="1"/>
    </w:pPr>
    <w:rPr>
      <w:rFonts w:cs="宋体" w:asciiTheme="minorHAnsi" w:hAnsiTheme="minorHAnsi" w:eastAsiaTheme="minorEastAsia"/>
      <w:b/>
      <w:bCs/>
      <w:kern w:val="0"/>
      <w:sz w:val="28"/>
      <w:szCs w:val="20"/>
    </w:rPr>
  </w:style>
  <w:style w:type="character" w:customStyle="1" w:styleId="1244">
    <w:name w:val="正文C1 Char Char"/>
    <w:link w:val="1245"/>
    <w:qFormat/>
    <w:uiPriority w:val="0"/>
    <w:rPr>
      <w:rFonts w:ascii="宋体"/>
      <w:sz w:val="24"/>
      <w:szCs w:val="28"/>
    </w:rPr>
  </w:style>
  <w:style w:type="paragraph" w:customStyle="1" w:styleId="1245">
    <w:name w:val="正文C1"/>
    <w:basedOn w:val="87"/>
    <w:link w:val="1244"/>
    <w:qFormat/>
    <w:uiPriority w:val="0"/>
    <w:pPr>
      <w:tabs>
        <w:tab w:val="left" w:pos="420"/>
        <w:tab w:val="left" w:pos="870"/>
        <w:tab w:val="left" w:pos="3150"/>
      </w:tabs>
      <w:autoSpaceDE w:val="0"/>
      <w:autoSpaceDN w:val="0"/>
      <w:adjustRightInd w:val="0"/>
      <w:snapToGrid w:val="0"/>
      <w:spacing w:after="0" w:line="336" w:lineRule="auto"/>
      <w:ind w:left="0" w:leftChars="0" w:firstLine="425" w:firstLineChars="177"/>
      <w:textAlignment w:val="baseline"/>
    </w:pPr>
    <w:rPr>
      <w:rFonts w:ascii="宋体" w:hAnsiTheme="minorHAnsi"/>
      <w:kern w:val="0"/>
      <w:sz w:val="24"/>
      <w:szCs w:val="28"/>
    </w:rPr>
  </w:style>
  <w:style w:type="paragraph" w:customStyle="1" w:styleId="1246">
    <w:name w:val="正文样式"/>
    <w:basedOn w:val="1"/>
    <w:qFormat/>
    <w:uiPriority w:val="0"/>
    <w:pPr>
      <w:adjustRightInd w:val="0"/>
      <w:snapToGrid w:val="0"/>
      <w:spacing w:line="460" w:lineRule="exact"/>
      <w:ind w:firstLine="200" w:firstLineChars="200"/>
    </w:pPr>
    <w:rPr>
      <w:rFonts w:ascii="宋体" w:hAnsi="宋体"/>
      <w:sz w:val="24"/>
    </w:rPr>
  </w:style>
  <w:style w:type="paragraph" w:customStyle="1" w:styleId="1247">
    <w:name w:val="环境影响报告书"/>
    <w:basedOn w:val="1"/>
    <w:next w:val="1"/>
    <w:uiPriority w:val="0"/>
    <w:pPr>
      <w:adjustRightInd w:val="0"/>
      <w:snapToGrid w:val="0"/>
      <w:spacing w:line="440" w:lineRule="exact"/>
      <w:ind w:firstLine="832" w:firstLineChars="200"/>
      <w:jc w:val="center"/>
    </w:pPr>
    <w:rPr>
      <w:rFonts w:eastAsia="黑体" w:cs="宋体"/>
      <w:b/>
      <w:bCs/>
      <w:spacing w:val="30"/>
      <w:sz w:val="52"/>
      <w:szCs w:val="20"/>
    </w:rPr>
  </w:style>
  <w:style w:type="paragraph" w:customStyle="1" w:styleId="1248">
    <w:name w:val="503定义表格内容格式"/>
    <w:basedOn w:val="1"/>
    <w:next w:val="1"/>
    <w:qFormat/>
    <w:uiPriority w:val="0"/>
    <w:pPr>
      <w:adjustRightInd w:val="0"/>
      <w:snapToGrid w:val="0"/>
      <w:spacing w:line="440" w:lineRule="exact"/>
      <w:ind w:firstLine="832" w:firstLineChars="200"/>
      <w:jc w:val="center"/>
    </w:pPr>
    <w:rPr>
      <w:sz w:val="24"/>
      <w:szCs w:val="21"/>
    </w:rPr>
  </w:style>
  <w:style w:type="paragraph" w:customStyle="1" w:styleId="1249">
    <w:name w:val="目录"/>
    <w:basedOn w:val="1"/>
    <w:next w:val="1"/>
    <w:qFormat/>
    <w:uiPriority w:val="0"/>
    <w:pPr>
      <w:adjustRightInd w:val="0"/>
      <w:snapToGrid w:val="0"/>
      <w:spacing w:before="240" w:after="240" w:line="312" w:lineRule="auto"/>
      <w:ind w:firstLine="832" w:firstLineChars="200"/>
      <w:jc w:val="center"/>
    </w:pPr>
    <w:rPr>
      <w:rFonts w:cs="宋体"/>
      <w:b/>
      <w:bCs/>
      <w:sz w:val="36"/>
      <w:szCs w:val="20"/>
    </w:rPr>
  </w:style>
  <w:style w:type="paragraph" w:customStyle="1" w:styleId="1250">
    <w:name w:val="样式35"/>
    <w:basedOn w:val="1"/>
    <w:uiPriority w:val="0"/>
    <w:pPr>
      <w:adjustRightInd w:val="0"/>
      <w:snapToGrid w:val="0"/>
      <w:spacing w:line="312" w:lineRule="auto"/>
      <w:ind w:firstLine="567" w:firstLineChars="200"/>
      <w:textAlignment w:val="baseline"/>
    </w:pPr>
    <w:rPr>
      <w:kern w:val="0"/>
      <w:sz w:val="28"/>
    </w:rPr>
  </w:style>
  <w:style w:type="paragraph" w:customStyle="1" w:styleId="1251">
    <w:name w:val="_Style 113"/>
    <w:basedOn w:val="1"/>
    <w:qFormat/>
    <w:uiPriority w:val="0"/>
    <w:pPr>
      <w:widowControl/>
      <w:adjustRightInd w:val="0"/>
      <w:snapToGrid w:val="0"/>
      <w:spacing w:after="160" w:line="240" w:lineRule="exact"/>
      <w:ind w:firstLine="832" w:firstLineChars="200"/>
      <w:jc w:val="left"/>
    </w:pPr>
    <w:rPr>
      <w:sz w:val="24"/>
    </w:rPr>
  </w:style>
  <w:style w:type="paragraph" w:customStyle="1" w:styleId="1252">
    <w:name w:val="黄小林正文"/>
    <w:qFormat/>
    <w:uiPriority w:val="0"/>
    <w:pPr>
      <w:ind w:firstLine="567"/>
    </w:pPr>
    <w:rPr>
      <w:rFonts w:ascii="Times New Roman" w:hAnsi="Times New Roman" w:eastAsia="宋体" w:cs="Times New Roman"/>
      <w:sz w:val="28"/>
      <w:lang w:val="en-US" w:eastAsia="zh-CN" w:bidi="ar-SA"/>
    </w:rPr>
  </w:style>
  <w:style w:type="paragraph" w:customStyle="1" w:styleId="1253">
    <w:name w:val="表格（5号）"/>
    <w:basedOn w:val="1"/>
    <w:uiPriority w:val="0"/>
    <w:pPr>
      <w:adjustRightInd w:val="0"/>
      <w:snapToGrid w:val="0"/>
      <w:spacing w:line="440" w:lineRule="exact"/>
      <w:ind w:firstLine="832" w:firstLineChars="200"/>
      <w:jc w:val="center"/>
    </w:pPr>
    <w:rPr>
      <w:sz w:val="18"/>
      <w:szCs w:val="18"/>
    </w:rPr>
  </w:style>
  <w:style w:type="paragraph" w:customStyle="1" w:styleId="1254">
    <w:name w:val="表内容"/>
    <w:basedOn w:val="1"/>
    <w:qFormat/>
    <w:uiPriority w:val="0"/>
    <w:pPr>
      <w:adjustRightInd w:val="0"/>
      <w:snapToGrid w:val="0"/>
      <w:spacing w:line="440" w:lineRule="exact"/>
      <w:ind w:firstLine="832" w:firstLineChars="200"/>
      <w:jc w:val="center"/>
    </w:pPr>
    <w:rPr>
      <w:sz w:val="24"/>
      <w:szCs w:val="21"/>
    </w:rPr>
  </w:style>
  <w:style w:type="paragraph" w:customStyle="1" w:styleId="1255">
    <w:name w:val="样式17"/>
    <w:basedOn w:val="1"/>
    <w:qFormat/>
    <w:uiPriority w:val="0"/>
    <w:pPr>
      <w:adjustRightInd w:val="0"/>
      <w:snapToGrid w:val="0"/>
      <w:spacing w:line="440" w:lineRule="exact"/>
      <w:ind w:firstLine="480" w:firstLineChars="200"/>
    </w:pPr>
    <w:rPr>
      <w:rFonts w:ascii="Arial" w:hAnsi="Arial" w:cs="Arial"/>
      <w:color w:val="000000"/>
      <w:sz w:val="24"/>
    </w:rPr>
  </w:style>
  <w:style w:type="paragraph" w:customStyle="1" w:styleId="1256">
    <w:name w:val="标书正文"/>
    <w:basedOn w:val="1"/>
    <w:uiPriority w:val="0"/>
    <w:pPr>
      <w:adjustRightInd w:val="0"/>
      <w:snapToGrid w:val="0"/>
      <w:spacing w:line="520" w:lineRule="exact"/>
      <w:ind w:firstLine="567" w:firstLineChars="200"/>
    </w:pPr>
    <w:rPr>
      <w:rFonts w:ascii="宋体" w:hAnsi="Courier New"/>
      <w:sz w:val="28"/>
      <w:szCs w:val="20"/>
    </w:rPr>
  </w:style>
  <w:style w:type="paragraph" w:customStyle="1" w:styleId="1257">
    <w:name w:val="p17"/>
    <w:basedOn w:val="1"/>
    <w:qFormat/>
    <w:uiPriority w:val="0"/>
    <w:pPr>
      <w:widowControl/>
      <w:adjustRightInd w:val="0"/>
      <w:snapToGrid w:val="0"/>
      <w:spacing w:before="60" w:line="460" w:lineRule="atLeast"/>
      <w:ind w:firstLine="420" w:firstLineChars="200"/>
    </w:pPr>
    <w:rPr>
      <w:rFonts w:ascii="宋体" w:hAnsi="宋体" w:cs="宋体"/>
      <w:kern w:val="0"/>
      <w:sz w:val="24"/>
    </w:rPr>
  </w:style>
  <w:style w:type="paragraph" w:customStyle="1" w:styleId="1258">
    <w:name w:val="首行缩进11 Char"/>
    <w:basedOn w:val="1"/>
    <w:qFormat/>
    <w:uiPriority w:val="0"/>
    <w:pPr>
      <w:adjustRightInd w:val="0"/>
      <w:snapToGrid w:val="0"/>
      <w:spacing w:line="360" w:lineRule="auto"/>
      <w:ind w:firstLine="480" w:firstLineChars="200"/>
    </w:pPr>
    <w:rPr>
      <w:rFonts w:cs="宋体"/>
      <w:kern w:val="0"/>
      <w:sz w:val="24"/>
    </w:rPr>
  </w:style>
  <w:style w:type="paragraph" w:customStyle="1" w:styleId="1259">
    <w:name w:val="表格字"/>
    <w:basedOn w:val="1"/>
    <w:uiPriority w:val="0"/>
    <w:pPr>
      <w:tabs>
        <w:tab w:val="left" w:pos="0"/>
      </w:tabs>
      <w:suppressAutoHyphens/>
      <w:autoSpaceDE w:val="0"/>
      <w:adjustRightInd w:val="0"/>
      <w:snapToGrid w:val="0"/>
      <w:spacing w:line="540" w:lineRule="exact"/>
      <w:ind w:firstLine="832" w:firstLineChars="200"/>
      <w:jc w:val="center"/>
    </w:pPr>
    <w:rPr>
      <w:rFonts w:ascii="宋体" w:hAnsi="宋体"/>
      <w:bCs/>
      <w:color w:val="000000"/>
      <w:sz w:val="24"/>
    </w:rPr>
  </w:style>
  <w:style w:type="paragraph" w:customStyle="1" w:styleId="1260">
    <w:name w:val="标题04"/>
    <w:basedOn w:val="45"/>
    <w:next w:val="52"/>
    <w:qFormat/>
    <w:uiPriority w:val="0"/>
    <w:pPr>
      <w:widowControl w:val="0"/>
      <w:adjustRightInd w:val="0"/>
      <w:snapToGrid w:val="0"/>
      <w:spacing w:line="460" w:lineRule="exact"/>
      <w:ind w:firstLine="832"/>
      <w:jc w:val="left"/>
    </w:pPr>
    <w:rPr>
      <w:rFonts w:ascii="Times New Roman" w:hAnsi="Times New Roman"/>
      <w:szCs w:val="24"/>
    </w:rPr>
  </w:style>
  <w:style w:type="paragraph" w:customStyle="1" w:styleId="1261">
    <w:name w:val="pic-info"/>
    <w:basedOn w:val="1"/>
    <w:qFormat/>
    <w:uiPriority w:val="0"/>
    <w:pPr>
      <w:widowControl/>
      <w:adjustRightInd w:val="0"/>
      <w:snapToGrid w:val="0"/>
      <w:spacing w:before="100" w:beforeAutospacing="1" w:after="100" w:afterAutospacing="1" w:line="440" w:lineRule="exact"/>
      <w:ind w:firstLine="832" w:firstLineChars="200"/>
      <w:jc w:val="left"/>
    </w:pPr>
    <w:rPr>
      <w:rFonts w:ascii="宋体" w:hAnsi="宋体" w:cs="宋体"/>
      <w:kern w:val="0"/>
      <w:sz w:val="24"/>
    </w:rPr>
  </w:style>
  <w:style w:type="paragraph" w:customStyle="1" w:styleId="1262">
    <w:name w:val="样式 正文首行缩进 + 宋体"/>
    <w:basedOn w:val="86"/>
    <w:qFormat/>
    <w:uiPriority w:val="0"/>
    <w:pPr>
      <w:topLinePunct/>
      <w:adjustRightInd w:val="0"/>
      <w:snapToGrid w:val="0"/>
      <w:spacing w:after="0" w:line="360" w:lineRule="auto"/>
      <w:ind w:firstLine="480" w:firstLineChars="0"/>
      <w:textAlignment w:val="baseline"/>
    </w:pPr>
    <w:rPr>
      <w:kern w:val="0"/>
      <w:sz w:val="24"/>
    </w:rPr>
  </w:style>
  <w:style w:type="paragraph" w:customStyle="1" w:styleId="1263">
    <w:name w:val="char"/>
    <w:basedOn w:val="1"/>
    <w:qFormat/>
    <w:uiPriority w:val="0"/>
    <w:pPr>
      <w:widowControl/>
      <w:adjustRightInd w:val="0"/>
      <w:snapToGrid w:val="0"/>
      <w:spacing w:after="160" w:line="240" w:lineRule="exact"/>
      <w:ind w:firstLine="832" w:firstLineChars="200"/>
      <w:jc w:val="left"/>
    </w:pPr>
    <w:rPr>
      <w:rFonts w:ascii="Verdana" w:hAnsi="Verdana" w:eastAsia="仿宋_GB2312" w:cs="”“Times New Roman”“"/>
      <w:kern w:val="0"/>
      <w:sz w:val="24"/>
      <w:szCs w:val="20"/>
      <w:lang w:eastAsia="en-US"/>
    </w:rPr>
  </w:style>
  <w:style w:type="paragraph" w:customStyle="1" w:styleId="1264">
    <w:name w:val="样式 样式 宋体 四号 黑色 行距: 1.5 倍行距 + 首行缩进:  2 字符"/>
    <w:basedOn w:val="1"/>
    <w:qFormat/>
    <w:uiPriority w:val="0"/>
    <w:pPr>
      <w:adjustRightInd w:val="0"/>
      <w:snapToGrid w:val="0"/>
      <w:spacing w:line="360" w:lineRule="auto"/>
      <w:ind w:firstLine="560" w:firstLineChars="200"/>
    </w:pPr>
    <w:rPr>
      <w:rFonts w:hAnsi="宋体"/>
      <w:bCs/>
      <w:kern w:val="0"/>
      <w:sz w:val="28"/>
      <w:szCs w:val="28"/>
    </w:rPr>
  </w:style>
  <w:style w:type="paragraph" w:customStyle="1" w:styleId="1265">
    <w:name w:val="环科院名称"/>
    <w:basedOn w:val="1"/>
    <w:qFormat/>
    <w:uiPriority w:val="0"/>
    <w:pPr>
      <w:adjustRightInd w:val="0"/>
      <w:snapToGrid w:val="0"/>
      <w:spacing w:line="440" w:lineRule="exact"/>
      <w:ind w:left="-7" w:leftChars="-10" w:hanging="14" w:hangingChars="4"/>
      <w:jc w:val="center"/>
    </w:pPr>
    <w:rPr>
      <w:rFonts w:ascii="楷体_GB2312" w:hAnsi="华文楷体" w:eastAsia="楷体_GB2312" w:cs="宋体"/>
      <w:b/>
      <w:bCs/>
      <w:spacing w:val="20"/>
      <w:sz w:val="32"/>
      <w:szCs w:val="20"/>
    </w:rPr>
  </w:style>
  <w:style w:type="paragraph" w:customStyle="1" w:styleId="1266">
    <w:name w:val="YY"/>
    <w:basedOn w:val="1"/>
    <w:qFormat/>
    <w:uiPriority w:val="0"/>
    <w:pPr>
      <w:adjustRightInd w:val="0"/>
      <w:snapToGrid w:val="0"/>
      <w:spacing w:line="360" w:lineRule="auto"/>
      <w:ind w:firstLine="200" w:firstLineChars="200"/>
    </w:pPr>
    <w:rPr>
      <w:sz w:val="24"/>
    </w:rPr>
  </w:style>
  <w:style w:type="paragraph" w:customStyle="1" w:styleId="1267">
    <w:name w:val="正文001 Char Char"/>
    <w:basedOn w:val="1"/>
    <w:qFormat/>
    <w:uiPriority w:val="0"/>
    <w:pPr>
      <w:adjustRightInd w:val="0"/>
      <w:snapToGrid w:val="0"/>
      <w:spacing w:before="60" w:line="420" w:lineRule="exact"/>
      <w:ind w:firstLine="482" w:firstLineChars="200"/>
    </w:pPr>
    <w:rPr>
      <w:sz w:val="24"/>
      <w:szCs w:val="20"/>
    </w:rPr>
  </w:style>
  <w:style w:type="paragraph" w:customStyle="1" w:styleId="1268">
    <w:name w:val="封面工程项目名称"/>
    <w:basedOn w:val="1"/>
    <w:uiPriority w:val="0"/>
    <w:pPr>
      <w:adjustRightInd w:val="0"/>
      <w:snapToGrid w:val="0"/>
      <w:spacing w:line="360" w:lineRule="auto"/>
      <w:ind w:firstLine="832" w:firstLineChars="200"/>
      <w:jc w:val="center"/>
    </w:pPr>
    <w:rPr>
      <w:rFonts w:eastAsia="楷体_GB2312" w:cs="宋体"/>
      <w:b/>
      <w:bCs/>
      <w:spacing w:val="24"/>
      <w:sz w:val="52"/>
      <w:szCs w:val="20"/>
    </w:rPr>
  </w:style>
  <w:style w:type="paragraph" w:customStyle="1" w:styleId="1269">
    <w:name w:val="编号1）2）"/>
    <w:basedOn w:val="1"/>
    <w:qFormat/>
    <w:uiPriority w:val="0"/>
    <w:pPr>
      <w:tabs>
        <w:tab w:val="left" w:pos="851"/>
      </w:tabs>
      <w:adjustRightInd w:val="0"/>
      <w:snapToGrid w:val="0"/>
      <w:spacing w:line="520" w:lineRule="exact"/>
      <w:ind w:firstLine="200" w:firstLineChars="200"/>
    </w:pPr>
    <w:rPr>
      <w:rFonts w:ascii="宋体" w:hAnsi="Courier New"/>
      <w:sz w:val="28"/>
      <w:szCs w:val="28"/>
    </w:rPr>
  </w:style>
  <w:style w:type="paragraph" w:customStyle="1" w:styleId="1270">
    <w:name w:val="样式 四号 行距: 1.5 倍行距 首行缩进:  2 字符"/>
    <w:basedOn w:val="1"/>
    <w:qFormat/>
    <w:uiPriority w:val="0"/>
    <w:pPr>
      <w:adjustRightInd w:val="0"/>
      <w:snapToGrid w:val="0"/>
      <w:spacing w:line="360" w:lineRule="auto"/>
      <w:ind w:firstLine="560" w:firstLineChars="200"/>
    </w:pPr>
    <w:rPr>
      <w:color w:val="000000"/>
      <w:sz w:val="28"/>
      <w:szCs w:val="28"/>
    </w:rPr>
  </w:style>
  <w:style w:type="paragraph" w:customStyle="1" w:styleId="1271">
    <w:name w:val="p18"/>
    <w:basedOn w:val="1"/>
    <w:qFormat/>
    <w:uiPriority w:val="0"/>
    <w:pPr>
      <w:widowControl/>
      <w:adjustRightInd w:val="0"/>
      <w:snapToGrid w:val="0"/>
      <w:spacing w:before="400" w:line="460" w:lineRule="atLeast"/>
      <w:ind w:firstLine="420" w:firstLineChars="200"/>
    </w:pPr>
    <w:rPr>
      <w:kern w:val="0"/>
      <w:sz w:val="24"/>
    </w:rPr>
  </w:style>
  <w:style w:type="paragraph" w:customStyle="1" w:styleId="1272">
    <w:name w:val="样式 标题 3 + 小四 加粗 自动设置"/>
    <w:basedOn w:val="5"/>
    <w:qFormat/>
    <w:uiPriority w:val="0"/>
    <w:pPr>
      <w:widowControl w:val="0"/>
      <w:tabs>
        <w:tab w:val="left" w:pos="0"/>
      </w:tabs>
      <w:overflowPunct/>
      <w:autoSpaceDE/>
      <w:autoSpaceDN/>
      <w:snapToGrid w:val="0"/>
      <w:spacing w:before="0" w:line="360" w:lineRule="auto"/>
      <w:ind w:left="0" w:firstLine="0"/>
      <w:textAlignment w:val="auto"/>
    </w:pPr>
    <w:rPr>
      <w:rFonts w:ascii="Times New Roman" w:hAnsi="Times New Roman"/>
      <w:b/>
      <w:bCs/>
      <w:color w:val="auto"/>
      <w:spacing w:val="0"/>
      <w:kern w:val="2"/>
      <w:sz w:val="24"/>
      <w:szCs w:val="28"/>
      <w:lang w:val="en-US"/>
    </w:rPr>
  </w:style>
  <w:style w:type="paragraph" w:customStyle="1" w:styleId="1273">
    <w:name w:val="框图文字"/>
    <w:basedOn w:val="1"/>
    <w:qFormat/>
    <w:uiPriority w:val="0"/>
    <w:pPr>
      <w:adjustRightInd w:val="0"/>
      <w:snapToGrid w:val="0"/>
      <w:spacing w:before="31" w:line="240" w:lineRule="exact"/>
      <w:ind w:firstLine="832" w:firstLineChars="200"/>
      <w:jc w:val="center"/>
    </w:pPr>
    <w:rPr>
      <w:spacing w:val="20"/>
      <w:sz w:val="24"/>
      <w:szCs w:val="20"/>
    </w:rPr>
  </w:style>
  <w:style w:type="paragraph" w:customStyle="1" w:styleId="1274">
    <w:name w:val="样式 标题 2标题 2 Char + (西文) Times New Roman (中文) 宋体 四号 段前: 9 磅 ..."/>
    <w:basedOn w:val="4"/>
    <w:qFormat/>
    <w:uiPriority w:val="0"/>
    <w:pPr>
      <w:tabs>
        <w:tab w:val="left" w:pos="2250"/>
      </w:tabs>
      <w:adjustRightInd w:val="0"/>
      <w:snapToGrid w:val="0"/>
      <w:spacing w:before="100" w:beforeAutospacing="1" w:after="10" w:line="360" w:lineRule="auto"/>
      <w:ind w:left="567"/>
      <w:jc w:val="left"/>
    </w:pPr>
    <w:rPr>
      <w:rFonts w:ascii="Times New Roman" w:hAnsi="Times New Roman" w:eastAsia="黑体"/>
      <w:b w:val="0"/>
      <w:bCs w:val="0"/>
      <w:color w:val="000000"/>
      <w:szCs w:val="24"/>
    </w:rPr>
  </w:style>
  <w:style w:type="paragraph" w:customStyle="1" w:styleId="1275">
    <w:name w:val="样式 首行缩进:  2 字符1"/>
    <w:basedOn w:val="1"/>
    <w:qFormat/>
    <w:uiPriority w:val="0"/>
    <w:pPr>
      <w:adjustRightInd w:val="0"/>
      <w:snapToGrid w:val="0"/>
      <w:spacing w:line="460" w:lineRule="exact"/>
      <w:ind w:firstLine="520" w:firstLineChars="200"/>
    </w:pPr>
    <w:rPr>
      <w:rFonts w:cs="宋体"/>
      <w:sz w:val="26"/>
      <w:szCs w:val="20"/>
    </w:rPr>
  </w:style>
  <w:style w:type="paragraph" w:customStyle="1" w:styleId="1276">
    <w:name w:val="xl35"/>
    <w:basedOn w:val="1"/>
    <w:qFormat/>
    <w:uiPriority w:val="0"/>
    <w:pPr>
      <w:widowControl/>
      <w:pBdr>
        <w:top w:val="single" w:color="auto" w:sz="4" w:space="0"/>
        <w:left w:val="single" w:color="auto" w:sz="4" w:space="0"/>
        <w:right w:val="single" w:color="auto" w:sz="4" w:space="0"/>
      </w:pBdr>
      <w:adjustRightInd w:val="0"/>
      <w:snapToGrid w:val="0"/>
      <w:spacing w:before="100" w:beforeAutospacing="1" w:after="100" w:afterAutospacing="1" w:line="440" w:lineRule="exact"/>
      <w:ind w:firstLine="832" w:firstLineChars="200"/>
      <w:jc w:val="center"/>
      <w:textAlignment w:val="center"/>
    </w:pPr>
    <w:rPr>
      <w:rFonts w:ascii="Arial Unicode MS" w:hAnsi="Arial Unicode MS" w:eastAsia="Arial Unicode MS" w:cs="Arial Unicode MS"/>
      <w:kern w:val="0"/>
      <w:sz w:val="24"/>
    </w:rPr>
  </w:style>
  <w:style w:type="paragraph" w:customStyle="1" w:styleId="1277">
    <w:name w:val="Char Char3 Char Char"/>
    <w:basedOn w:val="1"/>
    <w:qFormat/>
    <w:uiPriority w:val="0"/>
    <w:pPr>
      <w:jc w:val="center"/>
    </w:pPr>
    <w:rPr>
      <w:rFonts w:eastAsia="仿宋_GB2312"/>
      <w:sz w:val="28"/>
      <w:szCs w:val="20"/>
    </w:rPr>
  </w:style>
  <w:style w:type="paragraph" w:customStyle="1" w:styleId="1278">
    <w:name w:val="样式 左 首行缩进:  1.01 厘米"/>
    <w:basedOn w:val="1"/>
    <w:qFormat/>
    <w:uiPriority w:val="0"/>
    <w:pPr>
      <w:adjustRightInd w:val="0"/>
      <w:snapToGrid w:val="0"/>
      <w:spacing w:line="460" w:lineRule="exact"/>
      <w:ind w:firstLine="200" w:firstLineChars="200"/>
    </w:pPr>
    <w:rPr>
      <w:rFonts w:cs="宋体"/>
      <w:sz w:val="26"/>
      <w:szCs w:val="26"/>
    </w:rPr>
  </w:style>
  <w:style w:type="paragraph" w:customStyle="1" w:styleId="1279">
    <w:name w:val="Char Char29"/>
    <w:basedOn w:val="1"/>
    <w:qFormat/>
    <w:uiPriority w:val="0"/>
    <w:pPr>
      <w:adjustRightInd w:val="0"/>
      <w:snapToGrid w:val="0"/>
      <w:spacing w:line="440" w:lineRule="exact"/>
      <w:ind w:firstLine="832" w:firstLineChars="200"/>
      <w:jc w:val="center"/>
    </w:pPr>
    <w:rPr>
      <w:sz w:val="24"/>
    </w:rPr>
  </w:style>
  <w:style w:type="paragraph" w:customStyle="1" w:styleId="1280">
    <w:name w:val="标准样式"/>
    <w:uiPriority w:val="0"/>
    <w:pPr>
      <w:widowControl w:val="0"/>
      <w:spacing w:line="600" w:lineRule="exact"/>
      <w:ind w:firstLine="200" w:firstLineChars="200"/>
      <w:jc w:val="both"/>
    </w:pPr>
    <w:rPr>
      <w:rFonts w:ascii="Times New Roman" w:hAnsi="Times New Roman" w:eastAsia="宋体" w:cs="Times New Roman"/>
      <w:sz w:val="28"/>
      <w:lang w:val="en-US" w:eastAsia="zh-CN" w:bidi="ar-SA"/>
    </w:rPr>
  </w:style>
  <w:style w:type="paragraph" w:customStyle="1" w:styleId="1281">
    <w:name w:val="样式 左  0 字符"/>
    <w:basedOn w:val="1"/>
    <w:qFormat/>
    <w:uiPriority w:val="0"/>
    <w:pPr>
      <w:adjustRightInd w:val="0"/>
      <w:snapToGrid w:val="0"/>
      <w:spacing w:line="600" w:lineRule="exact"/>
      <w:ind w:firstLine="200" w:firstLineChars="200"/>
    </w:pPr>
    <w:rPr>
      <w:rFonts w:cs="宋体"/>
      <w:sz w:val="24"/>
      <w:szCs w:val="20"/>
    </w:rPr>
  </w:style>
  <w:style w:type="paragraph" w:customStyle="1" w:styleId="1282">
    <w:name w:val="Char1 Char Char Char1 Char Char Char Char Char Char Char Char Char Char Char Char"/>
    <w:basedOn w:val="1"/>
    <w:next w:val="1"/>
    <w:qFormat/>
    <w:uiPriority w:val="0"/>
    <w:pPr>
      <w:adjustRightInd w:val="0"/>
      <w:snapToGrid w:val="0"/>
      <w:spacing w:line="440" w:lineRule="exact"/>
      <w:ind w:firstLine="832" w:firstLineChars="200"/>
    </w:pPr>
    <w:rPr>
      <w:sz w:val="24"/>
    </w:rPr>
  </w:style>
  <w:style w:type="paragraph" w:customStyle="1" w:styleId="1283">
    <w:name w:val="表格内容刷！"/>
    <w:basedOn w:val="1"/>
    <w:qFormat/>
    <w:uiPriority w:val="0"/>
    <w:pPr>
      <w:adjustRightInd w:val="0"/>
      <w:snapToGrid w:val="0"/>
      <w:spacing w:line="440" w:lineRule="exact"/>
      <w:ind w:firstLine="832" w:firstLineChars="200"/>
      <w:jc w:val="center"/>
    </w:pPr>
    <w:rPr>
      <w:rFonts w:eastAsia="仿宋_GB2312"/>
      <w:kern w:val="0"/>
      <w:sz w:val="24"/>
      <w:szCs w:val="21"/>
    </w:rPr>
  </w:style>
  <w:style w:type="paragraph" w:customStyle="1" w:styleId="1284">
    <w:name w:val="样式 表格正文 + 段前: 20 磅"/>
    <w:basedOn w:val="1"/>
    <w:qFormat/>
    <w:uiPriority w:val="0"/>
    <w:pPr>
      <w:adjustRightInd w:val="0"/>
      <w:snapToGrid w:val="0"/>
      <w:spacing w:line="360" w:lineRule="exact"/>
      <w:ind w:firstLine="832" w:firstLineChars="200"/>
      <w:jc w:val="center"/>
    </w:pPr>
    <w:rPr>
      <w:sz w:val="24"/>
    </w:rPr>
  </w:style>
  <w:style w:type="paragraph" w:customStyle="1" w:styleId="1285">
    <w:name w:val="正文文本首行缩进1"/>
    <w:basedOn w:val="34"/>
    <w:qFormat/>
    <w:uiPriority w:val="0"/>
    <w:pPr>
      <w:widowControl w:val="0"/>
      <w:adjustRightInd w:val="0"/>
      <w:spacing w:before="0" w:after="120" w:line="312" w:lineRule="atLeast"/>
      <w:ind w:right="0" w:firstLine="420" w:firstLineChars="200"/>
      <w:textAlignment w:val="baseline"/>
    </w:pPr>
    <w:rPr>
      <w:sz w:val="27"/>
    </w:rPr>
  </w:style>
  <w:style w:type="paragraph" w:customStyle="1" w:styleId="1286">
    <w:name w:val="四号 首行缩进:  2 字符"/>
    <w:basedOn w:val="1"/>
    <w:uiPriority w:val="0"/>
    <w:pPr>
      <w:adjustRightInd w:val="0"/>
      <w:snapToGrid w:val="0"/>
      <w:spacing w:line="500" w:lineRule="exact"/>
      <w:ind w:firstLine="832" w:firstLineChars="200"/>
    </w:pPr>
    <w:rPr>
      <w:rFonts w:hAnsi="宋体" w:cs="宋体"/>
      <w:b/>
      <w:sz w:val="24"/>
    </w:rPr>
  </w:style>
  <w:style w:type="paragraph" w:customStyle="1" w:styleId="1287">
    <w:name w:val="lzl"/>
    <w:basedOn w:val="63"/>
    <w:qFormat/>
    <w:uiPriority w:val="0"/>
    <w:pPr>
      <w:adjustRightInd w:val="0"/>
      <w:snapToGrid w:val="0"/>
      <w:spacing w:line="440" w:lineRule="exact"/>
      <w:ind w:firstLine="832" w:firstLineChars="200"/>
    </w:pPr>
  </w:style>
  <w:style w:type="paragraph" w:customStyle="1" w:styleId="1288">
    <w:name w:val="样式 首行缩进:  2 字符"/>
    <w:basedOn w:val="1"/>
    <w:qFormat/>
    <w:uiPriority w:val="0"/>
    <w:pPr>
      <w:adjustRightInd w:val="0"/>
      <w:snapToGrid w:val="0"/>
      <w:spacing w:line="360" w:lineRule="auto"/>
      <w:ind w:firstLine="200" w:firstLineChars="200"/>
    </w:pPr>
    <w:rPr>
      <w:rFonts w:cs="宋体"/>
      <w:sz w:val="24"/>
      <w:szCs w:val="20"/>
    </w:rPr>
  </w:style>
  <w:style w:type="paragraph" w:customStyle="1" w:styleId="1289">
    <w:name w:val="xl45"/>
    <w:basedOn w:val="1"/>
    <w:qFormat/>
    <w:uiPriority w:val="0"/>
    <w:pPr>
      <w:widowControl/>
      <w:pBdr>
        <w:top w:val="single" w:color="auto" w:sz="4" w:space="0"/>
        <w:left w:val="single" w:color="auto" w:sz="8" w:space="0"/>
        <w:bottom w:val="single" w:color="auto" w:sz="4" w:space="0"/>
        <w:right w:val="single" w:color="auto" w:sz="4" w:space="0"/>
      </w:pBdr>
      <w:adjustRightInd w:val="0"/>
      <w:snapToGrid w:val="0"/>
      <w:spacing w:before="100" w:beforeAutospacing="1" w:after="100" w:afterAutospacing="1" w:line="440" w:lineRule="exact"/>
      <w:ind w:firstLine="832" w:firstLineChars="200"/>
      <w:jc w:val="left"/>
    </w:pPr>
    <w:rPr>
      <w:rFonts w:ascii="Arial Unicode MS" w:hAnsi="Arial Unicode MS" w:eastAsia="Arial Unicode MS" w:cs="Arial Unicode MS"/>
      <w:color w:val="000000"/>
      <w:kern w:val="0"/>
      <w:sz w:val="22"/>
      <w:szCs w:val="22"/>
    </w:rPr>
  </w:style>
  <w:style w:type="paragraph" w:customStyle="1" w:styleId="1290">
    <w:name w:val="环科院英文名称"/>
    <w:basedOn w:val="1"/>
    <w:qFormat/>
    <w:uiPriority w:val="0"/>
    <w:pPr>
      <w:pBdr>
        <w:top w:val="single" w:color="auto" w:sz="4" w:space="1"/>
        <w:between w:val="single" w:color="auto" w:sz="4" w:space="1"/>
      </w:pBdr>
      <w:adjustRightInd w:val="0"/>
      <w:snapToGrid w:val="0"/>
      <w:spacing w:line="440" w:lineRule="exact"/>
      <w:ind w:firstLine="21" w:firstLineChars="10"/>
      <w:jc w:val="center"/>
    </w:pPr>
    <w:rPr>
      <w:rFonts w:cs="宋体"/>
      <w:sz w:val="24"/>
      <w:szCs w:val="20"/>
    </w:rPr>
  </w:style>
  <w:style w:type="paragraph" w:customStyle="1" w:styleId="1291">
    <w:name w:val="目录1"/>
    <w:basedOn w:val="1"/>
    <w:qFormat/>
    <w:uiPriority w:val="0"/>
    <w:pPr>
      <w:adjustRightInd w:val="0"/>
      <w:snapToGrid w:val="0"/>
      <w:spacing w:line="400" w:lineRule="exact"/>
      <w:ind w:firstLine="832" w:firstLineChars="200"/>
      <w:jc w:val="center"/>
    </w:pPr>
    <w:rPr>
      <w:rFonts w:ascii="宋体" w:hAnsi="Courier New"/>
      <w:sz w:val="28"/>
      <w:szCs w:val="20"/>
    </w:rPr>
  </w:style>
  <w:style w:type="paragraph" w:customStyle="1" w:styleId="1292">
    <w:name w:val="MTDisplayEquation"/>
    <w:basedOn w:val="1"/>
    <w:next w:val="1"/>
    <w:qFormat/>
    <w:uiPriority w:val="0"/>
    <w:pPr>
      <w:tabs>
        <w:tab w:val="center" w:pos="4160"/>
        <w:tab w:val="right" w:pos="8320"/>
      </w:tabs>
      <w:adjustRightInd w:val="0"/>
      <w:snapToGrid w:val="0"/>
      <w:spacing w:line="440" w:lineRule="exact"/>
      <w:ind w:firstLine="832" w:firstLineChars="200"/>
      <w:jc w:val="center"/>
    </w:pPr>
    <w:rPr>
      <w:rFonts w:eastAsia="仿宋_GB2312"/>
      <w:sz w:val="28"/>
    </w:rPr>
  </w:style>
  <w:style w:type="paragraph" w:customStyle="1" w:styleId="1293">
    <w:name w:val="内容"/>
    <w:basedOn w:val="1"/>
    <w:qFormat/>
    <w:uiPriority w:val="0"/>
    <w:pPr>
      <w:adjustRightInd w:val="0"/>
      <w:snapToGrid w:val="0"/>
      <w:spacing w:line="336" w:lineRule="auto"/>
      <w:ind w:firstLine="200" w:firstLineChars="200"/>
    </w:pPr>
    <w:rPr>
      <w:rFonts w:ascii="宋体" w:hAnsi="宋体"/>
      <w:spacing w:val="6"/>
      <w:sz w:val="28"/>
    </w:rPr>
  </w:style>
  <w:style w:type="paragraph" w:customStyle="1" w:styleId="1294">
    <w:name w:val="中文排版"/>
    <w:basedOn w:val="86"/>
    <w:uiPriority w:val="0"/>
    <w:pPr>
      <w:adjustRightInd w:val="0"/>
      <w:snapToGrid w:val="0"/>
      <w:spacing w:after="0" w:line="440" w:lineRule="atLeast"/>
      <w:ind w:firstLine="635" w:firstLineChars="0"/>
      <w:textAlignment w:val="baseline"/>
    </w:pPr>
    <w:rPr>
      <w:rFonts w:ascii="文鼎书宋简" w:hAnsi="Courier New" w:eastAsia="文鼎书宋简"/>
      <w:snapToGrid w:val="0"/>
      <w:spacing w:val="12"/>
      <w:kern w:val="0"/>
      <w:sz w:val="24"/>
      <w:szCs w:val="20"/>
    </w:rPr>
  </w:style>
  <w:style w:type="paragraph" w:customStyle="1" w:styleId="1295">
    <w:name w:val="内表头"/>
    <w:basedOn w:val="1"/>
    <w:qFormat/>
    <w:uiPriority w:val="0"/>
    <w:pPr>
      <w:adjustRightInd w:val="0"/>
      <w:snapToGrid w:val="0"/>
      <w:spacing w:line="440" w:lineRule="exact"/>
      <w:ind w:firstLine="832" w:firstLineChars="200"/>
      <w:jc w:val="center"/>
    </w:pPr>
    <w:rPr>
      <w:rFonts w:eastAsia="黑体" w:cs="Arial"/>
      <w:sz w:val="20"/>
    </w:rPr>
  </w:style>
  <w:style w:type="paragraph" w:customStyle="1" w:styleId="1296">
    <w:name w:val="标书标题"/>
    <w:basedOn w:val="1"/>
    <w:qFormat/>
    <w:uiPriority w:val="0"/>
    <w:pPr>
      <w:adjustRightInd w:val="0"/>
      <w:snapToGrid w:val="0"/>
      <w:spacing w:line="520" w:lineRule="exact"/>
      <w:ind w:firstLine="832" w:firstLineChars="200"/>
    </w:pPr>
    <w:rPr>
      <w:rFonts w:ascii="宋体" w:hAnsi="Courier New"/>
      <w:b/>
      <w:sz w:val="28"/>
      <w:szCs w:val="20"/>
    </w:rPr>
  </w:style>
  <w:style w:type="paragraph" w:customStyle="1" w:styleId="1297">
    <w:name w:val="样式 四号"/>
    <w:basedOn w:val="1"/>
    <w:next w:val="1"/>
    <w:qFormat/>
    <w:uiPriority w:val="0"/>
    <w:pPr>
      <w:adjustRightInd w:val="0"/>
      <w:snapToGrid w:val="0"/>
      <w:spacing w:line="360" w:lineRule="auto"/>
      <w:ind w:firstLine="560" w:firstLineChars="200"/>
    </w:pPr>
    <w:rPr>
      <w:sz w:val="24"/>
    </w:rPr>
  </w:style>
  <w:style w:type="paragraph" w:customStyle="1" w:styleId="1298">
    <w:name w:val="表格表头"/>
    <w:basedOn w:val="1"/>
    <w:qFormat/>
    <w:uiPriority w:val="0"/>
    <w:pPr>
      <w:adjustRightInd w:val="0"/>
      <w:snapToGrid w:val="0"/>
      <w:spacing w:beforeLines="40" w:line="440" w:lineRule="exact"/>
      <w:ind w:firstLine="832" w:firstLineChars="200"/>
      <w:jc w:val="center"/>
      <w:outlineLvl w:val="5"/>
    </w:pPr>
    <w:rPr>
      <w:rFonts w:ascii="黑体" w:hAnsi="宋体" w:eastAsia="黑体"/>
      <w:bCs/>
      <w:sz w:val="24"/>
    </w:rPr>
  </w:style>
  <w:style w:type="paragraph" w:customStyle="1" w:styleId="1299">
    <w:name w:val="项"/>
    <w:basedOn w:val="1"/>
    <w:qFormat/>
    <w:uiPriority w:val="0"/>
    <w:pPr>
      <w:adjustRightInd w:val="0"/>
      <w:snapToGrid w:val="0"/>
      <w:spacing w:line="520" w:lineRule="exact"/>
      <w:ind w:left="425" w:hanging="425" w:firstLineChars="200"/>
    </w:pPr>
    <w:rPr>
      <w:snapToGrid w:val="0"/>
      <w:kern w:val="0"/>
      <w:sz w:val="28"/>
      <w:szCs w:val="28"/>
    </w:rPr>
  </w:style>
  <w:style w:type="paragraph" w:customStyle="1" w:styleId="1300">
    <w:name w:val="图标示框文字"/>
    <w:basedOn w:val="1"/>
    <w:uiPriority w:val="0"/>
    <w:pPr>
      <w:tabs>
        <w:tab w:val="left" w:pos="277"/>
        <w:tab w:val="left" w:pos="600"/>
        <w:tab w:val="left" w:pos="780"/>
        <w:tab w:val="left" w:pos="2517"/>
      </w:tabs>
      <w:adjustRightInd w:val="0"/>
      <w:snapToGrid w:val="0"/>
      <w:spacing w:line="440" w:lineRule="exact"/>
      <w:ind w:firstLine="832" w:firstLineChars="200"/>
      <w:jc w:val="center"/>
      <w:textAlignment w:val="baseline"/>
    </w:pPr>
    <w:rPr>
      <w:kern w:val="0"/>
      <w:sz w:val="24"/>
      <w:szCs w:val="21"/>
    </w:rPr>
  </w:style>
  <w:style w:type="paragraph" w:customStyle="1" w:styleId="1301">
    <w:name w:val="密级编号"/>
    <w:basedOn w:val="1"/>
    <w:qFormat/>
    <w:uiPriority w:val="0"/>
    <w:pPr>
      <w:adjustRightInd w:val="0"/>
      <w:snapToGrid w:val="0"/>
      <w:spacing w:line="440" w:lineRule="exact"/>
      <w:ind w:firstLine="832" w:firstLineChars="200"/>
      <w:jc w:val="center"/>
      <w:textAlignment w:val="baseline"/>
    </w:pPr>
    <w:rPr>
      <w:rFonts w:ascii="仿宋_GB2312" w:eastAsia="仿宋_GB2312"/>
      <w:kern w:val="0"/>
      <w:sz w:val="24"/>
      <w:szCs w:val="20"/>
    </w:rPr>
  </w:style>
  <w:style w:type="paragraph" w:customStyle="1" w:styleId="1302">
    <w:name w:val="p16"/>
    <w:basedOn w:val="1"/>
    <w:qFormat/>
    <w:uiPriority w:val="0"/>
    <w:pPr>
      <w:widowControl/>
      <w:adjustRightInd w:val="0"/>
      <w:snapToGrid w:val="0"/>
      <w:spacing w:line="440" w:lineRule="exact"/>
      <w:ind w:firstLine="832" w:firstLineChars="200"/>
    </w:pPr>
    <w:rPr>
      <w:rFonts w:ascii="宋体" w:hAnsi="宋体" w:cs="宋体"/>
      <w:kern w:val="0"/>
      <w:sz w:val="26"/>
      <w:szCs w:val="26"/>
    </w:rPr>
  </w:style>
  <w:style w:type="paragraph" w:customStyle="1" w:styleId="1303">
    <w:name w:val="Char1 Char Char Char Char Char Char"/>
    <w:basedOn w:val="1"/>
    <w:uiPriority w:val="0"/>
    <w:pPr>
      <w:adjustRightInd w:val="0"/>
      <w:snapToGrid w:val="0"/>
      <w:spacing w:beforeLines="100" w:afterLines="50" w:line="600" w:lineRule="exact"/>
      <w:ind w:firstLine="200" w:firstLineChars="200"/>
    </w:pPr>
    <w:rPr>
      <w:rFonts w:eastAsia="黑体"/>
      <w:sz w:val="28"/>
    </w:rPr>
  </w:style>
  <w:style w:type="paragraph" w:customStyle="1" w:styleId="1304">
    <w:name w:val="送审/报批稿"/>
    <w:basedOn w:val="1"/>
    <w:next w:val="1"/>
    <w:qFormat/>
    <w:uiPriority w:val="0"/>
    <w:pPr>
      <w:adjustRightInd w:val="0"/>
      <w:snapToGrid w:val="0"/>
      <w:spacing w:line="440" w:lineRule="exact"/>
      <w:ind w:firstLine="832" w:firstLineChars="200"/>
      <w:jc w:val="center"/>
    </w:pPr>
    <w:rPr>
      <w:rFonts w:ascii="华文新魏" w:eastAsia="华文新魏" w:cs="宋体"/>
      <w:sz w:val="44"/>
      <w:szCs w:val="20"/>
    </w:rPr>
  </w:style>
  <w:style w:type="paragraph" w:customStyle="1" w:styleId="1305">
    <w:name w:val="Char Char Char2 Char"/>
    <w:basedOn w:val="1"/>
    <w:qFormat/>
    <w:uiPriority w:val="0"/>
    <w:pPr>
      <w:tabs>
        <w:tab w:val="left" w:pos="360"/>
      </w:tabs>
      <w:adjustRightInd w:val="0"/>
      <w:snapToGrid w:val="0"/>
      <w:spacing w:line="440" w:lineRule="exact"/>
      <w:ind w:left="360" w:hanging="360" w:firstLineChars="200"/>
    </w:pPr>
    <w:rPr>
      <w:sz w:val="24"/>
    </w:rPr>
  </w:style>
  <w:style w:type="paragraph" w:customStyle="1" w:styleId="1306">
    <w:name w:val="Char Char1 Char Char Char Char Char Char Char Char Char Char Char Char"/>
    <w:basedOn w:val="1"/>
    <w:qFormat/>
    <w:uiPriority w:val="0"/>
    <w:pPr>
      <w:adjustRightInd w:val="0"/>
      <w:snapToGrid w:val="0"/>
      <w:spacing w:line="360" w:lineRule="auto"/>
      <w:ind w:firstLine="200" w:firstLineChars="200"/>
    </w:pPr>
    <w:rPr>
      <w:rFonts w:cs="宋体"/>
      <w:sz w:val="24"/>
    </w:rPr>
  </w:style>
  <w:style w:type="paragraph" w:customStyle="1" w:styleId="1307">
    <w:name w:val="正式文本"/>
    <w:basedOn w:val="1"/>
    <w:qFormat/>
    <w:uiPriority w:val="0"/>
    <w:pPr>
      <w:adjustRightInd w:val="0"/>
      <w:snapToGrid w:val="0"/>
      <w:spacing w:line="500" w:lineRule="exact"/>
      <w:ind w:firstLine="200" w:firstLineChars="200"/>
    </w:pPr>
    <w:rPr>
      <w:rFonts w:ascii="Arial Narrow" w:hAnsi="Arial Narrow"/>
      <w:sz w:val="24"/>
    </w:rPr>
  </w:style>
  <w:style w:type="paragraph" w:customStyle="1" w:styleId="1308">
    <w:name w:val="样式 段前: 3 磅 行距: 固定值 23 磅"/>
    <w:basedOn w:val="1"/>
    <w:qFormat/>
    <w:uiPriority w:val="0"/>
    <w:pPr>
      <w:adjustRightInd w:val="0"/>
      <w:snapToGrid w:val="0"/>
      <w:spacing w:before="60" w:line="460" w:lineRule="exact"/>
      <w:ind w:firstLine="480" w:firstLineChars="200"/>
    </w:pPr>
    <w:rPr>
      <w:rFonts w:cs="宋体"/>
      <w:sz w:val="24"/>
      <w:szCs w:val="20"/>
    </w:rPr>
  </w:style>
  <w:style w:type="paragraph" w:customStyle="1" w:styleId="1309">
    <w:name w:val="Char411"/>
    <w:basedOn w:val="1"/>
    <w:qFormat/>
    <w:uiPriority w:val="0"/>
    <w:pPr>
      <w:adjustRightInd w:val="0"/>
      <w:snapToGrid w:val="0"/>
      <w:spacing w:line="360" w:lineRule="auto"/>
      <w:ind w:firstLine="200" w:firstLineChars="200"/>
    </w:pPr>
    <w:rPr>
      <w:rFonts w:ascii="宋体" w:hAnsi="宋体" w:cs="宋体"/>
      <w:sz w:val="24"/>
    </w:rPr>
  </w:style>
  <w:style w:type="paragraph" w:customStyle="1" w:styleId="1310">
    <w:name w:val="0-shiw-扉页参加人员标题"/>
    <w:qFormat/>
    <w:uiPriority w:val="0"/>
    <w:pPr>
      <w:adjustRightInd w:val="0"/>
      <w:snapToGrid w:val="0"/>
      <w:spacing w:line="360" w:lineRule="auto"/>
      <w:jc w:val="center"/>
    </w:pPr>
    <w:rPr>
      <w:rFonts w:ascii="Times New Roman" w:hAnsi="Times New Roman" w:eastAsia="宋体" w:cs="Times New Roman"/>
      <w:b/>
      <w:kern w:val="2"/>
      <w:sz w:val="32"/>
      <w:szCs w:val="32"/>
      <w:lang w:val="en-US" w:eastAsia="zh-CN" w:bidi="ar-SA"/>
    </w:rPr>
  </w:style>
  <w:style w:type="paragraph" w:customStyle="1" w:styleId="1311">
    <w:name w:val="样式 正文文本正文文字 Char正文文字Body Text 1正文文字1表标body textBody Text ..."/>
    <w:basedOn w:val="34"/>
    <w:qFormat/>
    <w:uiPriority w:val="0"/>
    <w:pPr>
      <w:widowControl w:val="0"/>
      <w:tabs>
        <w:tab w:val="left" w:pos="1325"/>
      </w:tabs>
      <w:snapToGrid/>
      <w:spacing w:before="0" w:after="0" w:line="240" w:lineRule="auto"/>
      <w:ind w:right="0" w:firstLine="482"/>
    </w:pPr>
    <w:rPr>
      <w:rFonts w:ascii="Arial" w:hAnsi="Arial" w:cs="宋体"/>
      <w:spacing w:val="10"/>
      <w:kern w:val="2"/>
      <w:sz w:val="24"/>
    </w:rPr>
  </w:style>
  <w:style w:type="paragraph" w:customStyle="1" w:styleId="1312">
    <w:name w:val="Char Char Char Char Char Char1 Char"/>
    <w:basedOn w:val="1"/>
    <w:qFormat/>
    <w:uiPriority w:val="0"/>
    <w:pPr>
      <w:widowControl/>
      <w:spacing w:after="160" w:line="240" w:lineRule="exact"/>
      <w:jc w:val="left"/>
    </w:pPr>
  </w:style>
  <w:style w:type="paragraph" w:customStyle="1" w:styleId="1313">
    <w:name w:val="正文 New"/>
    <w:qFormat/>
    <w:uiPriority w:val="99"/>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314">
    <w:name w:val="TOC 标题11"/>
    <w:basedOn w:val="3"/>
    <w:next w:val="1"/>
    <w:unhideWhenUsed/>
    <w:qFormat/>
    <w:uiPriority w:val="39"/>
    <w:pPr>
      <w:keepLines/>
      <w:widowControl/>
      <w:overflowPunct/>
      <w:snapToGrid/>
      <w:spacing w:before="240" w:after="0"/>
      <w:ind w:left="0" w:firstLine="0"/>
      <w:jc w:val="left"/>
      <w:outlineLvl w:val="9"/>
    </w:pPr>
    <w:rPr>
      <w:rFonts w:ascii="Cambria" w:hAnsi="Cambria" w:eastAsia="宋体"/>
      <w:b w:val="0"/>
      <w:bCs w:val="0"/>
      <w:color w:val="365F91"/>
      <w:kern w:val="0"/>
      <w:sz w:val="32"/>
      <w:szCs w:val="32"/>
    </w:rPr>
  </w:style>
  <w:style w:type="character" w:customStyle="1" w:styleId="1315">
    <w:name w:val="题注 Char"/>
    <w:qFormat/>
    <w:uiPriority w:val="0"/>
    <w:rPr>
      <w:rFonts w:ascii="Cambria" w:hAnsi="Cambria" w:eastAsia="黑体"/>
      <w:kern w:val="2"/>
    </w:rPr>
  </w:style>
  <w:style w:type="character" w:customStyle="1" w:styleId="1316">
    <w:name w:val="Char Char111"/>
    <w:qFormat/>
    <w:uiPriority w:val="0"/>
    <w:rPr>
      <w:rFonts w:eastAsia="宋体"/>
      <w:kern w:val="2"/>
      <w:sz w:val="18"/>
      <w:szCs w:val="18"/>
      <w:lang w:val="en-US" w:eastAsia="zh-CN" w:bidi="ar-SA"/>
    </w:rPr>
  </w:style>
  <w:style w:type="character" w:customStyle="1" w:styleId="1317">
    <w:name w:val="Char Char121"/>
    <w:qFormat/>
    <w:uiPriority w:val="0"/>
    <w:rPr>
      <w:rFonts w:ascii="宋体" w:hAnsi="Courier New" w:eastAsia="宋体"/>
      <w:b/>
      <w:kern w:val="2"/>
      <w:sz w:val="28"/>
      <w:lang w:val="en-US" w:eastAsia="zh-CN" w:bidi="ar-SA"/>
    </w:rPr>
  </w:style>
  <w:style w:type="character" w:customStyle="1" w:styleId="1318">
    <w:name w:val="Char Char131"/>
    <w:qFormat/>
    <w:uiPriority w:val="0"/>
    <w:rPr>
      <w:rFonts w:eastAsia="宋体"/>
      <w:kern w:val="2"/>
      <w:sz w:val="21"/>
      <w:szCs w:val="24"/>
      <w:lang w:val="en-US" w:eastAsia="zh-CN" w:bidi="ar-SA"/>
    </w:rPr>
  </w:style>
  <w:style w:type="paragraph" w:customStyle="1" w:styleId="1319">
    <w:name w:val="Char1 Char Char Char1"/>
    <w:basedOn w:val="1"/>
    <w:qFormat/>
    <w:uiPriority w:val="0"/>
    <w:pPr>
      <w:adjustRightInd w:val="0"/>
      <w:snapToGrid w:val="0"/>
      <w:spacing w:line="440" w:lineRule="exact"/>
      <w:ind w:firstLine="832" w:firstLineChars="200"/>
    </w:pPr>
    <w:rPr>
      <w:sz w:val="24"/>
    </w:rPr>
  </w:style>
  <w:style w:type="paragraph" w:customStyle="1" w:styleId="1320">
    <w:name w:val="Char Char Char1 Char1"/>
    <w:basedOn w:val="1"/>
    <w:qFormat/>
    <w:uiPriority w:val="0"/>
    <w:pPr>
      <w:adjustRightInd w:val="0"/>
      <w:snapToGrid w:val="0"/>
      <w:spacing w:line="440" w:lineRule="exact"/>
      <w:ind w:firstLine="832" w:firstLineChars="200"/>
    </w:pPr>
    <w:rPr>
      <w:sz w:val="24"/>
    </w:rPr>
  </w:style>
  <w:style w:type="paragraph" w:customStyle="1" w:styleId="1321">
    <w:name w:val="Char42"/>
    <w:basedOn w:val="1"/>
    <w:qFormat/>
    <w:uiPriority w:val="0"/>
    <w:pPr>
      <w:adjustRightInd w:val="0"/>
      <w:snapToGrid w:val="0"/>
      <w:spacing w:line="360" w:lineRule="auto"/>
      <w:ind w:firstLine="200" w:firstLineChars="200"/>
    </w:pPr>
    <w:rPr>
      <w:rFonts w:ascii="宋体" w:hAnsi="宋体" w:cs="宋体"/>
      <w:sz w:val="24"/>
    </w:rPr>
  </w:style>
  <w:style w:type="paragraph" w:customStyle="1" w:styleId="1322">
    <w:name w:val="Char Char1 Char Char Char Char Char Char Char Char Char Char Char Char Char Char Char Char Char Char1"/>
    <w:basedOn w:val="1"/>
    <w:qFormat/>
    <w:uiPriority w:val="0"/>
    <w:pPr>
      <w:adjustRightInd w:val="0"/>
      <w:snapToGrid w:val="0"/>
      <w:spacing w:line="360" w:lineRule="auto"/>
      <w:ind w:firstLine="200" w:firstLineChars="200"/>
    </w:pPr>
    <w:rPr>
      <w:rFonts w:ascii="宋体" w:hAnsi="宋体" w:cs="宋体"/>
      <w:sz w:val="24"/>
    </w:rPr>
  </w:style>
  <w:style w:type="paragraph" w:customStyle="1" w:styleId="1323">
    <w:name w:val="Char Char Char Char Char Char Char Char Char Char1"/>
    <w:basedOn w:val="1"/>
    <w:qFormat/>
    <w:uiPriority w:val="0"/>
    <w:pPr>
      <w:adjustRightInd w:val="0"/>
      <w:snapToGrid w:val="0"/>
      <w:spacing w:line="360" w:lineRule="auto"/>
      <w:ind w:firstLine="200" w:firstLineChars="200"/>
    </w:pPr>
    <w:rPr>
      <w:rFonts w:ascii="宋体" w:hAnsi="宋体" w:cs="宋体"/>
      <w:sz w:val="24"/>
      <w:szCs w:val="26"/>
    </w:rPr>
  </w:style>
  <w:style w:type="paragraph" w:customStyle="1" w:styleId="1324">
    <w:name w:val="Char Char3 Char Char1"/>
    <w:basedOn w:val="1"/>
    <w:qFormat/>
    <w:uiPriority w:val="0"/>
    <w:pPr>
      <w:jc w:val="center"/>
    </w:pPr>
    <w:rPr>
      <w:rFonts w:eastAsia="仿宋_GB2312"/>
      <w:sz w:val="28"/>
      <w:szCs w:val="20"/>
    </w:rPr>
  </w:style>
  <w:style w:type="paragraph" w:customStyle="1" w:styleId="1325">
    <w:name w:val="Char Char291"/>
    <w:basedOn w:val="1"/>
    <w:qFormat/>
    <w:uiPriority w:val="0"/>
    <w:pPr>
      <w:adjustRightInd w:val="0"/>
      <w:snapToGrid w:val="0"/>
      <w:spacing w:line="440" w:lineRule="exact"/>
      <w:ind w:firstLine="832" w:firstLineChars="200"/>
      <w:jc w:val="center"/>
    </w:pPr>
    <w:rPr>
      <w:sz w:val="24"/>
    </w:rPr>
  </w:style>
  <w:style w:type="paragraph" w:customStyle="1" w:styleId="1326">
    <w:name w:val="Char1 Char Char Char1 Char Char Char Char Char Char Char Char Char Char Char Char1"/>
    <w:basedOn w:val="1"/>
    <w:next w:val="1"/>
    <w:qFormat/>
    <w:uiPriority w:val="0"/>
    <w:pPr>
      <w:adjustRightInd w:val="0"/>
      <w:snapToGrid w:val="0"/>
      <w:spacing w:line="440" w:lineRule="exact"/>
      <w:ind w:firstLine="832" w:firstLineChars="200"/>
    </w:pPr>
    <w:rPr>
      <w:sz w:val="24"/>
    </w:rPr>
  </w:style>
  <w:style w:type="paragraph" w:customStyle="1" w:styleId="1327">
    <w:name w:val="正文文本首行缩进2"/>
    <w:basedOn w:val="34"/>
    <w:qFormat/>
    <w:uiPriority w:val="0"/>
    <w:pPr>
      <w:widowControl w:val="0"/>
      <w:adjustRightInd w:val="0"/>
      <w:spacing w:before="0" w:after="120" w:line="312" w:lineRule="atLeast"/>
      <w:ind w:right="0" w:firstLine="420" w:firstLineChars="200"/>
      <w:textAlignment w:val="baseline"/>
    </w:pPr>
    <w:rPr>
      <w:sz w:val="27"/>
    </w:rPr>
  </w:style>
  <w:style w:type="paragraph" w:customStyle="1" w:styleId="1328">
    <w:name w:val="Char Char Char1 Char Char Char Char1"/>
    <w:basedOn w:val="1"/>
    <w:next w:val="1"/>
    <w:qFormat/>
    <w:uiPriority w:val="0"/>
    <w:pPr>
      <w:adjustRightInd w:val="0"/>
      <w:snapToGrid w:val="0"/>
      <w:spacing w:line="360" w:lineRule="auto"/>
      <w:ind w:firstLine="200" w:firstLineChars="200"/>
    </w:pPr>
    <w:rPr>
      <w:rFonts w:ascii="宋体" w:hAnsi="宋体" w:cs="宋体"/>
      <w:sz w:val="24"/>
      <w:szCs w:val="21"/>
    </w:rPr>
  </w:style>
  <w:style w:type="paragraph" w:customStyle="1" w:styleId="1329">
    <w:name w:val="Char1 Char Char Char Char Char Char1"/>
    <w:basedOn w:val="1"/>
    <w:qFormat/>
    <w:uiPriority w:val="0"/>
    <w:pPr>
      <w:adjustRightInd w:val="0"/>
      <w:snapToGrid w:val="0"/>
      <w:spacing w:beforeLines="100" w:afterLines="50" w:line="600" w:lineRule="exact"/>
      <w:ind w:firstLine="200" w:firstLineChars="200"/>
    </w:pPr>
    <w:rPr>
      <w:rFonts w:eastAsia="黑体"/>
      <w:sz w:val="28"/>
    </w:rPr>
  </w:style>
  <w:style w:type="table" w:customStyle="1" w:styleId="1330">
    <w:name w:val="网格型7"/>
    <w:basedOn w:val="88"/>
    <w:qFormat/>
    <w:uiPriority w:val="59"/>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1">
    <w:name w:val="网格型8"/>
    <w:basedOn w:val="88"/>
    <w:unhideWhenUsed/>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2">
    <w:name w:val="网格型9"/>
    <w:basedOn w:val="88"/>
    <w:unhideWhenUsed/>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3">
    <w:name w:val="网格型10"/>
    <w:basedOn w:val="88"/>
    <w:unhideWhenUsed/>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4">
    <w:name w:val="网格型121"/>
    <w:basedOn w:val="88"/>
    <w:unhideWhenUsed/>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5">
    <w:name w:val="网格型14"/>
    <w:basedOn w:val="88"/>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6">
    <w:name w:val="网格型21"/>
    <w:basedOn w:val="88"/>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7">
    <w:name w:val="网格型15"/>
    <w:basedOn w:val="88"/>
    <w:unhideWhenUsed/>
    <w:qFormat/>
    <w:uiPriority w:val="9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8">
    <w:name w:val="网格型16"/>
    <w:basedOn w:val="88"/>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39">
    <w:name w:val="网格型22"/>
    <w:basedOn w:val="88"/>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40">
    <w:name w:val="样式 四号 行距: 1.5 倍行距"/>
    <w:basedOn w:val="1"/>
    <w:qFormat/>
    <w:uiPriority w:val="99"/>
    <w:pPr>
      <w:spacing w:line="312" w:lineRule="auto"/>
      <w:ind w:right="19" w:rightChars="19" w:firstLine="200" w:firstLineChars="200"/>
    </w:pPr>
    <w:rPr>
      <w:rFonts w:cs="宋体"/>
      <w:sz w:val="28"/>
      <w:szCs w:val="20"/>
    </w:rPr>
  </w:style>
  <w:style w:type="character" w:customStyle="1" w:styleId="1341">
    <w:name w:val="未处理的提及2"/>
    <w:semiHidden/>
    <w:unhideWhenUsed/>
    <w:qFormat/>
    <w:uiPriority w:val="99"/>
    <w:rPr>
      <w:color w:val="605E5C"/>
      <w:shd w:val="clear" w:color="auto" w:fill="E1DFDD"/>
    </w:rPr>
  </w:style>
  <w:style w:type="character" w:customStyle="1" w:styleId="1342">
    <w:name w:val="标题 2 字符1"/>
    <w:semiHidden/>
    <w:qFormat/>
    <w:uiPriority w:val="0"/>
    <w:rPr>
      <w:rFonts w:hint="eastAsia" w:ascii="Cambria" w:hAnsi="Cambria" w:eastAsia="宋体" w:cs="Times New Roman"/>
      <w:b/>
      <w:bCs/>
      <w:kern w:val="2"/>
      <w:sz w:val="32"/>
      <w:szCs w:val="32"/>
    </w:rPr>
  </w:style>
  <w:style w:type="character" w:customStyle="1" w:styleId="1343">
    <w:name w:val="标题 3 字符1"/>
    <w:semiHidden/>
    <w:qFormat/>
    <w:uiPriority w:val="0"/>
    <w:rPr>
      <w:rFonts w:hint="default" w:ascii="Times New Roman" w:hAnsi="Times New Roman" w:eastAsia="宋体" w:cs="Times New Roman"/>
      <w:b/>
      <w:bCs/>
      <w:kern w:val="2"/>
      <w:sz w:val="32"/>
      <w:szCs w:val="32"/>
    </w:rPr>
  </w:style>
  <w:style w:type="character" w:customStyle="1" w:styleId="1344">
    <w:name w:val="标题 4 字符1"/>
    <w:semiHidden/>
    <w:qFormat/>
    <w:uiPriority w:val="0"/>
    <w:rPr>
      <w:rFonts w:hint="eastAsia" w:ascii="Cambria" w:hAnsi="Cambria" w:eastAsia="宋体" w:cs="Times New Roman"/>
      <w:b/>
      <w:bCs/>
      <w:kern w:val="2"/>
      <w:sz w:val="28"/>
      <w:szCs w:val="28"/>
    </w:rPr>
  </w:style>
  <w:style w:type="paragraph" w:customStyle="1" w:styleId="1345">
    <w:name w:val="msonormal"/>
    <w:basedOn w:val="1"/>
    <w:qFormat/>
    <w:uiPriority w:val="99"/>
    <w:pPr>
      <w:widowControl/>
      <w:adjustRightInd w:val="0"/>
      <w:snapToGrid w:val="0"/>
      <w:spacing w:before="100" w:beforeAutospacing="1" w:after="100" w:afterAutospacing="1" w:line="440" w:lineRule="exact"/>
      <w:ind w:firstLine="832" w:firstLineChars="200"/>
      <w:jc w:val="left"/>
    </w:pPr>
    <w:rPr>
      <w:rFonts w:ascii="宋体" w:hAnsi="宋体" w:cs="宋体"/>
      <w:kern w:val="0"/>
      <w:sz w:val="24"/>
    </w:rPr>
  </w:style>
  <w:style w:type="character" w:customStyle="1" w:styleId="1346">
    <w:name w:val="页眉 字符1"/>
    <w:semiHidden/>
    <w:qFormat/>
    <w:uiPriority w:val="0"/>
    <w:rPr>
      <w:rFonts w:ascii="Times New Roman" w:hAnsi="Times New Roman" w:eastAsia="宋体" w:cs="Times New Roman"/>
      <w:sz w:val="18"/>
      <w:szCs w:val="18"/>
    </w:rPr>
  </w:style>
  <w:style w:type="table" w:customStyle="1" w:styleId="1347">
    <w:name w:val="表格样式1"/>
    <w:basedOn w:val="88"/>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48">
    <w:name w:val="font21"/>
    <w:qFormat/>
    <w:uiPriority w:val="0"/>
    <w:rPr>
      <w:rFonts w:hint="eastAsia" w:ascii="宋体" w:hAnsi="宋体" w:eastAsia="宋体" w:cs="宋体"/>
      <w:color w:val="000000"/>
      <w:sz w:val="21"/>
      <w:szCs w:val="21"/>
      <w:u w:val="none"/>
    </w:rPr>
  </w:style>
  <w:style w:type="character" w:customStyle="1" w:styleId="1349">
    <w:name w:val="font11"/>
    <w:qFormat/>
    <w:uiPriority w:val="0"/>
    <w:rPr>
      <w:rFonts w:hint="default" w:ascii="Times New Roman" w:hAnsi="Times New Roman" w:cs="Times New Roman"/>
      <w:color w:val="000000"/>
      <w:sz w:val="21"/>
      <w:szCs w:val="21"/>
      <w:u w:val="none"/>
    </w:rPr>
  </w:style>
  <w:style w:type="paragraph" w:customStyle="1" w:styleId="1350">
    <w:name w:val="样式 标题 1 + 四号 段前: 0 磅 段后: 0 磅 行距: 1.5 倍行距"/>
    <w:basedOn w:val="3"/>
    <w:qFormat/>
    <w:uiPriority w:val="0"/>
    <w:pPr>
      <w:keepLines/>
      <w:overflowPunct/>
      <w:adjustRightInd w:val="0"/>
      <w:spacing w:before="100" w:after="120" w:line="360" w:lineRule="auto"/>
      <w:ind w:left="0" w:firstLine="0"/>
      <w:jc w:val="center"/>
    </w:pPr>
    <w:rPr>
      <w:rFonts w:eastAsia="宋体"/>
      <w:bCs w:val="0"/>
      <w:color w:val="auto"/>
      <w:szCs w:val="24"/>
    </w:rPr>
  </w:style>
  <w:style w:type="paragraph" w:customStyle="1" w:styleId="1351">
    <w:name w:val="默认段落字体 Para Char Char Char Char Char Char Char"/>
    <w:basedOn w:val="1"/>
    <w:semiHidden/>
    <w:qFormat/>
    <w:uiPriority w:val="0"/>
    <w:rPr>
      <w:szCs w:val="30"/>
    </w:rPr>
  </w:style>
  <w:style w:type="paragraph" w:customStyle="1" w:styleId="1352">
    <w:name w:val="样式 文本正文 + 首行缩进:  2 字符3"/>
    <w:basedOn w:val="1"/>
    <w:qFormat/>
    <w:uiPriority w:val="0"/>
    <w:pPr>
      <w:autoSpaceDE w:val="0"/>
      <w:autoSpaceDN w:val="0"/>
      <w:adjustRightInd w:val="0"/>
      <w:spacing w:line="360" w:lineRule="auto"/>
      <w:ind w:firstLine="496" w:firstLineChars="200"/>
      <w:textAlignment w:val="baseline"/>
    </w:pPr>
    <w:rPr>
      <w:rFonts w:ascii="宋体" w:hAnsi="宋体" w:cs="宋体"/>
      <w:snapToGrid w:val="0"/>
      <w:color w:val="000000"/>
      <w:kern w:val="21"/>
      <w:sz w:val="24"/>
    </w:rPr>
  </w:style>
  <w:style w:type="paragraph" w:customStyle="1" w:styleId="1353">
    <w:name w:val="引言"/>
    <w:basedOn w:val="1"/>
    <w:next w:val="1"/>
    <w:qFormat/>
    <w:uiPriority w:val="0"/>
    <w:pPr>
      <w:spacing w:line="480" w:lineRule="auto"/>
      <w:ind w:firstLine="480"/>
      <w:jc w:val="left"/>
    </w:pPr>
    <w:rPr>
      <w:rFonts w:ascii="宋体" w:hAnsi="宋体"/>
      <w:bCs/>
      <w:kern w:val="0"/>
      <w:szCs w:val="21"/>
    </w:rPr>
  </w:style>
  <w:style w:type="paragraph" w:customStyle="1" w:styleId="1354">
    <w:name w:val="正文▲"/>
    <w:qFormat/>
    <w:uiPriority w:val="0"/>
    <w:pPr>
      <w:spacing w:line="360" w:lineRule="auto"/>
      <w:ind w:firstLine="200" w:firstLineChars="200"/>
    </w:pPr>
    <w:rPr>
      <w:rFonts w:ascii="Times New Roman" w:hAnsi="Times New Roman" w:eastAsia="宋体" w:cs="Times New Roman"/>
      <w:color w:val="000000"/>
      <w:kern w:val="2"/>
      <w:sz w:val="24"/>
      <w:szCs w:val="24"/>
      <w:lang w:val="en-US" w:eastAsia="zh-CN" w:bidi="ar-SA"/>
    </w:rPr>
  </w:style>
  <w:style w:type="paragraph" w:customStyle="1" w:styleId="1355">
    <w:name w:val="中文报告书"/>
    <w:basedOn w:val="1"/>
    <w:qFormat/>
    <w:uiPriority w:val="0"/>
    <w:pPr>
      <w:adjustRightInd w:val="0"/>
      <w:spacing w:after="80" w:line="420" w:lineRule="atLeast"/>
      <w:jc w:val="left"/>
      <w:textAlignment w:val="baseline"/>
    </w:pPr>
    <w:rPr>
      <w:kern w:val="0"/>
      <w:sz w:val="24"/>
      <w:szCs w:val="20"/>
    </w:rPr>
  </w:style>
  <w:style w:type="table" w:customStyle="1" w:styleId="1356">
    <w:name w:val="表格样式3"/>
    <w:basedOn w:val="88"/>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57">
    <w:name w:val="昆明中海正文 Char Char"/>
    <w:link w:val="1358"/>
    <w:qFormat/>
    <w:uiPriority w:val="0"/>
    <w:rPr>
      <w:rFonts w:ascii="宋体" w:hAnsi="宋体" w:cs="宋体"/>
      <w:bCs/>
      <w:spacing w:val="12"/>
      <w:kern w:val="2"/>
      <w:sz w:val="24"/>
      <w:szCs w:val="24"/>
    </w:rPr>
  </w:style>
  <w:style w:type="paragraph" w:customStyle="1" w:styleId="1358">
    <w:name w:val="昆明中海正文"/>
    <w:basedOn w:val="1"/>
    <w:link w:val="1357"/>
    <w:qFormat/>
    <w:uiPriority w:val="0"/>
    <w:pPr>
      <w:spacing w:line="360" w:lineRule="auto"/>
      <w:ind w:firstLine="567"/>
    </w:pPr>
    <w:rPr>
      <w:rFonts w:ascii="宋体" w:hAnsi="宋体" w:cs="宋体" w:eastAsiaTheme="minorEastAsia"/>
      <w:bCs/>
      <w:spacing w:val="12"/>
      <w:sz w:val="24"/>
    </w:rPr>
  </w:style>
  <w:style w:type="paragraph" w:customStyle="1" w:styleId="1359">
    <w:name w:val="Char Char Char Char Char Char1 Char1"/>
    <w:basedOn w:val="1"/>
    <w:qFormat/>
    <w:uiPriority w:val="0"/>
    <w:pPr>
      <w:widowControl/>
      <w:spacing w:after="160" w:line="240" w:lineRule="exact"/>
      <w:jc w:val="left"/>
    </w:pPr>
  </w:style>
  <w:style w:type="table" w:customStyle="1" w:styleId="1360">
    <w:name w:val="网格型17"/>
    <w:basedOn w:val="88"/>
    <w:unhideWhenUsed/>
    <w:qFormat/>
    <w:uiPriority w:val="9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1">
    <w:name w:val="网格型122"/>
    <w:basedOn w:val="88"/>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2">
    <w:name w:val="网格型23"/>
    <w:basedOn w:val="88"/>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3">
    <w:name w:val="网格型31"/>
    <w:basedOn w:val="88"/>
    <w:qFormat/>
    <w:uiPriority w:val="3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4">
    <w:name w:val="网格型41"/>
    <w:basedOn w:val="88"/>
    <w:qFormat/>
    <w:uiPriority w:val="59"/>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5">
    <w:name w:val="网格型51"/>
    <w:basedOn w:val="88"/>
    <w:qFormat/>
    <w:uiPriority w:val="59"/>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6">
    <w:name w:val="网格型61"/>
    <w:basedOn w:val="88"/>
    <w:qFormat/>
    <w:uiPriority w:val="59"/>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67">
    <w:name w:val="网格型131"/>
    <w:basedOn w:val="88"/>
    <w:unhideWhenUsed/>
    <w:qFormat/>
    <w:uiPriority w:val="9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68">
    <w:name w:val="未处理的提及3"/>
    <w:semiHidden/>
    <w:unhideWhenUsed/>
    <w:qFormat/>
    <w:uiPriority w:val="99"/>
    <w:rPr>
      <w:color w:val="605E5C"/>
      <w:shd w:val="clear" w:color="auto" w:fill="E1DFDD"/>
    </w:rPr>
  </w:style>
  <w:style w:type="character" w:customStyle="1" w:styleId="1369">
    <w:name w:val="赵 Char Char"/>
    <w:link w:val="1370"/>
    <w:qFormat/>
    <w:uiPriority w:val="0"/>
    <w:rPr>
      <w:kern w:val="2"/>
      <w:sz w:val="24"/>
      <w:szCs w:val="30"/>
    </w:rPr>
  </w:style>
  <w:style w:type="paragraph" w:customStyle="1" w:styleId="1370">
    <w:name w:val="赵"/>
    <w:basedOn w:val="1"/>
    <w:link w:val="1369"/>
    <w:qFormat/>
    <w:uiPriority w:val="0"/>
    <w:pPr>
      <w:spacing w:line="360" w:lineRule="auto"/>
      <w:ind w:firstLine="200" w:firstLineChars="200"/>
    </w:pPr>
    <w:rPr>
      <w:rFonts w:asciiTheme="minorHAnsi" w:hAnsiTheme="minorHAnsi" w:eastAsiaTheme="minorEastAsia" w:cstheme="minorBidi"/>
      <w:sz w:val="24"/>
      <w:szCs w:val="30"/>
    </w:rPr>
  </w:style>
  <w:style w:type="paragraph" w:customStyle="1" w:styleId="1371">
    <w:name w:val="Char Char Char Char Char Char Char Char Char Char Char Char Char Char Char Char Char Char Char"/>
    <w:basedOn w:val="1"/>
    <w:semiHidden/>
    <w:qFormat/>
    <w:uiPriority w:val="0"/>
  </w:style>
  <w:style w:type="character" w:customStyle="1" w:styleId="1372">
    <w:name w:val="NormalCharacter"/>
    <w:semiHidden/>
    <w:qFormat/>
    <w:uiPriority w:val="0"/>
    <w:rPr>
      <w:kern w:val="2"/>
      <w:sz w:val="21"/>
      <w:szCs w:val="24"/>
      <w:lang w:val="en-US" w:eastAsia="zh-CN" w:bidi="ar-SA"/>
    </w:rPr>
  </w:style>
  <w:style w:type="character" w:customStyle="1" w:styleId="1373">
    <w:name w:val="xqlypc"/>
    <w:qFormat/>
    <w:uiPriority w:val="0"/>
  </w:style>
  <w:style w:type="table" w:customStyle="1" w:styleId="1374">
    <w:name w:val="表格样式4"/>
    <w:basedOn w:val="88"/>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5">
    <w:name w:val="表格样式5"/>
    <w:basedOn w:val="88"/>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76">
    <w:name w:val="markedcontent"/>
    <w:basedOn w:val="95"/>
    <w:qFormat/>
    <w:uiPriority w:val="0"/>
  </w:style>
  <w:style w:type="table" w:customStyle="1" w:styleId="1377">
    <w:name w:val="表格样式6"/>
    <w:basedOn w:val="88"/>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78">
    <w:name w:val="表格样式7"/>
    <w:basedOn w:val="88"/>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79">
    <w:name w:val="纯文本 Char"/>
    <w:qFormat/>
    <w:uiPriority w:val="0"/>
    <w:rPr>
      <w:rFonts w:ascii="宋体" w:hAnsi="Courier New"/>
      <w:kern w:val="2"/>
      <w:sz w:val="24"/>
    </w:rPr>
  </w:style>
  <w:style w:type="character" w:customStyle="1" w:styleId="1380">
    <w:name w:val="表头 Char1"/>
    <w:qFormat/>
    <w:uiPriority w:val="0"/>
    <w:rPr>
      <w:rFonts w:eastAsia="宋体"/>
      <w:b/>
      <w:sz w:val="21"/>
    </w:rPr>
  </w:style>
  <w:style w:type="character" w:customStyle="1" w:styleId="1381">
    <w:name w:val="表格文字 Char1"/>
    <w:qFormat/>
    <w:uiPriority w:val="0"/>
    <w:rPr>
      <w:rFonts w:ascii="Times New Roman" w:hAnsi="Times New Roman" w:eastAsia="宋体" w:cs="Tahoma"/>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emf"/><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F94D2-A254-4E59-ABB5-DEA1FCB421B5}">
  <ds:schemaRefs/>
</ds:datastoreItem>
</file>

<file path=docProps/app.xml><?xml version="1.0" encoding="utf-8"?>
<Properties xmlns="http://schemas.openxmlformats.org/officeDocument/2006/extended-properties" xmlns:vt="http://schemas.openxmlformats.org/officeDocument/2006/docPropsVTypes">
  <Template>Normal.dotm</Template>
  <Pages>61</Pages>
  <Words>34716</Words>
  <Characters>38856</Characters>
  <Lines>298</Lines>
  <Paragraphs>84</Paragraphs>
  <TotalTime>416</TotalTime>
  <ScaleCrop>false</ScaleCrop>
  <LinksUpToDate>false</LinksUpToDate>
  <CharactersWithSpaces>39097</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2023-04-04T03:22:00Z</dcterms:created>
  <dc:creator>1234</dc:creator>
  <cp:lastModifiedBy>Administrator</cp:lastModifiedBy>
  <cp:lastPrinted>2023-02-17T02:03:00Z</cp:lastPrinted>
  <dcterms:modified xsi:type="dcterms:W3CDTF">2023-04-21T01:39:38Z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3EF89332441E4F939D0FD3AA496CD98F</vt:lpwstr>
  </property>
</Properties>
</file>