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pacing w:line="584" w:lineRule="exact"/>
        <w:jc w:val="center"/>
        <w:textAlignment w:val="auto"/>
        <w:rPr>
          <w:rFonts w:hint="default" w:ascii="Times New Roman" w:hAnsi="Times New Roman" w:cs="Times New Roman"/>
          <w:b/>
          <w:color w:val="000000"/>
          <w:sz w:val="44"/>
          <w:szCs w:val="44"/>
        </w:rPr>
      </w:pPr>
      <w:bookmarkStart w:id="0" w:name="_GoBack"/>
      <w:r>
        <w:rPr>
          <w:rFonts w:hint="default" w:ascii="Times New Roman" w:hAnsi="Times New Roman" w:eastAsia="方正小标宋_GBK" w:cs="Times New Roman"/>
          <w:b w:val="0"/>
          <w:bCs/>
          <w:color w:val="000000"/>
          <w:sz w:val="44"/>
          <w:szCs w:val="44"/>
          <w:lang w:eastAsia="zh-CN"/>
        </w:rPr>
        <w:t>昆明市</w:t>
      </w:r>
      <w:r>
        <w:rPr>
          <w:rFonts w:hint="default" w:ascii="Times New Roman" w:hAnsi="Times New Roman" w:eastAsia="方正小标宋_GBK" w:cs="Times New Roman"/>
          <w:b w:val="0"/>
          <w:bCs/>
          <w:color w:val="000000"/>
          <w:sz w:val="44"/>
          <w:szCs w:val="44"/>
        </w:rPr>
        <w:t>加强新时代老龄工作实施方案</w:t>
      </w:r>
    </w:p>
    <w:bookmarkEnd w:id="0"/>
    <w:p>
      <w:pPr>
        <w:keepNext w:val="0"/>
        <w:keepLines w:val="0"/>
        <w:pageBreakBefore w:val="0"/>
        <w:widowControl w:val="0"/>
        <w:tabs>
          <w:tab w:val="left" w:pos="4111"/>
        </w:tabs>
        <w:kinsoku/>
        <w:wordWrap/>
        <w:overflowPunct/>
        <w:topLinePunct w:val="0"/>
        <w:autoSpaceDE/>
        <w:autoSpaceDN/>
        <w:bidi w:val="0"/>
        <w:adjustRightInd/>
        <w:spacing w:line="584" w:lineRule="exact"/>
        <w:jc w:val="center"/>
        <w:textAlignment w:val="auto"/>
        <w:rPr>
          <w:rFonts w:hint="default" w:ascii="Times New Roman" w:hAnsi="Times New Roman" w:eastAsia="楷体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pacing w:val="0"/>
          <w:kern w:val="21"/>
          <w:sz w:val="32"/>
          <w:szCs w:val="32"/>
        </w:rPr>
      </w:pPr>
      <w:r>
        <w:rPr>
          <w:rFonts w:hint="default" w:ascii="Times New Roman" w:hAnsi="Times New Roman" w:eastAsia="仿宋_GB2312" w:cs="Times New Roman"/>
          <w:color w:val="auto"/>
          <w:spacing w:val="0"/>
          <w:kern w:val="21"/>
          <w:sz w:val="32"/>
          <w:szCs w:val="32"/>
        </w:rPr>
        <w:t>为</w:t>
      </w:r>
      <w:r>
        <w:rPr>
          <w:rFonts w:hint="eastAsia" w:cs="Times New Roman"/>
          <w:color w:val="auto"/>
          <w:spacing w:val="0"/>
          <w:kern w:val="21"/>
          <w:sz w:val="32"/>
          <w:szCs w:val="32"/>
          <w:lang w:eastAsia="zh-CN"/>
        </w:rPr>
        <w:t>全面</w:t>
      </w:r>
      <w:r>
        <w:rPr>
          <w:rFonts w:hint="default" w:ascii="Times New Roman" w:hAnsi="Times New Roman" w:eastAsia="仿宋_GB2312" w:cs="Times New Roman"/>
          <w:color w:val="auto"/>
          <w:spacing w:val="0"/>
          <w:kern w:val="21"/>
          <w:sz w:val="32"/>
          <w:szCs w:val="32"/>
        </w:rPr>
        <w:t>加强</w:t>
      </w:r>
      <w:r>
        <w:rPr>
          <w:rFonts w:hint="eastAsia" w:cs="Times New Roman"/>
          <w:color w:val="auto"/>
          <w:spacing w:val="0"/>
          <w:kern w:val="21"/>
          <w:sz w:val="32"/>
          <w:szCs w:val="32"/>
          <w:lang w:eastAsia="zh-CN"/>
        </w:rPr>
        <w:t>昆明市</w:t>
      </w:r>
      <w:r>
        <w:rPr>
          <w:rFonts w:hint="default" w:ascii="Times New Roman" w:hAnsi="Times New Roman" w:eastAsia="仿宋_GB2312" w:cs="Times New Roman"/>
          <w:color w:val="auto"/>
          <w:spacing w:val="0"/>
          <w:kern w:val="21"/>
          <w:sz w:val="32"/>
          <w:szCs w:val="32"/>
        </w:rPr>
        <w:t>新时代老龄工作</w:t>
      </w:r>
      <w:r>
        <w:rPr>
          <w:rFonts w:hint="eastAsia" w:cs="Times New Roman"/>
          <w:color w:val="auto"/>
          <w:spacing w:val="0"/>
          <w:kern w:val="21"/>
          <w:sz w:val="32"/>
          <w:szCs w:val="32"/>
          <w:lang w:eastAsia="zh-CN"/>
        </w:rPr>
        <w:t>，根据</w:t>
      </w:r>
      <w:r>
        <w:rPr>
          <w:rFonts w:hint="default" w:ascii="Times New Roman" w:hAnsi="Times New Roman" w:eastAsia="仿宋_GB2312" w:cs="Times New Roman"/>
          <w:color w:val="auto"/>
          <w:spacing w:val="0"/>
          <w:kern w:val="21"/>
          <w:sz w:val="32"/>
          <w:szCs w:val="32"/>
        </w:rPr>
        <w:t>《中共云南省委</w:t>
      </w:r>
      <w:r>
        <w:rPr>
          <w:rFonts w:hint="eastAsia" w:cs="Times New Roman"/>
          <w:color w:val="auto"/>
          <w:spacing w:val="0"/>
          <w:kern w:val="21"/>
          <w:sz w:val="32"/>
          <w:szCs w:val="32"/>
          <w:lang w:val="en-US" w:eastAsia="zh-CN"/>
        </w:rPr>
        <w:t>、</w:t>
      </w:r>
      <w:r>
        <w:rPr>
          <w:rFonts w:hint="default" w:ascii="Times New Roman" w:hAnsi="Times New Roman" w:eastAsia="仿宋_GB2312" w:cs="Times New Roman"/>
          <w:color w:val="auto"/>
          <w:spacing w:val="0"/>
          <w:kern w:val="21"/>
          <w:sz w:val="32"/>
          <w:szCs w:val="32"/>
        </w:rPr>
        <w:t>云南省人民政府关于加强新时代老龄工作的实施意见》（云发〔2022〕14号）精神，结合</w:t>
      </w:r>
      <w:r>
        <w:rPr>
          <w:rFonts w:hint="eastAsia" w:cs="Times New Roman"/>
          <w:color w:val="auto"/>
          <w:spacing w:val="0"/>
          <w:kern w:val="21"/>
          <w:sz w:val="32"/>
          <w:szCs w:val="32"/>
          <w:lang w:eastAsia="zh-CN"/>
        </w:rPr>
        <w:t>我</w:t>
      </w:r>
      <w:r>
        <w:rPr>
          <w:rFonts w:hint="default" w:ascii="Times New Roman" w:hAnsi="Times New Roman" w:eastAsia="仿宋_GB2312" w:cs="Times New Roman"/>
          <w:color w:val="auto"/>
          <w:spacing w:val="0"/>
          <w:kern w:val="21"/>
          <w:sz w:val="32"/>
          <w:szCs w:val="32"/>
        </w:rPr>
        <w:t>市实际</w:t>
      </w:r>
      <w:r>
        <w:rPr>
          <w:rFonts w:hint="eastAsia" w:eastAsia="仿宋_GB2312" w:cs="Times New Roman"/>
          <w:color w:val="auto"/>
          <w:spacing w:val="0"/>
          <w:kern w:val="21"/>
          <w:sz w:val="32"/>
          <w:szCs w:val="32"/>
          <w:lang w:eastAsia="zh-CN"/>
        </w:rPr>
        <w:t>，</w:t>
      </w:r>
      <w:r>
        <w:rPr>
          <w:rFonts w:hint="default" w:ascii="Times New Roman" w:hAnsi="Times New Roman" w:eastAsia="仿宋_GB2312" w:cs="Times New Roman"/>
          <w:color w:val="auto"/>
          <w:spacing w:val="0"/>
          <w:kern w:val="21"/>
          <w:sz w:val="32"/>
          <w:szCs w:val="32"/>
        </w:rPr>
        <w:t>制定如下实施方案。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Times New Roman"/>
          <w:color w:val="auto"/>
          <w:spacing w:val="0"/>
          <w:kern w:val="21"/>
          <w:sz w:val="32"/>
          <w:szCs w:val="32"/>
          <w:lang w:eastAsia="zh-CN"/>
        </w:rPr>
      </w:pPr>
      <w:r>
        <w:rPr>
          <w:rFonts w:hint="default" w:ascii="Times New Roman" w:hAnsi="Times New Roman" w:eastAsia="黑体" w:cs="Times New Roman"/>
          <w:color w:val="auto"/>
          <w:spacing w:val="0"/>
          <w:kern w:val="21"/>
          <w:sz w:val="32"/>
          <w:szCs w:val="32"/>
        </w:rPr>
        <w:t>一、</w:t>
      </w:r>
      <w:r>
        <w:rPr>
          <w:rFonts w:hint="eastAsia" w:eastAsia="黑体" w:cs="Times New Roman"/>
          <w:color w:val="auto"/>
          <w:spacing w:val="0"/>
          <w:kern w:val="21"/>
          <w:sz w:val="32"/>
          <w:szCs w:val="32"/>
          <w:lang w:eastAsia="zh-CN"/>
        </w:rPr>
        <w:t>总体要求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pacing w:val="0"/>
          <w:kern w:val="21"/>
          <w:sz w:val="32"/>
          <w:szCs w:val="32"/>
        </w:rPr>
      </w:pPr>
      <w:r>
        <w:rPr>
          <w:rFonts w:hint="default" w:ascii="Times New Roman" w:hAnsi="Times New Roman" w:eastAsia="仿宋_GB2312" w:cs="Times New Roman"/>
          <w:color w:val="auto"/>
          <w:spacing w:val="0"/>
          <w:kern w:val="21"/>
          <w:sz w:val="32"/>
          <w:szCs w:val="32"/>
        </w:rPr>
        <w:t>以习近平新时代中国特色社会主义思想为指导，深入贯彻</w:t>
      </w:r>
      <w:r>
        <w:rPr>
          <w:rFonts w:hint="eastAsia" w:cs="Times New Roman"/>
          <w:color w:val="auto"/>
          <w:spacing w:val="0"/>
          <w:kern w:val="21"/>
          <w:sz w:val="32"/>
          <w:szCs w:val="32"/>
          <w:lang w:eastAsia="zh-CN"/>
        </w:rPr>
        <w:t>党的二十大精神、</w:t>
      </w:r>
      <w:r>
        <w:rPr>
          <w:rFonts w:hint="default" w:ascii="Times New Roman" w:hAnsi="Times New Roman" w:eastAsia="仿宋_GB2312" w:cs="Times New Roman"/>
          <w:color w:val="auto"/>
          <w:spacing w:val="0"/>
          <w:kern w:val="21"/>
          <w:sz w:val="32"/>
          <w:szCs w:val="32"/>
        </w:rPr>
        <w:t>习近平总书记</w:t>
      </w:r>
      <w:r>
        <w:rPr>
          <w:rFonts w:hint="eastAsia" w:cs="Times New Roman"/>
          <w:color w:val="auto"/>
          <w:spacing w:val="0"/>
          <w:kern w:val="21"/>
          <w:sz w:val="32"/>
          <w:szCs w:val="32"/>
          <w:lang w:eastAsia="zh-CN"/>
        </w:rPr>
        <w:t>关于老龄工作的重要论述和</w:t>
      </w:r>
      <w:r>
        <w:rPr>
          <w:rFonts w:hint="default" w:ascii="Times New Roman" w:hAnsi="Times New Roman" w:eastAsia="仿宋_GB2312" w:cs="Times New Roman"/>
          <w:color w:val="auto"/>
          <w:spacing w:val="0"/>
          <w:kern w:val="21"/>
          <w:sz w:val="32"/>
          <w:szCs w:val="32"/>
        </w:rPr>
        <w:t>考察云南重要讲话精神，</w:t>
      </w:r>
      <w:r>
        <w:rPr>
          <w:rFonts w:hint="eastAsia" w:cs="Times New Roman"/>
          <w:color w:val="auto"/>
          <w:spacing w:val="0"/>
          <w:kern w:val="21"/>
          <w:sz w:val="32"/>
          <w:szCs w:val="32"/>
          <w:lang w:eastAsia="zh-CN"/>
        </w:rPr>
        <w:t>全面落实</w:t>
      </w:r>
      <w:r>
        <w:rPr>
          <w:rFonts w:hint="default" w:ascii="Times New Roman" w:hAnsi="Times New Roman" w:eastAsia="仿宋_GB2312" w:cs="Times New Roman"/>
          <w:color w:val="auto"/>
          <w:spacing w:val="0"/>
          <w:kern w:val="21"/>
          <w:sz w:val="32"/>
          <w:szCs w:val="32"/>
        </w:rPr>
        <w:t>积极应对人口老龄化国家战略</w:t>
      </w:r>
      <w:r>
        <w:rPr>
          <w:rFonts w:hint="eastAsia" w:cs="Times New Roman"/>
          <w:color w:val="auto"/>
          <w:spacing w:val="0"/>
          <w:kern w:val="21"/>
          <w:sz w:val="32"/>
          <w:szCs w:val="32"/>
          <w:lang w:eastAsia="zh-CN"/>
        </w:rPr>
        <w:t>和省工作要求</w:t>
      </w:r>
      <w:r>
        <w:rPr>
          <w:rFonts w:hint="default" w:ascii="Times New Roman" w:hAnsi="Times New Roman" w:eastAsia="仿宋_GB2312" w:cs="Times New Roman"/>
          <w:color w:val="auto"/>
          <w:spacing w:val="0"/>
          <w:kern w:val="21"/>
          <w:sz w:val="32"/>
          <w:szCs w:val="32"/>
        </w:rPr>
        <w:t>，坚持党委领导、高位统筹、综合施策、各方共担、协调发展，持续加强制度创新、政策供给、财政投入，健全完善</w:t>
      </w:r>
      <w:r>
        <w:rPr>
          <w:rFonts w:hint="eastAsia" w:cs="Times New Roman"/>
          <w:color w:val="auto"/>
          <w:spacing w:val="0"/>
          <w:kern w:val="21"/>
          <w:sz w:val="32"/>
          <w:szCs w:val="32"/>
          <w:lang w:eastAsia="zh-CN"/>
        </w:rPr>
        <w:t>老年人</w:t>
      </w:r>
      <w:r>
        <w:rPr>
          <w:rFonts w:hint="default" w:ascii="Times New Roman" w:hAnsi="Times New Roman" w:eastAsia="仿宋_GB2312" w:cs="Times New Roman"/>
          <w:color w:val="auto"/>
          <w:spacing w:val="0"/>
          <w:kern w:val="21"/>
          <w:sz w:val="32"/>
          <w:szCs w:val="32"/>
        </w:rPr>
        <w:t>养老服务、健康服务、社会保障、</w:t>
      </w:r>
      <w:r>
        <w:rPr>
          <w:rFonts w:hint="eastAsia" w:cs="Times New Roman"/>
          <w:color w:val="auto"/>
          <w:spacing w:val="0"/>
          <w:kern w:val="21"/>
          <w:sz w:val="32"/>
          <w:szCs w:val="32"/>
          <w:lang w:eastAsia="zh-CN"/>
        </w:rPr>
        <w:t>社会参与、</w:t>
      </w:r>
      <w:r>
        <w:rPr>
          <w:rFonts w:hint="default" w:ascii="Times New Roman" w:hAnsi="Times New Roman" w:eastAsia="仿宋_GB2312" w:cs="Times New Roman"/>
          <w:color w:val="auto"/>
          <w:spacing w:val="0"/>
          <w:kern w:val="21"/>
          <w:sz w:val="32"/>
          <w:szCs w:val="32"/>
        </w:rPr>
        <w:t>权益保障等老龄政策体系和制度框架，大力</w:t>
      </w:r>
      <w:r>
        <w:rPr>
          <w:rFonts w:hint="eastAsia" w:cs="Times New Roman"/>
          <w:color w:val="auto"/>
          <w:spacing w:val="0"/>
          <w:kern w:val="21"/>
          <w:sz w:val="32"/>
          <w:szCs w:val="32"/>
          <w:lang w:eastAsia="zh-CN"/>
        </w:rPr>
        <w:t>发展养老事业产业、优化孤寡老人服务，推动实现全体老年人享有基本养老服务</w:t>
      </w:r>
      <w:r>
        <w:rPr>
          <w:rFonts w:hint="default" w:ascii="Times New Roman" w:hAnsi="Times New Roman" w:eastAsia="仿宋_GB2312" w:cs="Times New Roman"/>
          <w:color w:val="auto"/>
          <w:spacing w:val="0"/>
          <w:kern w:val="21"/>
          <w:sz w:val="32"/>
          <w:szCs w:val="32"/>
        </w:rPr>
        <w:t>，</w:t>
      </w:r>
      <w:r>
        <w:rPr>
          <w:rFonts w:hint="eastAsia" w:cs="Times New Roman"/>
          <w:color w:val="auto"/>
          <w:spacing w:val="0"/>
          <w:kern w:val="21"/>
          <w:sz w:val="32"/>
          <w:szCs w:val="32"/>
          <w:lang w:eastAsia="zh-CN"/>
        </w:rPr>
        <w:t>促进</w:t>
      </w:r>
      <w:r>
        <w:rPr>
          <w:rFonts w:hint="default" w:ascii="Times New Roman" w:hAnsi="Times New Roman" w:eastAsia="仿宋_GB2312" w:cs="Times New Roman"/>
          <w:color w:val="auto"/>
          <w:spacing w:val="0"/>
          <w:kern w:val="21"/>
          <w:sz w:val="32"/>
          <w:szCs w:val="32"/>
        </w:rPr>
        <w:t>老龄事业高质量发展，不断满足新时代老年人日益增长的多层次健康养老需求。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pacing w:val="0"/>
          <w:kern w:val="21"/>
          <w:sz w:val="32"/>
          <w:szCs w:val="32"/>
        </w:rPr>
      </w:pPr>
      <w:r>
        <w:rPr>
          <w:rFonts w:hint="default" w:ascii="Times New Roman" w:hAnsi="Times New Roman" w:eastAsia="黑体" w:cs="Times New Roman"/>
          <w:color w:val="auto"/>
          <w:spacing w:val="0"/>
          <w:kern w:val="21"/>
          <w:sz w:val="32"/>
          <w:szCs w:val="32"/>
        </w:rPr>
        <w:t>二、重点任务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color w:val="auto"/>
          <w:spacing w:val="0"/>
          <w:kern w:val="21"/>
          <w:sz w:val="32"/>
          <w:szCs w:val="32"/>
        </w:rPr>
      </w:pPr>
      <w:r>
        <w:rPr>
          <w:rFonts w:hint="default" w:ascii="Times New Roman" w:hAnsi="Times New Roman" w:eastAsia="楷体_GB2312" w:cs="Times New Roman"/>
          <w:color w:val="auto"/>
          <w:spacing w:val="0"/>
          <w:kern w:val="21"/>
          <w:sz w:val="32"/>
          <w:szCs w:val="32"/>
        </w:rPr>
        <w:t>（一）建立完善养老服务体系，推进老有所养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 w:cs="Times New Roman"/>
          <w:b w:val="0"/>
          <w:bCs/>
          <w:color w:val="auto"/>
          <w:spacing w:val="0"/>
          <w:kern w:val="21"/>
          <w:sz w:val="32"/>
          <w:szCs w:val="32"/>
        </w:rPr>
      </w:pPr>
      <w:r>
        <w:rPr>
          <w:rFonts w:hint="default" w:ascii="Times New Roman" w:hAnsi="Times New Roman" w:eastAsia="仿宋_GB2312" w:cs="Times New Roman"/>
          <w:b w:val="0"/>
          <w:bCs w:val="0"/>
          <w:color w:val="auto"/>
          <w:spacing w:val="0"/>
          <w:kern w:val="21"/>
          <w:sz w:val="32"/>
          <w:szCs w:val="32"/>
        </w:rPr>
        <w:t>1.创新完善居家社区养老服务模式。</w:t>
      </w:r>
      <w:r>
        <w:rPr>
          <w:rFonts w:hint="default" w:ascii="Times New Roman" w:hAnsi="Times New Roman" w:eastAsia="仿宋_GB2312" w:cs="Times New Roman"/>
          <w:color w:val="auto"/>
          <w:spacing w:val="0"/>
          <w:kern w:val="21"/>
          <w:sz w:val="32"/>
          <w:szCs w:val="32"/>
        </w:rPr>
        <w:t>培育为老服务专业机构，</w:t>
      </w:r>
      <w:r>
        <w:rPr>
          <w:rFonts w:hint="eastAsia" w:cs="Times New Roman"/>
          <w:color w:val="auto"/>
          <w:spacing w:val="0"/>
          <w:kern w:val="21"/>
          <w:sz w:val="32"/>
          <w:szCs w:val="32"/>
          <w:lang w:eastAsia="zh-CN"/>
        </w:rPr>
        <w:t>引导其</w:t>
      </w:r>
      <w:r>
        <w:rPr>
          <w:rFonts w:hint="default" w:ascii="Times New Roman" w:hAnsi="Times New Roman" w:eastAsia="仿宋_GB2312" w:cs="Times New Roman"/>
          <w:color w:val="auto"/>
          <w:spacing w:val="0"/>
          <w:kern w:val="21"/>
          <w:sz w:val="32"/>
          <w:szCs w:val="32"/>
        </w:rPr>
        <w:t>长期稳定开展普惠养老服务，并向社区、家庭延伸。依托基层医疗卫生机构、养老服务机构，规范发展社区嵌入式长期照护服务，探索社区</w:t>
      </w:r>
      <w:r>
        <w:rPr>
          <w:rFonts w:hint="eastAsia" w:ascii="仿宋_GB2312" w:hAnsi="仿宋_GB2312" w:eastAsia="仿宋_GB2312" w:cs="仿宋_GB2312"/>
          <w:color w:val="auto"/>
          <w:spacing w:val="0"/>
          <w:kern w:val="21"/>
          <w:sz w:val="32"/>
          <w:szCs w:val="32"/>
        </w:rPr>
        <w:t>“</w:t>
      </w:r>
      <w:r>
        <w:rPr>
          <w:rFonts w:hint="default" w:ascii="Times New Roman" w:hAnsi="Times New Roman" w:eastAsia="仿宋_GB2312" w:cs="Times New Roman"/>
          <w:color w:val="auto"/>
          <w:spacing w:val="0"/>
          <w:kern w:val="21"/>
          <w:sz w:val="32"/>
          <w:szCs w:val="32"/>
        </w:rPr>
        <w:t>党建+养老服务</w:t>
      </w:r>
      <w:r>
        <w:rPr>
          <w:rFonts w:hint="default" w:ascii="仿宋_GB2312" w:hAnsi="仿宋_GB2312" w:eastAsia="仿宋_GB2312" w:cs="仿宋_GB2312"/>
          <w:color w:val="auto"/>
          <w:spacing w:val="0"/>
          <w:kern w:val="21"/>
          <w:sz w:val="32"/>
          <w:szCs w:val="32"/>
        </w:rPr>
        <w:t>”</w:t>
      </w:r>
      <w:r>
        <w:rPr>
          <w:rFonts w:hint="default" w:ascii="Times New Roman" w:hAnsi="Times New Roman" w:eastAsia="仿宋_GB2312" w:cs="Times New Roman"/>
          <w:color w:val="auto"/>
          <w:spacing w:val="0"/>
          <w:kern w:val="21"/>
          <w:sz w:val="32"/>
          <w:szCs w:val="32"/>
        </w:rPr>
        <w:t>、</w:t>
      </w:r>
      <w:r>
        <w:rPr>
          <w:rFonts w:hint="default" w:ascii="仿宋_GB2312" w:hAnsi="仿宋_GB2312" w:eastAsia="仿宋_GB2312" w:cs="仿宋_GB2312"/>
          <w:color w:val="auto"/>
          <w:spacing w:val="0"/>
          <w:kern w:val="21"/>
          <w:sz w:val="32"/>
          <w:szCs w:val="32"/>
        </w:rPr>
        <w:t>“</w:t>
      </w:r>
      <w:r>
        <w:rPr>
          <w:rFonts w:hint="default" w:ascii="Times New Roman" w:hAnsi="Times New Roman" w:eastAsia="仿宋_GB2312" w:cs="Times New Roman"/>
          <w:color w:val="auto"/>
          <w:spacing w:val="0"/>
          <w:kern w:val="21"/>
          <w:sz w:val="32"/>
          <w:szCs w:val="32"/>
        </w:rPr>
        <w:t>社区+物业+养老服务</w:t>
      </w:r>
      <w:r>
        <w:rPr>
          <w:rFonts w:hint="default" w:ascii="仿宋_GB2312" w:hAnsi="仿宋_GB2312" w:eastAsia="仿宋_GB2312" w:cs="仿宋_GB2312"/>
          <w:color w:val="auto"/>
          <w:spacing w:val="0"/>
          <w:kern w:val="21"/>
          <w:sz w:val="32"/>
          <w:szCs w:val="32"/>
        </w:rPr>
        <w:t>”</w:t>
      </w:r>
      <w:r>
        <w:rPr>
          <w:rFonts w:hint="default" w:ascii="Times New Roman" w:hAnsi="Times New Roman" w:eastAsia="仿宋_GB2312" w:cs="Times New Roman"/>
          <w:color w:val="auto"/>
          <w:spacing w:val="0"/>
          <w:kern w:val="21"/>
          <w:sz w:val="32"/>
          <w:szCs w:val="32"/>
        </w:rPr>
        <w:t>等新模式。加强农村区域养老服务中心和社区日间照料中心、互助服务站、老年活动室等养老服务设施建设</w:t>
      </w:r>
      <w:r>
        <w:rPr>
          <w:rFonts w:hint="eastAsia" w:cs="Times New Roman"/>
          <w:color w:val="auto"/>
          <w:spacing w:val="0"/>
          <w:kern w:val="21"/>
          <w:sz w:val="32"/>
          <w:szCs w:val="32"/>
          <w:lang w:eastAsia="zh-CN"/>
        </w:rPr>
        <w:t>，依托新时代文明实践中心（所、站）、卫生医疗机构、社会工作站、养老服务机构等阵地平台，以高龄、独居、失能（失智）、留守老年人为重点，</w:t>
      </w:r>
      <w:r>
        <w:rPr>
          <w:rFonts w:hint="default" w:ascii="Times New Roman" w:hAnsi="Times New Roman" w:eastAsia="仿宋_GB2312" w:cs="Times New Roman"/>
          <w:color w:val="auto"/>
          <w:spacing w:val="0"/>
          <w:kern w:val="21"/>
          <w:sz w:val="32"/>
          <w:szCs w:val="32"/>
        </w:rPr>
        <w:t>积极发展农村互助式养老服务。建立以社区为平台、社会组织为载体、社会工作者为支撑的</w:t>
      </w:r>
      <w:r>
        <w:rPr>
          <w:rFonts w:hint="default" w:ascii="仿宋_GB2312" w:hAnsi="仿宋_GB2312" w:eastAsia="仿宋_GB2312" w:cs="仿宋_GB2312"/>
          <w:color w:val="auto"/>
          <w:spacing w:val="0"/>
          <w:kern w:val="21"/>
          <w:sz w:val="32"/>
          <w:szCs w:val="32"/>
        </w:rPr>
        <w:t>“</w:t>
      </w:r>
      <w:r>
        <w:rPr>
          <w:rFonts w:hint="default" w:ascii="Times New Roman" w:hAnsi="Times New Roman" w:eastAsia="仿宋_GB2312" w:cs="Times New Roman"/>
          <w:color w:val="auto"/>
          <w:spacing w:val="0"/>
          <w:kern w:val="21"/>
          <w:sz w:val="32"/>
          <w:szCs w:val="32"/>
        </w:rPr>
        <w:t>三社联动</w:t>
      </w:r>
      <w:r>
        <w:rPr>
          <w:rFonts w:hint="default" w:ascii="仿宋_GB2312" w:hAnsi="仿宋_GB2312" w:eastAsia="仿宋_GB2312" w:cs="仿宋_GB2312"/>
          <w:color w:val="auto"/>
          <w:spacing w:val="0"/>
          <w:kern w:val="21"/>
          <w:sz w:val="32"/>
          <w:szCs w:val="32"/>
        </w:rPr>
        <w:t>”</w:t>
      </w:r>
      <w:r>
        <w:rPr>
          <w:rFonts w:hint="default" w:ascii="Times New Roman" w:hAnsi="Times New Roman" w:eastAsia="仿宋_GB2312" w:cs="Times New Roman"/>
          <w:color w:val="auto"/>
          <w:spacing w:val="0"/>
          <w:kern w:val="21"/>
          <w:sz w:val="32"/>
          <w:szCs w:val="32"/>
        </w:rPr>
        <w:t>机制</w:t>
      </w:r>
      <w:r>
        <w:rPr>
          <w:rFonts w:hint="eastAsia" w:cs="Times New Roman"/>
          <w:color w:val="auto"/>
          <w:spacing w:val="0"/>
          <w:kern w:val="21"/>
          <w:sz w:val="32"/>
          <w:szCs w:val="32"/>
          <w:lang w:eastAsia="zh-CN"/>
        </w:rPr>
        <w:t>，大力发展以居家为基础的多样化养老服务，着力</w:t>
      </w:r>
      <w:r>
        <w:rPr>
          <w:rFonts w:hint="default" w:ascii="Times New Roman" w:hAnsi="Times New Roman" w:eastAsia="仿宋_GB2312" w:cs="Times New Roman"/>
          <w:color w:val="auto"/>
          <w:spacing w:val="0"/>
          <w:kern w:val="21"/>
          <w:sz w:val="32"/>
          <w:szCs w:val="32"/>
        </w:rPr>
        <w:t>完善街道（乡镇）、社区（村）养老服务网络。到2025年，全市建立家庭养老床位数不少于4000张，街道（乡镇）区域养老服务中心覆盖率达到60%以上，社区日间照料中心覆盖率达到90%以上。到2035年，实现社区（村）养老服务设施全覆盖。</w:t>
      </w:r>
      <w:r>
        <w:rPr>
          <w:rFonts w:hint="default" w:ascii="Times New Roman" w:hAnsi="Times New Roman" w:eastAsia="楷体_GB2312" w:cs="Times New Roman"/>
          <w:color w:val="auto"/>
          <w:spacing w:val="0"/>
          <w:kern w:val="21"/>
          <w:sz w:val="32"/>
          <w:szCs w:val="32"/>
        </w:rPr>
        <w:t>〔</w:t>
      </w:r>
      <w:r>
        <w:rPr>
          <w:rFonts w:hint="default" w:ascii="Times New Roman" w:hAnsi="Times New Roman" w:eastAsia="楷体" w:cs="Times New Roman"/>
          <w:b w:val="0"/>
          <w:bCs/>
          <w:color w:val="auto"/>
          <w:spacing w:val="0"/>
          <w:kern w:val="21"/>
          <w:sz w:val="32"/>
          <w:szCs w:val="32"/>
        </w:rPr>
        <w:t>市民政局、</w:t>
      </w:r>
      <w:r>
        <w:rPr>
          <w:rFonts w:hint="eastAsia" w:eastAsia="楷体" w:cs="Times New Roman"/>
          <w:b w:val="0"/>
          <w:bCs/>
          <w:color w:val="auto"/>
          <w:spacing w:val="0"/>
          <w:kern w:val="21"/>
          <w:sz w:val="32"/>
          <w:szCs w:val="32"/>
          <w:lang w:eastAsia="zh-CN"/>
        </w:rPr>
        <w:t>市文明办、市委社会工委、</w:t>
      </w:r>
      <w:r>
        <w:rPr>
          <w:rFonts w:hint="default" w:ascii="Times New Roman" w:hAnsi="Times New Roman" w:eastAsia="楷体" w:cs="Times New Roman"/>
          <w:b w:val="0"/>
          <w:bCs/>
          <w:color w:val="auto"/>
          <w:spacing w:val="0"/>
          <w:kern w:val="21"/>
          <w:sz w:val="32"/>
          <w:szCs w:val="32"/>
        </w:rPr>
        <w:t>市发展改革委、市财政局、市自然资源规划局、市住房城乡建设局、市卫生健康委等部门</w:t>
      </w:r>
      <w:r>
        <w:rPr>
          <w:rFonts w:hint="eastAsia" w:ascii="Times New Roman" w:hAnsi="Times New Roman" w:eastAsia="楷体_GB2312" w:cs="楷体_GB2312"/>
          <w:color w:val="auto"/>
          <w:spacing w:val="0"/>
          <w:kern w:val="21"/>
          <w:sz w:val="32"/>
          <w:szCs w:val="32"/>
          <w:lang w:val="en-US" w:eastAsia="zh-CN"/>
        </w:rPr>
        <w:t>，县（市）区、滇中新区、开发（度假）区、自贸试验（经济合作）区（以下简称“各县区”）按照职责分工负责。以下任务均需各县区负责，不再列出</w:t>
      </w:r>
      <w:r>
        <w:rPr>
          <w:rFonts w:hint="default" w:ascii="Times New Roman" w:hAnsi="Times New Roman" w:eastAsia="楷体_GB2312" w:cs="Times New Roman"/>
          <w:color w:val="auto"/>
          <w:spacing w:val="0"/>
          <w:kern w:val="21"/>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color w:val="auto"/>
          <w:spacing w:val="0"/>
          <w:kern w:val="21"/>
          <w:sz w:val="32"/>
          <w:szCs w:val="32"/>
        </w:rPr>
      </w:pPr>
      <w:r>
        <w:rPr>
          <w:rFonts w:hint="default" w:ascii="Times New Roman" w:hAnsi="Times New Roman" w:eastAsia="仿宋_GB2312" w:cs="Times New Roman"/>
          <w:b w:val="0"/>
          <w:bCs w:val="0"/>
          <w:color w:val="auto"/>
          <w:spacing w:val="0"/>
          <w:kern w:val="21"/>
          <w:sz w:val="32"/>
          <w:szCs w:val="32"/>
        </w:rPr>
        <w:t>2.增加养老服务设施供给。</w:t>
      </w:r>
      <w:r>
        <w:rPr>
          <w:rFonts w:hint="default" w:ascii="Times New Roman" w:hAnsi="Times New Roman" w:eastAsia="仿宋_GB2312" w:cs="Times New Roman"/>
          <w:color w:val="auto"/>
          <w:spacing w:val="0"/>
          <w:kern w:val="21"/>
          <w:sz w:val="32"/>
          <w:szCs w:val="32"/>
        </w:rPr>
        <w:t>完善落实新建城区、居住区和已建成老城区、居住区配套养老服务设施设置标准和实施细则</w:t>
      </w:r>
      <w:r>
        <w:rPr>
          <w:rFonts w:hint="eastAsia" w:cs="Times New Roman"/>
          <w:color w:val="auto"/>
          <w:spacing w:val="0"/>
          <w:kern w:val="21"/>
          <w:sz w:val="32"/>
          <w:szCs w:val="32"/>
          <w:lang w:eastAsia="zh-CN"/>
        </w:rPr>
        <w:t>，</w:t>
      </w:r>
      <w:r>
        <w:rPr>
          <w:rFonts w:hint="default" w:ascii="Times New Roman" w:hAnsi="Times New Roman" w:eastAsia="仿宋_GB2312" w:cs="Times New Roman"/>
          <w:color w:val="auto"/>
          <w:spacing w:val="0"/>
          <w:kern w:val="21"/>
          <w:sz w:val="32"/>
          <w:szCs w:val="32"/>
        </w:rPr>
        <w:t>不断加大投入，</w:t>
      </w:r>
      <w:r>
        <w:rPr>
          <w:rFonts w:hint="eastAsia" w:cs="Times New Roman"/>
          <w:color w:val="auto"/>
          <w:spacing w:val="0"/>
          <w:kern w:val="21"/>
          <w:sz w:val="32"/>
          <w:szCs w:val="32"/>
          <w:lang w:eastAsia="zh-CN"/>
        </w:rPr>
        <w:t>通过新建、改造、租赁等方式，</w:t>
      </w:r>
      <w:r>
        <w:rPr>
          <w:rFonts w:hint="default" w:ascii="Times New Roman" w:hAnsi="Times New Roman" w:eastAsia="仿宋_GB2312" w:cs="Times New Roman"/>
          <w:color w:val="auto"/>
          <w:spacing w:val="0"/>
          <w:kern w:val="21"/>
          <w:sz w:val="32"/>
          <w:szCs w:val="32"/>
        </w:rPr>
        <w:t>加强养老服务设施建设</w:t>
      </w:r>
      <w:r>
        <w:rPr>
          <w:rFonts w:hint="eastAsia" w:cs="Times New Roman"/>
          <w:color w:val="auto"/>
          <w:spacing w:val="0"/>
          <w:kern w:val="21"/>
          <w:sz w:val="32"/>
          <w:szCs w:val="32"/>
          <w:lang w:eastAsia="zh-CN"/>
        </w:rPr>
        <w:t>，并着力</w:t>
      </w:r>
      <w:r>
        <w:rPr>
          <w:rFonts w:hint="default" w:ascii="Times New Roman" w:hAnsi="Times New Roman" w:eastAsia="仿宋_GB2312" w:cs="Times New Roman"/>
          <w:color w:val="auto"/>
          <w:spacing w:val="0"/>
          <w:kern w:val="21"/>
          <w:sz w:val="32"/>
          <w:szCs w:val="32"/>
        </w:rPr>
        <w:t>推动老人、儿童服务设施集中布局、共建共享。到2025年，结合老旧小区改造等补建一批养老服务设施，“15分钟”居家养老服务圈逐步完善。深化公办养老机构改革，加强服务能力提升和护理型床位建设。加强光荣院建设，到2030年，努力建成满足退役军人及</w:t>
      </w:r>
      <w:r>
        <w:rPr>
          <w:rFonts w:hint="default" w:ascii="Times New Roman" w:hAnsi="Times New Roman" w:eastAsia="仿宋_GB2312" w:cs="Times New Roman"/>
          <w:color w:val="auto"/>
          <w:spacing w:val="0"/>
          <w:kern w:val="21"/>
          <w:sz w:val="32"/>
          <w:szCs w:val="32"/>
          <w:lang w:eastAsia="zh-CN"/>
        </w:rPr>
        <w:t>烈士遗属、因公牺牲军人遗属、病故军人遗属</w:t>
      </w:r>
      <w:r>
        <w:rPr>
          <w:rFonts w:hint="default" w:ascii="Times New Roman" w:hAnsi="Times New Roman" w:eastAsia="仿宋_GB2312" w:cs="Times New Roman"/>
          <w:color w:val="auto"/>
          <w:spacing w:val="0"/>
          <w:kern w:val="21"/>
          <w:sz w:val="32"/>
          <w:szCs w:val="32"/>
        </w:rPr>
        <w:t>集中供养条件的光荣院养老服务体系。</w:t>
      </w:r>
      <w:r>
        <w:rPr>
          <w:rFonts w:hint="default" w:ascii="Times New Roman" w:hAnsi="Times New Roman" w:eastAsia="楷体_GB2312" w:cs="Times New Roman"/>
          <w:color w:val="auto"/>
          <w:spacing w:val="0"/>
          <w:kern w:val="21"/>
          <w:sz w:val="32"/>
          <w:szCs w:val="32"/>
        </w:rPr>
        <w:t>〔市民政局、市退役军人局、市卫生健康委、市财政局、市自然资源规划局、市住房城乡建设局等部门按职责分工负责〕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color w:val="auto"/>
          <w:spacing w:val="0"/>
          <w:kern w:val="21"/>
          <w:sz w:val="32"/>
          <w:szCs w:val="32"/>
        </w:rPr>
      </w:pPr>
      <w:r>
        <w:rPr>
          <w:rFonts w:hint="default" w:ascii="Times New Roman" w:hAnsi="Times New Roman" w:eastAsia="仿宋_GB2312" w:cs="Times New Roman"/>
          <w:b w:val="0"/>
          <w:bCs w:val="0"/>
          <w:color w:val="auto"/>
          <w:spacing w:val="0"/>
          <w:kern w:val="21"/>
          <w:sz w:val="32"/>
          <w:szCs w:val="32"/>
        </w:rPr>
        <w:t>3.积极推动春城智慧健康养老服务发展。</w:t>
      </w:r>
      <w:r>
        <w:rPr>
          <w:rFonts w:hint="default" w:ascii="Times New Roman" w:hAnsi="Times New Roman" w:eastAsia="仿宋_GB2312" w:cs="Times New Roman"/>
          <w:color w:val="auto"/>
          <w:spacing w:val="0"/>
          <w:kern w:val="21"/>
          <w:sz w:val="32"/>
          <w:szCs w:val="32"/>
        </w:rPr>
        <w:t>推动互联网、</w:t>
      </w:r>
      <w:r>
        <w:rPr>
          <w:rFonts w:hint="eastAsia" w:cs="Times New Roman"/>
          <w:color w:val="auto"/>
          <w:spacing w:val="0"/>
          <w:kern w:val="21"/>
          <w:sz w:val="32"/>
          <w:szCs w:val="32"/>
          <w:lang w:eastAsia="zh-CN"/>
        </w:rPr>
        <w:t>大数据、</w:t>
      </w:r>
      <w:r>
        <w:rPr>
          <w:rFonts w:hint="default" w:ascii="Times New Roman" w:hAnsi="Times New Roman" w:eastAsia="仿宋_GB2312" w:cs="Times New Roman"/>
          <w:color w:val="auto"/>
          <w:spacing w:val="0"/>
          <w:kern w:val="21"/>
          <w:sz w:val="32"/>
          <w:szCs w:val="32"/>
        </w:rPr>
        <w:t>人工智能和健康养老产业深度融合，统筹</w:t>
      </w:r>
      <w:r>
        <w:rPr>
          <w:rFonts w:hint="eastAsia" w:cs="Times New Roman"/>
          <w:color w:val="auto"/>
          <w:spacing w:val="0"/>
          <w:kern w:val="21"/>
          <w:sz w:val="32"/>
          <w:szCs w:val="32"/>
          <w:lang w:eastAsia="zh-CN"/>
        </w:rPr>
        <w:t>建立</w:t>
      </w:r>
      <w:r>
        <w:rPr>
          <w:rFonts w:hint="default" w:ascii="Times New Roman" w:hAnsi="Times New Roman" w:eastAsia="仿宋_GB2312" w:cs="Times New Roman"/>
          <w:color w:val="auto"/>
          <w:spacing w:val="0"/>
          <w:kern w:val="21"/>
          <w:sz w:val="32"/>
          <w:szCs w:val="32"/>
        </w:rPr>
        <w:t>服务资源库，创新养老服务模式，全面提升智慧健康养老服务质量和供给能力</w:t>
      </w:r>
      <w:r>
        <w:rPr>
          <w:rFonts w:hint="eastAsia" w:cs="Times New Roman"/>
          <w:color w:val="auto"/>
          <w:spacing w:val="0"/>
          <w:kern w:val="21"/>
          <w:sz w:val="32"/>
          <w:szCs w:val="32"/>
          <w:lang w:eastAsia="zh-CN"/>
        </w:rPr>
        <w:t>，</w:t>
      </w:r>
      <w:r>
        <w:rPr>
          <w:rFonts w:hint="default" w:ascii="Times New Roman" w:hAnsi="Times New Roman" w:eastAsia="仿宋_GB2312" w:cs="Times New Roman"/>
          <w:color w:val="auto"/>
          <w:spacing w:val="0"/>
          <w:kern w:val="21"/>
          <w:sz w:val="32"/>
          <w:szCs w:val="32"/>
        </w:rPr>
        <w:t>为有需求老年人提供助餐、助浴、助医、康复照护等一体化养老服务</w:t>
      </w:r>
      <w:r>
        <w:rPr>
          <w:rFonts w:hint="eastAsia" w:cs="Times New Roman"/>
          <w:color w:val="auto"/>
          <w:spacing w:val="0"/>
          <w:kern w:val="21"/>
          <w:sz w:val="32"/>
          <w:szCs w:val="32"/>
          <w:lang w:eastAsia="zh-CN"/>
        </w:rPr>
        <w:t>，打造</w:t>
      </w:r>
      <w:r>
        <w:rPr>
          <w:rFonts w:hint="default" w:ascii="Times New Roman" w:hAnsi="Times New Roman" w:eastAsia="仿宋_GB2312" w:cs="Times New Roman"/>
          <w:color w:val="auto"/>
          <w:spacing w:val="0"/>
          <w:kern w:val="21"/>
          <w:sz w:val="32"/>
          <w:szCs w:val="32"/>
        </w:rPr>
        <w:t>一批智慧健康养老服务知名品牌。到2025年，建立覆盖市</w:t>
      </w:r>
      <w:r>
        <w:rPr>
          <w:rFonts w:hint="eastAsia" w:cs="Times New Roman"/>
          <w:color w:val="auto"/>
          <w:spacing w:val="0"/>
          <w:kern w:val="21"/>
          <w:sz w:val="32"/>
          <w:szCs w:val="32"/>
          <w:lang w:eastAsia="zh-CN"/>
        </w:rPr>
        <w:t>、</w:t>
      </w:r>
      <w:r>
        <w:rPr>
          <w:rFonts w:hint="default" w:ascii="Times New Roman" w:hAnsi="Times New Roman" w:eastAsia="仿宋_GB2312" w:cs="Times New Roman"/>
          <w:color w:val="auto"/>
          <w:spacing w:val="0"/>
          <w:kern w:val="21"/>
          <w:sz w:val="32"/>
          <w:szCs w:val="32"/>
        </w:rPr>
        <w:t>县</w:t>
      </w:r>
      <w:r>
        <w:rPr>
          <w:rFonts w:hint="eastAsia" w:cs="Times New Roman"/>
          <w:color w:val="auto"/>
          <w:spacing w:val="0"/>
          <w:kern w:val="21"/>
          <w:sz w:val="32"/>
          <w:szCs w:val="32"/>
          <w:lang w:eastAsia="zh-CN"/>
        </w:rPr>
        <w:t>、</w:t>
      </w:r>
      <w:r>
        <w:rPr>
          <w:rFonts w:hint="default" w:ascii="Times New Roman" w:hAnsi="Times New Roman" w:eastAsia="仿宋_GB2312" w:cs="Times New Roman"/>
          <w:color w:val="auto"/>
          <w:spacing w:val="0"/>
          <w:kern w:val="21"/>
          <w:sz w:val="32"/>
          <w:szCs w:val="32"/>
        </w:rPr>
        <w:t>乡</w:t>
      </w:r>
      <w:r>
        <w:rPr>
          <w:rFonts w:hint="eastAsia" w:cs="Times New Roman"/>
          <w:color w:val="auto"/>
          <w:spacing w:val="0"/>
          <w:kern w:val="21"/>
          <w:sz w:val="32"/>
          <w:szCs w:val="32"/>
          <w:lang w:eastAsia="zh-CN"/>
        </w:rPr>
        <w:t>、</w:t>
      </w:r>
      <w:r>
        <w:rPr>
          <w:rFonts w:hint="default" w:ascii="Times New Roman" w:hAnsi="Times New Roman" w:eastAsia="仿宋_GB2312" w:cs="Times New Roman"/>
          <w:color w:val="auto"/>
          <w:spacing w:val="0"/>
          <w:kern w:val="21"/>
          <w:sz w:val="32"/>
          <w:szCs w:val="32"/>
        </w:rPr>
        <w:t>村</w:t>
      </w:r>
      <w:r>
        <w:rPr>
          <w:rFonts w:hint="eastAsia" w:cs="Times New Roman"/>
          <w:color w:val="auto"/>
          <w:spacing w:val="0"/>
          <w:kern w:val="21"/>
          <w:sz w:val="32"/>
          <w:szCs w:val="32"/>
          <w:lang w:eastAsia="zh-CN"/>
        </w:rPr>
        <w:t>四级</w:t>
      </w:r>
      <w:r>
        <w:rPr>
          <w:rFonts w:hint="default" w:ascii="Times New Roman" w:hAnsi="Times New Roman" w:eastAsia="仿宋_GB2312" w:cs="Times New Roman"/>
          <w:color w:val="auto"/>
          <w:spacing w:val="0"/>
          <w:kern w:val="21"/>
          <w:sz w:val="32"/>
          <w:szCs w:val="32"/>
        </w:rPr>
        <w:t>春城智慧健康养老服务信息系统。</w:t>
      </w:r>
      <w:r>
        <w:rPr>
          <w:rFonts w:hint="default" w:ascii="Times New Roman" w:hAnsi="Times New Roman" w:eastAsia="楷体_GB2312" w:cs="Times New Roman"/>
          <w:color w:val="auto"/>
          <w:spacing w:val="0"/>
          <w:kern w:val="21"/>
          <w:sz w:val="32"/>
          <w:szCs w:val="32"/>
        </w:rPr>
        <w:t>〔市民政局、市工业和信息化局、市财政局、市卫生健康委、市医保局等部门按职责分工负责〕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color w:val="auto"/>
          <w:spacing w:val="0"/>
          <w:kern w:val="21"/>
          <w:sz w:val="32"/>
          <w:szCs w:val="32"/>
        </w:rPr>
      </w:pPr>
      <w:r>
        <w:rPr>
          <w:rFonts w:hint="default" w:ascii="Times New Roman" w:hAnsi="Times New Roman" w:eastAsia="仿宋_GB2312" w:cs="Times New Roman"/>
          <w:b w:val="0"/>
          <w:bCs w:val="0"/>
          <w:color w:val="auto"/>
          <w:spacing w:val="0"/>
          <w:kern w:val="21"/>
          <w:sz w:val="32"/>
          <w:szCs w:val="32"/>
        </w:rPr>
        <w:t>4.建立基本养老服务清单。</w:t>
      </w:r>
      <w:r>
        <w:rPr>
          <w:rFonts w:hint="default" w:ascii="Times New Roman" w:hAnsi="Times New Roman" w:eastAsia="仿宋_GB2312" w:cs="Times New Roman"/>
          <w:color w:val="auto"/>
          <w:spacing w:val="0"/>
          <w:kern w:val="21"/>
          <w:sz w:val="32"/>
          <w:szCs w:val="32"/>
        </w:rPr>
        <w:t>制定完善</w:t>
      </w:r>
      <w:r>
        <w:rPr>
          <w:rFonts w:hint="eastAsia" w:cs="Times New Roman"/>
          <w:color w:val="auto"/>
          <w:spacing w:val="0"/>
          <w:kern w:val="21"/>
          <w:sz w:val="32"/>
          <w:szCs w:val="32"/>
          <w:lang w:eastAsia="zh-CN"/>
        </w:rPr>
        <w:t>并动态调整</w:t>
      </w:r>
      <w:r>
        <w:rPr>
          <w:rFonts w:hint="default" w:ascii="Times New Roman" w:hAnsi="Times New Roman" w:eastAsia="仿宋_GB2312" w:cs="Times New Roman"/>
          <w:color w:val="auto"/>
          <w:spacing w:val="0"/>
          <w:kern w:val="21"/>
          <w:sz w:val="32"/>
          <w:szCs w:val="32"/>
        </w:rPr>
        <w:t>基本养老服务清单，明确服务对象、内容、标准和支出责任，</w:t>
      </w:r>
      <w:r>
        <w:rPr>
          <w:rFonts w:hint="eastAsia" w:cs="Times New Roman"/>
          <w:color w:val="auto"/>
          <w:spacing w:val="0"/>
          <w:kern w:val="21"/>
          <w:sz w:val="32"/>
          <w:szCs w:val="32"/>
          <w:lang w:eastAsia="zh-CN"/>
        </w:rPr>
        <w:t>为不同老年人群体</w:t>
      </w:r>
      <w:r>
        <w:rPr>
          <w:rFonts w:hint="default" w:ascii="Times New Roman" w:hAnsi="Times New Roman" w:eastAsia="仿宋_GB2312" w:cs="Times New Roman"/>
          <w:color w:val="auto"/>
          <w:spacing w:val="0"/>
          <w:kern w:val="21"/>
          <w:sz w:val="32"/>
          <w:szCs w:val="32"/>
        </w:rPr>
        <w:t>分类提供养老保障、生活照料、康复照护、社会救助等适宜服务</w:t>
      </w:r>
      <w:r>
        <w:rPr>
          <w:rFonts w:hint="eastAsia" w:cs="Times New Roman"/>
          <w:color w:val="auto"/>
          <w:spacing w:val="0"/>
          <w:kern w:val="21"/>
          <w:sz w:val="32"/>
          <w:szCs w:val="32"/>
          <w:lang w:eastAsia="zh-CN"/>
        </w:rPr>
        <w:t>。完善特困老年人供养服务制度，确保有集中供养意愿的老年人</w:t>
      </w:r>
      <w:r>
        <w:rPr>
          <w:rFonts w:hint="eastAsia" w:ascii="仿宋_GB2312" w:hAnsi="仿宋_GB2312" w:eastAsia="仿宋_GB2312" w:cs="仿宋_GB2312"/>
          <w:color w:val="auto"/>
          <w:spacing w:val="0"/>
          <w:kern w:val="21"/>
          <w:sz w:val="32"/>
          <w:szCs w:val="32"/>
          <w:lang w:eastAsia="zh-CN"/>
        </w:rPr>
        <w:t>“</w:t>
      </w:r>
      <w:r>
        <w:rPr>
          <w:rFonts w:hint="eastAsia" w:cs="Times New Roman"/>
          <w:color w:val="auto"/>
          <w:spacing w:val="0"/>
          <w:kern w:val="21"/>
          <w:sz w:val="32"/>
          <w:szCs w:val="32"/>
          <w:lang w:eastAsia="zh-CN"/>
        </w:rPr>
        <w:t>应</w:t>
      </w:r>
      <w:r>
        <w:rPr>
          <w:rFonts w:hint="default" w:ascii="Times New Roman" w:hAnsi="Times New Roman" w:eastAsia="仿宋_GB2312" w:cs="Times New Roman"/>
          <w:color w:val="auto"/>
          <w:spacing w:val="0"/>
          <w:kern w:val="21"/>
          <w:sz w:val="32"/>
          <w:szCs w:val="32"/>
        </w:rPr>
        <w:t>养尽养</w:t>
      </w:r>
      <w:r>
        <w:rPr>
          <w:rFonts w:hint="eastAsia" w:ascii="仿宋_GB2312" w:hAnsi="仿宋_GB2312" w:cs="仿宋_GB2312"/>
          <w:color w:val="auto"/>
          <w:spacing w:val="0"/>
          <w:kern w:val="21"/>
          <w:sz w:val="32"/>
          <w:szCs w:val="32"/>
          <w:lang w:eastAsia="zh-CN"/>
        </w:rPr>
        <w:t>、愿进全进”。落实经济困难老年人补贴制度，确保规范及时足额发放补贴</w:t>
      </w:r>
      <w:r>
        <w:rPr>
          <w:rFonts w:hint="default" w:ascii="Times New Roman" w:hAnsi="Times New Roman" w:eastAsia="仿宋_GB2312" w:cs="Times New Roman"/>
          <w:color w:val="auto"/>
          <w:spacing w:val="0"/>
          <w:kern w:val="21"/>
          <w:sz w:val="32"/>
          <w:szCs w:val="32"/>
        </w:rPr>
        <w:t>。建立老年人能力综合评估</w:t>
      </w:r>
      <w:r>
        <w:rPr>
          <w:rFonts w:hint="eastAsia" w:eastAsia="仿宋_GB2312" w:cs="Times New Roman"/>
          <w:color w:val="auto"/>
          <w:spacing w:val="0"/>
          <w:kern w:val="21"/>
          <w:sz w:val="32"/>
          <w:szCs w:val="32"/>
          <w:lang w:eastAsia="zh-CN"/>
        </w:rPr>
        <w:t>机制</w:t>
      </w:r>
      <w:r>
        <w:rPr>
          <w:rFonts w:hint="default" w:ascii="Times New Roman" w:hAnsi="Times New Roman" w:eastAsia="仿宋_GB2312" w:cs="Times New Roman"/>
          <w:color w:val="auto"/>
          <w:spacing w:val="0"/>
          <w:kern w:val="21"/>
          <w:sz w:val="32"/>
          <w:szCs w:val="32"/>
        </w:rPr>
        <w:t>，科学划分</w:t>
      </w:r>
      <w:r>
        <w:rPr>
          <w:rFonts w:hint="eastAsia" w:cs="Times New Roman"/>
          <w:color w:val="auto"/>
          <w:spacing w:val="0"/>
          <w:kern w:val="21"/>
          <w:sz w:val="32"/>
          <w:szCs w:val="32"/>
          <w:lang w:eastAsia="zh-CN"/>
        </w:rPr>
        <w:t>老年人</w:t>
      </w:r>
      <w:r>
        <w:rPr>
          <w:rFonts w:hint="default" w:ascii="Times New Roman" w:hAnsi="Times New Roman" w:eastAsia="仿宋_GB2312" w:cs="Times New Roman"/>
          <w:color w:val="auto"/>
          <w:spacing w:val="0"/>
          <w:kern w:val="21"/>
          <w:sz w:val="32"/>
          <w:szCs w:val="32"/>
        </w:rPr>
        <w:t>能力等级。</w:t>
      </w:r>
      <w:r>
        <w:rPr>
          <w:rFonts w:hint="default" w:ascii="Times New Roman" w:hAnsi="Times New Roman" w:eastAsia="楷体_GB2312" w:cs="Times New Roman"/>
          <w:color w:val="auto"/>
          <w:spacing w:val="0"/>
          <w:kern w:val="21"/>
          <w:sz w:val="32"/>
          <w:szCs w:val="32"/>
        </w:rPr>
        <w:t>〔市民政局、市卫生健康委等部门按职责分工负责〕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color w:val="auto"/>
          <w:spacing w:val="0"/>
          <w:kern w:val="21"/>
          <w:sz w:val="32"/>
          <w:szCs w:val="32"/>
        </w:rPr>
      </w:pPr>
      <w:r>
        <w:rPr>
          <w:rFonts w:hint="default" w:ascii="Times New Roman" w:hAnsi="Times New Roman" w:eastAsia="仿宋_GB2312" w:cs="Times New Roman"/>
          <w:b w:val="0"/>
          <w:bCs w:val="0"/>
          <w:color w:val="auto"/>
          <w:spacing w:val="0"/>
          <w:kern w:val="21"/>
          <w:sz w:val="32"/>
          <w:szCs w:val="32"/>
        </w:rPr>
        <w:t>5.提升机构养老服务质量。</w:t>
      </w:r>
      <w:r>
        <w:rPr>
          <w:rFonts w:hint="default" w:ascii="Times New Roman" w:hAnsi="Times New Roman" w:eastAsia="仿宋_GB2312" w:cs="Times New Roman"/>
          <w:color w:val="auto"/>
          <w:spacing w:val="0"/>
          <w:kern w:val="21"/>
          <w:sz w:val="32"/>
          <w:szCs w:val="32"/>
        </w:rPr>
        <w:t>公办养老机构优先接收和服务好经济困难的失能（失智）、孤寡、残疾、高龄老年人</w:t>
      </w:r>
      <w:r>
        <w:rPr>
          <w:rFonts w:hint="eastAsia" w:cs="Times New Roman"/>
          <w:color w:val="auto"/>
          <w:spacing w:val="0"/>
          <w:kern w:val="21"/>
          <w:sz w:val="32"/>
          <w:szCs w:val="32"/>
          <w:lang w:eastAsia="zh-CN"/>
        </w:rPr>
        <w:t>，</w:t>
      </w:r>
      <w:r>
        <w:rPr>
          <w:rFonts w:hint="default" w:ascii="Times New Roman" w:hAnsi="Times New Roman" w:eastAsia="仿宋_GB2312" w:cs="Times New Roman"/>
          <w:color w:val="auto"/>
          <w:spacing w:val="0"/>
          <w:kern w:val="21"/>
          <w:sz w:val="32"/>
          <w:szCs w:val="32"/>
        </w:rPr>
        <w:t>以及计划生育特殊家庭老年人、为社会作出重要贡献的老年人。建立健全养老服务标准和评价体系，探索制定养老机构预收服务费用管理制度。实施养老服务机构星级评定，加强养老服务综合监管，联合打击整治涉养老诈骗等违法活动。</w:t>
      </w:r>
      <w:r>
        <w:rPr>
          <w:rFonts w:hint="default" w:ascii="Times New Roman" w:hAnsi="Times New Roman" w:eastAsia="楷体_GB2312" w:cs="Times New Roman"/>
          <w:color w:val="auto"/>
          <w:spacing w:val="0"/>
          <w:kern w:val="21"/>
          <w:sz w:val="32"/>
          <w:szCs w:val="32"/>
        </w:rPr>
        <w:t>〔市民政局、市发展改革委、市市场监管局、市财政局、市卫生健康委、市住房城乡建设局、市公安局、市金融办等部门按职责分工负责〕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color w:val="auto"/>
          <w:spacing w:val="0"/>
          <w:kern w:val="21"/>
          <w:sz w:val="32"/>
          <w:szCs w:val="32"/>
        </w:rPr>
      </w:pPr>
      <w:r>
        <w:rPr>
          <w:rFonts w:hint="default" w:ascii="Times New Roman" w:hAnsi="Times New Roman" w:eastAsia="仿宋_GB2312" w:cs="Times New Roman"/>
          <w:b w:val="0"/>
          <w:bCs w:val="0"/>
          <w:color w:val="auto"/>
          <w:spacing w:val="0"/>
          <w:kern w:val="21"/>
          <w:sz w:val="32"/>
          <w:szCs w:val="32"/>
        </w:rPr>
        <w:t>6.构建多层次养老保障体系。</w:t>
      </w:r>
      <w:r>
        <w:rPr>
          <w:rFonts w:hint="default" w:ascii="Times New Roman" w:hAnsi="Times New Roman" w:eastAsia="仿宋_GB2312" w:cs="Times New Roman"/>
          <w:color w:val="auto"/>
          <w:spacing w:val="0"/>
          <w:kern w:val="21"/>
          <w:sz w:val="32"/>
          <w:szCs w:val="32"/>
        </w:rPr>
        <w:t>实施基本养老保险扩面增效专项行动，完善城乡居民基本养老保险制度，推动适龄参保人员应保尽保。到2025年基本养老保险参保率达到95%以上。落实基本养老保险待遇合理调整机制。大力推动企业（职业）年金提质扩面，鼓励发展第三支柱养老保险。完善基本医疗保险制度，</w:t>
      </w:r>
      <w:r>
        <w:rPr>
          <w:rFonts w:hint="eastAsia" w:cs="Times New Roman"/>
          <w:color w:val="auto"/>
          <w:spacing w:val="0"/>
          <w:kern w:val="21"/>
          <w:sz w:val="32"/>
          <w:szCs w:val="32"/>
          <w:lang w:eastAsia="zh-CN"/>
        </w:rPr>
        <w:t>做到</w:t>
      </w:r>
      <w:r>
        <w:rPr>
          <w:rFonts w:hint="default" w:ascii="Times New Roman" w:hAnsi="Times New Roman" w:eastAsia="仿宋_GB2312" w:cs="Times New Roman"/>
          <w:color w:val="auto"/>
          <w:spacing w:val="0"/>
          <w:kern w:val="21"/>
          <w:sz w:val="32"/>
          <w:szCs w:val="32"/>
        </w:rPr>
        <w:t>医保待遇政策继续向老年人倾斜。积极推进长期护理保险制度试点，建立完善适合</w:t>
      </w:r>
      <w:r>
        <w:rPr>
          <w:rFonts w:hint="eastAsia" w:eastAsia="仿宋_GB2312" w:cs="Times New Roman"/>
          <w:color w:val="auto"/>
          <w:spacing w:val="0"/>
          <w:kern w:val="21"/>
          <w:sz w:val="32"/>
          <w:szCs w:val="32"/>
          <w:lang w:eastAsia="zh-CN"/>
        </w:rPr>
        <w:t>昆明</w:t>
      </w:r>
      <w:r>
        <w:rPr>
          <w:rFonts w:hint="eastAsia" w:cs="Times New Roman"/>
          <w:color w:val="auto"/>
          <w:spacing w:val="0"/>
          <w:kern w:val="21"/>
          <w:sz w:val="32"/>
          <w:szCs w:val="32"/>
          <w:lang w:eastAsia="zh-CN"/>
        </w:rPr>
        <w:t>实际</w:t>
      </w:r>
      <w:r>
        <w:rPr>
          <w:rFonts w:hint="default" w:ascii="Times New Roman" w:hAnsi="Times New Roman" w:eastAsia="仿宋_GB2312" w:cs="Times New Roman"/>
          <w:color w:val="auto"/>
          <w:spacing w:val="0"/>
          <w:kern w:val="21"/>
          <w:sz w:val="32"/>
          <w:szCs w:val="32"/>
        </w:rPr>
        <w:t>的长期护理保险制度框架和政策体系。</w:t>
      </w:r>
      <w:r>
        <w:rPr>
          <w:rFonts w:hint="default" w:ascii="Times New Roman" w:hAnsi="Times New Roman" w:eastAsia="楷体_GB2312" w:cs="Times New Roman"/>
          <w:color w:val="auto"/>
          <w:spacing w:val="0"/>
          <w:kern w:val="21"/>
          <w:sz w:val="32"/>
          <w:szCs w:val="32"/>
        </w:rPr>
        <w:t>〔市人力资源社会保障局、市医保局、市民政局、市卫生健康委等部门按职责分工负责〕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color w:val="auto"/>
          <w:spacing w:val="0"/>
          <w:kern w:val="21"/>
          <w:sz w:val="32"/>
          <w:szCs w:val="32"/>
        </w:rPr>
      </w:pPr>
      <w:r>
        <w:rPr>
          <w:rFonts w:hint="default" w:ascii="Times New Roman" w:hAnsi="Times New Roman" w:eastAsia="楷体_GB2312" w:cs="Times New Roman"/>
          <w:color w:val="auto"/>
          <w:spacing w:val="0"/>
          <w:kern w:val="21"/>
          <w:sz w:val="32"/>
          <w:szCs w:val="32"/>
        </w:rPr>
        <w:t>（二）健全健康支撑体系，完善老有所医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color w:val="auto"/>
          <w:spacing w:val="0"/>
          <w:kern w:val="21"/>
          <w:sz w:val="32"/>
          <w:szCs w:val="32"/>
        </w:rPr>
      </w:pPr>
      <w:r>
        <w:rPr>
          <w:rFonts w:hint="default" w:ascii="Times New Roman" w:hAnsi="Times New Roman" w:eastAsia="仿宋_GB2312" w:cs="Times New Roman"/>
          <w:b w:val="0"/>
          <w:bCs w:val="0"/>
          <w:color w:val="auto"/>
          <w:spacing w:val="0"/>
          <w:kern w:val="21"/>
          <w:sz w:val="32"/>
          <w:szCs w:val="32"/>
        </w:rPr>
        <w:t>7.提升老年人健康服务质量和管理水平。</w:t>
      </w:r>
      <w:r>
        <w:rPr>
          <w:rFonts w:hint="eastAsia" w:cs="Times New Roman"/>
          <w:b w:val="0"/>
          <w:bCs w:val="0"/>
          <w:color w:val="auto"/>
          <w:spacing w:val="0"/>
          <w:kern w:val="21"/>
          <w:sz w:val="32"/>
          <w:szCs w:val="32"/>
          <w:lang w:eastAsia="zh-CN"/>
        </w:rPr>
        <w:t>宣传普及老年健康知识，重点在急救、慢病干预、健康指导等方面提升老年人健康素养。</w:t>
      </w:r>
      <w:r>
        <w:rPr>
          <w:rFonts w:hint="default" w:ascii="Times New Roman" w:hAnsi="Times New Roman" w:eastAsia="仿宋_GB2312" w:cs="Times New Roman"/>
          <w:color w:val="auto"/>
          <w:spacing w:val="0"/>
          <w:kern w:val="21"/>
          <w:sz w:val="32"/>
          <w:szCs w:val="32"/>
        </w:rPr>
        <w:t>建立完善健康教育、疾病诊治、康复护理、长期照护、安宁疗护等老年健康服务体系。做实老年人家庭医生签约服务，按规定做到应签尽签，支持基层医疗机构</w:t>
      </w:r>
      <w:r>
        <w:rPr>
          <w:rFonts w:hint="eastAsia" w:ascii="Times New Roman" w:hAnsi="Times New Roman" w:eastAsia="仿宋_GB2312" w:cs="Times New Roman"/>
          <w:color w:val="auto"/>
          <w:spacing w:val="0"/>
          <w:kern w:val="21"/>
          <w:sz w:val="32"/>
          <w:szCs w:val="32"/>
          <w:lang w:eastAsia="zh-CN"/>
        </w:rPr>
        <w:t>开展</w:t>
      </w:r>
      <w:r>
        <w:rPr>
          <w:rFonts w:hint="default" w:ascii="Times New Roman" w:hAnsi="Times New Roman" w:eastAsia="仿宋_GB2312" w:cs="Times New Roman"/>
          <w:color w:val="auto"/>
          <w:spacing w:val="0"/>
          <w:kern w:val="21"/>
          <w:sz w:val="32"/>
          <w:szCs w:val="32"/>
        </w:rPr>
        <w:t>老年人健康管理和中医药健康管理服务等基本</w:t>
      </w:r>
      <w:r>
        <w:rPr>
          <w:rFonts w:hint="eastAsia" w:cs="Times New Roman"/>
          <w:color w:val="auto"/>
          <w:spacing w:val="0"/>
          <w:kern w:val="21"/>
          <w:sz w:val="32"/>
          <w:szCs w:val="32"/>
          <w:lang w:eastAsia="zh-CN"/>
        </w:rPr>
        <w:t>公共卫生</w:t>
      </w:r>
      <w:r>
        <w:rPr>
          <w:rFonts w:hint="default" w:ascii="Times New Roman" w:hAnsi="Times New Roman" w:eastAsia="仿宋_GB2312" w:cs="Times New Roman"/>
          <w:color w:val="auto"/>
          <w:spacing w:val="0"/>
          <w:kern w:val="21"/>
          <w:sz w:val="32"/>
          <w:szCs w:val="32"/>
        </w:rPr>
        <w:t>服务项目，到2025年，</w:t>
      </w:r>
      <w:r>
        <w:rPr>
          <w:rFonts w:hint="eastAsia" w:ascii="Times New Roman" w:hAnsi="Times New Roman" w:eastAsia="仿宋_GB2312" w:cs="Times New Roman"/>
          <w:color w:val="auto"/>
          <w:spacing w:val="0"/>
          <w:kern w:val="21"/>
          <w:sz w:val="32"/>
          <w:szCs w:val="32"/>
          <w:lang w:eastAsia="zh-CN"/>
        </w:rPr>
        <w:t>对</w:t>
      </w:r>
      <w:r>
        <w:rPr>
          <w:rFonts w:hint="default" w:ascii="Times New Roman" w:hAnsi="Times New Roman" w:eastAsia="仿宋_GB2312" w:cs="Times New Roman"/>
          <w:color w:val="auto"/>
          <w:spacing w:val="0"/>
          <w:kern w:val="21"/>
          <w:sz w:val="32"/>
          <w:szCs w:val="32"/>
        </w:rPr>
        <w:t>基本养老服务对象和高龄独居老年人实现全覆盖，老年人健康管理服务率达到65%以上。加强老年人群慢性病筛查、干预和指导。加强老年健康促进行动</w:t>
      </w:r>
      <w:r>
        <w:rPr>
          <w:rFonts w:hint="eastAsia" w:ascii="Times New Roman" w:hAnsi="Times New Roman" w:eastAsia="仿宋_GB2312" w:cs="Times New Roman"/>
          <w:color w:val="auto"/>
          <w:spacing w:val="0"/>
          <w:kern w:val="21"/>
          <w:sz w:val="32"/>
          <w:szCs w:val="32"/>
          <w:lang w:eastAsia="zh-CN"/>
        </w:rPr>
        <w:t>的</w:t>
      </w:r>
      <w:r>
        <w:rPr>
          <w:rFonts w:hint="default" w:ascii="Times New Roman" w:hAnsi="Times New Roman" w:eastAsia="仿宋_GB2312" w:cs="Times New Roman"/>
          <w:color w:val="auto"/>
          <w:spacing w:val="0"/>
          <w:kern w:val="21"/>
          <w:sz w:val="32"/>
          <w:szCs w:val="32"/>
        </w:rPr>
        <w:t>品牌培育及项目推进。</w:t>
      </w:r>
      <w:r>
        <w:rPr>
          <w:rFonts w:hint="default" w:ascii="Times New Roman" w:hAnsi="Times New Roman" w:eastAsia="楷体_GB2312" w:cs="Times New Roman"/>
          <w:color w:val="auto"/>
          <w:spacing w:val="0"/>
          <w:kern w:val="21"/>
          <w:sz w:val="32"/>
          <w:szCs w:val="32"/>
        </w:rPr>
        <w:t>〔市卫生健康委、市民政局、市财政局、市医保局等部门按职责分工负责〕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color w:val="auto"/>
          <w:spacing w:val="0"/>
          <w:kern w:val="21"/>
          <w:sz w:val="32"/>
          <w:szCs w:val="32"/>
        </w:rPr>
      </w:pPr>
      <w:r>
        <w:rPr>
          <w:rFonts w:hint="default" w:ascii="Times New Roman" w:hAnsi="Times New Roman" w:eastAsia="仿宋_GB2312" w:cs="Times New Roman"/>
          <w:b w:val="0"/>
          <w:bCs w:val="0"/>
          <w:color w:val="auto"/>
          <w:spacing w:val="0"/>
          <w:kern w:val="21"/>
          <w:sz w:val="32"/>
          <w:szCs w:val="32"/>
        </w:rPr>
        <w:t>8.加强老年人医疗服务能力建设</w:t>
      </w:r>
      <w:r>
        <w:rPr>
          <w:rFonts w:hint="eastAsia" w:eastAsia="仿宋_GB2312" w:cs="Times New Roman"/>
          <w:b w:val="0"/>
          <w:bCs w:val="0"/>
          <w:color w:val="auto"/>
          <w:spacing w:val="0"/>
          <w:kern w:val="21"/>
          <w:sz w:val="32"/>
          <w:szCs w:val="32"/>
          <w:lang w:eastAsia="zh-CN"/>
        </w:rPr>
        <w:t>。</w:t>
      </w:r>
      <w:r>
        <w:rPr>
          <w:rFonts w:hint="default" w:ascii="Times New Roman" w:hAnsi="Times New Roman" w:eastAsia="仿宋_GB2312" w:cs="Times New Roman"/>
          <w:color w:val="auto"/>
          <w:spacing w:val="0"/>
          <w:kern w:val="21"/>
          <w:sz w:val="32"/>
          <w:szCs w:val="32"/>
        </w:rPr>
        <w:t>支持医疗机构提供上门巡诊、居家护理、家庭病床等居家医疗服务，按规定报销相关医疗费用，按成本收取上门服务费。加大老年医院、康复医院、护理院（站）以及优抚医院建设</w:t>
      </w:r>
      <w:r>
        <w:rPr>
          <w:rFonts w:hint="eastAsia" w:cs="Times New Roman"/>
          <w:color w:val="auto"/>
          <w:spacing w:val="0"/>
          <w:kern w:val="21"/>
          <w:sz w:val="32"/>
          <w:szCs w:val="32"/>
          <w:lang w:eastAsia="zh-CN"/>
        </w:rPr>
        <w:t>，</w:t>
      </w:r>
      <w:r>
        <w:rPr>
          <w:rFonts w:hint="default" w:ascii="Times New Roman" w:hAnsi="Times New Roman" w:eastAsia="仿宋_GB2312" w:cs="Times New Roman"/>
          <w:color w:val="auto"/>
          <w:spacing w:val="0"/>
          <w:kern w:val="21"/>
          <w:sz w:val="32"/>
          <w:szCs w:val="32"/>
        </w:rPr>
        <w:t>建立</w:t>
      </w:r>
      <w:r>
        <w:rPr>
          <w:rFonts w:hint="eastAsia" w:cs="Times New Roman"/>
          <w:color w:val="auto"/>
          <w:spacing w:val="0"/>
          <w:kern w:val="21"/>
          <w:sz w:val="32"/>
          <w:szCs w:val="32"/>
          <w:lang w:eastAsia="zh-CN"/>
        </w:rPr>
        <w:t>完善</w:t>
      </w:r>
      <w:r>
        <w:rPr>
          <w:rFonts w:hint="default" w:ascii="Times New Roman" w:hAnsi="Times New Roman" w:eastAsia="仿宋_GB2312" w:cs="Times New Roman"/>
          <w:color w:val="auto"/>
          <w:spacing w:val="0"/>
          <w:kern w:val="21"/>
          <w:sz w:val="32"/>
          <w:szCs w:val="32"/>
        </w:rPr>
        <w:t>医疗、康复、护理一体化服务模式，</w:t>
      </w:r>
      <w:r>
        <w:rPr>
          <w:rFonts w:hint="eastAsia" w:cs="Times New Roman"/>
          <w:color w:val="auto"/>
          <w:spacing w:val="0"/>
          <w:kern w:val="21"/>
          <w:sz w:val="32"/>
          <w:szCs w:val="32"/>
          <w:lang w:eastAsia="zh-CN"/>
        </w:rPr>
        <w:t>推动</w:t>
      </w:r>
      <w:r>
        <w:rPr>
          <w:rFonts w:hint="default" w:ascii="Times New Roman" w:hAnsi="Times New Roman" w:eastAsia="仿宋_GB2312" w:cs="Times New Roman"/>
          <w:color w:val="auto"/>
          <w:spacing w:val="0"/>
          <w:kern w:val="21"/>
          <w:sz w:val="32"/>
          <w:szCs w:val="32"/>
        </w:rPr>
        <w:t>老年医院、护理院（站）、安宁疗护中心（病区）服务质量提升</w:t>
      </w:r>
      <w:r>
        <w:rPr>
          <w:rFonts w:hint="eastAsia" w:cs="Times New Roman"/>
          <w:color w:val="auto"/>
          <w:spacing w:val="0"/>
          <w:kern w:val="21"/>
          <w:sz w:val="32"/>
          <w:szCs w:val="32"/>
          <w:lang w:eastAsia="zh-CN"/>
        </w:rPr>
        <w:t>。</w:t>
      </w:r>
      <w:r>
        <w:rPr>
          <w:rFonts w:hint="eastAsia" w:eastAsia="仿宋_GB2312" w:cs="Times New Roman"/>
          <w:color w:val="auto"/>
          <w:spacing w:val="0"/>
          <w:kern w:val="21"/>
          <w:sz w:val="32"/>
          <w:szCs w:val="32"/>
          <w:lang w:eastAsia="zh-CN"/>
        </w:rPr>
        <w:t>加强</w:t>
      </w:r>
      <w:r>
        <w:rPr>
          <w:rFonts w:hint="default" w:ascii="Times New Roman" w:hAnsi="Times New Roman" w:eastAsia="仿宋_GB2312" w:cs="Times New Roman"/>
          <w:color w:val="auto"/>
          <w:spacing w:val="0"/>
          <w:kern w:val="21"/>
          <w:sz w:val="32"/>
          <w:szCs w:val="32"/>
        </w:rPr>
        <w:t>老年医学人才培训。到2025年每个县区至少有1所县级公立医院设置康复医学科（门诊）、建成1个护理院（站）；二级及以上综合性医院设立老年医学科</w:t>
      </w:r>
      <w:r>
        <w:rPr>
          <w:rFonts w:hint="eastAsia" w:cs="Times New Roman"/>
          <w:color w:val="auto"/>
          <w:spacing w:val="0"/>
          <w:kern w:val="21"/>
          <w:sz w:val="32"/>
          <w:szCs w:val="32"/>
          <w:lang w:eastAsia="zh-CN"/>
        </w:rPr>
        <w:t>比例</w:t>
      </w:r>
      <w:r>
        <w:rPr>
          <w:rFonts w:hint="default" w:ascii="Times New Roman" w:hAnsi="Times New Roman" w:eastAsia="仿宋_GB2312" w:cs="Times New Roman"/>
          <w:color w:val="auto"/>
          <w:spacing w:val="0"/>
          <w:kern w:val="21"/>
          <w:sz w:val="32"/>
          <w:szCs w:val="32"/>
        </w:rPr>
        <w:t>达60%以上、三级中医医院设置康复科</w:t>
      </w:r>
      <w:r>
        <w:rPr>
          <w:rFonts w:hint="eastAsia" w:cs="Times New Roman"/>
          <w:color w:val="auto"/>
          <w:spacing w:val="0"/>
          <w:kern w:val="21"/>
          <w:sz w:val="32"/>
          <w:szCs w:val="32"/>
          <w:lang w:eastAsia="zh-CN"/>
        </w:rPr>
        <w:t>比例</w:t>
      </w:r>
      <w:r>
        <w:rPr>
          <w:rFonts w:hint="default" w:ascii="Times New Roman" w:hAnsi="Times New Roman" w:eastAsia="仿宋_GB2312" w:cs="Times New Roman"/>
          <w:color w:val="auto"/>
          <w:spacing w:val="0"/>
          <w:kern w:val="21"/>
          <w:sz w:val="32"/>
          <w:szCs w:val="32"/>
        </w:rPr>
        <w:t>达85%以上；90%以上的综合性医院、康复医院、护理院和基层医疗机构成为老年友善医疗机构。</w:t>
      </w:r>
      <w:r>
        <w:rPr>
          <w:rFonts w:hint="default" w:ascii="Times New Roman" w:hAnsi="Times New Roman" w:eastAsia="楷体_GB2312" w:cs="Times New Roman"/>
          <w:color w:val="auto"/>
          <w:spacing w:val="0"/>
          <w:kern w:val="21"/>
          <w:sz w:val="32"/>
          <w:szCs w:val="32"/>
        </w:rPr>
        <w:t>〔市卫生健康委、市发展改革委、市民政局、市财政局、市医保局等部门按职责分工负责〕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color w:val="auto"/>
          <w:spacing w:val="0"/>
          <w:kern w:val="21"/>
          <w:sz w:val="32"/>
          <w:szCs w:val="32"/>
        </w:rPr>
      </w:pPr>
      <w:r>
        <w:rPr>
          <w:rFonts w:hint="default" w:ascii="Times New Roman" w:hAnsi="Times New Roman" w:eastAsia="仿宋_GB2312" w:cs="Times New Roman"/>
          <w:b w:val="0"/>
          <w:bCs w:val="0"/>
          <w:color w:val="auto"/>
          <w:spacing w:val="0"/>
          <w:kern w:val="21"/>
          <w:sz w:val="32"/>
          <w:szCs w:val="32"/>
        </w:rPr>
        <w:t>9.加强失能老年人长期照护服务和保障。</w:t>
      </w:r>
      <w:r>
        <w:rPr>
          <w:rFonts w:hint="default" w:ascii="Times New Roman" w:hAnsi="Times New Roman" w:eastAsia="仿宋_GB2312" w:cs="Times New Roman"/>
          <w:color w:val="auto"/>
          <w:spacing w:val="0"/>
          <w:kern w:val="21"/>
          <w:sz w:val="32"/>
          <w:szCs w:val="32"/>
        </w:rPr>
        <w:t>支持基层医疗机构及医养结合机构开展长期照护服务，探索建立延伸到社区、家庭的长期照护服务模式。积极推进医联体、</w:t>
      </w:r>
      <w:r>
        <w:rPr>
          <w:rFonts w:hint="default" w:ascii="仿宋_GB2312" w:hAnsi="仿宋_GB2312" w:eastAsia="仿宋_GB2312" w:cs="仿宋_GB2312"/>
          <w:color w:val="auto"/>
          <w:spacing w:val="0"/>
          <w:kern w:val="21"/>
          <w:sz w:val="32"/>
          <w:szCs w:val="32"/>
        </w:rPr>
        <w:t>“</w:t>
      </w:r>
      <w:r>
        <w:rPr>
          <w:rFonts w:hint="default" w:ascii="Times New Roman" w:hAnsi="Times New Roman" w:eastAsia="仿宋_GB2312" w:cs="Times New Roman"/>
          <w:color w:val="auto"/>
          <w:spacing w:val="0"/>
          <w:kern w:val="21"/>
          <w:sz w:val="32"/>
          <w:szCs w:val="32"/>
        </w:rPr>
        <w:t>互联网+医疗健康</w:t>
      </w:r>
      <w:r>
        <w:rPr>
          <w:rFonts w:hint="default" w:ascii="仿宋_GB2312" w:hAnsi="仿宋_GB2312" w:eastAsia="仿宋_GB2312" w:cs="仿宋_GB2312"/>
          <w:color w:val="auto"/>
          <w:spacing w:val="0"/>
          <w:kern w:val="21"/>
          <w:sz w:val="32"/>
          <w:szCs w:val="32"/>
        </w:rPr>
        <w:t>”</w:t>
      </w:r>
      <w:r>
        <w:rPr>
          <w:rFonts w:hint="default" w:ascii="Times New Roman" w:hAnsi="Times New Roman" w:eastAsia="仿宋_GB2312" w:cs="Times New Roman"/>
          <w:color w:val="auto"/>
          <w:spacing w:val="0"/>
          <w:kern w:val="21"/>
          <w:sz w:val="32"/>
          <w:szCs w:val="32"/>
        </w:rPr>
        <w:t>、</w:t>
      </w:r>
      <w:r>
        <w:rPr>
          <w:rFonts w:hint="default" w:ascii="仿宋_GB2312" w:hAnsi="仿宋_GB2312" w:eastAsia="仿宋_GB2312" w:cs="仿宋_GB2312"/>
          <w:color w:val="auto"/>
          <w:spacing w:val="0"/>
          <w:kern w:val="21"/>
          <w:sz w:val="32"/>
          <w:szCs w:val="32"/>
        </w:rPr>
        <w:t>“</w:t>
      </w:r>
      <w:r>
        <w:rPr>
          <w:rFonts w:hint="default" w:ascii="Times New Roman" w:hAnsi="Times New Roman" w:eastAsia="仿宋_GB2312" w:cs="Times New Roman"/>
          <w:color w:val="auto"/>
          <w:spacing w:val="0"/>
          <w:kern w:val="21"/>
          <w:sz w:val="32"/>
          <w:szCs w:val="32"/>
        </w:rPr>
        <w:t>互联网+护理服务</w:t>
      </w:r>
      <w:r>
        <w:rPr>
          <w:rFonts w:hint="default" w:ascii="仿宋_GB2312" w:hAnsi="仿宋_GB2312" w:eastAsia="仿宋_GB2312" w:cs="仿宋_GB2312"/>
          <w:color w:val="auto"/>
          <w:spacing w:val="0"/>
          <w:kern w:val="21"/>
          <w:sz w:val="32"/>
          <w:szCs w:val="32"/>
        </w:rPr>
        <w:t>”</w:t>
      </w:r>
      <w:r>
        <w:rPr>
          <w:rFonts w:hint="default" w:ascii="Times New Roman" w:hAnsi="Times New Roman" w:eastAsia="仿宋_GB2312" w:cs="Times New Roman"/>
          <w:color w:val="auto"/>
          <w:spacing w:val="0"/>
          <w:kern w:val="21"/>
          <w:sz w:val="32"/>
          <w:szCs w:val="32"/>
        </w:rPr>
        <w:t>、远程医疗等医疗模式发展，因地制宜开展家庭病床服务试点，</w:t>
      </w:r>
      <w:r>
        <w:rPr>
          <w:rFonts w:hint="eastAsia" w:cs="Times New Roman"/>
          <w:color w:val="auto"/>
          <w:spacing w:val="0"/>
          <w:kern w:val="21"/>
          <w:sz w:val="32"/>
          <w:szCs w:val="32"/>
          <w:lang w:eastAsia="zh-CN"/>
        </w:rPr>
        <w:t>探索推行上门巡诊，</w:t>
      </w:r>
      <w:r>
        <w:rPr>
          <w:rFonts w:hint="default" w:ascii="Times New Roman" w:hAnsi="Times New Roman" w:eastAsia="仿宋_GB2312" w:cs="Times New Roman"/>
          <w:color w:val="auto"/>
          <w:spacing w:val="0"/>
          <w:kern w:val="21"/>
          <w:sz w:val="32"/>
          <w:szCs w:val="32"/>
        </w:rPr>
        <w:t>将医疗服务延伸到居家、养老机构等，为老年人提供便利医疗服务。</w:t>
      </w:r>
      <w:r>
        <w:rPr>
          <w:rFonts w:hint="eastAsia" w:cs="Times New Roman"/>
          <w:color w:val="auto"/>
          <w:spacing w:val="0"/>
          <w:kern w:val="21"/>
          <w:sz w:val="32"/>
          <w:szCs w:val="32"/>
          <w:lang w:eastAsia="zh-CN"/>
        </w:rPr>
        <w:t>鼓励失能（失智）老年人家庭成员积极参加照护知识等相关培训。</w:t>
      </w:r>
      <w:r>
        <w:rPr>
          <w:rFonts w:hint="default" w:ascii="Times New Roman" w:hAnsi="Times New Roman" w:eastAsia="楷体_GB2312" w:cs="Times New Roman"/>
          <w:color w:val="auto"/>
          <w:spacing w:val="0"/>
          <w:kern w:val="21"/>
          <w:sz w:val="32"/>
          <w:szCs w:val="32"/>
        </w:rPr>
        <w:t>〔市卫生健康委、市民政局、市财政局、市医保局、市人力资源社会保障局等部门按职责分工负责〕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color w:val="auto"/>
          <w:spacing w:val="0"/>
          <w:kern w:val="21"/>
          <w:sz w:val="32"/>
          <w:szCs w:val="32"/>
        </w:rPr>
      </w:pPr>
      <w:r>
        <w:rPr>
          <w:rFonts w:hint="default" w:ascii="Times New Roman" w:hAnsi="Times New Roman" w:eastAsia="仿宋_GB2312" w:cs="Times New Roman"/>
          <w:b w:val="0"/>
          <w:bCs w:val="0"/>
          <w:color w:val="auto"/>
          <w:spacing w:val="0"/>
          <w:kern w:val="21"/>
          <w:sz w:val="32"/>
          <w:szCs w:val="32"/>
        </w:rPr>
        <w:t>10.推进医养结合深入发展。</w:t>
      </w:r>
      <w:r>
        <w:rPr>
          <w:rFonts w:hint="default" w:ascii="Times New Roman" w:hAnsi="Times New Roman" w:eastAsia="仿宋_GB2312" w:cs="Times New Roman"/>
          <w:color w:val="auto"/>
          <w:spacing w:val="0"/>
          <w:kern w:val="21"/>
          <w:sz w:val="32"/>
          <w:szCs w:val="32"/>
        </w:rPr>
        <w:t>创新发展</w:t>
      </w:r>
      <w:r>
        <w:rPr>
          <w:rFonts w:hint="eastAsia" w:eastAsia="仿宋_GB2312" w:cs="Times New Roman"/>
          <w:color w:val="auto"/>
          <w:spacing w:val="0"/>
          <w:kern w:val="21"/>
          <w:sz w:val="32"/>
          <w:szCs w:val="32"/>
          <w:lang w:eastAsia="zh-CN"/>
        </w:rPr>
        <w:t>“</w:t>
      </w:r>
      <w:r>
        <w:rPr>
          <w:rFonts w:hint="default" w:ascii="Times New Roman" w:hAnsi="Times New Roman" w:eastAsia="仿宋_GB2312" w:cs="Times New Roman"/>
          <w:color w:val="auto"/>
          <w:spacing w:val="0"/>
          <w:kern w:val="21"/>
          <w:sz w:val="32"/>
          <w:szCs w:val="32"/>
        </w:rPr>
        <w:t>三体一式一型</w:t>
      </w:r>
      <w:r>
        <w:rPr>
          <w:rFonts w:hint="eastAsia" w:ascii="仿宋_GB2312" w:hAnsi="仿宋_GB2312" w:eastAsia="仿宋_GB2312" w:cs="仿宋_GB2312"/>
          <w:color w:val="auto"/>
          <w:spacing w:val="0"/>
          <w:kern w:val="21"/>
          <w:sz w:val="32"/>
          <w:szCs w:val="32"/>
          <w:lang w:eastAsia="zh-CN"/>
        </w:rPr>
        <w:t>”</w:t>
      </w:r>
      <w:r>
        <w:rPr>
          <w:rFonts w:hint="default" w:ascii="Times New Roman" w:hAnsi="Times New Roman" w:eastAsia="仿宋_GB2312" w:cs="Times New Roman"/>
          <w:color w:val="auto"/>
          <w:spacing w:val="0"/>
          <w:kern w:val="21"/>
          <w:sz w:val="32"/>
          <w:szCs w:val="32"/>
        </w:rPr>
        <w:t>医养结合工作模式</w:t>
      </w:r>
      <w:r>
        <w:rPr>
          <w:rFonts w:hint="eastAsia" w:cs="Times New Roman"/>
          <w:color w:val="auto"/>
          <w:spacing w:val="0"/>
          <w:kern w:val="21"/>
          <w:sz w:val="32"/>
          <w:szCs w:val="32"/>
          <w:lang w:eastAsia="zh-CN"/>
        </w:rPr>
        <w:t>，开展形式多样的医养结合服务，扩大居家社区医养结合服务供给。</w:t>
      </w:r>
      <w:r>
        <w:rPr>
          <w:rFonts w:hint="default" w:ascii="Times New Roman" w:hAnsi="Times New Roman" w:eastAsia="仿宋_GB2312" w:cs="Times New Roman"/>
          <w:color w:val="auto"/>
          <w:spacing w:val="0"/>
          <w:kern w:val="21"/>
          <w:sz w:val="32"/>
          <w:szCs w:val="32"/>
        </w:rPr>
        <w:t>推动社区医养结合服务能力提升，为符合条件的老年人提供慢病长处方服务和居家医疗服务。推进医疗机构与养老机构开展协议合作，基层医疗机构建立日常医疗服务与辖区养老服务机构融合工作机制和服务模式。到2025年，实现养老机构和医疗机构100%签约。支持二级及以下医疗机构转型开展康复、护理及医养结合服务</w:t>
      </w:r>
      <w:r>
        <w:rPr>
          <w:rFonts w:hint="eastAsia" w:cs="Times New Roman"/>
          <w:color w:val="auto"/>
          <w:spacing w:val="0"/>
          <w:kern w:val="21"/>
          <w:sz w:val="32"/>
          <w:szCs w:val="32"/>
          <w:lang w:eastAsia="zh-CN"/>
        </w:rPr>
        <w:t>，</w:t>
      </w:r>
      <w:r>
        <w:rPr>
          <w:rFonts w:hint="default" w:ascii="Times New Roman" w:hAnsi="Times New Roman" w:eastAsia="仿宋_GB2312" w:cs="Times New Roman"/>
          <w:color w:val="auto"/>
          <w:spacing w:val="0"/>
          <w:kern w:val="21"/>
          <w:sz w:val="32"/>
          <w:szCs w:val="32"/>
        </w:rPr>
        <w:t>支持养老机构内设医疗机构，实现</w:t>
      </w:r>
      <w:r>
        <w:rPr>
          <w:rFonts w:hint="default" w:ascii="仿宋_GB2312" w:hAnsi="仿宋_GB2312" w:eastAsia="仿宋_GB2312" w:cs="仿宋_GB2312"/>
          <w:color w:val="auto"/>
          <w:spacing w:val="0"/>
          <w:kern w:val="21"/>
          <w:sz w:val="32"/>
          <w:szCs w:val="32"/>
          <w:lang w:eastAsia="zh-CN"/>
        </w:rPr>
        <w:t>“</w:t>
      </w:r>
      <w:r>
        <w:rPr>
          <w:rFonts w:hint="default" w:ascii="Times New Roman" w:hAnsi="Times New Roman" w:eastAsia="仿宋_GB2312" w:cs="Times New Roman"/>
          <w:color w:val="auto"/>
          <w:spacing w:val="0"/>
          <w:kern w:val="21"/>
          <w:sz w:val="32"/>
          <w:szCs w:val="32"/>
        </w:rPr>
        <w:t>养中有医、医中有养</w:t>
      </w:r>
      <w:r>
        <w:rPr>
          <w:rFonts w:hint="eastAsia" w:ascii="仿宋_GB2312" w:hAnsi="仿宋_GB2312" w:eastAsia="仿宋_GB2312" w:cs="仿宋_GB2312"/>
          <w:color w:val="auto"/>
          <w:spacing w:val="0"/>
          <w:kern w:val="21"/>
          <w:sz w:val="32"/>
          <w:szCs w:val="32"/>
          <w:lang w:eastAsia="zh-CN"/>
        </w:rPr>
        <w:t>”</w:t>
      </w:r>
      <w:r>
        <w:rPr>
          <w:rFonts w:hint="default" w:eastAsia="仿宋_GB2312" w:cs="Times New Roman"/>
          <w:color w:val="auto"/>
          <w:spacing w:val="0"/>
          <w:kern w:val="21"/>
          <w:sz w:val="32"/>
          <w:szCs w:val="32"/>
          <w:lang w:eastAsia="zh-CN"/>
        </w:rPr>
        <w:t>。</w:t>
      </w:r>
      <w:r>
        <w:rPr>
          <w:rFonts w:hint="default" w:ascii="Times New Roman" w:hAnsi="Times New Roman" w:eastAsia="仿宋_GB2312" w:cs="Times New Roman"/>
          <w:color w:val="auto"/>
          <w:spacing w:val="0"/>
          <w:kern w:val="21"/>
          <w:sz w:val="32"/>
          <w:szCs w:val="32"/>
          <w:lang w:val="zh-TW" w:eastAsia="zh-TW"/>
        </w:rPr>
        <w:t>探索乡镇卫生院、农村敬老院一体化建设、运行，实现能养老、可看病；</w:t>
      </w:r>
      <w:r>
        <w:rPr>
          <w:rFonts w:hint="default" w:ascii="Times New Roman" w:hAnsi="Times New Roman" w:eastAsia="仿宋_GB2312" w:cs="Times New Roman"/>
          <w:color w:val="auto"/>
          <w:spacing w:val="0"/>
          <w:kern w:val="21"/>
          <w:sz w:val="32"/>
          <w:szCs w:val="32"/>
        </w:rPr>
        <w:t>探索医养结合机构养老床位和医疗床位按需规范转换机制，建立</w:t>
      </w:r>
      <w:r>
        <w:rPr>
          <w:rFonts w:hint="eastAsia" w:eastAsia="仿宋_GB2312" w:cs="Times New Roman"/>
          <w:color w:val="auto"/>
          <w:spacing w:val="0"/>
          <w:kern w:val="21"/>
          <w:sz w:val="32"/>
          <w:szCs w:val="32"/>
          <w:lang w:eastAsia="zh-CN"/>
        </w:rPr>
        <w:t>“</w:t>
      </w:r>
      <w:r>
        <w:rPr>
          <w:rFonts w:hint="default" w:ascii="Times New Roman" w:hAnsi="Times New Roman" w:eastAsia="仿宋_GB2312" w:cs="Times New Roman"/>
          <w:color w:val="auto"/>
          <w:spacing w:val="0"/>
          <w:kern w:val="21"/>
          <w:sz w:val="32"/>
          <w:szCs w:val="32"/>
        </w:rPr>
        <w:t>医养一体</w:t>
      </w:r>
      <w:r>
        <w:rPr>
          <w:rFonts w:hint="eastAsia" w:ascii="汉仪大黑简" w:hAnsi="汉仪大黑简" w:eastAsia="汉仪大黑简" w:cs="汉仪大黑简"/>
          <w:color w:val="auto"/>
          <w:spacing w:val="0"/>
          <w:kern w:val="21"/>
          <w:sz w:val="32"/>
          <w:szCs w:val="32"/>
          <w:lang w:val="en-US" w:eastAsia="zh-CN"/>
        </w:rPr>
        <w:t>·</w:t>
      </w:r>
      <w:r>
        <w:rPr>
          <w:rFonts w:hint="default" w:ascii="Times New Roman" w:hAnsi="Times New Roman" w:eastAsia="仿宋_GB2312" w:cs="Times New Roman"/>
          <w:color w:val="auto"/>
          <w:spacing w:val="0"/>
          <w:kern w:val="21"/>
          <w:sz w:val="32"/>
          <w:szCs w:val="32"/>
        </w:rPr>
        <w:t>两院融合</w:t>
      </w:r>
      <w:r>
        <w:rPr>
          <w:rFonts w:hint="eastAsia" w:ascii="仿宋_GB2312" w:hAnsi="仿宋_GB2312" w:eastAsia="仿宋_GB2312" w:cs="仿宋_GB2312"/>
          <w:color w:val="auto"/>
          <w:spacing w:val="0"/>
          <w:kern w:val="21"/>
          <w:sz w:val="32"/>
          <w:szCs w:val="32"/>
          <w:lang w:eastAsia="zh-CN"/>
        </w:rPr>
        <w:t>”</w:t>
      </w:r>
      <w:r>
        <w:rPr>
          <w:rFonts w:hint="default" w:ascii="Times New Roman" w:hAnsi="Times New Roman" w:eastAsia="仿宋_GB2312" w:cs="Times New Roman"/>
          <w:color w:val="auto"/>
          <w:spacing w:val="0"/>
          <w:kern w:val="21"/>
          <w:sz w:val="32"/>
          <w:szCs w:val="32"/>
        </w:rPr>
        <w:t>模式。支持社会力量举办医养结合机构，</w:t>
      </w:r>
      <w:r>
        <w:rPr>
          <w:rFonts w:hint="eastAsia" w:cs="Times New Roman"/>
          <w:color w:val="auto"/>
          <w:spacing w:val="0"/>
          <w:kern w:val="21"/>
          <w:sz w:val="32"/>
          <w:szCs w:val="32"/>
          <w:lang w:eastAsia="zh-CN"/>
        </w:rPr>
        <w:t>可</w:t>
      </w:r>
      <w:r>
        <w:rPr>
          <w:rFonts w:hint="default" w:ascii="Times New Roman" w:hAnsi="Times New Roman" w:eastAsia="仿宋_GB2312" w:cs="Times New Roman"/>
          <w:color w:val="auto"/>
          <w:spacing w:val="0"/>
          <w:kern w:val="21"/>
          <w:sz w:val="32"/>
          <w:szCs w:val="32"/>
        </w:rPr>
        <w:t>按要求申请签订医疗保险定点服务协议。到2025年，每个县区至少建成1家医养结合机构，全市创建一批省级医养结合优质服务单位和基层医养结合示范机构。</w:t>
      </w:r>
      <w:r>
        <w:rPr>
          <w:rFonts w:hint="default" w:ascii="Times New Roman" w:hAnsi="Times New Roman" w:eastAsia="楷体_GB2312" w:cs="Times New Roman"/>
          <w:color w:val="auto"/>
          <w:spacing w:val="0"/>
          <w:kern w:val="21"/>
          <w:sz w:val="32"/>
          <w:szCs w:val="32"/>
        </w:rPr>
        <w:t>〔市卫生健康委、市发展改革委、市民政局、市财政局、市医保局等部门按职责分工负责〕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color w:val="auto"/>
          <w:spacing w:val="0"/>
          <w:kern w:val="21"/>
          <w:sz w:val="32"/>
          <w:szCs w:val="32"/>
        </w:rPr>
      </w:pPr>
      <w:r>
        <w:rPr>
          <w:rFonts w:hint="default" w:ascii="Times New Roman" w:hAnsi="Times New Roman" w:eastAsia="仿宋_GB2312" w:cs="Times New Roman"/>
          <w:b w:val="0"/>
          <w:bCs w:val="0"/>
          <w:color w:val="auto"/>
          <w:spacing w:val="0"/>
          <w:kern w:val="21"/>
          <w:sz w:val="32"/>
          <w:szCs w:val="32"/>
        </w:rPr>
        <w:t>11.建立完善安宁疗护服务体系。</w:t>
      </w:r>
      <w:r>
        <w:rPr>
          <w:rFonts w:hint="default" w:ascii="Times New Roman" w:hAnsi="Times New Roman" w:eastAsia="仿宋_GB2312" w:cs="Times New Roman"/>
          <w:color w:val="auto"/>
          <w:spacing w:val="0"/>
          <w:kern w:val="21"/>
          <w:sz w:val="32"/>
          <w:szCs w:val="32"/>
        </w:rPr>
        <w:t>稳步推进安宁疗护试点，</w:t>
      </w:r>
      <w:r>
        <w:rPr>
          <w:rFonts w:hint="eastAsia" w:cs="Times New Roman"/>
          <w:color w:val="auto"/>
          <w:spacing w:val="0"/>
          <w:kern w:val="21"/>
          <w:sz w:val="32"/>
          <w:szCs w:val="32"/>
          <w:lang w:eastAsia="zh-CN"/>
        </w:rPr>
        <w:t>加强</w:t>
      </w:r>
      <w:r>
        <w:rPr>
          <w:rFonts w:hint="default" w:ascii="Times New Roman" w:hAnsi="Times New Roman" w:eastAsia="仿宋_GB2312" w:cs="Times New Roman"/>
          <w:color w:val="auto"/>
          <w:spacing w:val="0"/>
          <w:kern w:val="21"/>
          <w:sz w:val="32"/>
          <w:szCs w:val="32"/>
        </w:rPr>
        <w:t>安宁疗护规范化、标准化建设。二级以上医疗机构可设立安宁疗护病区，基层医疗机构可增加安宁疗护床位</w:t>
      </w:r>
      <w:r>
        <w:rPr>
          <w:rFonts w:hint="eastAsia" w:cs="Times New Roman"/>
          <w:color w:val="auto"/>
          <w:spacing w:val="0"/>
          <w:kern w:val="21"/>
          <w:sz w:val="32"/>
          <w:szCs w:val="32"/>
          <w:lang w:eastAsia="zh-CN"/>
        </w:rPr>
        <w:t>、</w:t>
      </w:r>
      <w:r>
        <w:rPr>
          <w:rFonts w:hint="default" w:ascii="Times New Roman" w:hAnsi="Times New Roman" w:eastAsia="仿宋_GB2312" w:cs="Times New Roman"/>
          <w:color w:val="auto"/>
          <w:spacing w:val="0"/>
          <w:kern w:val="21"/>
          <w:sz w:val="32"/>
          <w:szCs w:val="32"/>
        </w:rPr>
        <w:t>设置家庭病床，医养结合机构可开设安宁疗护病区或床位，为老年人提供安宁疗护服务。推动安宁疗护服务人文关怀等项目纳入收费范围，探索安宁疗护按床日付费制度等。</w:t>
      </w:r>
      <w:r>
        <w:rPr>
          <w:rFonts w:hint="default" w:ascii="Times New Roman" w:hAnsi="Times New Roman" w:eastAsia="楷体_GB2312" w:cs="Times New Roman"/>
          <w:color w:val="auto"/>
          <w:spacing w:val="0"/>
          <w:kern w:val="21"/>
          <w:sz w:val="32"/>
          <w:szCs w:val="32"/>
        </w:rPr>
        <w:t>〔市卫生健康委、市发展改革委、市民政局、市财政局、市医保局等部门按职责分工负责〕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color w:val="auto"/>
          <w:spacing w:val="0"/>
          <w:kern w:val="21"/>
          <w:sz w:val="32"/>
          <w:szCs w:val="32"/>
        </w:rPr>
      </w:pPr>
      <w:r>
        <w:rPr>
          <w:rFonts w:hint="default" w:ascii="Times New Roman" w:hAnsi="Times New Roman" w:eastAsia="楷体_GB2312" w:cs="Times New Roman"/>
          <w:color w:val="auto"/>
          <w:spacing w:val="0"/>
          <w:kern w:val="21"/>
          <w:sz w:val="32"/>
          <w:szCs w:val="32"/>
        </w:rPr>
        <w:t>（三）大力支持老年人社会参与，实现老有所为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color w:val="auto"/>
          <w:spacing w:val="0"/>
          <w:kern w:val="21"/>
          <w:sz w:val="32"/>
          <w:szCs w:val="32"/>
        </w:rPr>
      </w:pPr>
      <w:r>
        <w:rPr>
          <w:rFonts w:hint="default" w:ascii="Times New Roman" w:hAnsi="Times New Roman" w:eastAsia="仿宋_GB2312" w:cs="Times New Roman"/>
          <w:b w:val="0"/>
          <w:bCs w:val="0"/>
          <w:color w:val="auto"/>
          <w:spacing w:val="0"/>
          <w:kern w:val="21"/>
          <w:sz w:val="32"/>
          <w:szCs w:val="32"/>
        </w:rPr>
        <w:t>12.扩大老年教育资源供给。</w:t>
      </w:r>
      <w:r>
        <w:rPr>
          <w:rFonts w:hint="default" w:ascii="Times New Roman" w:hAnsi="Times New Roman" w:eastAsia="仿宋_GB2312" w:cs="Times New Roman"/>
          <w:color w:val="auto"/>
          <w:spacing w:val="0"/>
          <w:kern w:val="21"/>
          <w:sz w:val="32"/>
          <w:szCs w:val="32"/>
        </w:rPr>
        <w:t>加快推进老年教育发展，将老年教育纳入终身教育体系。建立完善</w:t>
      </w:r>
      <w:r>
        <w:rPr>
          <w:rFonts w:hint="default" w:ascii="仿宋_GB2312" w:hAnsi="仿宋_GB2312" w:eastAsia="仿宋_GB2312" w:cs="仿宋_GB2312"/>
          <w:color w:val="auto"/>
          <w:spacing w:val="0"/>
          <w:kern w:val="21"/>
          <w:sz w:val="32"/>
          <w:szCs w:val="32"/>
          <w:lang w:eastAsia="zh-CN"/>
        </w:rPr>
        <w:t>“</w:t>
      </w:r>
      <w:r>
        <w:rPr>
          <w:rFonts w:hint="default" w:ascii="Times New Roman" w:hAnsi="Times New Roman" w:eastAsia="仿宋_GB2312" w:cs="Times New Roman"/>
          <w:color w:val="auto"/>
          <w:spacing w:val="0"/>
          <w:kern w:val="21"/>
          <w:sz w:val="32"/>
          <w:szCs w:val="32"/>
        </w:rPr>
        <w:t>互联网+老年教育</w:t>
      </w:r>
      <w:r>
        <w:rPr>
          <w:rFonts w:hint="default" w:ascii="仿宋_GB2312" w:hAnsi="仿宋_GB2312" w:eastAsia="仿宋_GB2312" w:cs="仿宋_GB2312"/>
          <w:color w:val="auto"/>
          <w:spacing w:val="0"/>
          <w:kern w:val="21"/>
          <w:sz w:val="32"/>
          <w:szCs w:val="32"/>
          <w:lang w:eastAsia="zh-CN"/>
        </w:rPr>
        <w:t>”</w:t>
      </w:r>
      <w:r>
        <w:rPr>
          <w:rFonts w:hint="default" w:ascii="Times New Roman" w:hAnsi="Times New Roman" w:eastAsia="仿宋_GB2312" w:cs="Times New Roman"/>
          <w:color w:val="auto"/>
          <w:spacing w:val="0"/>
          <w:kern w:val="21"/>
          <w:sz w:val="32"/>
          <w:szCs w:val="32"/>
        </w:rPr>
        <w:t>服务模式，鼓励开展在线老年教育，探索体验式学习等新模式</w:t>
      </w:r>
      <w:r>
        <w:rPr>
          <w:rFonts w:hint="eastAsia" w:cs="Times New Roman"/>
          <w:color w:val="auto"/>
          <w:spacing w:val="0"/>
          <w:kern w:val="21"/>
          <w:sz w:val="32"/>
          <w:szCs w:val="32"/>
          <w:lang w:eastAsia="zh-CN"/>
        </w:rPr>
        <w:t>。整合用好现有老年大学资源，</w:t>
      </w:r>
      <w:r>
        <w:rPr>
          <w:rFonts w:hint="default" w:ascii="Times New Roman" w:hAnsi="Times New Roman" w:eastAsia="仿宋_GB2312" w:cs="Times New Roman"/>
          <w:color w:val="auto"/>
          <w:spacing w:val="0"/>
          <w:kern w:val="21"/>
          <w:sz w:val="32"/>
          <w:szCs w:val="32"/>
        </w:rPr>
        <w:t>鼓励社会力量开办老年大学，建设一批</w:t>
      </w:r>
      <w:r>
        <w:rPr>
          <w:rFonts w:hint="default" w:ascii="仿宋_GB2312" w:hAnsi="仿宋_GB2312" w:eastAsia="仿宋_GB2312" w:cs="仿宋_GB2312"/>
          <w:color w:val="auto"/>
          <w:spacing w:val="0"/>
          <w:kern w:val="21"/>
          <w:sz w:val="32"/>
          <w:szCs w:val="32"/>
          <w:lang w:eastAsia="zh-CN"/>
        </w:rPr>
        <w:t>“</w:t>
      </w:r>
      <w:r>
        <w:rPr>
          <w:rFonts w:hint="default" w:ascii="Times New Roman" w:hAnsi="Times New Roman" w:eastAsia="仿宋_GB2312" w:cs="Times New Roman"/>
          <w:color w:val="auto"/>
          <w:spacing w:val="0"/>
          <w:kern w:val="21"/>
          <w:sz w:val="32"/>
          <w:szCs w:val="32"/>
        </w:rPr>
        <w:t>家门口</w:t>
      </w:r>
      <w:r>
        <w:rPr>
          <w:rFonts w:hint="default" w:ascii="仿宋_GB2312" w:hAnsi="仿宋_GB2312" w:eastAsia="仿宋_GB2312" w:cs="仿宋_GB2312"/>
          <w:color w:val="auto"/>
          <w:spacing w:val="0"/>
          <w:kern w:val="21"/>
          <w:sz w:val="32"/>
          <w:szCs w:val="32"/>
          <w:lang w:eastAsia="zh-CN"/>
        </w:rPr>
        <w:t>”</w:t>
      </w:r>
      <w:r>
        <w:rPr>
          <w:rFonts w:hint="default" w:ascii="Times New Roman" w:hAnsi="Times New Roman" w:eastAsia="仿宋_GB2312" w:cs="Times New Roman"/>
          <w:color w:val="auto"/>
          <w:spacing w:val="0"/>
          <w:kern w:val="21"/>
          <w:sz w:val="32"/>
          <w:szCs w:val="32"/>
        </w:rPr>
        <w:t>老年大学</w:t>
      </w:r>
      <w:r>
        <w:rPr>
          <w:rFonts w:hint="eastAsia" w:cs="Times New Roman"/>
          <w:color w:val="auto"/>
          <w:spacing w:val="0"/>
          <w:kern w:val="21"/>
          <w:sz w:val="32"/>
          <w:szCs w:val="32"/>
          <w:lang w:eastAsia="zh-CN"/>
        </w:rPr>
        <w:t>，完善覆盖到社区（村）的老年教育服务体系</w:t>
      </w:r>
      <w:r>
        <w:rPr>
          <w:rFonts w:hint="default" w:ascii="Times New Roman" w:hAnsi="Times New Roman" w:eastAsia="仿宋_GB2312" w:cs="Times New Roman"/>
          <w:color w:val="auto"/>
          <w:spacing w:val="0"/>
          <w:kern w:val="21"/>
          <w:sz w:val="32"/>
          <w:szCs w:val="32"/>
        </w:rPr>
        <w:t>。推进养教一体化，</w:t>
      </w:r>
      <w:r>
        <w:rPr>
          <w:rFonts w:hint="eastAsia" w:cs="Times New Roman"/>
          <w:color w:val="auto"/>
          <w:spacing w:val="0"/>
          <w:kern w:val="21"/>
          <w:sz w:val="32"/>
          <w:szCs w:val="32"/>
          <w:lang w:eastAsia="zh-CN"/>
        </w:rPr>
        <w:t>探索在养老服务机构中设立学习场所、配备教学设备，通过开设课程、举办讲座、组织交流等形式，丰富老年人精神文化生活</w:t>
      </w:r>
      <w:r>
        <w:rPr>
          <w:rFonts w:hint="default" w:ascii="Times New Roman" w:hAnsi="Times New Roman" w:eastAsia="仿宋_GB2312" w:cs="Times New Roman"/>
          <w:color w:val="auto"/>
          <w:spacing w:val="0"/>
          <w:kern w:val="21"/>
          <w:sz w:val="32"/>
          <w:szCs w:val="32"/>
        </w:rPr>
        <w:t>。到2025年，每个县区至少建有1所老年大学，70%以上的街道（乡镇）设有分校（学校）、50%以上的社区（村）设有学习点。</w:t>
      </w:r>
      <w:r>
        <w:rPr>
          <w:rFonts w:hint="default" w:ascii="Times New Roman" w:hAnsi="Times New Roman" w:eastAsia="楷体_GB2312" w:cs="Times New Roman"/>
          <w:color w:val="auto"/>
          <w:spacing w:val="0"/>
          <w:kern w:val="21"/>
          <w:sz w:val="32"/>
          <w:szCs w:val="32"/>
        </w:rPr>
        <w:t>〔市教育体育局、市委老干部局、</w:t>
      </w:r>
      <w:r>
        <w:rPr>
          <w:rFonts w:hint="default" w:ascii="Times New Roman" w:hAnsi="Times New Roman" w:eastAsia="楷体_GB2312" w:cs="Times New Roman"/>
          <w:b w:val="0"/>
          <w:bCs w:val="0"/>
          <w:color w:val="auto"/>
          <w:spacing w:val="0"/>
          <w:kern w:val="21"/>
          <w:sz w:val="32"/>
          <w:szCs w:val="32"/>
        </w:rPr>
        <w:t>市老龄办、</w:t>
      </w:r>
      <w:r>
        <w:rPr>
          <w:rFonts w:hint="default" w:ascii="Times New Roman" w:hAnsi="Times New Roman" w:eastAsia="楷体_GB2312" w:cs="Times New Roman"/>
          <w:color w:val="auto"/>
          <w:spacing w:val="0"/>
          <w:kern w:val="21"/>
          <w:sz w:val="32"/>
          <w:szCs w:val="32"/>
        </w:rPr>
        <w:t>市民政局等部门按职责分工负责〕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color w:val="auto"/>
          <w:spacing w:val="0"/>
          <w:kern w:val="21"/>
          <w:sz w:val="32"/>
          <w:szCs w:val="32"/>
        </w:rPr>
      </w:pPr>
      <w:r>
        <w:rPr>
          <w:rFonts w:hint="default" w:ascii="Times New Roman" w:hAnsi="Times New Roman" w:eastAsia="仿宋_GB2312" w:cs="Times New Roman"/>
          <w:b w:val="0"/>
          <w:bCs w:val="0"/>
          <w:color w:val="auto"/>
          <w:spacing w:val="0"/>
          <w:kern w:val="21"/>
          <w:sz w:val="32"/>
          <w:szCs w:val="32"/>
        </w:rPr>
        <w:t>13.提升老年文化体育服务水平。</w:t>
      </w:r>
      <w:r>
        <w:rPr>
          <w:rFonts w:hint="default" w:ascii="Times New Roman" w:hAnsi="Times New Roman" w:eastAsia="仿宋_GB2312" w:cs="Times New Roman"/>
          <w:color w:val="auto"/>
          <w:spacing w:val="0"/>
          <w:kern w:val="21"/>
          <w:sz w:val="32"/>
          <w:szCs w:val="32"/>
        </w:rPr>
        <w:t>鼓励以捐赠赞助等方式加强老年人身边的体育场地和设施建设。各县区应盘活闲置资源，设置适宜老年人</w:t>
      </w:r>
      <w:r>
        <w:rPr>
          <w:rFonts w:hint="eastAsia" w:cs="Times New Roman"/>
          <w:color w:val="auto"/>
          <w:spacing w:val="0"/>
          <w:kern w:val="21"/>
          <w:sz w:val="32"/>
          <w:szCs w:val="32"/>
          <w:lang w:eastAsia="zh-CN"/>
        </w:rPr>
        <w:t>的</w:t>
      </w:r>
      <w:r>
        <w:rPr>
          <w:rFonts w:hint="default" w:ascii="Times New Roman" w:hAnsi="Times New Roman" w:eastAsia="仿宋_GB2312" w:cs="Times New Roman"/>
          <w:color w:val="auto"/>
          <w:spacing w:val="0"/>
          <w:kern w:val="21"/>
          <w:sz w:val="32"/>
          <w:szCs w:val="32"/>
        </w:rPr>
        <w:t>教育、健身、交流场所。支持社区为老年人提供文化体育活动场所，推动体卫融合，推广养生健身操。</w:t>
      </w:r>
      <w:r>
        <w:rPr>
          <w:rFonts w:hint="eastAsia" w:cs="Times New Roman"/>
          <w:color w:val="auto"/>
          <w:spacing w:val="0"/>
          <w:kern w:val="21"/>
          <w:sz w:val="32"/>
          <w:szCs w:val="32"/>
          <w:lang w:eastAsia="zh-CN"/>
        </w:rPr>
        <w:t>文化和旅游</w:t>
      </w:r>
      <w:r>
        <w:rPr>
          <w:rFonts w:hint="default" w:ascii="Times New Roman" w:hAnsi="Times New Roman" w:eastAsia="仿宋_GB2312" w:cs="Times New Roman"/>
          <w:color w:val="auto"/>
          <w:spacing w:val="0"/>
          <w:kern w:val="21"/>
          <w:sz w:val="32"/>
          <w:szCs w:val="32"/>
        </w:rPr>
        <w:t>、</w:t>
      </w:r>
      <w:r>
        <w:rPr>
          <w:rFonts w:hint="eastAsia" w:cs="Times New Roman"/>
          <w:color w:val="auto"/>
          <w:spacing w:val="0"/>
          <w:kern w:val="21"/>
          <w:sz w:val="32"/>
          <w:szCs w:val="32"/>
          <w:lang w:eastAsia="zh-CN"/>
        </w:rPr>
        <w:t>教育体育</w:t>
      </w:r>
      <w:r>
        <w:rPr>
          <w:rFonts w:hint="default" w:ascii="Times New Roman" w:hAnsi="Times New Roman" w:eastAsia="仿宋_GB2312" w:cs="Times New Roman"/>
          <w:color w:val="auto"/>
          <w:spacing w:val="0"/>
          <w:kern w:val="21"/>
          <w:sz w:val="32"/>
          <w:szCs w:val="32"/>
        </w:rPr>
        <w:t>等部门创新发展老年休闲体育</w:t>
      </w:r>
      <w:r>
        <w:rPr>
          <w:rFonts w:hint="eastAsia" w:cs="Times New Roman"/>
          <w:color w:val="auto"/>
          <w:spacing w:val="0"/>
          <w:kern w:val="21"/>
          <w:sz w:val="32"/>
          <w:szCs w:val="32"/>
          <w:lang w:eastAsia="zh-CN"/>
        </w:rPr>
        <w:t>，注重培养老年人文体骨干</w:t>
      </w:r>
      <w:r>
        <w:rPr>
          <w:rFonts w:hint="default" w:ascii="Times New Roman" w:hAnsi="Times New Roman" w:eastAsia="仿宋_GB2312" w:cs="Times New Roman"/>
          <w:color w:val="auto"/>
          <w:spacing w:val="0"/>
          <w:kern w:val="21"/>
          <w:sz w:val="32"/>
          <w:szCs w:val="32"/>
        </w:rPr>
        <w:t>，加强文体活动组织、规范和管理，开发</w:t>
      </w:r>
      <w:r>
        <w:rPr>
          <w:rFonts w:hint="eastAsia" w:cs="Times New Roman"/>
          <w:color w:val="auto"/>
          <w:spacing w:val="0"/>
          <w:kern w:val="21"/>
          <w:sz w:val="32"/>
          <w:szCs w:val="32"/>
          <w:lang w:eastAsia="zh-CN"/>
        </w:rPr>
        <w:t>一批</w:t>
      </w:r>
      <w:r>
        <w:rPr>
          <w:rFonts w:hint="default" w:ascii="Times New Roman" w:hAnsi="Times New Roman" w:eastAsia="仿宋_GB2312" w:cs="Times New Roman"/>
          <w:color w:val="auto"/>
          <w:spacing w:val="0"/>
          <w:kern w:val="21"/>
          <w:sz w:val="32"/>
          <w:szCs w:val="32"/>
        </w:rPr>
        <w:t>怀旧、红色旅游等适宜老年</w:t>
      </w:r>
      <w:r>
        <w:rPr>
          <w:rFonts w:hint="eastAsia" w:cs="Times New Roman"/>
          <w:color w:val="auto"/>
          <w:spacing w:val="0"/>
          <w:kern w:val="21"/>
          <w:sz w:val="32"/>
          <w:szCs w:val="32"/>
          <w:lang w:eastAsia="zh-CN"/>
        </w:rPr>
        <w:t>人的</w:t>
      </w:r>
      <w:r>
        <w:rPr>
          <w:rFonts w:hint="default" w:ascii="Times New Roman" w:hAnsi="Times New Roman" w:eastAsia="仿宋_GB2312" w:cs="Times New Roman"/>
          <w:color w:val="auto"/>
          <w:spacing w:val="0"/>
          <w:kern w:val="21"/>
          <w:sz w:val="32"/>
          <w:szCs w:val="32"/>
        </w:rPr>
        <w:t>旅游产品和线路。</w:t>
      </w:r>
      <w:r>
        <w:rPr>
          <w:rFonts w:hint="default" w:ascii="Times New Roman" w:hAnsi="Times New Roman" w:eastAsia="楷体_GB2312" w:cs="Times New Roman"/>
          <w:color w:val="auto"/>
          <w:spacing w:val="0"/>
          <w:kern w:val="21"/>
          <w:sz w:val="32"/>
          <w:szCs w:val="32"/>
        </w:rPr>
        <w:t>〔市教育体育局、市文化和旅游局、市委老干部局、市卫生健康委、市民政局等部门按职责分工负责〕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color w:val="auto"/>
          <w:spacing w:val="0"/>
          <w:kern w:val="21"/>
          <w:sz w:val="32"/>
          <w:szCs w:val="32"/>
        </w:rPr>
      </w:pPr>
      <w:r>
        <w:rPr>
          <w:rFonts w:hint="default" w:ascii="Times New Roman" w:hAnsi="Times New Roman" w:eastAsia="仿宋_GB2312" w:cs="Times New Roman"/>
          <w:b w:val="0"/>
          <w:bCs w:val="0"/>
          <w:color w:val="auto"/>
          <w:spacing w:val="0"/>
          <w:kern w:val="21"/>
          <w:sz w:val="32"/>
          <w:szCs w:val="32"/>
        </w:rPr>
        <w:t>14.引导老年人践行积极老龄观。</w:t>
      </w:r>
      <w:r>
        <w:rPr>
          <w:rFonts w:hint="default" w:ascii="Times New Roman" w:hAnsi="Times New Roman" w:eastAsia="仿宋_GB2312" w:cs="Times New Roman"/>
          <w:color w:val="auto"/>
          <w:spacing w:val="0"/>
          <w:kern w:val="21"/>
          <w:sz w:val="32"/>
          <w:szCs w:val="32"/>
        </w:rPr>
        <w:t>建立完善老年人就业、志愿服务等政策措施，鼓励老年人自主就业。在教育</w:t>
      </w:r>
      <w:r>
        <w:rPr>
          <w:rFonts w:hint="eastAsia" w:cs="Times New Roman"/>
          <w:color w:val="auto"/>
          <w:spacing w:val="0"/>
          <w:kern w:val="21"/>
          <w:sz w:val="32"/>
          <w:szCs w:val="32"/>
          <w:lang w:eastAsia="zh-CN"/>
        </w:rPr>
        <w:t>体育</w:t>
      </w:r>
      <w:r>
        <w:rPr>
          <w:rFonts w:hint="default" w:ascii="Times New Roman" w:hAnsi="Times New Roman" w:eastAsia="仿宋_GB2312" w:cs="Times New Roman"/>
          <w:color w:val="auto"/>
          <w:spacing w:val="0"/>
          <w:kern w:val="21"/>
          <w:sz w:val="32"/>
          <w:szCs w:val="32"/>
        </w:rPr>
        <w:t>、卫生健康等行业探索老年人灵活就业模式。鼓励街道</w:t>
      </w:r>
      <w:r>
        <w:rPr>
          <w:rFonts w:hint="eastAsia" w:cs="Times New Roman"/>
          <w:color w:val="auto"/>
          <w:spacing w:val="0"/>
          <w:kern w:val="21"/>
          <w:sz w:val="32"/>
          <w:szCs w:val="32"/>
          <w:lang w:eastAsia="zh-CN"/>
        </w:rPr>
        <w:t>、</w:t>
      </w:r>
      <w:r>
        <w:rPr>
          <w:rFonts w:hint="default" w:ascii="Times New Roman" w:hAnsi="Times New Roman" w:eastAsia="仿宋_GB2312" w:cs="Times New Roman"/>
          <w:color w:val="auto"/>
          <w:spacing w:val="0"/>
          <w:kern w:val="21"/>
          <w:sz w:val="32"/>
          <w:szCs w:val="32"/>
        </w:rPr>
        <w:t>社区和行业联动，建立老年人才信息库，深入开展</w:t>
      </w:r>
      <w:r>
        <w:rPr>
          <w:rFonts w:hint="eastAsia" w:cs="Times New Roman"/>
          <w:color w:val="auto"/>
          <w:spacing w:val="0"/>
          <w:kern w:val="21"/>
          <w:sz w:val="32"/>
          <w:szCs w:val="32"/>
          <w:lang w:eastAsia="zh-CN"/>
        </w:rPr>
        <w:t>“</w:t>
      </w:r>
      <w:r>
        <w:rPr>
          <w:rFonts w:hint="default" w:ascii="Times New Roman" w:hAnsi="Times New Roman" w:eastAsia="仿宋_GB2312" w:cs="Times New Roman"/>
          <w:color w:val="auto"/>
          <w:spacing w:val="0"/>
          <w:kern w:val="21"/>
          <w:sz w:val="32"/>
          <w:szCs w:val="32"/>
        </w:rPr>
        <w:t>银龄行动</w:t>
      </w:r>
      <w:r>
        <w:rPr>
          <w:rFonts w:hint="eastAsia" w:cs="Times New Roman"/>
          <w:color w:val="auto"/>
          <w:spacing w:val="0"/>
          <w:kern w:val="21"/>
          <w:sz w:val="32"/>
          <w:szCs w:val="32"/>
          <w:lang w:eastAsia="zh-CN"/>
        </w:rPr>
        <w:t>”</w:t>
      </w:r>
      <w:r>
        <w:rPr>
          <w:rFonts w:hint="default" w:ascii="Times New Roman" w:hAnsi="Times New Roman" w:eastAsia="仿宋_GB2312" w:cs="Times New Roman"/>
          <w:color w:val="auto"/>
          <w:spacing w:val="0"/>
          <w:kern w:val="21"/>
          <w:sz w:val="32"/>
          <w:szCs w:val="32"/>
        </w:rPr>
        <w:t>、</w:t>
      </w:r>
      <w:r>
        <w:rPr>
          <w:rFonts w:hint="eastAsia" w:cs="Times New Roman"/>
          <w:color w:val="auto"/>
          <w:spacing w:val="0"/>
          <w:kern w:val="21"/>
          <w:sz w:val="32"/>
          <w:szCs w:val="32"/>
          <w:lang w:eastAsia="zh-CN"/>
        </w:rPr>
        <w:t>“</w:t>
      </w:r>
      <w:r>
        <w:rPr>
          <w:rFonts w:hint="default" w:ascii="Times New Roman" w:hAnsi="Times New Roman" w:eastAsia="仿宋_GB2312" w:cs="Times New Roman"/>
          <w:color w:val="auto"/>
          <w:spacing w:val="0"/>
          <w:kern w:val="21"/>
          <w:sz w:val="32"/>
          <w:szCs w:val="32"/>
        </w:rPr>
        <w:t>银发互助</w:t>
      </w:r>
      <w:r>
        <w:rPr>
          <w:rFonts w:hint="eastAsia" w:cs="Times New Roman"/>
          <w:color w:val="auto"/>
          <w:spacing w:val="0"/>
          <w:kern w:val="21"/>
          <w:sz w:val="32"/>
          <w:szCs w:val="32"/>
          <w:lang w:eastAsia="zh-CN"/>
        </w:rPr>
        <w:t>”等活动，探索“</w:t>
      </w:r>
      <w:r>
        <w:rPr>
          <w:rFonts w:hint="default" w:ascii="Times New Roman" w:hAnsi="Times New Roman" w:eastAsia="仿宋_GB2312" w:cs="Times New Roman"/>
          <w:color w:val="auto"/>
          <w:spacing w:val="0"/>
          <w:kern w:val="21"/>
          <w:sz w:val="32"/>
          <w:szCs w:val="32"/>
        </w:rPr>
        <w:t>时间银行</w:t>
      </w:r>
      <w:r>
        <w:rPr>
          <w:rFonts w:hint="eastAsia" w:cs="Times New Roman"/>
          <w:color w:val="auto"/>
          <w:spacing w:val="0"/>
          <w:kern w:val="21"/>
          <w:sz w:val="32"/>
          <w:szCs w:val="32"/>
          <w:lang w:eastAsia="zh-CN"/>
        </w:rPr>
        <w:t>”</w:t>
      </w:r>
      <w:r>
        <w:rPr>
          <w:rFonts w:hint="default" w:ascii="Times New Roman" w:hAnsi="Times New Roman" w:eastAsia="仿宋_GB2312" w:cs="Times New Roman"/>
          <w:color w:val="auto"/>
          <w:spacing w:val="0"/>
          <w:kern w:val="21"/>
          <w:sz w:val="32"/>
          <w:szCs w:val="32"/>
        </w:rPr>
        <w:t>等互助养老新模式，引导老年人参与基层治理、志愿服务等活动。鼓励离退休老党员将组织关系转入常住地基层党组织，引导其在家庭教育、家训传承等发挥积极作用。</w:t>
      </w:r>
      <w:r>
        <w:rPr>
          <w:rFonts w:hint="default" w:ascii="Times New Roman" w:hAnsi="Times New Roman" w:eastAsia="楷体_GB2312" w:cs="Times New Roman"/>
          <w:color w:val="auto"/>
          <w:spacing w:val="0"/>
          <w:kern w:val="21"/>
          <w:sz w:val="32"/>
          <w:szCs w:val="32"/>
        </w:rPr>
        <w:t>〔市委组织部、市人力资源社会保障局、市教育体育局、市民政局、市老龄办、市卫生健康委等部门按职责分工负责〕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color w:val="auto"/>
          <w:spacing w:val="0"/>
          <w:kern w:val="21"/>
          <w:sz w:val="32"/>
          <w:szCs w:val="32"/>
        </w:rPr>
      </w:pPr>
      <w:r>
        <w:rPr>
          <w:rFonts w:hint="default" w:ascii="Times New Roman" w:hAnsi="Times New Roman" w:eastAsia="楷体_GB2312" w:cs="Times New Roman"/>
          <w:color w:val="auto"/>
          <w:spacing w:val="0"/>
          <w:kern w:val="21"/>
          <w:sz w:val="32"/>
          <w:szCs w:val="32"/>
        </w:rPr>
        <w:t>（四）着力构建老年友好型社会，助力适老共享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color w:val="auto"/>
          <w:spacing w:val="0"/>
          <w:kern w:val="21"/>
          <w:sz w:val="32"/>
          <w:szCs w:val="32"/>
        </w:rPr>
      </w:pPr>
      <w:r>
        <w:rPr>
          <w:rFonts w:hint="default" w:ascii="Times New Roman" w:hAnsi="Times New Roman" w:eastAsia="仿宋_GB2312" w:cs="Times New Roman"/>
          <w:b w:val="0"/>
          <w:bCs w:val="0"/>
          <w:color w:val="auto"/>
          <w:spacing w:val="0"/>
          <w:kern w:val="21"/>
          <w:sz w:val="32"/>
          <w:szCs w:val="32"/>
        </w:rPr>
        <w:t>15.加强老年人权益保障。</w:t>
      </w:r>
      <w:r>
        <w:rPr>
          <w:rFonts w:hint="eastAsia" w:cs="Times New Roman"/>
          <w:color w:val="auto"/>
          <w:spacing w:val="0"/>
          <w:kern w:val="21"/>
          <w:sz w:val="32"/>
          <w:szCs w:val="32"/>
          <w:lang w:eastAsia="zh-CN"/>
        </w:rPr>
        <w:t>贯彻</w:t>
      </w:r>
      <w:r>
        <w:rPr>
          <w:rFonts w:hint="default" w:ascii="Times New Roman" w:hAnsi="Times New Roman" w:eastAsia="仿宋_GB2312" w:cs="Times New Roman"/>
          <w:color w:val="auto"/>
          <w:spacing w:val="0"/>
          <w:kern w:val="21"/>
          <w:sz w:val="32"/>
          <w:szCs w:val="32"/>
        </w:rPr>
        <w:t>《中华人民共和国老年人权益保障法》</w:t>
      </w:r>
      <w:r>
        <w:rPr>
          <w:rFonts w:hint="eastAsia" w:cs="Times New Roman"/>
          <w:color w:val="auto"/>
          <w:spacing w:val="0"/>
          <w:kern w:val="21"/>
          <w:sz w:val="32"/>
          <w:szCs w:val="32"/>
          <w:lang w:eastAsia="zh-CN"/>
        </w:rPr>
        <w:t>和省、</w:t>
      </w:r>
      <w:r>
        <w:rPr>
          <w:rFonts w:hint="default" w:ascii="Times New Roman" w:hAnsi="Times New Roman" w:eastAsia="仿宋_GB2312" w:cs="Times New Roman"/>
          <w:color w:val="auto"/>
          <w:spacing w:val="0"/>
          <w:kern w:val="21"/>
          <w:sz w:val="32"/>
          <w:szCs w:val="32"/>
        </w:rPr>
        <w:t>市老年人权益保障条例，落实好子女带薪护理假规定</w:t>
      </w:r>
      <w:r>
        <w:rPr>
          <w:rFonts w:hint="eastAsia" w:cs="Times New Roman"/>
          <w:color w:val="auto"/>
          <w:spacing w:val="0"/>
          <w:kern w:val="21"/>
          <w:sz w:val="32"/>
          <w:szCs w:val="32"/>
          <w:lang w:eastAsia="zh-CN"/>
        </w:rPr>
        <w:t>，</w:t>
      </w:r>
      <w:r>
        <w:rPr>
          <w:rFonts w:hint="default" w:ascii="Times New Roman" w:hAnsi="Times New Roman" w:eastAsia="仿宋_GB2312" w:cs="Times New Roman"/>
          <w:color w:val="auto"/>
          <w:spacing w:val="0"/>
          <w:kern w:val="21"/>
          <w:sz w:val="32"/>
          <w:szCs w:val="32"/>
        </w:rPr>
        <w:t>鼓励成年子女与父母就近居住或共同生活，承担赡养照料责任。进一步拓展优待项目、创新优待方式，推动老年人凭身份证享受优待政策。完善老年人权益保障服务网络，严厉打击整治涉养老诈骗等违法犯罪活动。倡导律师事务所、公证机构、基层法律服务机构为老年人减免法律服务费用、提供上门服务。</w:t>
      </w:r>
      <w:r>
        <w:rPr>
          <w:rFonts w:hint="default" w:ascii="Times New Roman" w:hAnsi="Times New Roman" w:eastAsia="楷体_GB2312" w:cs="Times New Roman"/>
          <w:color w:val="auto"/>
          <w:spacing w:val="0"/>
          <w:kern w:val="21"/>
          <w:sz w:val="32"/>
          <w:szCs w:val="32"/>
        </w:rPr>
        <w:t>〔市老龄办、市司法局、市公安局、市人力资源社会保障局、市民政局、市交通运输局、市城市管理局等部门按职责分工负责〕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color w:val="auto"/>
          <w:spacing w:val="0"/>
          <w:kern w:val="21"/>
          <w:sz w:val="32"/>
          <w:szCs w:val="32"/>
        </w:rPr>
      </w:pPr>
      <w:r>
        <w:rPr>
          <w:rFonts w:hint="default" w:ascii="Times New Roman" w:hAnsi="Times New Roman" w:eastAsia="仿宋_GB2312" w:cs="Times New Roman"/>
          <w:b w:val="0"/>
          <w:bCs w:val="0"/>
          <w:color w:val="auto"/>
          <w:spacing w:val="0"/>
          <w:kern w:val="21"/>
          <w:sz w:val="32"/>
          <w:szCs w:val="32"/>
        </w:rPr>
        <w:t>16.打造老年宜居环境。</w:t>
      </w:r>
      <w:r>
        <w:rPr>
          <w:rFonts w:hint="default" w:ascii="Times New Roman" w:hAnsi="Times New Roman" w:eastAsia="仿宋_GB2312" w:cs="Times New Roman"/>
          <w:color w:val="auto"/>
          <w:spacing w:val="0"/>
          <w:kern w:val="21"/>
          <w:sz w:val="32"/>
          <w:szCs w:val="32"/>
        </w:rPr>
        <w:t>积极创建全国示范性老年友好型社区，推动老年友好型城市建设</w:t>
      </w:r>
      <w:r>
        <w:rPr>
          <w:rFonts w:hint="eastAsia" w:cs="Times New Roman"/>
          <w:color w:val="auto"/>
          <w:spacing w:val="0"/>
          <w:kern w:val="21"/>
          <w:sz w:val="32"/>
          <w:szCs w:val="32"/>
          <w:lang w:eastAsia="zh-CN"/>
        </w:rPr>
        <w:t>，</w:t>
      </w:r>
      <w:r>
        <w:rPr>
          <w:rFonts w:hint="default" w:ascii="Times New Roman" w:hAnsi="Times New Roman" w:eastAsia="仿宋_GB2312" w:cs="Times New Roman"/>
          <w:color w:val="auto"/>
          <w:spacing w:val="0"/>
          <w:kern w:val="21"/>
          <w:sz w:val="32"/>
          <w:szCs w:val="32"/>
        </w:rPr>
        <w:t>到2035年，实现老年友好型社区全覆盖。严格落实无障碍环境建设和适老化改造标准和要求，统筹推进老年人家庭无障碍和适老化改造，到2025年全市完成5000户以上家庭适老化改造。积极开展老年友善医疗机构创建</w:t>
      </w:r>
      <w:r>
        <w:rPr>
          <w:rFonts w:hint="eastAsia" w:cs="Times New Roman"/>
          <w:color w:val="auto"/>
          <w:spacing w:val="0"/>
          <w:kern w:val="21"/>
          <w:sz w:val="32"/>
          <w:szCs w:val="32"/>
          <w:lang w:eastAsia="zh-CN"/>
        </w:rPr>
        <w:t>。</w:t>
      </w:r>
      <w:r>
        <w:rPr>
          <w:rFonts w:hint="default" w:ascii="Times New Roman" w:hAnsi="Times New Roman" w:eastAsia="仿宋_GB2312" w:cs="Times New Roman"/>
          <w:color w:val="auto"/>
          <w:spacing w:val="0"/>
          <w:kern w:val="21"/>
          <w:sz w:val="32"/>
          <w:szCs w:val="32"/>
        </w:rPr>
        <w:t>持续推</w:t>
      </w:r>
      <w:r>
        <w:rPr>
          <w:rFonts w:hint="eastAsia" w:cs="Times New Roman"/>
          <w:color w:val="auto"/>
          <w:spacing w:val="0"/>
          <w:kern w:val="21"/>
          <w:sz w:val="32"/>
          <w:szCs w:val="32"/>
          <w:lang w:eastAsia="zh-CN"/>
        </w:rPr>
        <w:t>进</w:t>
      </w:r>
      <w:r>
        <w:rPr>
          <w:rFonts w:hint="default" w:ascii="仿宋_GB2312" w:hAnsi="仿宋_GB2312" w:eastAsia="仿宋_GB2312" w:cs="仿宋_GB2312"/>
          <w:color w:val="auto"/>
          <w:spacing w:val="0"/>
          <w:kern w:val="21"/>
          <w:sz w:val="32"/>
          <w:szCs w:val="32"/>
          <w:lang w:eastAsia="zh-CN"/>
        </w:rPr>
        <w:t>“</w:t>
      </w:r>
      <w:r>
        <w:rPr>
          <w:rFonts w:hint="default" w:ascii="Times New Roman" w:hAnsi="Times New Roman" w:eastAsia="仿宋_GB2312" w:cs="Times New Roman"/>
          <w:color w:val="auto"/>
          <w:spacing w:val="0"/>
          <w:kern w:val="21"/>
          <w:sz w:val="32"/>
          <w:szCs w:val="32"/>
        </w:rPr>
        <w:t>智慧助老</w:t>
      </w:r>
      <w:r>
        <w:rPr>
          <w:rFonts w:hint="default" w:ascii="仿宋_GB2312" w:hAnsi="仿宋_GB2312" w:eastAsia="仿宋_GB2312" w:cs="仿宋_GB2312"/>
          <w:color w:val="auto"/>
          <w:spacing w:val="0"/>
          <w:kern w:val="21"/>
          <w:sz w:val="32"/>
          <w:szCs w:val="32"/>
          <w:lang w:eastAsia="zh-CN"/>
        </w:rPr>
        <w:t>”行</w:t>
      </w:r>
      <w:r>
        <w:rPr>
          <w:rFonts w:hint="default" w:ascii="Times New Roman" w:hAnsi="Times New Roman" w:eastAsia="仿宋_GB2312" w:cs="Times New Roman"/>
          <w:color w:val="auto"/>
          <w:spacing w:val="0"/>
          <w:kern w:val="21"/>
          <w:sz w:val="32"/>
          <w:szCs w:val="32"/>
        </w:rPr>
        <w:t>动。</w:t>
      </w:r>
      <w:r>
        <w:rPr>
          <w:rFonts w:hint="default" w:ascii="Times New Roman" w:hAnsi="Times New Roman" w:eastAsia="楷体_GB2312" w:cs="Times New Roman"/>
          <w:color w:val="auto"/>
          <w:spacing w:val="0"/>
          <w:kern w:val="21"/>
          <w:sz w:val="32"/>
          <w:szCs w:val="32"/>
        </w:rPr>
        <w:t>〔市住房城乡建设局、市民政局、市卫生健康委、市交通运输局、市城市管理局、市财政局、市医保局等部门按职责分工负责〕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color w:val="auto"/>
          <w:spacing w:val="0"/>
          <w:kern w:val="21"/>
          <w:sz w:val="32"/>
          <w:szCs w:val="32"/>
        </w:rPr>
      </w:pPr>
      <w:r>
        <w:rPr>
          <w:rFonts w:hint="default" w:ascii="Times New Roman" w:hAnsi="Times New Roman" w:eastAsia="仿宋_GB2312" w:cs="Times New Roman"/>
          <w:b w:val="0"/>
          <w:bCs w:val="0"/>
          <w:color w:val="auto"/>
          <w:spacing w:val="0"/>
          <w:kern w:val="21"/>
          <w:sz w:val="32"/>
          <w:szCs w:val="32"/>
        </w:rPr>
        <w:t>17.弘扬敬老孝亲传统美德。</w:t>
      </w:r>
      <w:r>
        <w:rPr>
          <w:rFonts w:hint="default" w:ascii="Times New Roman" w:hAnsi="Times New Roman" w:eastAsia="仿宋_GB2312" w:cs="Times New Roman"/>
          <w:color w:val="auto"/>
          <w:spacing w:val="0"/>
          <w:kern w:val="21"/>
          <w:sz w:val="32"/>
          <w:szCs w:val="32"/>
        </w:rPr>
        <w:t>持续开展人口老龄化国情教育</w:t>
      </w:r>
      <w:r>
        <w:rPr>
          <w:rFonts w:hint="eastAsia" w:cs="Times New Roman"/>
          <w:color w:val="auto"/>
          <w:spacing w:val="0"/>
          <w:kern w:val="21"/>
          <w:sz w:val="32"/>
          <w:szCs w:val="32"/>
          <w:lang w:eastAsia="zh-CN"/>
        </w:rPr>
        <w:t>、</w:t>
      </w:r>
      <w:r>
        <w:rPr>
          <w:rFonts w:hint="default" w:ascii="仿宋_GB2312" w:hAnsi="仿宋_GB2312" w:eastAsia="仿宋_GB2312" w:cs="仿宋_GB2312"/>
          <w:color w:val="auto"/>
          <w:spacing w:val="0"/>
          <w:kern w:val="21"/>
          <w:sz w:val="32"/>
          <w:szCs w:val="32"/>
          <w:lang w:eastAsia="zh-CN"/>
        </w:rPr>
        <w:t>“敬老文明号”创建、“敬老月”</w:t>
      </w:r>
      <w:r>
        <w:rPr>
          <w:rFonts w:hint="default" w:ascii="Times New Roman" w:hAnsi="Times New Roman" w:eastAsia="仿宋_GB2312" w:cs="Times New Roman"/>
          <w:color w:val="auto"/>
          <w:spacing w:val="0"/>
          <w:kern w:val="21"/>
          <w:sz w:val="32"/>
          <w:szCs w:val="32"/>
        </w:rPr>
        <w:t>慰问和为老志愿服务</w:t>
      </w:r>
      <w:r>
        <w:rPr>
          <w:rFonts w:hint="eastAsia" w:cs="Times New Roman"/>
          <w:color w:val="auto"/>
          <w:spacing w:val="0"/>
          <w:kern w:val="21"/>
          <w:sz w:val="32"/>
          <w:szCs w:val="32"/>
          <w:lang w:eastAsia="zh-CN"/>
        </w:rPr>
        <w:t>等</w:t>
      </w:r>
      <w:r>
        <w:rPr>
          <w:rFonts w:hint="default" w:ascii="Times New Roman" w:hAnsi="Times New Roman" w:eastAsia="仿宋_GB2312" w:cs="Times New Roman"/>
          <w:color w:val="auto"/>
          <w:spacing w:val="0"/>
          <w:kern w:val="21"/>
          <w:sz w:val="32"/>
          <w:szCs w:val="32"/>
        </w:rPr>
        <w:t>活动，</w:t>
      </w:r>
      <w:r>
        <w:rPr>
          <w:rFonts w:hint="eastAsia" w:eastAsia="仿宋_GB2312" w:cs="Times New Roman"/>
          <w:strike w:val="0"/>
          <w:dstrike w:val="0"/>
          <w:color w:val="auto"/>
          <w:spacing w:val="0"/>
          <w:kern w:val="21"/>
          <w:sz w:val="32"/>
          <w:szCs w:val="32"/>
          <w:lang w:eastAsia="zh-CN"/>
        </w:rPr>
        <w:t>将</w:t>
      </w:r>
      <w:r>
        <w:rPr>
          <w:rFonts w:hint="default" w:ascii="Times New Roman" w:hAnsi="Times New Roman" w:eastAsia="仿宋_GB2312" w:cs="Times New Roman"/>
          <w:color w:val="auto"/>
          <w:spacing w:val="0"/>
          <w:kern w:val="21"/>
          <w:sz w:val="32"/>
          <w:szCs w:val="32"/>
        </w:rPr>
        <w:t>为老志愿服务纳入中小学综合实践活动和高校</w:t>
      </w:r>
      <w:r>
        <w:rPr>
          <w:rFonts w:hint="eastAsia" w:cs="Times New Roman"/>
          <w:color w:val="auto"/>
          <w:spacing w:val="0"/>
          <w:kern w:val="21"/>
          <w:sz w:val="32"/>
          <w:szCs w:val="32"/>
          <w:lang w:eastAsia="zh-CN"/>
        </w:rPr>
        <w:t>学生</w:t>
      </w:r>
      <w:r>
        <w:rPr>
          <w:rFonts w:hint="default" w:ascii="Times New Roman" w:hAnsi="Times New Roman" w:eastAsia="仿宋_GB2312" w:cs="Times New Roman"/>
          <w:color w:val="auto"/>
          <w:spacing w:val="0"/>
          <w:kern w:val="21"/>
          <w:sz w:val="32"/>
          <w:szCs w:val="32"/>
        </w:rPr>
        <w:t>实践内容。加大敬老孝亲先进典型的宣传报道，营造敬老孝亲良好社会氛围。</w:t>
      </w:r>
      <w:r>
        <w:rPr>
          <w:rFonts w:hint="default" w:ascii="Times New Roman" w:hAnsi="Times New Roman" w:eastAsia="楷体_GB2312" w:cs="Times New Roman"/>
          <w:color w:val="auto"/>
          <w:spacing w:val="0"/>
          <w:kern w:val="21"/>
          <w:sz w:val="32"/>
          <w:szCs w:val="32"/>
        </w:rPr>
        <w:t>〔市委宣传部、市委老干部局、市老龄办、市民政局、市卫生健康委、市广电局、团市委等部门按职责分工负责〕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color w:val="auto"/>
          <w:spacing w:val="0"/>
          <w:kern w:val="21"/>
          <w:sz w:val="32"/>
          <w:szCs w:val="32"/>
        </w:rPr>
      </w:pPr>
      <w:r>
        <w:rPr>
          <w:rFonts w:hint="default" w:ascii="Times New Roman" w:hAnsi="Times New Roman" w:eastAsia="楷体_GB2312" w:cs="Times New Roman"/>
          <w:color w:val="auto"/>
          <w:spacing w:val="0"/>
          <w:kern w:val="21"/>
          <w:sz w:val="32"/>
          <w:szCs w:val="32"/>
        </w:rPr>
        <w:t>（五）加快培育银发经济，释放市场红利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color w:val="auto"/>
          <w:spacing w:val="0"/>
          <w:kern w:val="21"/>
          <w:sz w:val="32"/>
          <w:szCs w:val="32"/>
        </w:rPr>
      </w:pPr>
      <w:r>
        <w:rPr>
          <w:rFonts w:hint="default" w:ascii="Times New Roman" w:hAnsi="Times New Roman" w:eastAsia="仿宋_GB2312" w:cs="Times New Roman"/>
          <w:b w:val="0"/>
          <w:bCs w:val="0"/>
          <w:color w:val="auto"/>
          <w:spacing w:val="0"/>
          <w:kern w:val="21"/>
          <w:sz w:val="32"/>
          <w:szCs w:val="32"/>
        </w:rPr>
        <w:t>18.完善产业政策。</w:t>
      </w:r>
      <w:r>
        <w:rPr>
          <w:rFonts w:hint="default" w:ascii="Times New Roman" w:hAnsi="Times New Roman" w:eastAsia="仿宋_GB2312" w:cs="Times New Roman"/>
          <w:color w:val="auto"/>
          <w:spacing w:val="0"/>
          <w:kern w:val="21"/>
          <w:sz w:val="32"/>
          <w:szCs w:val="32"/>
        </w:rPr>
        <w:t>加强政策引导，支持老龄产业发展。鼓励利用资源禀赋优势，发展具有比较优势的特色老龄产业，</w:t>
      </w:r>
      <w:r>
        <w:rPr>
          <w:rFonts w:hint="eastAsia" w:cs="Times New Roman"/>
          <w:color w:val="auto"/>
          <w:spacing w:val="0"/>
          <w:kern w:val="21"/>
          <w:sz w:val="32"/>
          <w:szCs w:val="32"/>
          <w:lang w:eastAsia="zh-CN"/>
        </w:rPr>
        <w:t>培育</w:t>
      </w:r>
      <w:r>
        <w:rPr>
          <w:rFonts w:hint="default" w:ascii="Times New Roman" w:hAnsi="Times New Roman" w:eastAsia="仿宋_GB2312" w:cs="Times New Roman"/>
          <w:color w:val="auto"/>
          <w:spacing w:val="0"/>
          <w:kern w:val="21"/>
          <w:sz w:val="32"/>
          <w:szCs w:val="32"/>
        </w:rPr>
        <w:t>健康养老服务</w:t>
      </w:r>
      <w:r>
        <w:rPr>
          <w:rFonts w:hint="eastAsia" w:cs="Times New Roman"/>
          <w:color w:val="auto"/>
          <w:spacing w:val="0"/>
          <w:kern w:val="21"/>
          <w:sz w:val="32"/>
          <w:szCs w:val="32"/>
          <w:lang w:eastAsia="zh-CN"/>
        </w:rPr>
        <w:t>市场</w:t>
      </w:r>
      <w:r>
        <w:rPr>
          <w:rFonts w:hint="default" w:ascii="Times New Roman" w:hAnsi="Times New Roman" w:eastAsia="仿宋_GB2312" w:cs="Times New Roman"/>
          <w:color w:val="auto"/>
          <w:spacing w:val="0"/>
          <w:kern w:val="21"/>
          <w:sz w:val="32"/>
          <w:szCs w:val="32"/>
        </w:rPr>
        <w:t>。</w:t>
      </w:r>
      <w:r>
        <w:rPr>
          <w:rFonts w:hint="default" w:ascii="Times New Roman" w:hAnsi="Times New Roman" w:eastAsia="楷体_GB2312" w:cs="Times New Roman"/>
          <w:color w:val="auto"/>
          <w:spacing w:val="0"/>
          <w:kern w:val="21"/>
          <w:sz w:val="32"/>
          <w:szCs w:val="32"/>
        </w:rPr>
        <w:t>〔市发展改革委、市工业和信息化局、市民政局、市卫生健康委等部门按职责分工负责〕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color w:val="auto"/>
          <w:spacing w:val="0"/>
          <w:kern w:val="21"/>
          <w:sz w:val="32"/>
          <w:szCs w:val="32"/>
        </w:rPr>
      </w:pPr>
      <w:r>
        <w:rPr>
          <w:rFonts w:hint="default" w:ascii="Times New Roman" w:hAnsi="Times New Roman" w:eastAsia="仿宋_GB2312" w:cs="Times New Roman"/>
          <w:b w:val="0"/>
          <w:bCs w:val="0"/>
          <w:color w:val="auto"/>
          <w:spacing w:val="0"/>
          <w:kern w:val="21"/>
          <w:sz w:val="32"/>
          <w:szCs w:val="32"/>
        </w:rPr>
        <w:t>19.培育重点老龄产业。</w:t>
      </w:r>
      <w:r>
        <w:rPr>
          <w:rFonts w:hint="default" w:ascii="Times New Roman" w:hAnsi="Times New Roman" w:eastAsia="仿宋_GB2312" w:cs="Times New Roman"/>
          <w:color w:val="auto"/>
          <w:spacing w:val="0"/>
          <w:kern w:val="21"/>
          <w:sz w:val="32"/>
          <w:szCs w:val="32"/>
        </w:rPr>
        <w:t>培育智能日用辅助产品、康复训练及健康促进辅具等产业主体，推动老年用品发展。精准引入养老服务企业，建设一批养老服务特色综合体，打造一批为老服务优质品牌。实施</w:t>
      </w:r>
      <w:r>
        <w:rPr>
          <w:rFonts w:hint="eastAsia" w:eastAsia="仿宋_GB2312" w:cs="Times New Roman"/>
          <w:color w:val="auto"/>
          <w:spacing w:val="0"/>
          <w:kern w:val="21"/>
          <w:sz w:val="32"/>
          <w:szCs w:val="32"/>
          <w:lang w:eastAsia="zh-CN"/>
        </w:rPr>
        <w:t>“</w:t>
      </w:r>
      <w:r>
        <w:rPr>
          <w:rFonts w:hint="default" w:ascii="Times New Roman" w:hAnsi="Times New Roman" w:eastAsia="仿宋_GB2312" w:cs="Times New Roman"/>
          <w:color w:val="auto"/>
          <w:spacing w:val="0"/>
          <w:kern w:val="21"/>
          <w:sz w:val="32"/>
          <w:szCs w:val="32"/>
        </w:rPr>
        <w:t>养老服务+行业</w:t>
      </w:r>
      <w:r>
        <w:rPr>
          <w:rFonts w:hint="eastAsia" w:eastAsia="仿宋_GB2312" w:cs="Times New Roman"/>
          <w:color w:val="auto"/>
          <w:spacing w:val="0"/>
          <w:kern w:val="21"/>
          <w:sz w:val="32"/>
          <w:szCs w:val="32"/>
          <w:lang w:eastAsia="zh-CN"/>
        </w:rPr>
        <w:t>”</w:t>
      </w:r>
      <w:r>
        <w:rPr>
          <w:rFonts w:hint="default" w:ascii="Times New Roman" w:hAnsi="Times New Roman" w:eastAsia="仿宋_GB2312" w:cs="Times New Roman"/>
          <w:color w:val="auto"/>
          <w:spacing w:val="0"/>
          <w:kern w:val="21"/>
          <w:sz w:val="32"/>
          <w:szCs w:val="32"/>
        </w:rPr>
        <w:t>行动，支持</w:t>
      </w:r>
      <w:r>
        <w:rPr>
          <w:rFonts w:hint="eastAsia" w:eastAsia="仿宋_GB2312" w:cs="Times New Roman"/>
          <w:color w:val="auto"/>
          <w:spacing w:val="0"/>
          <w:kern w:val="21"/>
          <w:sz w:val="32"/>
          <w:szCs w:val="32"/>
          <w:lang w:eastAsia="zh-CN"/>
        </w:rPr>
        <w:t>“</w:t>
      </w:r>
      <w:r>
        <w:rPr>
          <w:rFonts w:hint="default" w:ascii="Times New Roman" w:hAnsi="Times New Roman" w:eastAsia="仿宋_GB2312" w:cs="Times New Roman"/>
          <w:color w:val="auto"/>
          <w:spacing w:val="0"/>
          <w:kern w:val="21"/>
          <w:sz w:val="32"/>
          <w:szCs w:val="32"/>
        </w:rPr>
        <w:t>互联网+养老</w:t>
      </w:r>
      <w:r>
        <w:rPr>
          <w:rFonts w:hint="eastAsia" w:eastAsia="仿宋_GB2312" w:cs="Times New Roman"/>
          <w:color w:val="auto"/>
          <w:spacing w:val="0"/>
          <w:kern w:val="21"/>
          <w:sz w:val="32"/>
          <w:szCs w:val="32"/>
          <w:lang w:eastAsia="zh-CN"/>
        </w:rPr>
        <w:t>服务”</w:t>
      </w:r>
      <w:r>
        <w:rPr>
          <w:rFonts w:hint="default" w:ascii="Times New Roman" w:hAnsi="Times New Roman" w:eastAsia="仿宋_GB2312" w:cs="Times New Roman"/>
          <w:color w:val="auto"/>
          <w:spacing w:val="0"/>
          <w:kern w:val="21"/>
          <w:sz w:val="32"/>
          <w:szCs w:val="32"/>
        </w:rPr>
        <w:t>模式，提供</w:t>
      </w:r>
      <w:r>
        <w:rPr>
          <w:rFonts w:hint="eastAsia" w:eastAsia="仿宋_GB2312" w:cs="Times New Roman"/>
          <w:color w:val="auto"/>
          <w:spacing w:val="0"/>
          <w:kern w:val="21"/>
          <w:sz w:val="32"/>
          <w:szCs w:val="32"/>
          <w:lang w:eastAsia="zh-CN"/>
        </w:rPr>
        <w:t>“</w:t>
      </w:r>
      <w:r>
        <w:rPr>
          <w:rFonts w:hint="default" w:ascii="Times New Roman" w:hAnsi="Times New Roman" w:eastAsia="仿宋_GB2312" w:cs="Times New Roman"/>
          <w:color w:val="auto"/>
          <w:spacing w:val="0"/>
          <w:kern w:val="21"/>
          <w:sz w:val="32"/>
          <w:szCs w:val="32"/>
        </w:rPr>
        <w:t>菜单式</w:t>
      </w:r>
      <w:r>
        <w:rPr>
          <w:rFonts w:hint="eastAsia" w:eastAsia="仿宋_GB2312" w:cs="Times New Roman"/>
          <w:color w:val="auto"/>
          <w:spacing w:val="0"/>
          <w:kern w:val="21"/>
          <w:sz w:val="32"/>
          <w:szCs w:val="32"/>
          <w:lang w:eastAsia="zh-CN"/>
        </w:rPr>
        <w:t>”</w:t>
      </w:r>
      <w:r>
        <w:rPr>
          <w:rFonts w:hint="default" w:ascii="Times New Roman" w:hAnsi="Times New Roman" w:eastAsia="仿宋_GB2312" w:cs="Times New Roman"/>
          <w:color w:val="auto"/>
          <w:spacing w:val="0"/>
          <w:kern w:val="21"/>
          <w:sz w:val="32"/>
          <w:szCs w:val="32"/>
        </w:rPr>
        <w:t>养老服务，促进康养、文旅、教体等行业与养老服务深度融合，发展老年旅游、</w:t>
      </w:r>
      <w:r>
        <w:rPr>
          <w:rFonts w:hint="eastAsia" w:eastAsia="仿宋_GB2312" w:cs="Times New Roman"/>
          <w:color w:val="auto"/>
          <w:spacing w:val="0"/>
          <w:kern w:val="21"/>
          <w:sz w:val="32"/>
          <w:szCs w:val="32"/>
          <w:lang w:eastAsia="zh-CN"/>
        </w:rPr>
        <w:t>“</w:t>
      </w:r>
      <w:r>
        <w:rPr>
          <w:rFonts w:hint="default" w:ascii="Times New Roman" w:hAnsi="Times New Roman" w:eastAsia="仿宋_GB2312" w:cs="Times New Roman"/>
          <w:color w:val="auto"/>
          <w:spacing w:val="0"/>
          <w:kern w:val="21"/>
          <w:sz w:val="32"/>
          <w:szCs w:val="32"/>
        </w:rPr>
        <w:t>候鸟式</w:t>
      </w:r>
      <w:r>
        <w:rPr>
          <w:rFonts w:hint="eastAsia" w:eastAsia="仿宋_GB2312" w:cs="Times New Roman"/>
          <w:color w:val="auto"/>
          <w:spacing w:val="0"/>
          <w:kern w:val="21"/>
          <w:sz w:val="32"/>
          <w:szCs w:val="32"/>
          <w:lang w:eastAsia="zh-CN"/>
        </w:rPr>
        <w:t>”</w:t>
      </w:r>
      <w:r>
        <w:rPr>
          <w:rFonts w:hint="default" w:ascii="Times New Roman" w:hAnsi="Times New Roman" w:eastAsia="仿宋_GB2312" w:cs="Times New Roman"/>
          <w:color w:val="auto"/>
          <w:spacing w:val="0"/>
          <w:kern w:val="21"/>
          <w:sz w:val="32"/>
          <w:szCs w:val="32"/>
        </w:rPr>
        <w:t>旅居</w:t>
      </w:r>
      <w:r>
        <w:rPr>
          <w:rFonts w:hint="eastAsia" w:cs="Times New Roman"/>
          <w:color w:val="auto"/>
          <w:spacing w:val="0"/>
          <w:kern w:val="21"/>
          <w:sz w:val="32"/>
          <w:szCs w:val="32"/>
          <w:lang w:eastAsia="zh-CN"/>
        </w:rPr>
        <w:t>、生物医药、大健康</w:t>
      </w:r>
      <w:r>
        <w:rPr>
          <w:rFonts w:hint="default" w:ascii="Times New Roman" w:hAnsi="Times New Roman" w:eastAsia="仿宋_GB2312" w:cs="Times New Roman"/>
          <w:color w:val="auto"/>
          <w:spacing w:val="0"/>
          <w:kern w:val="21"/>
          <w:sz w:val="32"/>
          <w:szCs w:val="32"/>
        </w:rPr>
        <w:t>等具有昆明特色新业态，培育一批康养基地。</w:t>
      </w:r>
      <w:r>
        <w:rPr>
          <w:rFonts w:hint="default" w:ascii="Times New Roman" w:hAnsi="Times New Roman" w:eastAsia="楷体_GB2312" w:cs="Times New Roman"/>
          <w:color w:val="auto"/>
          <w:spacing w:val="0"/>
          <w:kern w:val="21"/>
          <w:sz w:val="32"/>
          <w:szCs w:val="32"/>
        </w:rPr>
        <w:t>〔市工业和信息化局、市发展改革委、市民政局、市市场监管局、市卫生健康委、市文化</w:t>
      </w:r>
      <w:r>
        <w:rPr>
          <w:rFonts w:hint="eastAsia" w:eastAsia="楷体_GB2312" w:cs="Times New Roman"/>
          <w:color w:val="auto"/>
          <w:spacing w:val="0"/>
          <w:kern w:val="21"/>
          <w:sz w:val="32"/>
          <w:szCs w:val="32"/>
          <w:lang w:eastAsia="zh-CN"/>
        </w:rPr>
        <w:t>和</w:t>
      </w:r>
      <w:r>
        <w:rPr>
          <w:rFonts w:hint="default" w:ascii="Times New Roman" w:hAnsi="Times New Roman" w:eastAsia="楷体_GB2312" w:cs="Times New Roman"/>
          <w:color w:val="auto"/>
          <w:spacing w:val="0"/>
          <w:kern w:val="21"/>
          <w:sz w:val="32"/>
          <w:szCs w:val="32"/>
        </w:rPr>
        <w:t>旅游局等部门按职责分工负责〕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color w:val="auto"/>
          <w:spacing w:val="0"/>
          <w:kern w:val="21"/>
          <w:sz w:val="32"/>
          <w:szCs w:val="32"/>
        </w:rPr>
      </w:pPr>
      <w:r>
        <w:rPr>
          <w:rFonts w:hint="default" w:ascii="Times New Roman" w:hAnsi="Times New Roman" w:eastAsia="仿宋_GB2312" w:cs="Times New Roman"/>
          <w:b w:val="0"/>
          <w:bCs w:val="0"/>
          <w:color w:val="auto"/>
          <w:spacing w:val="0"/>
          <w:kern w:val="21"/>
          <w:sz w:val="32"/>
          <w:szCs w:val="32"/>
        </w:rPr>
        <w:t>20.激活适老产品市场。</w:t>
      </w:r>
      <w:r>
        <w:rPr>
          <w:rFonts w:hint="default" w:ascii="Times New Roman" w:hAnsi="Times New Roman" w:eastAsia="仿宋_GB2312" w:cs="Times New Roman"/>
          <w:color w:val="auto"/>
          <w:spacing w:val="0"/>
          <w:kern w:val="21"/>
          <w:sz w:val="32"/>
          <w:szCs w:val="32"/>
        </w:rPr>
        <w:t>支持老年产品服务创新、宣传推介，鼓励企业线上线下</w:t>
      </w:r>
      <w:r>
        <w:rPr>
          <w:rFonts w:hint="eastAsia" w:cs="Times New Roman"/>
          <w:color w:val="auto"/>
          <w:spacing w:val="0"/>
          <w:kern w:val="21"/>
          <w:sz w:val="32"/>
          <w:szCs w:val="32"/>
          <w:lang w:eastAsia="zh-CN"/>
        </w:rPr>
        <w:t>融合</w:t>
      </w:r>
      <w:r>
        <w:rPr>
          <w:rFonts w:hint="default" w:ascii="Times New Roman" w:hAnsi="Times New Roman" w:eastAsia="仿宋_GB2312" w:cs="Times New Roman"/>
          <w:color w:val="auto"/>
          <w:spacing w:val="0"/>
          <w:kern w:val="21"/>
          <w:sz w:val="32"/>
          <w:szCs w:val="32"/>
        </w:rPr>
        <w:t>开辟老年用品展示柜、体验店，促进优质产品率先进社区、医养结合机构使用推广。积极发展康复辅具社区租赁。鼓励老年人健康保险产品开发。加强老年用品市场监管整治，维护老年人消费权益。</w:t>
      </w:r>
      <w:r>
        <w:rPr>
          <w:rFonts w:hint="default" w:ascii="Times New Roman" w:hAnsi="Times New Roman" w:eastAsia="楷体_GB2312" w:cs="Times New Roman"/>
          <w:color w:val="auto"/>
          <w:spacing w:val="0"/>
          <w:kern w:val="21"/>
          <w:sz w:val="32"/>
          <w:szCs w:val="32"/>
        </w:rPr>
        <w:t>〔市工业和信息化局、市民政局、市商务局、市市场监管局、市卫生健康委、市残联等部门按职责分工负责〕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color w:val="auto"/>
          <w:spacing w:val="0"/>
          <w:kern w:val="21"/>
          <w:sz w:val="32"/>
          <w:szCs w:val="32"/>
        </w:rPr>
      </w:pPr>
      <w:r>
        <w:rPr>
          <w:rFonts w:hint="default" w:ascii="Times New Roman" w:hAnsi="Times New Roman" w:eastAsia="楷体_GB2312" w:cs="Times New Roman"/>
          <w:color w:val="auto"/>
          <w:spacing w:val="0"/>
          <w:kern w:val="21"/>
          <w:sz w:val="32"/>
          <w:szCs w:val="32"/>
        </w:rPr>
        <w:t>（六）夯实老龄工作基础</w:t>
      </w:r>
      <w:r>
        <w:rPr>
          <w:rFonts w:hint="eastAsia" w:eastAsia="楷体_GB2312" w:cs="Times New Roman"/>
          <w:color w:val="auto"/>
          <w:spacing w:val="0"/>
          <w:kern w:val="21"/>
          <w:sz w:val="32"/>
          <w:szCs w:val="32"/>
          <w:lang w:eastAsia="zh-CN"/>
        </w:rPr>
        <w:t>，</w:t>
      </w:r>
      <w:r>
        <w:rPr>
          <w:rFonts w:hint="default" w:ascii="Times New Roman" w:hAnsi="Times New Roman" w:eastAsia="楷体_GB2312" w:cs="Times New Roman"/>
          <w:color w:val="auto"/>
          <w:spacing w:val="0"/>
          <w:kern w:val="21"/>
          <w:sz w:val="32"/>
          <w:szCs w:val="32"/>
        </w:rPr>
        <w:t>提高保障能力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color w:val="auto"/>
          <w:spacing w:val="0"/>
          <w:kern w:val="21"/>
          <w:sz w:val="32"/>
          <w:szCs w:val="32"/>
        </w:rPr>
      </w:pPr>
      <w:r>
        <w:rPr>
          <w:rFonts w:hint="default" w:ascii="Times New Roman" w:hAnsi="Times New Roman" w:eastAsia="仿宋_GB2312" w:cs="Times New Roman"/>
          <w:b w:val="0"/>
          <w:bCs w:val="0"/>
          <w:color w:val="auto"/>
          <w:spacing w:val="0"/>
          <w:kern w:val="21"/>
          <w:sz w:val="32"/>
          <w:szCs w:val="32"/>
        </w:rPr>
        <w:t>21.加强人才队伍建设。</w:t>
      </w:r>
      <w:r>
        <w:rPr>
          <w:rFonts w:hint="default" w:ascii="Times New Roman" w:hAnsi="Times New Roman" w:eastAsia="仿宋_GB2312" w:cs="Times New Roman"/>
          <w:color w:val="auto"/>
          <w:spacing w:val="0"/>
          <w:kern w:val="21"/>
          <w:sz w:val="32"/>
          <w:szCs w:val="32"/>
        </w:rPr>
        <w:t>加快建设适应新时代老龄工作需要的人才队伍。实施养老护理员分类培训和技能提升计划，增强养老服务岗位吸引力、职业荣誉感</w:t>
      </w:r>
      <w:r>
        <w:rPr>
          <w:rFonts w:hint="eastAsia" w:cs="Times New Roman"/>
          <w:color w:val="auto"/>
          <w:spacing w:val="0"/>
          <w:kern w:val="21"/>
          <w:sz w:val="32"/>
          <w:szCs w:val="32"/>
          <w:lang w:eastAsia="zh-CN"/>
        </w:rPr>
        <w:t>，推动养老服务人才“强素质、留得住、能发展”</w:t>
      </w:r>
      <w:r>
        <w:rPr>
          <w:rFonts w:hint="default" w:ascii="Times New Roman" w:hAnsi="Times New Roman" w:eastAsia="仿宋_GB2312" w:cs="Times New Roman"/>
          <w:color w:val="auto"/>
          <w:spacing w:val="0"/>
          <w:kern w:val="21"/>
          <w:sz w:val="32"/>
          <w:szCs w:val="32"/>
        </w:rPr>
        <w:t>。支持各类医务人员到医养结合机构执业，享有与其他医疗机构同等职称评定、继续教育等待遇。</w:t>
      </w:r>
      <w:r>
        <w:rPr>
          <w:rFonts w:hint="default" w:ascii="Times New Roman" w:hAnsi="Times New Roman" w:eastAsia="楷体_GB2312" w:cs="Times New Roman"/>
          <w:color w:val="auto"/>
          <w:spacing w:val="0"/>
          <w:kern w:val="21"/>
          <w:sz w:val="32"/>
          <w:szCs w:val="32"/>
        </w:rPr>
        <w:t>〔市人力资源社会保障局、市民政局、市卫生健康委、市总工会等部门按职责分工负责〕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color w:val="auto"/>
          <w:spacing w:val="0"/>
          <w:kern w:val="21"/>
          <w:sz w:val="32"/>
          <w:szCs w:val="32"/>
        </w:rPr>
      </w:pPr>
      <w:r>
        <w:rPr>
          <w:rFonts w:hint="default" w:ascii="Times New Roman" w:hAnsi="Times New Roman" w:eastAsia="仿宋_GB2312" w:cs="Times New Roman"/>
          <w:b w:val="0"/>
          <w:bCs w:val="0"/>
          <w:color w:val="auto"/>
          <w:spacing w:val="0"/>
          <w:kern w:val="21"/>
          <w:sz w:val="32"/>
          <w:szCs w:val="32"/>
        </w:rPr>
        <w:t>22.完善相关支持政策。</w:t>
      </w:r>
      <w:r>
        <w:rPr>
          <w:rFonts w:hint="default" w:ascii="Times New Roman" w:hAnsi="Times New Roman" w:eastAsia="仿宋_GB2312" w:cs="Times New Roman"/>
          <w:color w:val="auto"/>
          <w:spacing w:val="0"/>
          <w:kern w:val="21"/>
          <w:sz w:val="32"/>
          <w:szCs w:val="32"/>
        </w:rPr>
        <w:t>统筹老龄事业发展，完善财政投入政策和多渠道筹资机制，筹措保证基本养老服务支出，社会福利事业的彩票公益金用于养老服务的比例不得低于55%。完善落实阶梯水、电、气价格政策及老年人住房保障优先等支持政策。优先安排赡养负担重的零就业家庭成员进公益性岗位。落实财税相关支持政策，鼓励公益性社会组织加大老龄事业投入，形成政府投入带动全社会共同参与的多元化资金筹集机制。有条件的县区按要求制定土地、规划、财税等一揽子政策清单，积极参与国家城企联动普惠养老专项行动，增强养老服务设施建设投入。</w:t>
      </w:r>
      <w:r>
        <w:rPr>
          <w:rFonts w:hint="default" w:ascii="Times New Roman" w:hAnsi="Times New Roman" w:eastAsia="楷体_GB2312" w:cs="Times New Roman"/>
          <w:color w:val="auto"/>
          <w:spacing w:val="0"/>
          <w:kern w:val="21"/>
          <w:sz w:val="32"/>
          <w:szCs w:val="32"/>
        </w:rPr>
        <w:t>〔市卫生健康委、市民政局、市财政局、市发展改革委、市住房城乡建设局、市自然资源规划局、市税务局等部门按职责分工负责〕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color w:val="auto"/>
          <w:spacing w:val="0"/>
          <w:kern w:val="21"/>
          <w:sz w:val="32"/>
          <w:szCs w:val="32"/>
        </w:rPr>
      </w:pPr>
      <w:r>
        <w:rPr>
          <w:rFonts w:hint="default" w:ascii="Times New Roman" w:hAnsi="Times New Roman" w:eastAsia="仿宋_GB2312" w:cs="Times New Roman"/>
          <w:b w:val="0"/>
          <w:bCs w:val="0"/>
          <w:color w:val="auto"/>
          <w:spacing w:val="0"/>
          <w:kern w:val="21"/>
          <w:sz w:val="32"/>
          <w:szCs w:val="32"/>
        </w:rPr>
        <w:t>23.加强老龄工作研究。</w:t>
      </w:r>
      <w:r>
        <w:rPr>
          <w:rFonts w:hint="default" w:ascii="Times New Roman" w:hAnsi="Times New Roman" w:eastAsia="仿宋_GB2312" w:cs="Times New Roman"/>
          <w:color w:val="auto"/>
          <w:spacing w:val="0"/>
          <w:kern w:val="21"/>
          <w:sz w:val="32"/>
          <w:szCs w:val="32"/>
        </w:rPr>
        <w:t>加强老龄领域理论和政策研究，推进跨领域、跨部门、跨层级涉老数据共享，开展老龄工作交流与合作</w:t>
      </w:r>
      <w:r>
        <w:rPr>
          <w:rFonts w:hint="eastAsia" w:cs="Times New Roman"/>
          <w:color w:val="auto"/>
          <w:spacing w:val="0"/>
          <w:kern w:val="21"/>
          <w:sz w:val="32"/>
          <w:szCs w:val="32"/>
          <w:lang w:eastAsia="zh-CN"/>
        </w:rPr>
        <w:t>，推动研究成果转化为解决问题、改进工作的政策措施。</w:t>
      </w:r>
      <w:r>
        <w:rPr>
          <w:rFonts w:hint="default" w:ascii="Times New Roman" w:hAnsi="Times New Roman" w:eastAsia="楷体_GB2312" w:cs="Times New Roman"/>
          <w:color w:val="auto"/>
          <w:spacing w:val="0"/>
          <w:kern w:val="21"/>
          <w:sz w:val="32"/>
          <w:szCs w:val="32"/>
        </w:rPr>
        <w:t>〔市老龄办、市发展改革委、市民政局等部门按职责分工负责〕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Times New Roman"/>
          <w:color w:val="auto"/>
          <w:spacing w:val="0"/>
          <w:kern w:val="21"/>
          <w:sz w:val="32"/>
          <w:szCs w:val="32"/>
          <w:lang w:eastAsia="zh-CN"/>
        </w:rPr>
      </w:pPr>
      <w:r>
        <w:rPr>
          <w:rFonts w:hint="default" w:ascii="Times New Roman" w:hAnsi="Times New Roman" w:eastAsia="黑体" w:cs="Times New Roman"/>
          <w:color w:val="auto"/>
          <w:spacing w:val="0"/>
          <w:kern w:val="21"/>
          <w:sz w:val="32"/>
          <w:szCs w:val="32"/>
        </w:rPr>
        <w:t>三、保障</w:t>
      </w:r>
      <w:r>
        <w:rPr>
          <w:rFonts w:hint="eastAsia" w:eastAsia="黑体" w:cs="Times New Roman"/>
          <w:color w:val="auto"/>
          <w:spacing w:val="0"/>
          <w:kern w:val="21"/>
          <w:sz w:val="32"/>
          <w:szCs w:val="32"/>
          <w:lang w:eastAsia="zh-CN"/>
        </w:rPr>
        <w:t>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pacing w:val="0"/>
          <w:kern w:val="21"/>
          <w:sz w:val="32"/>
          <w:szCs w:val="32"/>
        </w:rPr>
      </w:pPr>
      <w:r>
        <w:rPr>
          <w:rFonts w:hint="default" w:ascii="Times New Roman" w:hAnsi="Times New Roman" w:eastAsia="楷体_GB2312" w:cs="Times New Roman"/>
          <w:color w:val="auto"/>
          <w:spacing w:val="0"/>
          <w:kern w:val="21"/>
          <w:sz w:val="32"/>
          <w:szCs w:val="32"/>
        </w:rPr>
        <w:t>（一）加强</w:t>
      </w:r>
      <w:r>
        <w:rPr>
          <w:rFonts w:hint="eastAsia" w:eastAsia="楷体_GB2312" w:cs="Times New Roman"/>
          <w:color w:val="auto"/>
          <w:spacing w:val="0"/>
          <w:kern w:val="21"/>
          <w:sz w:val="32"/>
          <w:szCs w:val="32"/>
          <w:lang w:eastAsia="zh-CN"/>
        </w:rPr>
        <w:t>组织</w:t>
      </w:r>
      <w:r>
        <w:rPr>
          <w:rFonts w:hint="default" w:ascii="Times New Roman" w:hAnsi="Times New Roman" w:eastAsia="楷体_GB2312" w:cs="Times New Roman"/>
          <w:color w:val="auto"/>
          <w:spacing w:val="0"/>
          <w:kern w:val="21"/>
          <w:sz w:val="32"/>
          <w:szCs w:val="32"/>
        </w:rPr>
        <w:t>领导。</w:t>
      </w:r>
      <w:r>
        <w:rPr>
          <w:rFonts w:hint="default" w:ascii="Times New Roman" w:hAnsi="Times New Roman" w:eastAsia="仿宋_GB2312" w:cs="Times New Roman"/>
          <w:color w:val="auto"/>
          <w:spacing w:val="0"/>
          <w:kern w:val="21"/>
          <w:sz w:val="32"/>
          <w:szCs w:val="32"/>
        </w:rPr>
        <w:t>各级党委和政府要高度重视并切实做好老龄工作，党政主要负责人亲自抓、负总责，将老龄工作纳入重要议事日程，纳入经济社会发展规划，纳入民生实事项目。健全老龄工作体系，强化基层力量配备，持续加大制度创新、政策供给、财政投入力度，把老龄工作组织好、落实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pacing w:val="0"/>
          <w:kern w:val="21"/>
          <w:sz w:val="32"/>
          <w:szCs w:val="32"/>
          <w:lang w:eastAsia="zh-CN"/>
        </w:rPr>
      </w:pPr>
      <w:r>
        <w:rPr>
          <w:rFonts w:hint="default" w:ascii="Times New Roman" w:hAnsi="Times New Roman" w:eastAsia="楷体_GB2312" w:cs="Times New Roman"/>
          <w:color w:val="auto"/>
          <w:spacing w:val="0"/>
          <w:kern w:val="21"/>
          <w:sz w:val="32"/>
          <w:szCs w:val="32"/>
        </w:rPr>
        <w:t>（二）落实工作责任。</w:t>
      </w:r>
      <w:r>
        <w:rPr>
          <w:rFonts w:hint="default" w:ascii="Times New Roman" w:hAnsi="Times New Roman" w:eastAsia="仿宋_GB2312" w:cs="Times New Roman"/>
          <w:color w:val="auto"/>
          <w:spacing w:val="0"/>
          <w:kern w:val="21"/>
          <w:sz w:val="32"/>
          <w:szCs w:val="32"/>
        </w:rPr>
        <w:t>各级老龄委要强化统筹协调职能，加强老龄机构能力建设。发展改革部门要积极推进老龄事业和产业发展与</w:t>
      </w:r>
      <w:r>
        <w:rPr>
          <w:rFonts w:hint="eastAsia" w:cs="Times New Roman"/>
          <w:color w:val="auto"/>
          <w:spacing w:val="0"/>
          <w:kern w:val="21"/>
          <w:sz w:val="32"/>
          <w:szCs w:val="32"/>
          <w:lang w:eastAsia="zh-CN"/>
        </w:rPr>
        <w:t>地方</w:t>
      </w:r>
      <w:r>
        <w:rPr>
          <w:rFonts w:hint="default" w:ascii="Times New Roman" w:hAnsi="Times New Roman" w:eastAsia="仿宋_GB2312" w:cs="Times New Roman"/>
          <w:color w:val="auto"/>
          <w:spacing w:val="0"/>
          <w:kern w:val="21"/>
          <w:sz w:val="32"/>
          <w:szCs w:val="32"/>
        </w:rPr>
        <w:t>发展规划、年度计划相衔接，推动健康养老服务业发展。卫生健康部门要建立完善老年健康支撑体系，</w:t>
      </w:r>
      <w:r>
        <w:rPr>
          <w:rFonts w:hint="eastAsia" w:cs="Times New Roman"/>
          <w:color w:val="auto"/>
          <w:spacing w:val="0"/>
          <w:kern w:val="21"/>
          <w:sz w:val="32"/>
          <w:szCs w:val="32"/>
          <w:lang w:eastAsia="zh-CN"/>
        </w:rPr>
        <w:t>扎实</w:t>
      </w:r>
      <w:r>
        <w:rPr>
          <w:rFonts w:hint="default" w:ascii="Times New Roman" w:hAnsi="Times New Roman" w:eastAsia="仿宋_GB2312" w:cs="Times New Roman"/>
          <w:color w:val="auto"/>
          <w:spacing w:val="0"/>
          <w:kern w:val="21"/>
          <w:sz w:val="32"/>
          <w:szCs w:val="32"/>
        </w:rPr>
        <w:t>推进医养结合，组织开展疾病防治、医疗照护、安宁疗护等老年健康工作。民政部门要统筹推进、</w:t>
      </w:r>
      <w:r>
        <w:rPr>
          <w:rFonts w:hint="eastAsia" w:cs="Times New Roman"/>
          <w:color w:val="auto"/>
          <w:spacing w:val="0"/>
          <w:kern w:val="21"/>
          <w:sz w:val="32"/>
          <w:szCs w:val="32"/>
          <w:lang w:eastAsia="zh-CN"/>
        </w:rPr>
        <w:t>督促指导、</w:t>
      </w:r>
      <w:r>
        <w:rPr>
          <w:rFonts w:hint="default" w:ascii="Times New Roman" w:hAnsi="Times New Roman" w:eastAsia="仿宋_GB2312" w:cs="Times New Roman"/>
          <w:color w:val="auto"/>
          <w:spacing w:val="0"/>
          <w:kern w:val="21"/>
          <w:sz w:val="32"/>
          <w:szCs w:val="32"/>
        </w:rPr>
        <w:t>监督管理养老服务工作，拟订养老服务体系政策并组织实施，承担老年人福利和特殊困难老年人救助工作。各老龄委成员单位要按职责主动作为</w:t>
      </w:r>
      <w:r>
        <w:rPr>
          <w:rFonts w:hint="eastAsia" w:cs="Times New Roman"/>
          <w:color w:val="auto"/>
          <w:spacing w:val="0"/>
          <w:kern w:val="21"/>
          <w:sz w:val="32"/>
          <w:szCs w:val="32"/>
          <w:lang w:eastAsia="zh-CN"/>
        </w:rPr>
        <w:t>、通力合作，共同</w:t>
      </w:r>
      <w:r>
        <w:rPr>
          <w:rFonts w:hint="default" w:ascii="Times New Roman" w:hAnsi="Times New Roman" w:eastAsia="仿宋_GB2312" w:cs="Times New Roman"/>
          <w:color w:val="auto"/>
          <w:spacing w:val="0"/>
          <w:kern w:val="21"/>
          <w:sz w:val="32"/>
          <w:szCs w:val="32"/>
        </w:rPr>
        <w:t>抓好老龄工作落实。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pacing w:val="0"/>
          <w:kern w:val="21"/>
          <w:sz w:val="32"/>
          <w:szCs w:val="32"/>
        </w:rPr>
      </w:pPr>
      <w:r>
        <w:rPr>
          <w:rFonts w:hint="default" w:ascii="Times New Roman" w:hAnsi="Times New Roman" w:eastAsia="楷体_GB2312" w:cs="Times New Roman"/>
          <w:color w:val="auto"/>
          <w:spacing w:val="0"/>
          <w:kern w:val="21"/>
          <w:sz w:val="32"/>
          <w:szCs w:val="32"/>
        </w:rPr>
        <w:t>（三）动员社会参与。</w:t>
      </w:r>
      <w:r>
        <w:rPr>
          <w:rFonts w:hint="default" w:ascii="Times New Roman" w:hAnsi="Times New Roman" w:eastAsia="仿宋_GB2312" w:cs="Times New Roman"/>
          <w:b w:val="0"/>
          <w:bCs w:val="0"/>
          <w:color w:val="auto"/>
          <w:sz w:val="32"/>
          <w:szCs w:val="32"/>
        </w:rPr>
        <w:t>组织各类媒体</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运用多种方式宣传</w:t>
      </w:r>
      <w:r>
        <w:rPr>
          <w:rFonts w:hint="eastAsia" w:ascii="Times New Roman" w:hAnsi="Times New Roman" w:cs="Times New Roman"/>
          <w:b w:val="0"/>
          <w:bCs w:val="0"/>
          <w:color w:val="auto"/>
          <w:sz w:val="32"/>
          <w:szCs w:val="32"/>
          <w:lang w:eastAsia="zh-CN"/>
        </w:rPr>
        <w:t>老龄工作</w:t>
      </w:r>
      <w:r>
        <w:rPr>
          <w:rFonts w:hint="default" w:ascii="Times New Roman" w:hAnsi="Times New Roman" w:eastAsia="仿宋_GB2312" w:cs="Times New Roman"/>
          <w:b w:val="0"/>
          <w:bCs w:val="0"/>
          <w:color w:val="auto"/>
          <w:sz w:val="32"/>
          <w:szCs w:val="32"/>
        </w:rPr>
        <w:t>重要意义</w:t>
      </w:r>
      <w:r>
        <w:rPr>
          <w:rFonts w:hint="eastAsia" w:cs="Times New Roman"/>
          <w:b w:val="0"/>
          <w:bCs w:val="0"/>
          <w:color w:val="auto"/>
          <w:sz w:val="32"/>
          <w:szCs w:val="32"/>
          <w:lang w:eastAsia="zh-CN"/>
        </w:rPr>
        <w:t>、政策措施</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color w:val="auto"/>
          <w:spacing w:val="0"/>
          <w:kern w:val="21"/>
          <w:sz w:val="32"/>
          <w:szCs w:val="32"/>
        </w:rPr>
        <w:t>积极引导动员社会各方力量参与老年优待、社会敬老助老等工作，参与老龄事业发展，加强基层老年协会建设，形成全社会关心支持、共建共享的大老龄工作格局。及时总结推广老龄工作先进经验。</w:t>
      </w:r>
    </w:p>
    <w:p>
      <w:pPr>
        <w:rPr>
          <w:rFonts w:hint="default" w:ascii="Times New Roman" w:hAnsi="Times New Roman" w:eastAsia="仿宋_GB2312" w:cs="Times New Roman"/>
          <w:color w:val="auto"/>
          <w:spacing w:val="0"/>
          <w:kern w:val="21"/>
          <w:sz w:val="32"/>
          <w:szCs w:val="32"/>
        </w:rPr>
      </w:pPr>
      <w:r>
        <w:rPr>
          <w:rFonts w:hint="default" w:ascii="Times New Roman" w:hAnsi="Times New Roman" w:eastAsia="仿宋_GB2312" w:cs="Times New Roman"/>
          <w:color w:val="auto"/>
          <w:spacing w:val="0"/>
          <w:kern w:val="21"/>
          <w:sz w:val="32"/>
          <w:szCs w:val="32"/>
        </w:rPr>
        <w:br w:type="page"/>
      </w:r>
    </w:p>
    <w:p>
      <w:pPr>
        <w:pStyle w:val="2"/>
        <w:rPr>
          <w:rFonts w:hint="default"/>
        </w:rPr>
      </w:pPr>
    </w:p>
    <w:p>
      <w:pPr>
        <w:spacing w:line="560" w:lineRule="exact"/>
        <w:rPr>
          <w:snapToGrid w:val="0"/>
          <w:kern w:val="21"/>
        </w:rPr>
      </w:pPr>
    </w:p>
    <w:p>
      <w:pPr>
        <w:spacing w:line="560" w:lineRule="exact"/>
        <w:rPr>
          <w:snapToGrid w:val="0"/>
          <w:kern w:val="21"/>
        </w:rPr>
      </w:pPr>
    </w:p>
    <w:p>
      <w:pPr>
        <w:spacing w:line="560" w:lineRule="exact"/>
        <w:rPr>
          <w:snapToGrid w:val="0"/>
          <w:kern w:val="21"/>
        </w:rPr>
      </w:pPr>
    </w:p>
    <w:p>
      <w:pPr>
        <w:spacing w:line="560" w:lineRule="exact"/>
        <w:rPr>
          <w:snapToGrid w:val="0"/>
          <w:kern w:val="21"/>
        </w:rPr>
      </w:pPr>
    </w:p>
    <w:tbl>
      <w:tblPr>
        <w:tblStyle w:val="10"/>
        <w:tblpPr w:leftFromText="181" w:rightFromText="181" w:vertAnchor="page" w:horzAnchor="page" w:tblpXSpec="center" w:tblpY="14117"/>
        <w:tblOverlap w:val="never"/>
        <w:tblW w:w="0" w:type="auto"/>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85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544" w:hRule="exact"/>
          <w:jc w:val="center"/>
        </w:trPr>
        <w:tc>
          <w:tcPr>
            <w:tcW w:w="8850" w:type="dxa"/>
            <w:noWrap w:val="0"/>
            <w:vAlign w:val="top"/>
          </w:tcPr>
          <w:p>
            <w:pPr>
              <w:adjustRightInd w:val="0"/>
              <w:snapToGrid w:val="0"/>
              <w:spacing w:line="460" w:lineRule="exact"/>
              <w:ind w:right="-496" w:rightChars="-155"/>
              <w:rPr>
                <w:rFonts w:ascii="Times New Roman" w:hAnsi="Times New Roman"/>
                <w:b w:val="0"/>
                <w:bCs w:val="0"/>
                <w:snapToGrid w:val="0"/>
                <w:color w:val="000000"/>
                <w:spacing w:val="0"/>
                <w:kern w:val="21"/>
                <w:sz w:val="28"/>
                <w:szCs w:val="28"/>
              </w:rPr>
            </w:pPr>
            <w:r>
              <w:rPr>
                <w:rFonts w:hint="eastAsia" w:ascii="Times New Roman" w:hAnsi="Times New Roman"/>
                <w:b w:val="0"/>
                <w:bCs w:val="0"/>
                <w:snapToGrid w:val="0"/>
                <w:color w:val="000000"/>
                <w:spacing w:val="0"/>
                <w:kern w:val="21"/>
                <w:sz w:val="28"/>
                <w:szCs w:val="28"/>
              </w:rPr>
              <w:t>　</w:t>
            </w:r>
            <w:r>
              <w:rPr>
                <w:rFonts w:ascii="Times New Roman" w:hAnsi="Times New Roman"/>
                <w:b w:val="0"/>
                <w:bCs w:val="0"/>
                <w:snapToGrid w:val="0"/>
                <w:color w:val="000000"/>
                <w:spacing w:val="0"/>
                <w:kern w:val="21"/>
                <w:sz w:val="28"/>
                <w:szCs w:val="28"/>
              </w:rPr>
              <w:t>中共昆明市委办公</w:t>
            </w:r>
            <w:r>
              <w:rPr>
                <w:rFonts w:hint="eastAsia" w:ascii="Times New Roman" w:hAnsi="Times New Roman"/>
                <w:b w:val="0"/>
                <w:bCs w:val="0"/>
                <w:spacing w:val="0"/>
                <w:kern w:val="21"/>
                <w:sz w:val="28"/>
                <w:szCs w:val="28"/>
              </w:rPr>
              <w:t>室</w:t>
            </w:r>
            <w:r>
              <w:rPr>
                <w:rFonts w:ascii="Times New Roman" w:hAnsi="Times New Roman"/>
                <w:b w:val="0"/>
                <w:bCs w:val="0"/>
                <w:snapToGrid w:val="0"/>
                <w:color w:val="000000"/>
                <w:spacing w:val="0"/>
                <w:kern w:val="21"/>
                <w:sz w:val="28"/>
                <w:szCs w:val="28"/>
              </w:rPr>
              <w:t xml:space="preserve">              </w:t>
            </w:r>
            <w:r>
              <w:rPr>
                <w:rFonts w:hint="eastAsia" w:ascii="Times New Roman" w:hAnsi="Times New Roman"/>
                <w:b w:val="0"/>
                <w:bCs w:val="0"/>
                <w:snapToGrid w:val="0"/>
                <w:color w:val="000000"/>
                <w:spacing w:val="0"/>
                <w:kern w:val="21"/>
                <w:sz w:val="28"/>
                <w:szCs w:val="28"/>
              </w:rPr>
              <w:t xml:space="preserve"> </w:t>
            </w:r>
            <w:r>
              <w:rPr>
                <w:rFonts w:ascii="Times New Roman" w:hAnsi="Times New Roman"/>
                <w:b w:val="0"/>
                <w:bCs w:val="0"/>
                <w:snapToGrid w:val="0"/>
                <w:color w:val="000000"/>
                <w:spacing w:val="0"/>
                <w:kern w:val="21"/>
                <w:sz w:val="28"/>
                <w:szCs w:val="28"/>
                <w:lang w:val="en"/>
              </w:rPr>
              <w:t xml:space="preserve">  </w:t>
            </w:r>
            <w:r>
              <w:rPr>
                <w:rFonts w:hint="eastAsia" w:ascii="Times New Roman" w:hAnsi="Times New Roman"/>
                <w:b w:val="0"/>
                <w:bCs w:val="0"/>
                <w:snapToGrid w:val="0"/>
                <w:color w:val="000000"/>
                <w:spacing w:val="0"/>
                <w:kern w:val="21"/>
                <w:sz w:val="28"/>
                <w:szCs w:val="28"/>
                <w:lang w:val="en-US" w:eastAsia="zh-CN"/>
              </w:rPr>
              <w:t xml:space="preserve"> </w:t>
            </w:r>
            <w:r>
              <w:rPr>
                <w:rFonts w:ascii="Times New Roman" w:hAnsi="Times New Roman"/>
                <w:b w:val="0"/>
                <w:bCs w:val="0"/>
                <w:snapToGrid w:val="0"/>
                <w:color w:val="000000"/>
                <w:spacing w:val="0"/>
                <w:kern w:val="21"/>
                <w:sz w:val="28"/>
                <w:szCs w:val="28"/>
                <w:lang w:val="en"/>
              </w:rPr>
              <w:t xml:space="preserve"> </w:t>
            </w:r>
            <w:r>
              <w:rPr>
                <w:rFonts w:hint="eastAsia" w:ascii="Times New Roman" w:hAnsi="Times New Roman"/>
                <w:b w:val="0"/>
                <w:bCs w:val="0"/>
                <w:snapToGrid w:val="0"/>
                <w:color w:val="000000"/>
                <w:spacing w:val="0"/>
                <w:kern w:val="21"/>
                <w:sz w:val="28"/>
                <w:szCs w:val="28"/>
              </w:rPr>
              <w:t xml:space="preserve"> </w:t>
            </w:r>
            <w:r>
              <w:rPr>
                <w:rFonts w:ascii="Times New Roman" w:hAnsi="Times New Roman"/>
                <w:b w:val="0"/>
                <w:bCs w:val="0"/>
                <w:snapToGrid w:val="0"/>
                <w:color w:val="000000"/>
                <w:spacing w:val="0"/>
                <w:kern w:val="21"/>
                <w:sz w:val="28"/>
                <w:szCs w:val="28"/>
              </w:rPr>
              <w:t>20</w:t>
            </w:r>
            <w:r>
              <w:rPr>
                <w:rFonts w:hint="eastAsia" w:ascii="Times New Roman" w:hAnsi="Times New Roman"/>
                <w:b w:val="0"/>
                <w:bCs w:val="0"/>
                <w:snapToGrid w:val="0"/>
                <w:color w:val="000000"/>
                <w:spacing w:val="0"/>
                <w:kern w:val="21"/>
                <w:sz w:val="28"/>
                <w:szCs w:val="28"/>
              </w:rPr>
              <w:t>2</w:t>
            </w:r>
            <w:r>
              <w:rPr>
                <w:rFonts w:hint="eastAsia" w:ascii="Times New Roman" w:hAnsi="Times New Roman" w:eastAsia="方正仿宋_GBK"/>
                <w:b w:val="0"/>
                <w:bCs w:val="0"/>
                <w:snapToGrid w:val="0"/>
                <w:color w:val="000000"/>
                <w:spacing w:val="0"/>
                <w:kern w:val="21"/>
                <w:sz w:val="28"/>
                <w:szCs w:val="28"/>
                <w:lang w:val="en-US" w:eastAsia="zh-CN"/>
              </w:rPr>
              <w:t>2</w:t>
            </w:r>
            <w:r>
              <w:rPr>
                <w:rFonts w:ascii="Times New Roman" w:hAnsi="Times New Roman"/>
                <w:b w:val="0"/>
                <w:bCs w:val="0"/>
                <w:snapToGrid w:val="0"/>
                <w:color w:val="000000"/>
                <w:spacing w:val="0"/>
                <w:kern w:val="21"/>
                <w:sz w:val="28"/>
                <w:szCs w:val="28"/>
              </w:rPr>
              <w:t>年</w:t>
            </w:r>
            <w:r>
              <w:rPr>
                <w:rFonts w:hint="eastAsia" w:ascii="Times New Roman" w:hAnsi="Times New Roman" w:eastAsia="方正仿宋_GBK"/>
                <w:b w:val="0"/>
                <w:bCs w:val="0"/>
                <w:snapToGrid w:val="0"/>
                <w:color w:val="000000"/>
                <w:spacing w:val="0"/>
                <w:kern w:val="21"/>
                <w:sz w:val="28"/>
                <w:szCs w:val="28"/>
                <w:lang w:val="en-US" w:eastAsia="zh-CN"/>
              </w:rPr>
              <w:t>12</w:t>
            </w:r>
            <w:r>
              <w:rPr>
                <w:rFonts w:ascii="Times New Roman" w:hAnsi="Times New Roman"/>
                <w:b w:val="0"/>
                <w:bCs w:val="0"/>
                <w:snapToGrid w:val="0"/>
                <w:color w:val="000000"/>
                <w:spacing w:val="0"/>
                <w:kern w:val="21"/>
                <w:sz w:val="28"/>
                <w:szCs w:val="28"/>
              </w:rPr>
              <w:t>月</w:t>
            </w:r>
            <w:r>
              <w:rPr>
                <w:rFonts w:hint="eastAsia" w:eastAsia="方正仿宋_GBK"/>
                <w:b w:val="0"/>
                <w:bCs w:val="0"/>
                <w:snapToGrid w:val="0"/>
                <w:color w:val="000000"/>
                <w:spacing w:val="0"/>
                <w:kern w:val="21"/>
                <w:sz w:val="28"/>
                <w:szCs w:val="28"/>
                <w:lang w:val="en-US" w:eastAsia="zh-CN"/>
              </w:rPr>
              <w:t>26</w:t>
            </w:r>
            <w:r>
              <w:rPr>
                <w:rFonts w:ascii="Times New Roman" w:hAnsi="Times New Roman"/>
                <w:b w:val="0"/>
                <w:bCs w:val="0"/>
                <w:snapToGrid w:val="0"/>
                <w:color w:val="000000"/>
                <w:spacing w:val="0"/>
                <w:kern w:val="21"/>
                <w:sz w:val="28"/>
                <w:szCs w:val="28"/>
              </w:rPr>
              <w:t>日印发</w:t>
            </w:r>
            <w:r>
              <w:rPr>
                <w:rFonts w:hint="eastAsia" w:ascii="Times New Roman" w:hAnsi="Times New Roman"/>
                <w:b w:val="0"/>
                <w:bCs w:val="0"/>
                <w:snapToGrid w:val="0"/>
                <w:color w:val="000000"/>
                <w:spacing w:val="0"/>
                <w:kern w:val="21"/>
                <w:sz w:val="28"/>
                <w:szCs w:val="28"/>
              </w:rPr>
              <w:t>　</w:t>
            </w:r>
          </w:p>
        </w:tc>
      </w:tr>
    </w:tbl>
    <w:p>
      <w:pPr>
        <w:spacing w:line="560" w:lineRule="exact"/>
        <w:rPr>
          <w:snapToGrid w:val="0"/>
          <w:kern w:val="21"/>
        </w:rPr>
      </w:pPr>
    </w:p>
    <w:p>
      <w:pPr>
        <w:tabs>
          <w:tab w:val="left" w:pos="728"/>
        </w:tabs>
        <w:adjustRightInd w:val="0"/>
        <w:snapToGrid w:val="0"/>
        <w:spacing w:line="20" w:lineRule="exact"/>
        <w:rPr>
          <w:rFonts w:eastAsia="黑体"/>
          <w:bCs/>
          <w:kern w:val="21"/>
          <w:sz w:val="21"/>
          <w:szCs w:val="21"/>
        </w:rPr>
      </w:pPr>
    </w:p>
    <w:p>
      <w:pPr>
        <w:tabs>
          <w:tab w:val="left" w:pos="728"/>
        </w:tabs>
        <w:adjustRightInd w:val="0"/>
        <w:snapToGrid w:val="0"/>
        <w:spacing w:line="20" w:lineRule="exact"/>
        <w:rPr>
          <w:rFonts w:eastAsia="黑体"/>
          <w:bCs/>
          <w:kern w:val="21"/>
          <w:sz w:val="21"/>
          <w:szCs w:val="21"/>
        </w:rPr>
      </w:pPr>
    </w:p>
    <w:p>
      <w:pPr>
        <w:tabs>
          <w:tab w:val="left" w:pos="728"/>
        </w:tabs>
        <w:adjustRightInd w:val="0"/>
        <w:snapToGrid w:val="0"/>
        <w:spacing w:line="20" w:lineRule="exact"/>
        <w:rPr>
          <w:rFonts w:eastAsia="黑体"/>
          <w:bCs/>
          <w:kern w:val="21"/>
          <w:sz w:val="21"/>
          <w:szCs w:val="21"/>
        </w:rPr>
      </w:pPr>
    </w:p>
    <w:p>
      <w:pPr>
        <w:tabs>
          <w:tab w:val="left" w:pos="728"/>
        </w:tabs>
        <w:adjustRightInd w:val="0"/>
        <w:snapToGrid w:val="0"/>
        <w:spacing w:line="20" w:lineRule="exact"/>
        <w:rPr>
          <w:rFonts w:eastAsia="黑体"/>
          <w:bCs/>
          <w:kern w:val="21"/>
          <w:sz w:val="21"/>
          <w:szCs w:val="21"/>
        </w:rPr>
      </w:pPr>
    </w:p>
    <w:p>
      <w:pPr>
        <w:tabs>
          <w:tab w:val="left" w:pos="728"/>
        </w:tabs>
        <w:adjustRightInd w:val="0"/>
        <w:snapToGrid w:val="0"/>
        <w:spacing w:line="20" w:lineRule="exact"/>
        <w:rPr>
          <w:rFonts w:eastAsia="黑体"/>
          <w:bCs/>
          <w:kern w:val="21"/>
          <w:sz w:val="21"/>
          <w:szCs w:val="21"/>
        </w:rPr>
      </w:pPr>
    </w:p>
    <w:p>
      <w:pPr>
        <w:tabs>
          <w:tab w:val="left" w:pos="728"/>
        </w:tabs>
        <w:adjustRightInd w:val="0"/>
        <w:snapToGrid w:val="0"/>
        <w:spacing w:line="20" w:lineRule="exact"/>
        <w:rPr>
          <w:rFonts w:eastAsia="黑体"/>
          <w:bCs/>
          <w:kern w:val="21"/>
          <w:sz w:val="21"/>
          <w:szCs w:val="21"/>
        </w:rPr>
      </w:pPr>
    </w:p>
    <w:p>
      <w:pPr>
        <w:tabs>
          <w:tab w:val="left" w:pos="728"/>
        </w:tabs>
        <w:adjustRightInd w:val="0"/>
        <w:snapToGrid w:val="0"/>
        <w:spacing w:line="20" w:lineRule="exact"/>
        <w:rPr>
          <w:rFonts w:eastAsia="黑体"/>
          <w:bCs/>
          <w:kern w:val="21"/>
          <w:sz w:val="21"/>
          <w:szCs w:val="21"/>
        </w:rPr>
      </w:pPr>
    </w:p>
    <w:p>
      <w:pPr>
        <w:tabs>
          <w:tab w:val="left" w:pos="728"/>
        </w:tabs>
        <w:adjustRightInd w:val="0"/>
        <w:snapToGrid w:val="0"/>
        <w:spacing w:line="20" w:lineRule="exact"/>
        <w:rPr>
          <w:rFonts w:eastAsia="黑体"/>
          <w:bCs/>
          <w:kern w:val="21"/>
          <w:sz w:val="21"/>
          <w:szCs w:val="21"/>
        </w:rPr>
      </w:pPr>
    </w:p>
    <w:p>
      <w:pPr>
        <w:tabs>
          <w:tab w:val="left" w:pos="728"/>
        </w:tabs>
        <w:adjustRightInd w:val="0"/>
        <w:snapToGrid w:val="0"/>
        <w:spacing w:line="20" w:lineRule="exact"/>
        <w:rPr>
          <w:rFonts w:eastAsia="黑体"/>
          <w:bCs/>
          <w:kern w:val="21"/>
          <w:sz w:val="21"/>
          <w:szCs w:val="21"/>
        </w:rPr>
      </w:pPr>
    </w:p>
    <w:p>
      <w:pPr>
        <w:tabs>
          <w:tab w:val="left" w:pos="728"/>
        </w:tabs>
        <w:adjustRightInd w:val="0"/>
        <w:snapToGrid w:val="0"/>
        <w:spacing w:line="20" w:lineRule="exact"/>
        <w:rPr>
          <w:rFonts w:eastAsia="黑体"/>
          <w:bCs/>
          <w:kern w:val="21"/>
          <w:sz w:val="21"/>
          <w:szCs w:val="21"/>
        </w:rPr>
      </w:pPr>
    </w:p>
    <w:p>
      <w:pPr>
        <w:tabs>
          <w:tab w:val="left" w:pos="728"/>
        </w:tabs>
        <w:adjustRightInd w:val="0"/>
        <w:snapToGrid w:val="0"/>
        <w:spacing w:line="20" w:lineRule="exact"/>
        <w:rPr>
          <w:rFonts w:eastAsia="黑体"/>
          <w:bCs/>
          <w:kern w:val="21"/>
          <w:sz w:val="21"/>
          <w:szCs w:val="21"/>
        </w:rPr>
      </w:pPr>
    </w:p>
    <w:p>
      <w:pPr>
        <w:tabs>
          <w:tab w:val="left" w:pos="728"/>
        </w:tabs>
        <w:adjustRightInd w:val="0"/>
        <w:snapToGrid w:val="0"/>
        <w:spacing w:line="20" w:lineRule="exact"/>
        <w:rPr>
          <w:rFonts w:eastAsia="黑体"/>
          <w:bCs/>
          <w:kern w:val="21"/>
          <w:sz w:val="21"/>
          <w:szCs w:val="21"/>
        </w:rPr>
      </w:pPr>
    </w:p>
    <w:p>
      <w:pPr>
        <w:tabs>
          <w:tab w:val="left" w:pos="728"/>
        </w:tabs>
        <w:adjustRightInd w:val="0"/>
        <w:snapToGrid w:val="0"/>
        <w:spacing w:line="20" w:lineRule="exact"/>
        <w:rPr>
          <w:rFonts w:eastAsia="黑体"/>
          <w:bCs/>
          <w:kern w:val="21"/>
          <w:sz w:val="21"/>
          <w:szCs w:val="21"/>
        </w:rPr>
      </w:pPr>
    </w:p>
    <w:p>
      <w:pPr>
        <w:tabs>
          <w:tab w:val="left" w:pos="728"/>
        </w:tabs>
        <w:adjustRightInd w:val="0"/>
        <w:snapToGrid w:val="0"/>
        <w:spacing w:line="20" w:lineRule="exact"/>
        <w:rPr>
          <w:rFonts w:eastAsia="黑体"/>
          <w:bCs/>
          <w:kern w:val="21"/>
          <w:sz w:val="21"/>
          <w:szCs w:val="21"/>
        </w:rPr>
      </w:pPr>
    </w:p>
    <w:p>
      <w:pPr>
        <w:tabs>
          <w:tab w:val="left" w:pos="728"/>
        </w:tabs>
        <w:adjustRightInd w:val="0"/>
        <w:snapToGrid w:val="0"/>
        <w:spacing w:line="20" w:lineRule="exact"/>
        <w:rPr>
          <w:rFonts w:eastAsia="黑体"/>
          <w:bCs/>
          <w:kern w:val="21"/>
          <w:sz w:val="21"/>
          <w:szCs w:val="21"/>
        </w:rPr>
      </w:pPr>
    </w:p>
    <w:p>
      <w:pPr>
        <w:tabs>
          <w:tab w:val="left" w:pos="728"/>
        </w:tabs>
        <w:adjustRightInd w:val="0"/>
        <w:snapToGrid w:val="0"/>
        <w:spacing w:line="20" w:lineRule="exact"/>
        <w:rPr>
          <w:rFonts w:eastAsia="黑体"/>
          <w:bCs/>
          <w:kern w:val="21"/>
          <w:sz w:val="21"/>
          <w:szCs w:val="21"/>
        </w:rPr>
      </w:pPr>
    </w:p>
    <w:p>
      <w:pPr>
        <w:tabs>
          <w:tab w:val="left" w:pos="728"/>
        </w:tabs>
        <w:adjustRightInd w:val="0"/>
        <w:snapToGrid w:val="0"/>
        <w:spacing w:line="20" w:lineRule="exact"/>
        <w:rPr>
          <w:rFonts w:eastAsia="黑体"/>
          <w:bCs/>
          <w:kern w:val="21"/>
          <w:sz w:val="21"/>
          <w:szCs w:val="21"/>
        </w:rPr>
      </w:pPr>
    </w:p>
    <w:p>
      <w:pPr>
        <w:tabs>
          <w:tab w:val="left" w:pos="728"/>
        </w:tabs>
        <w:adjustRightInd w:val="0"/>
        <w:snapToGrid w:val="0"/>
        <w:spacing w:line="20" w:lineRule="exact"/>
        <w:rPr>
          <w:rFonts w:eastAsia="黑体"/>
          <w:bCs/>
          <w:kern w:val="21"/>
          <w:sz w:val="21"/>
          <w:szCs w:val="21"/>
        </w:rPr>
      </w:pPr>
    </w:p>
    <w:p>
      <w:pPr>
        <w:tabs>
          <w:tab w:val="left" w:pos="728"/>
        </w:tabs>
        <w:adjustRightInd w:val="0"/>
        <w:snapToGrid w:val="0"/>
        <w:spacing w:line="20" w:lineRule="exact"/>
        <w:rPr>
          <w:rFonts w:eastAsia="黑体"/>
          <w:bCs/>
          <w:kern w:val="21"/>
          <w:sz w:val="21"/>
          <w:szCs w:val="21"/>
        </w:rPr>
      </w:pPr>
    </w:p>
    <w:p>
      <w:pPr>
        <w:tabs>
          <w:tab w:val="left" w:pos="728"/>
        </w:tabs>
        <w:adjustRightInd w:val="0"/>
        <w:snapToGrid w:val="0"/>
        <w:spacing w:line="20" w:lineRule="exact"/>
        <w:rPr>
          <w:rFonts w:eastAsia="黑体"/>
          <w:bCs/>
          <w:kern w:val="21"/>
          <w:sz w:val="21"/>
          <w:szCs w:val="21"/>
        </w:rPr>
      </w:pPr>
    </w:p>
    <w:p>
      <w:pPr>
        <w:tabs>
          <w:tab w:val="left" w:pos="728"/>
        </w:tabs>
        <w:adjustRightInd w:val="0"/>
        <w:snapToGrid w:val="0"/>
        <w:spacing w:line="20" w:lineRule="exact"/>
        <w:rPr>
          <w:rFonts w:eastAsia="黑体"/>
          <w:bCs/>
          <w:kern w:val="21"/>
          <w:sz w:val="21"/>
          <w:szCs w:val="21"/>
        </w:rPr>
      </w:pPr>
    </w:p>
    <w:p>
      <w:pPr>
        <w:tabs>
          <w:tab w:val="left" w:pos="728"/>
        </w:tabs>
        <w:adjustRightInd w:val="0"/>
        <w:snapToGrid w:val="0"/>
        <w:spacing w:line="20" w:lineRule="exact"/>
        <w:rPr>
          <w:rFonts w:eastAsia="黑体"/>
          <w:bCs/>
          <w:kern w:val="21"/>
          <w:sz w:val="21"/>
          <w:szCs w:val="21"/>
        </w:rPr>
      </w:pPr>
    </w:p>
    <w:p>
      <w:pPr>
        <w:tabs>
          <w:tab w:val="left" w:pos="728"/>
        </w:tabs>
        <w:adjustRightInd w:val="0"/>
        <w:snapToGrid w:val="0"/>
        <w:spacing w:line="20" w:lineRule="exact"/>
        <w:rPr>
          <w:rFonts w:eastAsia="黑体"/>
          <w:bCs/>
          <w:kern w:val="21"/>
          <w:sz w:val="21"/>
          <w:szCs w:val="21"/>
        </w:rPr>
      </w:pPr>
    </w:p>
    <w:p>
      <w:pPr>
        <w:tabs>
          <w:tab w:val="left" w:pos="728"/>
        </w:tabs>
        <w:adjustRightInd w:val="0"/>
        <w:snapToGrid w:val="0"/>
        <w:spacing w:line="20" w:lineRule="exact"/>
        <w:rPr>
          <w:rFonts w:eastAsia="黑体"/>
          <w:bCs/>
          <w:kern w:val="21"/>
          <w:sz w:val="21"/>
          <w:szCs w:val="21"/>
        </w:rPr>
      </w:pPr>
    </w:p>
    <w:p>
      <w:pPr>
        <w:tabs>
          <w:tab w:val="left" w:pos="728"/>
        </w:tabs>
        <w:adjustRightInd w:val="0"/>
        <w:snapToGrid w:val="0"/>
        <w:spacing w:line="20" w:lineRule="exact"/>
        <w:rPr>
          <w:rFonts w:eastAsia="黑体"/>
          <w:bCs/>
          <w:kern w:val="21"/>
          <w:sz w:val="21"/>
          <w:szCs w:val="21"/>
        </w:rPr>
      </w:pPr>
    </w:p>
    <w:p>
      <w:pPr>
        <w:tabs>
          <w:tab w:val="left" w:pos="728"/>
        </w:tabs>
        <w:adjustRightInd w:val="0"/>
        <w:snapToGrid w:val="0"/>
        <w:spacing w:line="20" w:lineRule="exact"/>
        <w:rPr>
          <w:rFonts w:eastAsia="黑体"/>
          <w:bCs/>
          <w:kern w:val="21"/>
          <w:sz w:val="21"/>
          <w:szCs w:val="21"/>
        </w:rPr>
      </w:pPr>
    </w:p>
    <w:p>
      <w:pPr>
        <w:tabs>
          <w:tab w:val="left" w:pos="728"/>
        </w:tabs>
        <w:adjustRightInd w:val="0"/>
        <w:snapToGrid w:val="0"/>
        <w:spacing w:line="20" w:lineRule="exact"/>
        <w:rPr>
          <w:rFonts w:eastAsia="黑体"/>
          <w:bCs/>
          <w:kern w:val="21"/>
          <w:sz w:val="21"/>
          <w:szCs w:val="21"/>
        </w:rPr>
      </w:pPr>
    </w:p>
    <w:p>
      <w:pPr>
        <w:tabs>
          <w:tab w:val="left" w:pos="728"/>
        </w:tabs>
        <w:adjustRightInd w:val="0"/>
        <w:snapToGrid w:val="0"/>
        <w:spacing w:line="20" w:lineRule="exact"/>
        <w:rPr>
          <w:rFonts w:eastAsia="黑体"/>
          <w:bCs/>
          <w:kern w:val="21"/>
          <w:sz w:val="21"/>
          <w:szCs w:val="21"/>
        </w:rPr>
      </w:pPr>
    </w:p>
    <w:p>
      <w:pPr>
        <w:tabs>
          <w:tab w:val="left" w:pos="728"/>
        </w:tabs>
        <w:adjustRightInd w:val="0"/>
        <w:snapToGrid w:val="0"/>
        <w:spacing w:line="20" w:lineRule="exact"/>
        <w:rPr>
          <w:rFonts w:eastAsia="黑体"/>
          <w:bCs/>
          <w:kern w:val="21"/>
          <w:sz w:val="21"/>
          <w:szCs w:val="21"/>
        </w:rPr>
      </w:pPr>
    </w:p>
    <w:p>
      <w:pPr>
        <w:tabs>
          <w:tab w:val="left" w:pos="728"/>
        </w:tabs>
        <w:adjustRightInd w:val="0"/>
        <w:snapToGrid w:val="0"/>
        <w:spacing w:line="20" w:lineRule="exact"/>
        <w:rPr>
          <w:rFonts w:eastAsia="黑体"/>
          <w:bCs/>
          <w:kern w:val="21"/>
          <w:sz w:val="21"/>
          <w:szCs w:val="21"/>
        </w:rPr>
      </w:pPr>
    </w:p>
    <w:p>
      <w:pPr>
        <w:tabs>
          <w:tab w:val="left" w:pos="728"/>
        </w:tabs>
        <w:adjustRightInd w:val="0"/>
        <w:snapToGrid w:val="0"/>
        <w:spacing w:line="20" w:lineRule="exact"/>
        <w:rPr>
          <w:rFonts w:eastAsia="黑体"/>
          <w:bCs/>
          <w:kern w:val="21"/>
          <w:sz w:val="21"/>
          <w:szCs w:val="21"/>
        </w:rPr>
      </w:pPr>
    </w:p>
    <w:p>
      <w:pPr>
        <w:tabs>
          <w:tab w:val="left" w:pos="728"/>
        </w:tabs>
        <w:adjustRightInd w:val="0"/>
        <w:snapToGrid w:val="0"/>
        <w:spacing w:line="20" w:lineRule="exact"/>
        <w:rPr>
          <w:rFonts w:eastAsia="黑体"/>
          <w:bCs/>
          <w:kern w:val="21"/>
          <w:sz w:val="21"/>
          <w:szCs w:val="21"/>
        </w:rPr>
      </w:pPr>
    </w:p>
    <w:p>
      <w:pPr>
        <w:tabs>
          <w:tab w:val="left" w:pos="728"/>
        </w:tabs>
        <w:adjustRightInd w:val="0"/>
        <w:snapToGrid w:val="0"/>
        <w:spacing w:line="20" w:lineRule="exact"/>
        <w:rPr>
          <w:rFonts w:eastAsia="黑体"/>
          <w:bCs/>
          <w:kern w:val="21"/>
          <w:sz w:val="21"/>
          <w:szCs w:val="21"/>
        </w:rPr>
      </w:pPr>
    </w:p>
    <w:p>
      <w:pPr>
        <w:tabs>
          <w:tab w:val="left" w:pos="728"/>
        </w:tabs>
        <w:adjustRightInd w:val="0"/>
        <w:snapToGrid w:val="0"/>
        <w:spacing w:line="20" w:lineRule="exact"/>
        <w:rPr>
          <w:rFonts w:eastAsia="黑体"/>
          <w:bCs/>
          <w:kern w:val="21"/>
          <w:sz w:val="21"/>
          <w:szCs w:val="21"/>
        </w:rPr>
      </w:pPr>
    </w:p>
    <w:p>
      <w:pPr>
        <w:tabs>
          <w:tab w:val="left" w:pos="728"/>
        </w:tabs>
        <w:adjustRightInd w:val="0"/>
        <w:snapToGrid w:val="0"/>
        <w:spacing w:line="20" w:lineRule="exact"/>
        <w:rPr>
          <w:rFonts w:eastAsia="黑体"/>
          <w:bCs/>
          <w:kern w:val="21"/>
          <w:sz w:val="21"/>
          <w:szCs w:val="21"/>
        </w:rPr>
      </w:pPr>
    </w:p>
    <w:p>
      <w:pPr>
        <w:tabs>
          <w:tab w:val="left" w:pos="728"/>
        </w:tabs>
        <w:adjustRightInd w:val="0"/>
        <w:snapToGrid w:val="0"/>
        <w:spacing w:line="20" w:lineRule="exact"/>
        <w:rPr>
          <w:rFonts w:eastAsia="黑体"/>
          <w:bCs/>
          <w:kern w:val="21"/>
          <w:sz w:val="21"/>
          <w:szCs w:val="21"/>
        </w:rPr>
      </w:pPr>
    </w:p>
    <w:p>
      <w:pPr>
        <w:tabs>
          <w:tab w:val="left" w:pos="728"/>
        </w:tabs>
        <w:adjustRightInd w:val="0"/>
        <w:snapToGrid w:val="0"/>
        <w:spacing w:line="20" w:lineRule="exact"/>
        <w:rPr>
          <w:rFonts w:eastAsia="黑体"/>
          <w:bCs/>
          <w:kern w:val="21"/>
          <w:sz w:val="21"/>
          <w:szCs w:val="21"/>
        </w:rPr>
      </w:pPr>
    </w:p>
    <w:p>
      <w:pPr>
        <w:tabs>
          <w:tab w:val="left" w:pos="728"/>
        </w:tabs>
        <w:adjustRightInd w:val="0"/>
        <w:snapToGrid w:val="0"/>
        <w:spacing w:line="20" w:lineRule="exact"/>
        <w:rPr>
          <w:rFonts w:eastAsia="黑体"/>
          <w:bCs/>
          <w:kern w:val="21"/>
          <w:sz w:val="21"/>
          <w:szCs w:val="21"/>
        </w:rPr>
      </w:pPr>
    </w:p>
    <w:p>
      <w:pPr>
        <w:tabs>
          <w:tab w:val="left" w:pos="728"/>
        </w:tabs>
        <w:adjustRightInd w:val="0"/>
        <w:snapToGrid w:val="0"/>
        <w:spacing w:line="20" w:lineRule="exact"/>
        <w:rPr>
          <w:rFonts w:eastAsia="黑体"/>
          <w:bCs/>
          <w:kern w:val="21"/>
          <w:sz w:val="21"/>
          <w:szCs w:val="21"/>
        </w:rPr>
      </w:pPr>
    </w:p>
    <w:p>
      <w:pPr>
        <w:tabs>
          <w:tab w:val="left" w:pos="728"/>
        </w:tabs>
        <w:adjustRightInd w:val="0"/>
        <w:snapToGrid w:val="0"/>
        <w:spacing w:line="20" w:lineRule="exact"/>
        <w:rPr>
          <w:rFonts w:eastAsia="黑体"/>
          <w:bCs/>
          <w:kern w:val="21"/>
          <w:sz w:val="21"/>
          <w:szCs w:val="21"/>
        </w:rPr>
      </w:pPr>
    </w:p>
    <w:p>
      <w:pPr>
        <w:tabs>
          <w:tab w:val="left" w:pos="728"/>
        </w:tabs>
        <w:adjustRightInd w:val="0"/>
        <w:snapToGrid w:val="0"/>
        <w:spacing w:line="20" w:lineRule="exact"/>
        <w:rPr>
          <w:rFonts w:eastAsia="黑体"/>
          <w:bCs/>
          <w:kern w:val="21"/>
          <w:sz w:val="21"/>
          <w:szCs w:val="21"/>
        </w:rPr>
      </w:pPr>
    </w:p>
    <w:p>
      <w:pPr>
        <w:tabs>
          <w:tab w:val="left" w:pos="728"/>
        </w:tabs>
        <w:adjustRightInd w:val="0"/>
        <w:snapToGrid w:val="0"/>
        <w:spacing w:line="20" w:lineRule="exact"/>
        <w:rPr>
          <w:rFonts w:eastAsia="黑体"/>
          <w:bCs/>
          <w:kern w:val="21"/>
          <w:sz w:val="21"/>
          <w:szCs w:val="21"/>
        </w:rPr>
      </w:pPr>
    </w:p>
    <w:p>
      <w:pPr>
        <w:tabs>
          <w:tab w:val="left" w:pos="728"/>
        </w:tabs>
        <w:adjustRightInd w:val="0"/>
        <w:snapToGrid w:val="0"/>
        <w:spacing w:line="20" w:lineRule="exact"/>
        <w:rPr>
          <w:rFonts w:eastAsia="黑体"/>
          <w:bCs/>
          <w:kern w:val="21"/>
          <w:sz w:val="21"/>
          <w:szCs w:val="21"/>
        </w:rPr>
      </w:pPr>
    </w:p>
    <w:p>
      <w:pPr>
        <w:tabs>
          <w:tab w:val="left" w:pos="728"/>
        </w:tabs>
        <w:adjustRightInd w:val="0"/>
        <w:snapToGrid w:val="0"/>
        <w:spacing w:line="20" w:lineRule="exact"/>
        <w:rPr>
          <w:rFonts w:eastAsia="黑体"/>
          <w:bCs/>
          <w:kern w:val="21"/>
          <w:sz w:val="21"/>
          <w:szCs w:val="21"/>
        </w:rPr>
      </w:pPr>
    </w:p>
    <w:p>
      <w:pPr>
        <w:tabs>
          <w:tab w:val="left" w:pos="728"/>
        </w:tabs>
        <w:adjustRightInd w:val="0"/>
        <w:snapToGrid w:val="0"/>
        <w:spacing w:line="20" w:lineRule="exact"/>
        <w:rPr>
          <w:rFonts w:eastAsia="黑体"/>
          <w:bCs/>
          <w:kern w:val="21"/>
          <w:sz w:val="21"/>
          <w:szCs w:val="21"/>
        </w:rPr>
      </w:pPr>
    </w:p>
    <w:p>
      <w:pPr>
        <w:tabs>
          <w:tab w:val="left" w:pos="728"/>
        </w:tabs>
        <w:adjustRightInd w:val="0"/>
        <w:snapToGrid w:val="0"/>
        <w:spacing w:line="20" w:lineRule="exact"/>
        <w:rPr>
          <w:rFonts w:eastAsia="黑体"/>
          <w:bCs/>
          <w:kern w:val="21"/>
          <w:sz w:val="21"/>
          <w:szCs w:val="21"/>
        </w:rPr>
      </w:pPr>
    </w:p>
    <w:p>
      <w:pPr>
        <w:tabs>
          <w:tab w:val="left" w:pos="728"/>
        </w:tabs>
        <w:adjustRightInd w:val="0"/>
        <w:snapToGrid w:val="0"/>
        <w:spacing w:line="20" w:lineRule="exact"/>
        <w:rPr>
          <w:rFonts w:eastAsia="黑体"/>
          <w:bCs/>
          <w:kern w:val="21"/>
          <w:sz w:val="21"/>
          <w:szCs w:val="21"/>
        </w:rPr>
      </w:pPr>
    </w:p>
    <w:p>
      <w:pPr>
        <w:tabs>
          <w:tab w:val="left" w:pos="728"/>
        </w:tabs>
        <w:adjustRightInd w:val="0"/>
        <w:snapToGrid w:val="0"/>
        <w:spacing w:line="20" w:lineRule="exact"/>
        <w:rPr>
          <w:rFonts w:eastAsia="黑体"/>
          <w:bCs/>
          <w:kern w:val="21"/>
          <w:sz w:val="21"/>
          <w:szCs w:val="21"/>
        </w:rPr>
      </w:pPr>
    </w:p>
    <w:p>
      <w:pPr>
        <w:tabs>
          <w:tab w:val="left" w:pos="728"/>
        </w:tabs>
        <w:adjustRightInd w:val="0"/>
        <w:snapToGrid w:val="0"/>
        <w:spacing w:line="20" w:lineRule="exact"/>
        <w:rPr>
          <w:rFonts w:eastAsia="黑体"/>
          <w:bCs/>
          <w:kern w:val="21"/>
          <w:sz w:val="21"/>
          <w:szCs w:val="21"/>
        </w:rPr>
      </w:pPr>
    </w:p>
    <w:p>
      <w:pPr>
        <w:tabs>
          <w:tab w:val="left" w:pos="728"/>
        </w:tabs>
        <w:adjustRightInd w:val="0"/>
        <w:snapToGrid w:val="0"/>
        <w:spacing w:line="20" w:lineRule="exact"/>
        <w:rPr>
          <w:rFonts w:eastAsia="黑体"/>
          <w:bCs/>
          <w:kern w:val="21"/>
          <w:sz w:val="21"/>
          <w:szCs w:val="21"/>
        </w:rPr>
      </w:pPr>
    </w:p>
    <w:p>
      <w:pPr>
        <w:tabs>
          <w:tab w:val="left" w:pos="728"/>
        </w:tabs>
        <w:adjustRightInd w:val="0"/>
        <w:snapToGrid w:val="0"/>
        <w:spacing w:line="20" w:lineRule="exact"/>
        <w:rPr>
          <w:rFonts w:eastAsia="黑体"/>
          <w:bCs/>
          <w:kern w:val="21"/>
          <w:sz w:val="21"/>
          <w:szCs w:val="21"/>
        </w:rPr>
      </w:pPr>
    </w:p>
    <w:p>
      <w:pPr>
        <w:tabs>
          <w:tab w:val="left" w:pos="728"/>
        </w:tabs>
        <w:adjustRightInd w:val="0"/>
        <w:snapToGrid w:val="0"/>
        <w:spacing w:line="20" w:lineRule="exact"/>
        <w:rPr>
          <w:rFonts w:eastAsia="黑体"/>
          <w:bCs/>
          <w:kern w:val="21"/>
          <w:sz w:val="21"/>
          <w:szCs w:val="21"/>
        </w:rPr>
      </w:pPr>
    </w:p>
    <w:p>
      <w:pPr>
        <w:tabs>
          <w:tab w:val="left" w:pos="728"/>
        </w:tabs>
        <w:adjustRightInd w:val="0"/>
        <w:snapToGrid w:val="0"/>
        <w:spacing w:line="20" w:lineRule="exact"/>
        <w:rPr>
          <w:rFonts w:eastAsia="黑体"/>
          <w:bCs/>
          <w:kern w:val="21"/>
          <w:sz w:val="21"/>
          <w:szCs w:val="21"/>
        </w:rPr>
      </w:pPr>
    </w:p>
    <w:p>
      <w:pPr>
        <w:tabs>
          <w:tab w:val="left" w:pos="728"/>
        </w:tabs>
        <w:adjustRightInd w:val="0"/>
        <w:snapToGrid w:val="0"/>
        <w:spacing w:line="20" w:lineRule="exact"/>
        <w:rPr>
          <w:rFonts w:eastAsia="黑体"/>
          <w:bCs/>
          <w:kern w:val="21"/>
          <w:sz w:val="21"/>
          <w:szCs w:val="21"/>
        </w:rPr>
      </w:pPr>
    </w:p>
    <w:p>
      <w:pPr>
        <w:tabs>
          <w:tab w:val="left" w:pos="728"/>
        </w:tabs>
        <w:adjustRightInd w:val="0"/>
        <w:snapToGrid w:val="0"/>
        <w:spacing w:line="20" w:lineRule="exact"/>
        <w:rPr>
          <w:rFonts w:eastAsia="黑体"/>
          <w:bCs/>
          <w:kern w:val="21"/>
          <w:sz w:val="21"/>
          <w:szCs w:val="21"/>
        </w:rPr>
      </w:pPr>
    </w:p>
    <w:p>
      <w:pPr>
        <w:tabs>
          <w:tab w:val="left" w:pos="728"/>
        </w:tabs>
        <w:adjustRightInd w:val="0"/>
        <w:snapToGrid w:val="0"/>
        <w:spacing w:line="20" w:lineRule="exact"/>
        <w:rPr>
          <w:rFonts w:eastAsia="黑体"/>
          <w:bCs/>
          <w:kern w:val="21"/>
          <w:sz w:val="21"/>
          <w:szCs w:val="21"/>
        </w:rPr>
      </w:pPr>
    </w:p>
    <w:p>
      <w:pPr>
        <w:tabs>
          <w:tab w:val="left" w:pos="728"/>
        </w:tabs>
        <w:adjustRightInd w:val="0"/>
        <w:snapToGrid w:val="0"/>
        <w:spacing w:line="20" w:lineRule="exact"/>
        <w:rPr>
          <w:rFonts w:eastAsia="黑体"/>
          <w:bCs/>
          <w:kern w:val="21"/>
          <w:sz w:val="21"/>
          <w:szCs w:val="21"/>
        </w:rPr>
      </w:pPr>
    </w:p>
    <w:p>
      <w:pPr>
        <w:tabs>
          <w:tab w:val="left" w:pos="728"/>
        </w:tabs>
        <w:adjustRightInd w:val="0"/>
        <w:snapToGrid w:val="0"/>
        <w:spacing w:line="20" w:lineRule="exact"/>
        <w:rPr>
          <w:rFonts w:eastAsia="黑体"/>
          <w:bCs/>
          <w:kern w:val="21"/>
          <w:sz w:val="21"/>
          <w:szCs w:val="21"/>
        </w:rPr>
      </w:pPr>
    </w:p>
    <w:p>
      <w:pPr>
        <w:tabs>
          <w:tab w:val="left" w:pos="728"/>
        </w:tabs>
        <w:adjustRightInd w:val="0"/>
        <w:snapToGrid w:val="0"/>
        <w:spacing w:line="20" w:lineRule="exact"/>
        <w:rPr>
          <w:rFonts w:eastAsia="黑体"/>
          <w:bCs/>
          <w:kern w:val="21"/>
          <w:sz w:val="21"/>
          <w:szCs w:val="21"/>
        </w:rPr>
      </w:pPr>
    </w:p>
    <w:p>
      <w:pPr>
        <w:tabs>
          <w:tab w:val="left" w:pos="728"/>
        </w:tabs>
        <w:adjustRightInd w:val="0"/>
        <w:snapToGrid w:val="0"/>
        <w:spacing w:line="20" w:lineRule="exact"/>
        <w:rPr>
          <w:rFonts w:eastAsia="黑体"/>
          <w:bCs/>
          <w:kern w:val="21"/>
          <w:sz w:val="21"/>
          <w:szCs w:val="21"/>
        </w:rPr>
      </w:pPr>
    </w:p>
    <w:p>
      <w:pPr>
        <w:tabs>
          <w:tab w:val="left" w:pos="728"/>
        </w:tabs>
        <w:adjustRightInd w:val="0"/>
        <w:snapToGrid w:val="0"/>
        <w:spacing w:line="20" w:lineRule="exact"/>
        <w:rPr>
          <w:rFonts w:eastAsia="黑体"/>
          <w:bCs/>
          <w:kern w:val="21"/>
          <w:sz w:val="21"/>
          <w:szCs w:val="21"/>
        </w:rPr>
      </w:pPr>
    </w:p>
    <w:p>
      <w:pPr>
        <w:tabs>
          <w:tab w:val="left" w:pos="728"/>
        </w:tabs>
        <w:adjustRightInd w:val="0"/>
        <w:snapToGrid w:val="0"/>
        <w:spacing w:line="20" w:lineRule="exact"/>
        <w:rPr>
          <w:rFonts w:eastAsia="黑体"/>
          <w:bCs/>
          <w:kern w:val="21"/>
          <w:sz w:val="21"/>
          <w:szCs w:val="21"/>
        </w:rPr>
      </w:pPr>
    </w:p>
    <w:p>
      <w:pPr>
        <w:tabs>
          <w:tab w:val="left" w:pos="728"/>
        </w:tabs>
        <w:adjustRightInd w:val="0"/>
        <w:snapToGrid w:val="0"/>
        <w:spacing w:line="20" w:lineRule="exact"/>
        <w:rPr>
          <w:rFonts w:eastAsia="黑体"/>
          <w:bCs/>
          <w:kern w:val="21"/>
          <w:sz w:val="21"/>
          <w:szCs w:val="21"/>
        </w:rPr>
      </w:pPr>
    </w:p>
    <w:p>
      <w:pPr>
        <w:tabs>
          <w:tab w:val="left" w:pos="728"/>
        </w:tabs>
        <w:adjustRightInd w:val="0"/>
        <w:snapToGrid w:val="0"/>
        <w:spacing w:line="20" w:lineRule="exact"/>
        <w:rPr>
          <w:rFonts w:eastAsia="黑体"/>
          <w:bCs/>
          <w:kern w:val="21"/>
          <w:sz w:val="21"/>
          <w:szCs w:val="21"/>
        </w:rPr>
      </w:pPr>
    </w:p>
    <w:p>
      <w:pPr>
        <w:tabs>
          <w:tab w:val="left" w:pos="728"/>
        </w:tabs>
        <w:adjustRightInd w:val="0"/>
        <w:snapToGrid w:val="0"/>
        <w:spacing w:line="20" w:lineRule="exact"/>
        <w:rPr>
          <w:rFonts w:eastAsia="黑体"/>
          <w:bCs/>
          <w:kern w:val="21"/>
          <w:sz w:val="21"/>
          <w:szCs w:val="21"/>
        </w:rPr>
      </w:pPr>
    </w:p>
    <w:p>
      <w:pPr>
        <w:tabs>
          <w:tab w:val="left" w:pos="728"/>
        </w:tabs>
        <w:adjustRightInd w:val="0"/>
        <w:snapToGrid w:val="0"/>
        <w:spacing w:line="20" w:lineRule="exact"/>
        <w:rPr>
          <w:rFonts w:eastAsia="黑体"/>
          <w:bCs/>
          <w:kern w:val="21"/>
          <w:sz w:val="21"/>
          <w:szCs w:val="21"/>
        </w:rPr>
      </w:pPr>
    </w:p>
    <w:p>
      <w:pPr>
        <w:tabs>
          <w:tab w:val="left" w:pos="728"/>
        </w:tabs>
        <w:adjustRightInd w:val="0"/>
        <w:snapToGrid w:val="0"/>
        <w:spacing w:line="20" w:lineRule="exact"/>
        <w:rPr>
          <w:rFonts w:eastAsia="黑体"/>
          <w:bCs/>
          <w:kern w:val="21"/>
          <w:sz w:val="21"/>
          <w:szCs w:val="21"/>
        </w:rPr>
      </w:pPr>
    </w:p>
    <w:p>
      <w:pPr>
        <w:tabs>
          <w:tab w:val="left" w:pos="728"/>
        </w:tabs>
        <w:adjustRightInd w:val="0"/>
        <w:snapToGrid w:val="0"/>
        <w:spacing w:line="20" w:lineRule="exact"/>
        <w:rPr>
          <w:rFonts w:eastAsia="黑体"/>
          <w:bCs/>
          <w:kern w:val="21"/>
          <w:sz w:val="21"/>
          <w:szCs w:val="21"/>
        </w:rPr>
      </w:pPr>
    </w:p>
    <w:p>
      <w:pPr>
        <w:tabs>
          <w:tab w:val="left" w:pos="728"/>
        </w:tabs>
        <w:adjustRightInd w:val="0"/>
        <w:snapToGrid w:val="0"/>
        <w:spacing w:line="20" w:lineRule="exact"/>
        <w:rPr>
          <w:rFonts w:eastAsia="黑体"/>
          <w:bCs/>
          <w:kern w:val="21"/>
          <w:sz w:val="21"/>
          <w:szCs w:val="21"/>
        </w:rPr>
      </w:pPr>
    </w:p>
    <w:p>
      <w:pPr>
        <w:tabs>
          <w:tab w:val="left" w:pos="728"/>
        </w:tabs>
        <w:adjustRightInd w:val="0"/>
        <w:snapToGrid w:val="0"/>
        <w:spacing w:line="20" w:lineRule="exact"/>
        <w:rPr>
          <w:rFonts w:eastAsia="黑体"/>
          <w:bCs/>
          <w:kern w:val="21"/>
          <w:sz w:val="21"/>
          <w:szCs w:val="21"/>
        </w:rPr>
      </w:pPr>
    </w:p>
    <w:p>
      <w:pPr>
        <w:tabs>
          <w:tab w:val="left" w:pos="728"/>
        </w:tabs>
        <w:adjustRightInd w:val="0"/>
        <w:snapToGrid w:val="0"/>
        <w:spacing w:line="20" w:lineRule="exact"/>
        <w:rPr>
          <w:rFonts w:eastAsia="黑体"/>
          <w:bCs/>
          <w:kern w:val="21"/>
          <w:sz w:val="21"/>
          <w:szCs w:val="21"/>
        </w:rPr>
      </w:pPr>
    </w:p>
    <w:p>
      <w:pPr>
        <w:tabs>
          <w:tab w:val="left" w:pos="728"/>
        </w:tabs>
        <w:adjustRightInd w:val="0"/>
        <w:snapToGrid w:val="0"/>
        <w:spacing w:line="20" w:lineRule="exact"/>
        <w:rPr>
          <w:rFonts w:eastAsia="黑体"/>
          <w:bCs/>
          <w:kern w:val="21"/>
          <w:sz w:val="21"/>
          <w:szCs w:val="21"/>
        </w:rPr>
      </w:pPr>
    </w:p>
    <w:p>
      <w:pPr>
        <w:tabs>
          <w:tab w:val="left" w:pos="728"/>
        </w:tabs>
        <w:adjustRightInd w:val="0"/>
        <w:snapToGrid w:val="0"/>
        <w:spacing w:line="20" w:lineRule="exact"/>
        <w:rPr>
          <w:rFonts w:eastAsia="黑体"/>
          <w:bCs/>
          <w:kern w:val="21"/>
          <w:sz w:val="21"/>
          <w:szCs w:val="21"/>
        </w:rPr>
      </w:pPr>
    </w:p>
    <w:p>
      <w:pPr>
        <w:tabs>
          <w:tab w:val="left" w:pos="728"/>
        </w:tabs>
        <w:adjustRightInd w:val="0"/>
        <w:snapToGrid w:val="0"/>
        <w:spacing w:line="20" w:lineRule="exact"/>
        <w:rPr>
          <w:rFonts w:eastAsia="黑体"/>
          <w:bCs/>
          <w:kern w:val="21"/>
          <w:sz w:val="21"/>
          <w:szCs w:val="21"/>
        </w:rPr>
      </w:pPr>
    </w:p>
    <w:p>
      <w:pPr>
        <w:tabs>
          <w:tab w:val="left" w:pos="728"/>
        </w:tabs>
        <w:adjustRightInd w:val="0"/>
        <w:snapToGrid w:val="0"/>
        <w:spacing w:line="20" w:lineRule="exact"/>
        <w:rPr>
          <w:rFonts w:eastAsia="黑体"/>
          <w:bCs/>
          <w:kern w:val="21"/>
          <w:sz w:val="21"/>
          <w:szCs w:val="21"/>
        </w:rPr>
      </w:pPr>
    </w:p>
    <w:p>
      <w:pPr>
        <w:tabs>
          <w:tab w:val="left" w:pos="728"/>
        </w:tabs>
        <w:adjustRightInd w:val="0"/>
        <w:snapToGrid w:val="0"/>
        <w:spacing w:line="20" w:lineRule="exact"/>
        <w:rPr>
          <w:rFonts w:eastAsia="黑体"/>
          <w:bCs/>
          <w:kern w:val="21"/>
          <w:sz w:val="21"/>
          <w:szCs w:val="21"/>
        </w:rPr>
      </w:pPr>
    </w:p>
    <w:p>
      <w:pPr>
        <w:tabs>
          <w:tab w:val="left" w:pos="728"/>
        </w:tabs>
        <w:adjustRightInd w:val="0"/>
        <w:snapToGrid w:val="0"/>
        <w:spacing w:line="20" w:lineRule="exact"/>
        <w:rPr>
          <w:rFonts w:eastAsia="黑体"/>
          <w:bCs/>
          <w:kern w:val="21"/>
          <w:sz w:val="21"/>
          <w:szCs w:val="21"/>
        </w:rPr>
      </w:pPr>
    </w:p>
    <w:p>
      <w:pPr>
        <w:tabs>
          <w:tab w:val="left" w:pos="728"/>
        </w:tabs>
        <w:adjustRightInd w:val="0"/>
        <w:snapToGrid w:val="0"/>
        <w:spacing w:line="20" w:lineRule="exact"/>
        <w:rPr>
          <w:rFonts w:eastAsia="黑体"/>
          <w:bCs/>
          <w:kern w:val="21"/>
          <w:sz w:val="21"/>
          <w:szCs w:val="21"/>
        </w:rPr>
      </w:pPr>
    </w:p>
    <w:p>
      <w:pPr>
        <w:tabs>
          <w:tab w:val="left" w:pos="728"/>
        </w:tabs>
        <w:adjustRightInd w:val="0"/>
        <w:snapToGrid w:val="0"/>
        <w:spacing w:line="20" w:lineRule="exact"/>
        <w:rPr>
          <w:rFonts w:eastAsia="黑体"/>
          <w:bCs/>
          <w:kern w:val="21"/>
          <w:sz w:val="21"/>
          <w:szCs w:val="21"/>
        </w:rPr>
      </w:pPr>
    </w:p>
    <w:p>
      <w:pPr>
        <w:overflowPunct w:val="0"/>
        <w:spacing w:line="40" w:lineRule="exact"/>
        <w:rPr>
          <w:kern w:val="21"/>
        </w:rPr>
      </w:pPr>
    </w:p>
    <w:p>
      <w:pPr>
        <w:overflowPunct w:val="0"/>
        <w:spacing w:line="40" w:lineRule="exact"/>
        <w:rPr>
          <w:kern w:val="21"/>
        </w:rPr>
      </w:pPr>
    </w:p>
    <w:p>
      <w:pPr>
        <w:overflowPunct w:val="0"/>
        <w:spacing w:line="40" w:lineRule="exact"/>
        <w:rPr>
          <w:kern w:val="21"/>
        </w:rPr>
      </w:pPr>
    </w:p>
    <w:p>
      <w:pPr>
        <w:overflowPunct w:val="0"/>
        <w:spacing w:line="40" w:lineRule="exact"/>
        <w:rPr>
          <w:kern w:val="21"/>
        </w:rPr>
      </w:pPr>
    </w:p>
    <w:p>
      <w:pPr>
        <w:overflowPunct w:val="0"/>
        <w:spacing w:line="40" w:lineRule="exact"/>
        <w:rPr>
          <w:kern w:val="21"/>
        </w:rPr>
      </w:pPr>
    </w:p>
    <w:p>
      <w:pPr>
        <w:overflowPunct w:val="0"/>
        <w:spacing w:line="40" w:lineRule="exact"/>
        <w:rPr>
          <w:kern w:val="21"/>
        </w:rPr>
      </w:pPr>
    </w:p>
    <w:p>
      <w:pPr>
        <w:overflowPunct w:val="0"/>
        <w:spacing w:line="40" w:lineRule="exact"/>
        <w:rPr>
          <w:kern w:val="21"/>
        </w:rPr>
      </w:pPr>
    </w:p>
    <w:p>
      <w:pPr>
        <w:overflowPunct w:val="0"/>
        <w:spacing w:line="40" w:lineRule="exact"/>
        <w:rPr>
          <w:kern w:val="21"/>
        </w:rPr>
      </w:pPr>
    </w:p>
    <w:p>
      <w:pPr>
        <w:overflowPunct w:val="0"/>
        <w:spacing w:line="40" w:lineRule="exact"/>
        <w:rPr>
          <w:kern w:val="21"/>
        </w:rPr>
      </w:pPr>
    </w:p>
    <w:p>
      <w:pPr>
        <w:overflowPunct w:val="0"/>
        <w:spacing w:line="40" w:lineRule="exact"/>
        <w:rPr>
          <w:kern w:val="21"/>
        </w:rPr>
      </w:pPr>
    </w:p>
    <w:p>
      <w:pPr>
        <w:overflowPunct w:val="0"/>
        <w:spacing w:line="40" w:lineRule="exact"/>
        <w:rPr>
          <w:kern w:val="21"/>
        </w:rPr>
      </w:pPr>
    </w:p>
    <w:p>
      <w:pPr>
        <w:overflowPunct w:val="0"/>
        <w:spacing w:line="40" w:lineRule="exact"/>
        <w:rPr>
          <w:kern w:val="21"/>
        </w:rPr>
      </w:pPr>
    </w:p>
    <w:p>
      <w:pPr>
        <w:overflowPunct w:val="0"/>
        <w:spacing w:line="40" w:lineRule="exact"/>
        <w:rPr>
          <w:kern w:val="21"/>
        </w:rPr>
      </w:pPr>
    </w:p>
    <w:p>
      <w:pPr>
        <w:overflowPunct w:val="0"/>
        <w:spacing w:line="40" w:lineRule="exact"/>
        <w:rPr>
          <w:kern w:val="21"/>
        </w:rPr>
      </w:pPr>
    </w:p>
    <w:p>
      <w:pPr>
        <w:overflowPunct w:val="0"/>
        <w:spacing w:line="40" w:lineRule="exact"/>
        <w:rPr>
          <w:kern w:val="21"/>
        </w:rPr>
      </w:pPr>
    </w:p>
    <w:p>
      <w:pPr>
        <w:overflowPunct w:val="0"/>
        <w:spacing w:line="40" w:lineRule="exact"/>
        <w:rPr>
          <w:kern w:val="21"/>
        </w:rPr>
      </w:pPr>
    </w:p>
    <w:p>
      <w:pPr>
        <w:overflowPunct w:val="0"/>
        <w:spacing w:line="40" w:lineRule="exact"/>
        <w:rPr>
          <w:kern w:val="21"/>
        </w:rPr>
      </w:pPr>
    </w:p>
    <w:p>
      <w:pPr>
        <w:overflowPunct w:val="0"/>
        <w:spacing w:line="40" w:lineRule="exact"/>
        <w:rPr>
          <w:kern w:val="21"/>
        </w:rPr>
      </w:pPr>
    </w:p>
    <w:p>
      <w:pPr>
        <w:overflowPunct w:val="0"/>
        <w:spacing w:line="40" w:lineRule="exact"/>
        <w:rPr>
          <w:kern w:val="21"/>
        </w:rPr>
      </w:pPr>
    </w:p>
    <w:p>
      <w:pPr>
        <w:overflowPunct w:val="0"/>
        <w:spacing w:line="40" w:lineRule="exact"/>
        <w:rPr>
          <w:kern w:val="21"/>
        </w:rPr>
      </w:pPr>
    </w:p>
    <w:p>
      <w:pPr>
        <w:overflowPunct w:val="0"/>
        <w:spacing w:line="40" w:lineRule="exact"/>
        <w:rPr>
          <w:kern w:val="21"/>
        </w:rPr>
      </w:pPr>
    </w:p>
    <w:p>
      <w:pPr>
        <w:overflowPunct w:val="0"/>
        <w:spacing w:line="40" w:lineRule="exact"/>
        <w:rPr>
          <w:kern w:val="21"/>
        </w:rPr>
      </w:pPr>
    </w:p>
    <w:p>
      <w:pPr>
        <w:overflowPunct w:val="0"/>
        <w:spacing w:line="40" w:lineRule="exact"/>
        <w:rPr>
          <w:kern w:val="21"/>
        </w:rPr>
      </w:pPr>
    </w:p>
    <w:p>
      <w:pPr>
        <w:overflowPunct w:val="0"/>
        <w:spacing w:line="40" w:lineRule="exact"/>
        <w:rPr>
          <w:kern w:val="21"/>
        </w:rPr>
      </w:pPr>
    </w:p>
    <w:p>
      <w:pPr>
        <w:overflowPunct w:val="0"/>
        <w:spacing w:line="40" w:lineRule="exact"/>
        <w:rPr>
          <w:kern w:val="21"/>
        </w:rPr>
      </w:pPr>
    </w:p>
    <w:p>
      <w:pPr>
        <w:overflowPunct w:val="0"/>
        <w:spacing w:line="40" w:lineRule="exact"/>
        <w:rPr>
          <w:kern w:val="21"/>
        </w:rPr>
      </w:pPr>
    </w:p>
    <w:p>
      <w:pPr>
        <w:overflowPunct w:val="0"/>
        <w:spacing w:line="40" w:lineRule="exact"/>
        <w:rPr>
          <w:kern w:val="21"/>
        </w:rPr>
      </w:pPr>
    </w:p>
    <w:p>
      <w:pPr>
        <w:overflowPunct w:val="0"/>
        <w:spacing w:line="40" w:lineRule="exact"/>
        <w:rPr>
          <w:kern w:val="21"/>
        </w:rPr>
      </w:pPr>
    </w:p>
    <w:p>
      <w:pPr>
        <w:overflowPunct w:val="0"/>
        <w:spacing w:line="40" w:lineRule="exact"/>
        <w:rPr>
          <w:kern w:val="21"/>
        </w:rPr>
      </w:pPr>
    </w:p>
    <w:p>
      <w:pPr>
        <w:overflowPunct w:val="0"/>
        <w:spacing w:line="40" w:lineRule="exact"/>
        <w:rPr>
          <w:kern w:val="21"/>
        </w:rPr>
      </w:pPr>
    </w:p>
    <w:p>
      <w:pPr>
        <w:overflowPunct w:val="0"/>
        <w:spacing w:line="40" w:lineRule="exact"/>
        <w:rPr>
          <w:kern w:val="21"/>
        </w:rPr>
      </w:pPr>
    </w:p>
    <w:p>
      <w:pPr>
        <w:overflowPunct w:val="0"/>
        <w:spacing w:line="40" w:lineRule="exact"/>
        <w:rPr>
          <w:kern w:val="21"/>
        </w:rPr>
      </w:pPr>
    </w:p>
    <w:p>
      <w:pPr>
        <w:overflowPunct w:val="0"/>
        <w:spacing w:line="40" w:lineRule="exact"/>
        <w:rPr>
          <w:kern w:val="21"/>
        </w:rPr>
      </w:pPr>
    </w:p>
    <w:p>
      <w:pPr>
        <w:overflowPunct w:val="0"/>
        <w:spacing w:line="40" w:lineRule="exact"/>
        <w:rPr>
          <w:kern w:val="21"/>
        </w:rPr>
      </w:pPr>
    </w:p>
    <w:p>
      <w:pPr>
        <w:overflowPunct w:val="0"/>
        <w:spacing w:line="40" w:lineRule="exact"/>
        <w:rPr>
          <w:kern w:val="21"/>
        </w:rPr>
      </w:pPr>
    </w:p>
    <w:p>
      <w:pPr>
        <w:overflowPunct w:val="0"/>
        <w:spacing w:line="40" w:lineRule="exact"/>
        <w:rPr>
          <w:kern w:val="21"/>
        </w:rPr>
      </w:pPr>
    </w:p>
    <w:p>
      <w:pPr>
        <w:overflowPunct w:val="0"/>
        <w:spacing w:line="40" w:lineRule="exact"/>
        <w:rPr>
          <w:kern w:val="21"/>
        </w:rPr>
      </w:pPr>
    </w:p>
    <w:p>
      <w:pPr>
        <w:overflowPunct w:val="0"/>
        <w:spacing w:line="40" w:lineRule="exact"/>
        <w:rPr>
          <w:kern w:val="21"/>
        </w:rPr>
      </w:pPr>
    </w:p>
    <w:p>
      <w:pPr>
        <w:overflowPunct w:val="0"/>
        <w:spacing w:line="40" w:lineRule="exact"/>
        <w:rPr>
          <w:kern w:val="21"/>
        </w:rPr>
      </w:pPr>
    </w:p>
    <w:p>
      <w:pPr>
        <w:overflowPunct w:val="0"/>
        <w:spacing w:line="40" w:lineRule="exact"/>
        <w:rPr>
          <w:kern w:val="21"/>
        </w:rPr>
      </w:pPr>
    </w:p>
    <w:p>
      <w:pPr>
        <w:overflowPunct w:val="0"/>
        <w:spacing w:line="40" w:lineRule="exact"/>
        <w:rPr>
          <w:kern w:val="21"/>
        </w:rPr>
      </w:pPr>
    </w:p>
    <w:p>
      <w:pPr>
        <w:overflowPunct w:val="0"/>
        <w:spacing w:line="40" w:lineRule="exact"/>
        <w:rPr>
          <w:kern w:val="21"/>
        </w:rPr>
      </w:pPr>
    </w:p>
    <w:p>
      <w:pPr>
        <w:overflowPunct w:val="0"/>
        <w:spacing w:line="40" w:lineRule="exact"/>
        <w:rPr>
          <w:kern w:val="21"/>
        </w:rPr>
      </w:pPr>
    </w:p>
    <w:p>
      <w:pPr>
        <w:overflowPunct w:val="0"/>
        <w:spacing w:line="40" w:lineRule="exact"/>
        <w:rPr>
          <w:kern w:val="21"/>
        </w:rPr>
      </w:pPr>
    </w:p>
    <w:p>
      <w:pPr>
        <w:overflowPunct w:val="0"/>
        <w:spacing w:line="40" w:lineRule="exact"/>
        <w:rPr>
          <w:kern w:val="21"/>
        </w:rPr>
      </w:pPr>
    </w:p>
    <w:p>
      <w:pPr>
        <w:overflowPunct w:val="0"/>
        <w:spacing w:line="40" w:lineRule="exact"/>
        <w:rPr>
          <w:kern w:val="21"/>
        </w:rPr>
      </w:pPr>
    </w:p>
    <w:p>
      <w:pPr>
        <w:overflowPunct w:val="0"/>
        <w:spacing w:line="40" w:lineRule="exact"/>
        <w:rPr>
          <w:kern w:val="21"/>
        </w:rPr>
      </w:pPr>
    </w:p>
    <w:p>
      <w:pPr>
        <w:overflowPunct w:val="0"/>
        <w:spacing w:line="40" w:lineRule="exact"/>
        <w:rPr>
          <w:kern w:val="21"/>
        </w:rPr>
      </w:pPr>
    </w:p>
    <w:p>
      <w:pPr>
        <w:overflowPunct w:val="0"/>
        <w:spacing w:line="40" w:lineRule="exact"/>
        <w:rPr>
          <w:kern w:val="21"/>
        </w:rPr>
      </w:pPr>
    </w:p>
    <w:p>
      <w:pPr>
        <w:overflowPunct w:val="0"/>
        <w:spacing w:line="40" w:lineRule="exact"/>
        <w:rPr>
          <w:kern w:val="21"/>
        </w:rPr>
      </w:pPr>
      <w:r>
        <w:drawing>
          <wp:anchor distT="0" distB="0" distL="114300" distR="114300" simplePos="0" relativeHeight="251659264" behindDoc="0" locked="0" layoutInCell="1" allowOverlap="1">
            <wp:simplePos x="0" y="0"/>
            <wp:positionH relativeFrom="column">
              <wp:posOffset>3796030</wp:posOffset>
            </wp:positionH>
            <wp:positionV relativeFrom="paragraph">
              <wp:posOffset>3752850</wp:posOffset>
            </wp:positionV>
            <wp:extent cx="1790700"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1790700" cy="457200"/>
                    </a:xfrm>
                    <a:prstGeom prst="rect">
                      <a:avLst/>
                    </a:prstGeom>
                    <a:noFill/>
                    <a:ln>
                      <a:noFill/>
                    </a:ln>
                  </pic:spPr>
                </pic:pic>
              </a:graphicData>
            </a:graphic>
          </wp:anchor>
        </w:drawing>
      </w:r>
    </w:p>
    <w:sectPr>
      <w:footerReference r:id="rId3" w:type="default"/>
      <w:pgSz w:w="11906" w:h="16838"/>
      <w:pgMar w:top="2098" w:right="1531" w:bottom="1985" w:left="1531" w:header="851" w:footer="1588" w:gutter="0"/>
      <w:cols w:space="720" w:num="1"/>
      <w:docGrid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D9EB333-1198-451B-A862-A85560D0E7F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31DE29B2-BB88-4AFC-92AC-FF03987E2447}"/>
  </w:font>
  <w:font w:name="Verdana">
    <w:panose1 w:val="020B0604030504040204"/>
    <w:charset w:val="00"/>
    <w:family w:val="swiss"/>
    <w:pitch w:val="default"/>
    <w:sig w:usb0="A00006FF" w:usb1="4000205B" w:usb2="00000010" w:usb3="00000000" w:csb0="2000019F" w:csb1="00000000"/>
  </w:font>
  <w:font w:name="方正小标宋简体">
    <w:panose1 w:val="02000000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embedRegular r:id="rId3" w:fontKey="{D4D49FB8-74CB-4BD1-9288-89B5E4805950}"/>
  </w:font>
  <w:font w:name="方正仿宋_GBK">
    <w:altName w:val="Arial Unicode MS"/>
    <w:panose1 w:val="02000000000000000000"/>
    <w:charset w:val="86"/>
    <w:family w:val="script"/>
    <w:pitch w:val="default"/>
    <w:sig w:usb0="00000000" w:usb1="00000000" w:usb2="00000000" w:usb3="00000000" w:csb0="00040000" w:csb1="00000000"/>
    <w:embedRegular r:id="rId4" w:fontKey="{3B235F7E-7D3B-4CCD-980A-799B4F3FD5B5}"/>
  </w:font>
  <w:font w:name="方正小标宋_GBK">
    <w:panose1 w:val="02000000000000000000"/>
    <w:charset w:val="86"/>
    <w:family w:val="script"/>
    <w:pitch w:val="default"/>
    <w:sig w:usb0="00000001" w:usb1="080E0000" w:usb2="00000000" w:usb3="00000000" w:csb0="00040000" w:csb1="00000000"/>
    <w:embedRegular r:id="rId5" w:fontKey="{E5A5F65E-3956-4CD1-9AEF-872863DCD615}"/>
  </w:font>
  <w:font w:name="楷体">
    <w:panose1 w:val="02010609060101010101"/>
    <w:charset w:val="86"/>
    <w:family w:val="auto"/>
    <w:pitch w:val="default"/>
    <w:sig w:usb0="800002BF" w:usb1="38CF7CFA" w:usb2="00000016" w:usb3="00000000" w:csb0="00040001" w:csb1="00000000"/>
    <w:embedRegular r:id="rId6" w:fontKey="{C978BB5D-CE1E-4121-84B5-F2B2EDEE98E0}"/>
  </w:font>
  <w:font w:name="汉仪大黑简">
    <w:altName w:val="黑体"/>
    <w:panose1 w:val="02010600000101010101"/>
    <w:charset w:val="86"/>
    <w:family w:val="auto"/>
    <w:pitch w:val="default"/>
    <w:sig w:usb0="00000000" w:usb1="00000000" w:usb2="00000002" w:usb3="00000000" w:csb0="00040000" w:csb1="00000000"/>
    <w:embedRegular r:id="rId7" w:fontKey="{6AF329CC-6362-4B4B-AE7C-577B6951F011}"/>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wordWrap w:val="0"/>
      <w:jc w:val="right"/>
      <w:rPr>
        <w:rStyle w:val="14"/>
        <w:sz w:val="28"/>
        <w:szCs w:val="28"/>
      </w:rPr>
    </w:pPr>
    <w:r>
      <w:rPr>
        <w:rStyle w:val="14"/>
        <w:rFonts w:hint="eastAsia"/>
        <w:sz w:val="28"/>
        <w:szCs w:val="28"/>
      </w:rPr>
      <w:t>　</w:t>
    </w:r>
    <w:r>
      <w:rPr>
        <w:rStyle w:val="14"/>
        <w:rFonts w:hint="eastAsia" w:asciiTheme="minorEastAsia" w:hAnsiTheme="minorEastAsia" w:eastAsiaTheme="minorEastAsia" w:cstheme="minorEastAsia"/>
        <w:sz w:val="28"/>
        <w:szCs w:val="28"/>
      </w:rPr>
      <w:t>—</w:t>
    </w:r>
    <w:r>
      <w:rPr>
        <w:rStyle w:val="14"/>
        <w:rFonts w:hint="eastAsia"/>
        <w:sz w:val="28"/>
        <w:szCs w:val="28"/>
      </w:rPr>
      <w:t xml:space="preserve"> </w:t>
    </w:r>
    <w:r>
      <w:rPr>
        <w:sz w:val="28"/>
        <w:szCs w:val="28"/>
      </w:rPr>
      <w:fldChar w:fldCharType="begin"/>
    </w:r>
    <w:r>
      <w:rPr>
        <w:rStyle w:val="14"/>
        <w:sz w:val="28"/>
        <w:szCs w:val="28"/>
      </w:rPr>
      <w:instrText xml:space="preserve">PAGE  </w:instrText>
    </w:r>
    <w:r>
      <w:rPr>
        <w:sz w:val="28"/>
        <w:szCs w:val="28"/>
      </w:rPr>
      <w:fldChar w:fldCharType="separate"/>
    </w:r>
    <w:r>
      <w:rPr>
        <w:rStyle w:val="14"/>
        <w:sz w:val="28"/>
        <w:szCs w:val="28"/>
      </w:rPr>
      <w:t>2</w:t>
    </w:r>
    <w:r>
      <w:rPr>
        <w:sz w:val="28"/>
        <w:szCs w:val="28"/>
      </w:rPr>
      <w:fldChar w:fldCharType="end"/>
    </w:r>
    <w:r>
      <w:rPr>
        <w:rStyle w:val="14"/>
        <w:rFonts w:hint="eastAsia"/>
        <w:sz w:val="28"/>
        <w:szCs w:val="28"/>
      </w:rPr>
      <w:t xml:space="preserve"> </w:t>
    </w:r>
    <w:r>
      <w:rPr>
        <w:rStyle w:val="14"/>
        <w:rFonts w:hint="eastAsia" w:asciiTheme="minorEastAsia" w:hAnsiTheme="minorEastAsia" w:eastAsiaTheme="minorEastAsia" w:cstheme="minorEastAsia"/>
        <w:sz w:val="28"/>
        <w:szCs w:val="28"/>
      </w:rPr>
      <w:t>—</w:t>
    </w:r>
    <w:r>
      <w:rPr>
        <w:rStyle w:val="14"/>
        <w:rFonts w:hint="eastAsia"/>
        <w:sz w:val="28"/>
        <w:szCs w:val="28"/>
      </w:rPr>
      <w:t>　</w:t>
    </w:r>
  </w:p>
  <w:p>
    <w:pPr>
      <w:pStyle w:val="7"/>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HorizontalSpacing w:val="208"/>
  <w:drawingGridVerticalSpacing w:val="579"/>
  <w:displayHorizont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lkZDk3YTEzNGFlOWFiZmI0NzdjMTg5ZmJiYWVmNDMifQ=="/>
  </w:docVars>
  <w:rsids>
    <w:rsidRoot w:val="00A25B87"/>
    <w:rsid w:val="00000B65"/>
    <w:rsid w:val="00002D5E"/>
    <w:rsid w:val="00002FD7"/>
    <w:rsid w:val="00003841"/>
    <w:rsid w:val="000047C0"/>
    <w:rsid w:val="0000526B"/>
    <w:rsid w:val="00005EA1"/>
    <w:rsid w:val="000076E4"/>
    <w:rsid w:val="000127AD"/>
    <w:rsid w:val="00012900"/>
    <w:rsid w:val="0001307A"/>
    <w:rsid w:val="00014B94"/>
    <w:rsid w:val="00017C79"/>
    <w:rsid w:val="00023533"/>
    <w:rsid w:val="0002434E"/>
    <w:rsid w:val="00025DDA"/>
    <w:rsid w:val="0002788C"/>
    <w:rsid w:val="00030661"/>
    <w:rsid w:val="00032AEC"/>
    <w:rsid w:val="00032CE6"/>
    <w:rsid w:val="00033B14"/>
    <w:rsid w:val="00034CA2"/>
    <w:rsid w:val="000374F3"/>
    <w:rsid w:val="00040E26"/>
    <w:rsid w:val="00041504"/>
    <w:rsid w:val="00042C2E"/>
    <w:rsid w:val="000452B7"/>
    <w:rsid w:val="00051D51"/>
    <w:rsid w:val="00053512"/>
    <w:rsid w:val="000537B8"/>
    <w:rsid w:val="00053BFE"/>
    <w:rsid w:val="00054BE1"/>
    <w:rsid w:val="00056518"/>
    <w:rsid w:val="00062487"/>
    <w:rsid w:val="000624B8"/>
    <w:rsid w:val="00062E66"/>
    <w:rsid w:val="0006313C"/>
    <w:rsid w:val="0006579C"/>
    <w:rsid w:val="00067089"/>
    <w:rsid w:val="000677C3"/>
    <w:rsid w:val="00072954"/>
    <w:rsid w:val="0007444D"/>
    <w:rsid w:val="0007511F"/>
    <w:rsid w:val="00076664"/>
    <w:rsid w:val="000778D4"/>
    <w:rsid w:val="00077BFF"/>
    <w:rsid w:val="000804AE"/>
    <w:rsid w:val="00083454"/>
    <w:rsid w:val="00085E0B"/>
    <w:rsid w:val="00086667"/>
    <w:rsid w:val="0009104D"/>
    <w:rsid w:val="00092D58"/>
    <w:rsid w:val="000938B9"/>
    <w:rsid w:val="00097B0E"/>
    <w:rsid w:val="000A0776"/>
    <w:rsid w:val="000A35C5"/>
    <w:rsid w:val="000A78B8"/>
    <w:rsid w:val="000B0CD6"/>
    <w:rsid w:val="000B1B25"/>
    <w:rsid w:val="000B1C14"/>
    <w:rsid w:val="000B1E1D"/>
    <w:rsid w:val="000B2697"/>
    <w:rsid w:val="000B2A37"/>
    <w:rsid w:val="000B5FF9"/>
    <w:rsid w:val="000B782C"/>
    <w:rsid w:val="000C0DF9"/>
    <w:rsid w:val="000C5305"/>
    <w:rsid w:val="000C547C"/>
    <w:rsid w:val="000C702F"/>
    <w:rsid w:val="000C71ED"/>
    <w:rsid w:val="000D2138"/>
    <w:rsid w:val="000D3229"/>
    <w:rsid w:val="000D457C"/>
    <w:rsid w:val="000D7A5A"/>
    <w:rsid w:val="000E00DF"/>
    <w:rsid w:val="000E162A"/>
    <w:rsid w:val="000E241D"/>
    <w:rsid w:val="000E444E"/>
    <w:rsid w:val="000E4957"/>
    <w:rsid w:val="000F3793"/>
    <w:rsid w:val="000F68A5"/>
    <w:rsid w:val="00100B31"/>
    <w:rsid w:val="00103259"/>
    <w:rsid w:val="001034A0"/>
    <w:rsid w:val="00105609"/>
    <w:rsid w:val="00110F24"/>
    <w:rsid w:val="00117A48"/>
    <w:rsid w:val="00117DF1"/>
    <w:rsid w:val="00121748"/>
    <w:rsid w:val="00122150"/>
    <w:rsid w:val="0012215F"/>
    <w:rsid w:val="00123425"/>
    <w:rsid w:val="0012356D"/>
    <w:rsid w:val="00130ECD"/>
    <w:rsid w:val="00131318"/>
    <w:rsid w:val="0013164D"/>
    <w:rsid w:val="00132766"/>
    <w:rsid w:val="0013317A"/>
    <w:rsid w:val="0013489B"/>
    <w:rsid w:val="00135B2A"/>
    <w:rsid w:val="00136986"/>
    <w:rsid w:val="00136D5A"/>
    <w:rsid w:val="0014023A"/>
    <w:rsid w:val="00141568"/>
    <w:rsid w:val="001428CF"/>
    <w:rsid w:val="00142D56"/>
    <w:rsid w:val="001449DE"/>
    <w:rsid w:val="001465C4"/>
    <w:rsid w:val="00150051"/>
    <w:rsid w:val="00151D2F"/>
    <w:rsid w:val="00151E1E"/>
    <w:rsid w:val="00151E31"/>
    <w:rsid w:val="00161B51"/>
    <w:rsid w:val="0016523E"/>
    <w:rsid w:val="001740D3"/>
    <w:rsid w:val="001741E3"/>
    <w:rsid w:val="00177E15"/>
    <w:rsid w:val="00180321"/>
    <w:rsid w:val="001807B4"/>
    <w:rsid w:val="00180C07"/>
    <w:rsid w:val="00182BE4"/>
    <w:rsid w:val="001830F8"/>
    <w:rsid w:val="001843F3"/>
    <w:rsid w:val="001845B0"/>
    <w:rsid w:val="00184960"/>
    <w:rsid w:val="00187989"/>
    <w:rsid w:val="001900E1"/>
    <w:rsid w:val="001915F1"/>
    <w:rsid w:val="0019321B"/>
    <w:rsid w:val="0019431F"/>
    <w:rsid w:val="00196B09"/>
    <w:rsid w:val="00196D7C"/>
    <w:rsid w:val="001A04D1"/>
    <w:rsid w:val="001A0930"/>
    <w:rsid w:val="001A227C"/>
    <w:rsid w:val="001A3E2D"/>
    <w:rsid w:val="001A75A4"/>
    <w:rsid w:val="001B0C9C"/>
    <w:rsid w:val="001B21E1"/>
    <w:rsid w:val="001B2753"/>
    <w:rsid w:val="001B4E4B"/>
    <w:rsid w:val="001B5C6F"/>
    <w:rsid w:val="001B5DFF"/>
    <w:rsid w:val="001C490D"/>
    <w:rsid w:val="001D2B6E"/>
    <w:rsid w:val="001D2ECD"/>
    <w:rsid w:val="001D30D3"/>
    <w:rsid w:val="001D4B02"/>
    <w:rsid w:val="001D5930"/>
    <w:rsid w:val="001E1CC8"/>
    <w:rsid w:val="001E3913"/>
    <w:rsid w:val="001E7965"/>
    <w:rsid w:val="001F0B8D"/>
    <w:rsid w:val="001F302C"/>
    <w:rsid w:val="001F409C"/>
    <w:rsid w:val="001F50EA"/>
    <w:rsid w:val="001F7794"/>
    <w:rsid w:val="001F7860"/>
    <w:rsid w:val="00202705"/>
    <w:rsid w:val="0021083A"/>
    <w:rsid w:val="00210B3C"/>
    <w:rsid w:val="0021353F"/>
    <w:rsid w:val="00214D46"/>
    <w:rsid w:val="00215869"/>
    <w:rsid w:val="00221099"/>
    <w:rsid w:val="00221A80"/>
    <w:rsid w:val="00224BF3"/>
    <w:rsid w:val="00225B93"/>
    <w:rsid w:val="002308F7"/>
    <w:rsid w:val="002335B0"/>
    <w:rsid w:val="0023458B"/>
    <w:rsid w:val="002351A3"/>
    <w:rsid w:val="00237A4B"/>
    <w:rsid w:val="00237FE1"/>
    <w:rsid w:val="002404C5"/>
    <w:rsid w:val="0024115D"/>
    <w:rsid w:val="00250072"/>
    <w:rsid w:val="00255B93"/>
    <w:rsid w:val="00255ECE"/>
    <w:rsid w:val="002608DC"/>
    <w:rsid w:val="00262316"/>
    <w:rsid w:val="002667DD"/>
    <w:rsid w:val="002703A6"/>
    <w:rsid w:val="00271BE3"/>
    <w:rsid w:val="00272780"/>
    <w:rsid w:val="002751A1"/>
    <w:rsid w:val="00277285"/>
    <w:rsid w:val="00281E9F"/>
    <w:rsid w:val="002856F4"/>
    <w:rsid w:val="00290E33"/>
    <w:rsid w:val="0029165D"/>
    <w:rsid w:val="002936B5"/>
    <w:rsid w:val="0029408B"/>
    <w:rsid w:val="00296C3D"/>
    <w:rsid w:val="00297A10"/>
    <w:rsid w:val="002A4027"/>
    <w:rsid w:val="002A4A52"/>
    <w:rsid w:val="002A556F"/>
    <w:rsid w:val="002A6C7B"/>
    <w:rsid w:val="002B093F"/>
    <w:rsid w:val="002B26FC"/>
    <w:rsid w:val="002B554C"/>
    <w:rsid w:val="002B5DAE"/>
    <w:rsid w:val="002B715B"/>
    <w:rsid w:val="002B724B"/>
    <w:rsid w:val="002C1A97"/>
    <w:rsid w:val="002C1CB8"/>
    <w:rsid w:val="002C1FEE"/>
    <w:rsid w:val="002C1FF1"/>
    <w:rsid w:val="002C34F5"/>
    <w:rsid w:val="002C4354"/>
    <w:rsid w:val="002C44E1"/>
    <w:rsid w:val="002C504D"/>
    <w:rsid w:val="002C5A3D"/>
    <w:rsid w:val="002C5C58"/>
    <w:rsid w:val="002C6929"/>
    <w:rsid w:val="002C7178"/>
    <w:rsid w:val="002D212F"/>
    <w:rsid w:val="002D2C8D"/>
    <w:rsid w:val="002E0353"/>
    <w:rsid w:val="002E270A"/>
    <w:rsid w:val="002E27BB"/>
    <w:rsid w:val="002E5D42"/>
    <w:rsid w:val="002E5F32"/>
    <w:rsid w:val="002F2302"/>
    <w:rsid w:val="002F3182"/>
    <w:rsid w:val="002F6A4D"/>
    <w:rsid w:val="00301554"/>
    <w:rsid w:val="00301695"/>
    <w:rsid w:val="0030250F"/>
    <w:rsid w:val="003030A6"/>
    <w:rsid w:val="003034F4"/>
    <w:rsid w:val="00303C1B"/>
    <w:rsid w:val="003055E7"/>
    <w:rsid w:val="00306B63"/>
    <w:rsid w:val="0031056D"/>
    <w:rsid w:val="003105AA"/>
    <w:rsid w:val="00321173"/>
    <w:rsid w:val="00324D36"/>
    <w:rsid w:val="00327A26"/>
    <w:rsid w:val="00330A88"/>
    <w:rsid w:val="00331075"/>
    <w:rsid w:val="00332091"/>
    <w:rsid w:val="00333DD6"/>
    <w:rsid w:val="00335705"/>
    <w:rsid w:val="00335850"/>
    <w:rsid w:val="003359D6"/>
    <w:rsid w:val="00337100"/>
    <w:rsid w:val="003415D9"/>
    <w:rsid w:val="00341D00"/>
    <w:rsid w:val="003436F0"/>
    <w:rsid w:val="0034378C"/>
    <w:rsid w:val="00343D8E"/>
    <w:rsid w:val="00345C28"/>
    <w:rsid w:val="003478E0"/>
    <w:rsid w:val="003512B8"/>
    <w:rsid w:val="003516B8"/>
    <w:rsid w:val="003537B6"/>
    <w:rsid w:val="00354E77"/>
    <w:rsid w:val="003615CF"/>
    <w:rsid w:val="00363F84"/>
    <w:rsid w:val="00366555"/>
    <w:rsid w:val="00367868"/>
    <w:rsid w:val="00371A92"/>
    <w:rsid w:val="003758A1"/>
    <w:rsid w:val="00375F62"/>
    <w:rsid w:val="00376652"/>
    <w:rsid w:val="00382DA8"/>
    <w:rsid w:val="003842CF"/>
    <w:rsid w:val="00390280"/>
    <w:rsid w:val="003944DC"/>
    <w:rsid w:val="003968A4"/>
    <w:rsid w:val="00396AA0"/>
    <w:rsid w:val="00396B5F"/>
    <w:rsid w:val="00396C3D"/>
    <w:rsid w:val="0039747E"/>
    <w:rsid w:val="00397CBE"/>
    <w:rsid w:val="003A0794"/>
    <w:rsid w:val="003A3604"/>
    <w:rsid w:val="003A3A95"/>
    <w:rsid w:val="003A3F77"/>
    <w:rsid w:val="003A5185"/>
    <w:rsid w:val="003A6740"/>
    <w:rsid w:val="003B0F1E"/>
    <w:rsid w:val="003B293C"/>
    <w:rsid w:val="003C1CAD"/>
    <w:rsid w:val="003C6621"/>
    <w:rsid w:val="003D0F07"/>
    <w:rsid w:val="003D12EA"/>
    <w:rsid w:val="003D2B04"/>
    <w:rsid w:val="003D43E1"/>
    <w:rsid w:val="003D53FA"/>
    <w:rsid w:val="003D7266"/>
    <w:rsid w:val="003D76BB"/>
    <w:rsid w:val="003E1031"/>
    <w:rsid w:val="003E4175"/>
    <w:rsid w:val="003E598A"/>
    <w:rsid w:val="003E5FA7"/>
    <w:rsid w:val="003F0178"/>
    <w:rsid w:val="003F03F6"/>
    <w:rsid w:val="003F44C6"/>
    <w:rsid w:val="003F45E0"/>
    <w:rsid w:val="003F48FE"/>
    <w:rsid w:val="003F55F6"/>
    <w:rsid w:val="003F7FA0"/>
    <w:rsid w:val="00400044"/>
    <w:rsid w:val="0040195B"/>
    <w:rsid w:val="004025C8"/>
    <w:rsid w:val="00405C68"/>
    <w:rsid w:val="00407E61"/>
    <w:rsid w:val="00410D87"/>
    <w:rsid w:val="0041274F"/>
    <w:rsid w:val="00412DD2"/>
    <w:rsid w:val="00417B0D"/>
    <w:rsid w:val="0042036D"/>
    <w:rsid w:val="0042093C"/>
    <w:rsid w:val="004213EA"/>
    <w:rsid w:val="004237BF"/>
    <w:rsid w:val="004240C8"/>
    <w:rsid w:val="00426552"/>
    <w:rsid w:val="00430C2F"/>
    <w:rsid w:val="004314F6"/>
    <w:rsid w:val="00431D6E"/>
    <w:rsid w:val="00435080"/>
    <w:rsid w:val="00436A83"/>
    <w:rsid w:val="004403BE"/>
    <w:rsid w:val="00440E83"/>
    <w:rsid w:val="004421C9"/>
    <w:rsid w:val="0044339E"/>
    <w:rsid w:val="00443BF4"/>
    <w:rsid w:val="00446822"/>
    <w:rsid w:val="004503C8"/>
    <w:rsid w:val="0045107D"/>
    <w:rsid w:val="00451B23"/>
    <w:rsid w:val="004524DB"/>
    <w:rsid w:val="00455AAD"/>
    <w:rsid w:val="004612C0"/>
    <w:rsid w:val="00461D53"/>
    <w:rsid w:val="00462968"/>
    <w:rsid w:val="00470A68"/>
    <w:rsid w:val="00471704"/>
    <w:rsid w:val="00472D0F"/>
    <w:rsid w:val="0047372B"/>
    <w:rsid w:val="0048083B"/>
    <w:rsid w:val="004814EA"/>
    <w:rsid w:val="00483D2D"/>
    <w:rsid w:val="00484A13"/>
    <w:rsid w:val="00485C53"/>
    <w:rsid w:val="00486966"/>
    <w:rsid w:val="004875BF"/>
    <w:rsid w:val="004876F6"/>
    <w:rsid w:val="00491176"/>
    <w:rsid w:val="00491A8C"/>
    <w:rsid w:val="00492A7A"/>
    <w:rsid w:val="00495698"/>
    <w:rsid w:val="00495BEB"/>
    <w:rsid w:val="00496730"/>
    <w:rsid w:val="004A7CBA"/>
    <w:rsid w:val="004B0487"/>
    <w:rsid w:val="004B1CEC"/>
    <w:rsid w:val="004B2809"/>
    <w:rsid w:val="004B2F69"/>
    <w:rsid w:val="004B44F0"/>
    <w:rsid w:val="004B670D"/>
    <w:rsid w:val="004C037C"/>
    <w:rsid w:val="004C4682"/>
    <w:rsid w:val="004C4B90"/>
    <w:rsid w:val="004C506D"/>
    <w:rsid w:val="004C79AE"/>
    <w:rsid w:val="004D00FB"/>
    <w:rsid w:val="004D23A8"/>
    <w:rsid w:val="004D2A9C"/>
    <w:rsid w:val="004D2D01"/>
    <w:rsid w:val="004D42C3"/>
    <w:rsid w:val="004D50D6"/>
    <w:rsid w:val="004D6D70"/>
    <w:rsid w:val="004E1AA2"/>
    <w:rsid w:val="004E307D"/>
    <w:rsid w:val="004E504A"/>
    <w:rsid w:val="004F11B1"/>
    <w:rsid w:val="004F2DE6"/>
    <w:rsid w:val="004F3984"/>
    <w:rsid w:val="004F6BE8"/>
    <w:rsid w:val="0050116E"/>
    <w:rsid w:val="00505A5A"/>
    <w:rsid w:val="005060CF"/>
    <w:rsid w:val="00506ABA"/>
    <w:rsid w:val="00510FE5"/>
    <w:rsid w:val="0051713C"/>
    <w:rsid w:val="0052311C"/>
    <w:rsid w:val="0052327A"/>
    <w:rsid w:val="0052461A"/>
    <w:rsid w:val="00530162"/>
    <w:rsid w:val="00531436"/>
    <w:rsid w:val="00532DF4"/>
    <w:rsid w:val="00534C81"/>
    <w:rsid w:val="00536F2D"/>
    <w:rsid w:val="005410B6"/>
    <w:rsid w:val="0054252A"/>
    <w:rsid w:val="00544F76"/>
    <w:rsid w:val="0055414F"/>
    <w:rsid w:val="00556E8B"/>
    <w:rsid w:val="00557D1C"/>
    <w:rsid w:val="0056062D"/>
    <w:rsid w:val="00566CBC"/>
    <w:rsid w:val="00570A29"/>
    <w:rsid w:val="00570CF1"/>
    <w:rsid w:val="005726BA"/>
    <w:rsid w:val="005732D9"/>
    <w:rsid w:val="005814E0"/>
    <w:rsid w:val="00581799"/>
    <w:rsid w:val="00582818"/>
    <w:rsid w:val="00587AFF"/>
    <w:rsid w:val="005928B8"/>
    <w:rsid w:val="005946E2"/>
    <w:rsid w:val="0059656F"/>
    <w:rsid w:val="0059673E"/>
    <w:rsid w:val="005967A7"/>
    <w:rsid w:val="005A2465"/>
    <w:rsid w:val="005A407D"/>
    <w:rsid w:val="005A6575"/>
    <w:rsid w:val="005A7AD3"/>
    <w:rsid w:val="005B34E6"/>
    <w:rsid w:val="005B4F4D"/>
    <w:rsid w:val="005B6E2E"/>
    <w:rsid w:val="005B7936"/>
    <w:rsid w:val="005C0CCE"/>
    <w:rsid w:val="005C4696"/>
    <w:rsid w:val="005D41C2"/>
    <w:rsid w:val="005E19CE"/>
    <w:rsid w:val="005E5730"/>
    <w:rsid w:val="005E68E9"/>
    <w:rsid w:val="005E73BD"/>
    <w:rsid w:val="005E7DD1"/>
    <w:rsid w:val="005F023E"/>
    <w:rsid w:val="005F127C"/>
    <w:rsid w:val="005F5999"/>
    <w:rsid w:val="005F78F2"/>
    <w:rsid w:val="00611798"/>
    <w:rsid w:val="00612009"/>
    <w:rsid w:val="006129E5"/>
    <w:rsid w:val="00613CDF"/>
    <w:rsid w:val="00620E11"/>
    <w:rsid w:val="00620FCB"/>
    <w:rsid w:val="00623DE4"/>
    <w:rsid w:val="00625A41"/>
    <w:rsid w:val="00627F83"/>
    <w:rsid w:val="00630506"/>
    <w:rsid w:val="00630E89"/>
    <w:rsid w:val="00632EDA"/>
    <w:rsid w:val="00633324"/>
    <w:rsid w:val="00635A22"/>
    <w:rsid w:val="0064143E"/>
    <w:rsid w:val="00652EE9"/>
    <w:rsid w:val="0065332B"/>
    <w:rsid w:val="006555AD"/>
    <w:rsid w:val="00660963"/>
    <w:rsid w:val="00660980"/>
    <w:rsid w:val="006639B3"/>
    <w:rsid w:val="00665991"/>
    <w:rsid w:val="00670D5A"/>
    <w:rsid w:val="00672BC5"/>
    <w:rsid w:val="00674B72"/>
    <w:rsid w:val="006754FC"/>
    <w:rsid w:val="006756E3"/>
    <w:rsid w:val="00680FE2"/>
    <w:rsid w:val="00684C68"/>
    <w:rsid w:val="006868E2"/>
    <w:rsid w:val="00687810"/>
    <w:rsid w:val="006910F3"/>
    <w:rsid w:val="0069130F"/>
    <w:rsid w:val="006929E2"/>
    <w:rsid w:val="006A129A"/>
    <w:rsid w:val="006A4623"/>
    <w:rsid w:val="006A4FE8"/>
    <w:rsid w:val="006B024F"/>
    <w:rsid w:val="006B143A"/>
    <w:rsid w:val="006B1E77"/>
    <w:rsid w:val="006B2D5F"/>
    <w:rsid w:val="006B53E7"/>
    <w:rsid w:val="006B5EE1"/>
    <w:rsid w:val="006B6BAA"/>
    <w:rsid w:val="006C139D"/>
    <w:rsid w:val="006C41F3"/>
    <w:rsid w:val="006C528D"/>
    <w:rsid w:val="006C6F89"/>
    <w:rsid w:val="006D2C8C"/>
    <w:rsid w:val="006D3634"/>
    <w:rsid w:val="006E6139"/>
    <w:rsid w:val="006F3032"/>
    <w:rsid w:val="006F66D1"/>
    <w:rsid w:val="006F7035"/>
    <w:rsid w:val="00704929"/>
    <w:rsid w:val="00704F95"/>
    <w:rsid w:val="0071103B"/>
    <w:rsid w:val="007116A9"/>
    <w:rsid w:val="00715E82"/>
    <w:rsid w:val="007207CC"/>
    <w:rsid w:val="007218B1"/>
    <w:rsid w:val="00721AAF"/>
    <w:rsid w:val="00722673"/>
    <w:rsid w:val="007242C0"/>
    <w:rsid w:val="0072556E"/>
    <w:rsid w:val="00727ED4"/>
    <w:rsid w:val="00731980"/>
    <w:rsid w:val="00734940"/>
    <w:rsid w:val="0073540B"/>
    <w:rsid w:val="007361AF"/>
    <w:rsid w:val="00737A46"/>
    <w:rsid w:val="00742C9F"/>
    <w:rsid w:val="00744D21"/>
    <w:rsid w:val="00746C68"/>
    <w:rsid w:val="007473FD"/>
    <w:rsid w:val="00751399"/>
    <w:rsid w:val="00751A33"/>
    <w:rsid w:val="00754B66"/>
    <w:rsid w:val="007554D4"/>
    <w:rsid w:val="00756566"/>
    <w:rsid w:val="00756F45"/>
    <w:rsid w:val="00756F88"/>
    <w:rsid w:val="00760225"/>
    <w:rsid w:val="00760D4D"/>
    <w:rsid w:val="0076677B"/>
    <w:rsid w:val="00767BC7"/>
    <w:rsid w:val="00770362"/>
    <w:rsid w:val="007716B5"/>
    <w:rsid w:val="007734AF"/>
    <w:rsid w:val="00777B25"/>
    <w:rsid w:val="00781F14"/>
    <w:rsid w:val="00785966"/>
    <w:rsid w:val="007868DC"/>
    <w:rsid w:val="00786A93"/>
    <w:rsid w:val="0078786D"/>
    <w:rsid w:val="00787945"/>
    <w:rsid w:val="007902E2"/>
    <w:rsid w:val="00792882"/>
    <w:rsid w:val="00793CF8"/>
    <w:rsid w:val="007942A7"/>
    <w:rsid w:val="00796E21"/>
    <w:rsid w:val="007A3E71"/>
    <w:rsid w:val="007B1C38"/>
    <w:rsid w:val="007B5962"/>
    <w:rsid w:val="007C277E"/>
    <w:rsid w:val="007D000E"/>
    <w:rsid w:val="007D5F4F"/>
    <w:rsid w:val="007E2E21"/>
    <w:rsid w:val="007E6ED0"/>
    <w:rsid w:val="007F5F53"/>
    <w:rsid w:val="00800BA5"/>
    <w:rsid w:val="00800F06"/>
    <w:rsid w:val="00802082"/>
    <w:rsid w:val="0080333B"/>
    <w:rsid w:val="008052FB"/>
    <w:rsid w:val="008121B7"/>
    <w:rsid w:val="00812787"/>
    <w:rsid w:val="00812EF8"/>
    <w:rsid w:val="00813FEC"/>
    <w:rsid w:val="008168E5"/>
    <w:rsid w:val="00817118"/>
    <w:rsid w:val="00817243"/>
    <w:rsid w:val="00827821"/>
    <w:rsid w:val="00832784"/>
    <w:rsid w:val="008356AB"/>
    <w:rsid w:val="008357EF"/>
    <w:rsid w:val="00840B29"/>
    <w:rsid w:val="008452EA"/>
    <w:rsid w:val="0084668A"/>
    <w:rsid w:val="008472E6"/>
    <w:rsid w:val="0084779E"/>
    <w:rsid w:val="00847FEC"/>
    <w:rsid w:val="008502DE"/>
    <w:rsid w:val="00850C34"/>
    <w:rsid w:val="00851083"/>
    <w:rsid w:val="00851772"/>
    <w:rsid w:val="0085317F"/>
    <w:rsid w:val="008563C7"/>
    <w:rsid w:val="008564D0"/>
    <w:rsid w:val="0086077F"/>
    <w:rsid w:val="00863DAF"/>
    <w:rsid w:val="00864CBF"/>
    <w:rsid w:val="00865492"/>
    <w:rsid w:val="00870785"/>
    <w:rsid w:val="00870C10"/>
    <w:rsid w:val="008713B9"/>
    <w:rsid w:val="0087277B"/>
    <w:rsid w:val="00873696"/>
    <w:rsid w:val="00874475"/>
    <w:rsid w:val="008744E9"/>
    <w:rsid w:val="008749C3"/>
    <w:rsid w:val="00875879"/>
    <w:rsid w:val="00875899"/>
    <w:rsid w:val="00875C48"/>
    <w:rsid w:val="00877F2F"/>
    <w:rsid w:val="008814EE"/>
    <w:rsid w:val="0088350F"/>
    <w:rsid w:val="008835E6"/>
    <w:rsid w:val="00885464"/>
    <w:rsid w:val="00887C15"/>
    <w:rsid w:val="0089350D"/>
    <w:rsid w:val="008979B2"/>
    <w:rsid w:val="008A0F97"/>
    <w:rsid w:val="008A645E"/>
    <w:rsid w:val="008A668F"/>
    <w:rsid w:val="008B09EF"/>
    <w:rsid w:val="008B10D7"/>
    <w:rsid w:val="008B4235"/>
    <w:rsid w:val="008B520D"/>
    <w:rsid w:val="008B5EAC"/>
    <w:rsid w:val="008B7D3E"/>
    <w:rsid w:val="008C00DF"/>
    <w:rsid w:val="008C08C8"/>
    <w:rsid w:val="008C2049"/>
    <w:rsid w:val="008C4284"/>
    <w:rsid w:val="008D2D68"/>
    <w:rsid w:val="008D41AB"/>
    <w:rsid w:val="008D5576"/>
    <w:rsid w:val="008D5C72"/>
    <w:rsid w:val="008E13FA"/>
    <w:rsid w:val="008E37E0"/>
    <w:rsid w:val="008E39B9"/>
    <w:rsid w:val="008E7F23"/>
    <w:rsid w:val="008F2CF3"/>
    <w:rsid w:val="008F4380"/>
    <w:rsid w:val="008F614C"/>
    <w:rsid w:val="008F7F73"/>
    <w:rsid w:val="00900C12"/>
    <w:rsid w:val="009042BF"/>
    <w:rsid w:val="00910655"/>
    <w:rsid w:val="00913D8F"/>
    <w:rsid w:val="0091687E"/>
    <w:rsid w:val="0092095B"/>
    <w:rsid w:val="00920DA0"/>
    <w:rsid w:val="00921535"/>
    <w:rsid w:val="009276A8"/>
    <w:rsid w:val="009300DF"/>
    <w:rsid w:val="00934346"/>
    <w:rsid w:val="00937857"/>
    <w:rsid w:val="0094047B"/>
    <w:rsid w:val="00941DFC"/>
    <w:rsid w:val="00943025"/>
    <w:rsid w:val="00943E76"/>
    <w:rsid w:val="00944CDB"/>
    <w:rsid w:val="00945A19"/>
    <w:rsid w:val="0095093F"/>
    <w:rsid w:val="00960B26"/>
    <w:rsid w:val="009618C2"/>
    <w:rsid w:val="00963170"/>
    <w:rsid w:val="00965899"/>
    <w:rsid w:val="00966067"/>
    <w:rsid w:val="00966D24"/>
    <w:rsid w:val="00972384"/>
    <w:rsid w:val="00973496"/>
    <w:rsid w:val="00980411"/>
    <w:rsid w:val="00980FBF"/>
    <w:rsid w:val="00982058"/>
    <w:rsid w:val="0098246C"/>
    <w:rsid w:val="00982BC7"/>
    <w:rsid w:val="00982D4F"/>
    <w:rsid w:val="009831F1"/>
    <w:rsid w:val="009849C4"/>
    <w:rsid w:val="00986F40"/>
    <w:rsid w:val="00986FE6"/>
    <w:rsid w:val="0098730F"/>
    <w:rsid w:val="00990367"/>
    <w:rsid w:val="009956AA"/>
    <w:rsid w:val="009966A5"/>
    <w:rsid w:val="009969A6"/>
    <w:rsid w:val="009969B1"/>
    <w:rsid w:val="00996AA3"/>
    <w:rsid w:val="009A0AD3"/>
    <w:rsid w:val="009A3A91"/>
    <w:rsid w:val="009A3AD3"/>
    <w:rsid w:val="009A47BE"/>
    <w:rsid w:val="009A68A8"/>
    <w:rsid w:val="009B09E0"/>
    <w:rsid w:val="009C5255"/>
    <w:rsid w:val="009C5B2C"/>
    <w:rsid w:val="009C60E5"/>
    <w:rsid w:val="009C7235"/>
    <w:rsid w:val="009D0D4A"/>
    <w:rsid w:val="009D1B58"/>
    <w:rsid w:val="009E052B"/>
    <w:rsid w:val="009E05E7"/>
    <w:rsid w:val="009E0FB4"/>
    <w:rsid w:val="009E2D2D"/>
    <w:rsid w:val="009E3164"/>
    <w:rsid w:val="009E4D03"/>
    <w:rsid w:val="009E506C"/>
    <w:rsid w:val="009E7ACA"/>
    <w:rsid w:val="009F1ACB"/>
    <w:rsid w:val="009F1FCE"/>
    <w:rsid w:val="009F2A3A"/>
    <w:rsid w:val="009F4308"/>
    <w:rsid w:val="009F59A1"/>
    <w:rsid w:val="009F59D4"/>
    <w:rsid w:val="009F5CD2"/>
    <w:rsid w:val="009F5E8D"/>
    <w:rsid w:val="009F64D4"/>
    <w:rsid w:val="00A0074D"/>
    <w:rsid w:val="00A04613"/>
    <w:rsid w:val="00A06CF5"/>
    <w:rsid w:val="00A07A1D"/>
    <w:rsid w:val="00A1101E"/>
    <w:rsid w:val="00A113D8"/>
    <w:rsid w:val="00A11837"/>
    <w:rsid w:val="00A13215"/>
    <w:rsid w:val="00A14ABC"/>
    <w:rsid w:val="00A15193"/>
    <w:rsid w:val="00A153FC"/>
    <w:rsid w:val="00A25B87"/>
    <w:rsid w:val="00A311B0"/>
    <w:rsid w:val="00A3669D"/>
    <w:rsid w:val="00A36F0D"/>
    <w:rsid w:val="00A40F9C"/>
    <w:rsid w:val="00A4778C"/>
    <w:rsid w:val="00A5105B"/>
    <w:rsid w:val="00A51C2C"/>
    <w:rsid w:val="00A54C62"/>
    <w:rsid w:val="00A55F7A"/>
    <w:rsid w:val="00A6037B"/>
    <w:rsid w:val="00A60BBF"/>
    <w:rsid w:val="00A644BE"/>
    <w:rsid w:val="00A65216"/>
    <w:rsid w:val="00A66980"/>
    <w:rsid w:val="00A67BBA"/>
    <w:rsid w:val="00A7011B"/>
    <w:rsid w:val="00A704F5"/>
    <w:rsid w:val="00A711FF"/>
    <w:rsid w:val="00A71D69"/>
    <w:rsid w:val="00A767A0"/>
    <w:rsid w:val="00A819FF"/>
    <w:rsid w:val="00A82FEA"/>
    <w:rsid w:val="00A831B2"/>
    <w:rsid w:val="00A833A0"/>
    <w:rsid w:val="00A853F0"/>
    <w:rsid w:val="00A97AB5"/>
    <w:rsid w:val="00A97AD1"/>
    <w:rsid w:val="00AA25D7"/>
    <w:rsid w:val="00AB09A3"/>
    <w:rsid w:val="00AB33E2"/>
    <w:rsid w:val="00AB5727"/>
    <w:rsid w:val="00AB777F"/>
    <w:rsid w:val="00AC05DD"/>
    <w:rsid w:val="00AC35CA"/>
    <w:rsid w:val="00AD0C51"/>
    <w:rsid w:val="00AD1F60"/>
    <w:rsid w:val="00AD315C"/>
    <w:rsid w:val="00AD3527"/>
    <w:rsid w:val="00AE00F8"/>
    <w:rsid w:val="00AE0AE4"/>
    <w:rsid w:val="00AE1211"/>
    <w:rsid w:val="00AE26DB"/>
    <w:rsid w:val="00AE2A49"/>
    <w:rsid w:val="00AE4BD5"/>
    <w:rsid w:val="00AE5482"/>
    <w:rsid w:val="00AE574A"/>
    <w:rsid w:val="00AE59E9"/>
    <w:rsid w:val="00AE5FF6"/>
    <w:rsid w:val="00AE7C39"/>
    <w:rsid w:val="00AF0631"/>
    <w:rsid w:val="00AF09E3"/>
    <w:rsid w:val="00AF0BF4"/>
    <w:rsid w:val="00AF2700"/>
    <w:rsid w:val="00AF29B4"/>
    <w:rsid w:val="00AF3A52"/>
    <w:rsid w:val="00AF6132"/>
    <w:rsid w:val="00AF64D9"/>
    <w:rsid w:val="00AF6644"/>
    <w:rsid w:val="00B003FF"/>
    <w:rsid w:val="00B009FA"/>
    <w:rsid w:val="00B012C5"/>
    <w:rsid w:val="00B02A89"/>
    <w:rsid w:val="00B04EA5"/>
    <w:rsid w:val="00B05C24"/>
    <w:rsid w:val="00B05D8A"/>
    <w:rsid w:val="00B06E0A"/>
    <w:rsid w:val="00B1409F"/>
    <w:rsid w:val="00B156FE"/>
    <w:rsid w:val="00B20ADF"/>
    <w:rsid w:val="00B25275"/>
    <w:rsid w:val="00B27EEA"/>
    <w:rsid w:val="00B33B92"/>
    <w:rsid w:val="00B35051"/>
    <w:rsid w:val="00B41B2D"/>
    <w:rsid w:val="00B440B5"/>
    <w:rsid w:val="00B442F8"/>
    <w:rsid w:val="00B44AC2"/>
    <w:rsid w:val="00B44CA2"/>
    <w:rsid w:val="00B44E89"/>
    <w:rsid w:val="00B50627"/>
    <w:rsid w:val="00B507F7"/>
    <w:rsid w:val="00B512AA"/>
    <w:rsid w:val="00B512BC"/>
    <w:rsid w:val="00B569AA"/>
    <w:rsid w:val="00B56E3F"/>
    <w:rsid w:val="00B62061"/>
    <w:rsid w:val="00B625F0"/>
    <w:rsid w:val="00B66513"/>
    <w:rsid w:val="00B7103B"/>
    <w:rsid w:val="00B714C4"/>
    <w:rsid w:val="00B734D0"/>
    <w:rsid w:val="00B750B9"/>
    <w:rsid w:val="00B755BA"/>
    <w:rsid w:val="00B77325"/>
    <w:rsid w:val="00B777D8"/>
    <w:rsid w:val="00B80063"/>
    <w:rsid w:val="00B83476"/>
    <w:rsid w:val="00B85B49"/>
    <w:rsid w:val="00B90660"/>
    <w:rsid w:val="00B925B3"/>
    <w:rsid w:val="00B94A69"/>
    <w:rsid w:val="00B97D3F"/>
    <w:rsid w:val="00B97DD2"/>
    <w:rsid w:val="00BA08A8"/>
    <w:rsid w:val="00BA40C3"/>
    <w:rsid w:val="00BA58CE"/>
    <w:rsid w:val="00BA7A7F"/>
    <w:rsid w:val="00BB0CF2"/>
    <w:rsid w:val="00BB506B"/>
    <w:rsid w:val="00BC17A5"/>
    <w:rsid w:val="00BC2C1B"/>
    <w:rsid w:val="00BC407A"/>
    <w:rsid w:val="00BC4429"/>
    <w:rsid w:val="00BC4E6C"/>
    <w:rsid w:val="00BC7219"/>
    <w:rsid w:val="00BD1810"/>
    <w:rsid w:val="00BD3141"/>
    <w:rsid w:val="00BD33B7"/>
    <w:rsid w:val="00BD517F"/>
    <w:rsid w:val="00BD5326"/>
    <w:rsid w:val="00BE02F8"/>
    <w:rsid w:val="00BE08C0"/>
    <w:rsid w:val="00BE2CD6"/>
    <w:rsid w:val="00BE3DA6"/>
    <w:rsid w:val="00BF5D22"/>
    <w:rsid w:val="00BF6A4A"/>
    <w:rsid w:val="00BF6B31"/>
    <w:rsid w:val="00BF6D43"/>
    <w:rsid w:val="00C00074"/>
    <w:rsid w:val="00C024D6"/>
    <w:rsid w:val="00C04C26"/>
    <w:rsid w:val="00C05ACD"/>
    <w:rsid w:val="00C11E01"/>
    <w:rsid w:val="00C15EED"/>
    <w:rsid w:val="00C15F59"/>
    <w:rsid w:val="00C17044"/>
    <w:rsid w:val="00C212AE"/>
    <w:rsid w:val="00C2166F"/>
    <w:rsid w:val="00C23B0C"/>
    <w:rsid w:val="00C25A2A"/>
    <w:rsid w:val="00C273FD"/>
    <w:rsid w:val="00C3069F"/>
    <w:rsid w:val="00C30C16"/>
    <w:rsid w:val="00C36702"/>
    <w:rsid w:val="00C40BB1"/>
    <w:rsid w:val="00C41D80"/>
    <w:rsid w:val="00C5006C"/>
    <w:rsid w:val="00C50703"/>
    <w:rsid w:val="00C507BA"/>
    <w:rsid w:val="00C53349"/>
    <w:rsid w:val="00C53D8F"/>
    <w:rsid w:val="00C57249"/>
    <w:rsid w:val="00C635F1"/>
    <w:rsid w:val="00C63836"/>
    <w:rsid w:val="00C66778"/>
    <w:rsid w:val="00C67E53"/>
    <w:rsid w:val="00C7110B"/>
    <w:rsid w:val="00C75043"/>
    <w:rsid w:val="00C76A98"/>
    <w:rsid w:val="00C76C39"/>
    <w:rsid w:val="00C771E6"/>
    <w:rsid w:val="00C77B0D"/>
    <w:rsid w:val="00C83754"/>
    <w:rsid w:val="00C9116F"/>
    <w:rsid w:val="00C92E85"/>
    <w:rsid w:val="00C9326B"/>
    <w:rsid w:val="00C941CC"/>
    <w:rsid w:val="00C950F2"/>
    <w:rsid w:val="00CA0C10"/>
    <w:rsid w:val="00CA36E7"/>
    <w:rsid w:val="00CA3D83"/>
    <w:rsid w:val="00CA46B4"/>
    <w:rsid w:val="00CA5708"/>
    <w:rsid w:val="00CA689A"/>
    <w:rsid w:val="00CA6CF3"/>
    <w:rsid w:val="00CA7F42"/>
    <w:rsid w:val="00CA7FB8"/>
    <w:rsid w:val="00CB16B0"/>
    <w:rsid w:val="00CB1B76"/>
    <w:rsid w:val="00CB3960"/>
    <w:rsid w:val="00CB5245"/>
    <w:rsid w:val="00CB5A09"/>
    <w:rsid w:val="00CB636E"/>
    <w:rsid w:val="00CB6F99"/>
    <w:rsid w:val="00CC07E9"/>
    <w:rsid w:val="00CC1910"/>
    <w:rsid w:val="00CC1DE4"/>
    <w:rsid w:val="00CC2A95"/>
    <w:rsid w:val="00CC50C4"/>
    <w:rsid w:val="00CD14B2"/>
    <w:rsid w:val="00CD40BA"/>
    <w:rsid w:val="00CD5018"/>
    <w:rsid w:val="00CE19FC"/>
    <w:rsid w:val="00CE2556"/>
    <w:rsid w:val="00CE5DB4"/>
    <w:rsid w:val="00CE7000"/>
    <w:rsid w:val="00CF0BAA"/>
    <w:rsid w:val="00CF4C74"/>
    <w:rsid w:val="00CF7CB8"/>
    <w:rsid w:val="00D00317"/>
    <w:rsid w:val="00D0105B"/>
    <w:rsid w:val="00D01DB3"/>
    <w:rsid w:val="00D02DA7"/>
    <w:rsid w:val="00D03873"/>
    <w:rsid w:val="00D03FD6"/>
    <w:rsid w:val="00D060FD"/>
    <w:rsid w:val="00D07608"/>
    <w:rsid w:val="00D107CA"/>
    <w:rsid w:val="00D11CAF"/>
    <w:rsid w:val="00D11FCB"/>
    <w:rsid w:val="00D20647"/>
    <w:rsid w:val="00D317DB"/>
    <w:rsid w:val="00D32E52"/>
    <w:rsid w:val="00D37899"/>
    <w:rsid w:val="00D40891"/>
    <w:rsid w:val="00D43842"/>
    <w:rsid w:val="00D5169B"/>
    <w:rsid w:val="00D54B39"/>
    <w:rsid w:val="00D5654D"/>
    <w:rsid w:val="00D569C4"/>
    <w:rsid w:val="00D5731F"/>
    <w:rsid w:val="00D57B5D"/>
    <w:rsid w:val="00D60900"/>
    <w:rsid w:val="00D61D7E"/>
    <w:rsid w:val="00D71F91"/>
    <w:rsid w:val="00D72E88"/>
    <w:rsid w:val="00D72FC8"/>
    <w:rsid w:val="00D74614"/>
    <w:rsid w:val="00D74C8C"/>
    <w:rsid w:val="00D75BA2"/>
    <w:rsid w:val="00D769A5"/>
    <w:rsid w:val="00D80361"/>
    <w:rsid w:val="00D81C37"/>
    <w:rsid w:val="00D82C11"/>
    <w:rsid w:val="00D831A2"/>
    <w:rsid w:val="00D8519C"/>
    <w:rsid w:val="00D8570F"/>
    <w:rsid w:val="00D875BC"/>
    <w:rsid w:val="00D91435"/>
    <w:rsid w:val="00D96203"/>
    <w:rsid w:val="00D96617"/>
    <w:rsid w:val="00D9744C"/>
    <w:rsid w:val="00DA0A2F"/>
    <w:rsid w:val="00DA0F21"/>
    <w:rsid w:val="00DA4F17"/>
    <w:rsid w:val="00DA5A08"/>
    <w:rsid w:val="00DA63C9"/>
    <w:rsid w:val="00DA7A12"/>
    <w:rsid w:val="00DA7A23"/>
    <w:rsid w:val="00DB1424"/>
    <w:rsid w:val="00DB1948"/>
    <w:rsid w:val="00DB19A1"/>
    <w:rsid w:val="00DB2C52"/>
    <w:rsid w:val="00DB6EDD"/>
    <w:rsid w:val="00DC35E9"/>
    <w:rsid w:val="00DC571B"/>
    <w:rsid w:val="00DD1543"/>
    <w:rsid w:val="00DD3235"/>
    <w:rsid w:val="00DE1188"/>
    <w:rsid w:val="00DE318E"/>
    <w:rsid w:val="00DE49DA"/>
    <w:rsid w:val="00DF00BA"/>
    <w:rsid w:val="00DF0340"/>
    <w:rsid w:val="00DF7E0C"/>
    <w:rsid w:val="00E00B4F"/>
    <w:rsid w:val="00E11512"/>
    <w:rsid w:val="00E126F7"/>
    <w:rsid w:val="00E12752"/>
    <w:rsid w:val="00E13A8F"/>
    <w:rsid w:val="00E14141"/>
    <w:rsid w:val="00E21994"/>
    <w:rsid w:val="00E233AF"/>
    <w:rsid w:val="00E2457C"/>
    <w:rsid w:val="00E255DC"/>
    <w:rsid w:val="00E2621C"/>
    <w:rsid w:val="00E27060"/>
    <w:rsid w:val="00E31E29"/>
    <w:rsid w:val="00E33561"/>
    <w:rsid w:val="00E33B3E"/>
    <w:rsid w:val="00E36357"/>
    <w:rsid w:val="00E364DE"/>
    <w:rsid w:val="00E426E6"/>
    <w:rsid w:val="00E43BD4"/>
    <w:rsid w:val="00E448C2"/>
    <w:rsid w:val="00E501EF"/>
    <w:rsid w:val="00E503CB"/>
    <w:rsid w:val="00E515F6"/>
    <w:rsid w:val="00E52D25"/>
    <w:rsid w:val="00E52D63"/>
    <w:rsid w:val="00E52EDD"/>
    <w:rsid w:val="00E5554F"/>
    <w:rsid w:val="00E62587"/>
    <w:rsid w:val="00E67531"/>
    <w:rsid w:val="00E72870"/>
    <w:rsid w:val="00E740EF"/>
    <w:rsid w:val="00E75A0A"/>
    <w:rsid w:val="00E81137"/>
    <w:rsid w:val="00E81651"/>
    <w:rsid w:val="00E81AEE"/>
    <w:rsid w:val="00E83634"/>
    <w:rsid w:val="00E8461A"/>
    <w:rsid w:val="00E85106"/>
    <w:rsid w:val="00E86ABB"/>
    <w:rsid w:val="00E9163C"/>
    <w:rsid w:val="00E92964"/>
    <w:rsid w:val="00E92A17"/>
    <w:rsid w:val="00E94F55"/>
    <w:rsid w:val="00E95693"/>
    <w:rsid w:val="00E95B74"/>
    <w:rsid w:val="00E9688C"/>
    <w:rsid w:val="00E96F0B"/>
    <w:rsid w:val="00EA1764"/>
    <w:rsid w:val="00EA47B5"/>
    <w:rsid w:val="00EA4AE7"/>
    <w:rsid w:val="00EA60BD"/>
    <w:rsid w:val="00EB6E6D"/>
    <w:rsid w:val="00EC1DE2"/>
    <w:rsid w:val="00EC4AA5"/>
    <w:rsid w:val="00EC4F0C"/>
    <w:rsid w:val="00EC5124"/>
    <w:rsid w:val="00ED354F"/>
    <w:rsid w:val="00ED455B"/>
    <w:rsid w:val="00ED4DF1"/>
    <w:rsid w:val="00EE0CD2"/>
    <w:rsid w:val="00EE1C37"/>
    <w:rsid w:val="00EE20A7"/>
    <w:rsid w:val="00EE2D34"/>
    <w:rsid w:val="00EE4B65"/>
    <w:rsid w:val="00EE79B7"/>
    <w:rsid w:val="00EF4C7B"/>
    <w:rsid w:val="00F01CF1"/>
    <w:rsid w:val="00F0280C"/>
    <w:rsid w:val="00F038F1"/>
    <w:rsid w:val="00F06E95"/>
    <w:rsid w:val="00F11466"/>
    <w:rsid w:val="00F20A54"/>
    <w:rsid w:val="00F21C75"/>
    <w:rsid w:val="00F238D9"/>
    <w:rsid w:val="00F3254E"/>
    <w:rsid w:val="00F35677"/>
    <w:rsid w:val="00F35863"/>
    <w:rsid w:val="00F37288"/>
    <w:rsid w:val="00F37BFC"/>
    <w:rsid w:val="00F4212A"/>
    <w:rsid w:val="00F425BC"/>
    <w:rsid w:val="00F47910"/>
    <w:rsid w:val="00F511BA"/>
    <w:rsid w:val="00F53748"/>
    <w:rsid w:val="00F555D6"/>
    <w:rsid w:val="00F576E3"/>
    <w:rsid w:val="00F6157E"/>
    <w:rsid w:val="00F6280B"/>
    <w:rsid w:val="00F62D63"/>
    <w:rsid w:val="00F659DE"/>
    <w:rsid w:val="00F66022"/>
    <w:rsid w:val="00F67DE0"/>
    <w:rsid w:val="00F70340"/>
    <w:rsid w:val="00F73639"/>
    <w:rsid w:val="00F75E7A"/>
    <w:rsid w:val="00F76F16"/>
    <w:rsid w:val="00F80C01"/>
    <w:rsid w:val="00F82814"/>
    <w:rsid w:val="00F8492A"/>
    <w:rsid w:val="00F84E2C"/>
    <w:rsid w:val="00F86887"/>
    <w:rsid w:val="00F91064"/>
    <w:rsid w:val="00F9125D"/>
    <w:rsid w:val="00F931AF"/>
    <w:rsid w:val="00FA00D1"/>
    <w:rsid w:val="00FA0AA0"/>
    <w:rsid w:val="00FA72DB"/>
    <w:rsid w:val="00FB07C7"/>
    <w:rsid w:val="00FB0C81"/>
    <w:rsid w:val="00FB1DA4"/>
    <w:rsid w:val="00FB36EC"/>
    <w:rsid w:val="00FB4CC6"/>
    <w:rsid w:val="00FB4E5E"/>
    <w:rsid w:val="00FB7958"/>
    <w:rsid w:val="00FC18CE"/>
    <w:rsid w:val="00FC2216"/>
    <w:rsid w:val="00FC3866"/>
    <w:rsid w:val="00FC4153"/>
    <w:rsid w:val="00FC69E3"/>
    <w:rsid w:val="00FE0225"/>
    <w:rsid w:val="00FE0D0A"/>
    <w:rsid w:val="00FE2BF9"/>
    <w:rsid w:val="00FE3B63"/>
    <w:rsid w:val="00FE764D"/>
    <w:rsid w:val="00FF06B0"/>
    <w:rsid w:val="00FF0F91"/>
    <w:rsid w:val="00FF232D"/>
    <w:rsid w:val="00FF4A16"/>
    <w:rsid w:val="01093E22"/>
    <w:rsid w:val="016C6582"/>
    <w:rsid w:val="01E50356"/>
    <w:rsid w:val="01F362DA"/>
    <w:rsid w:val="020D43D3"/>
    <w:rsid w:val="02295D42"/>
    <w:rsid w:val="02550119"/>
    <w:rsid w:val="026D6B37"/>
    <w:rsid w:val="02E44075"/>
    <w:rsid w:val="032E2183"/>
    <w:rsid w:val="03704283"/>
    <w:rsid w:val="03A74BBD"/>
    <w:rsid w:val="0448006B"/>
    <w:rsid w:val="04A8666B"/>
    <w:rsid w:val="04FC623E"/>
    <w:rsid w:val="05072AD5"/>
    <w:rsid w:val="05137B50"/>
    <w:rsid w:val="051C7EEA"/>
    <w:rsid w:val="056A75D0"/>
    <w:rsid w:val="0582080E"/>
    <w:rsid w:val="05E05461"/>
    <w:rsid w:val="063C5648"/>
    <w:rsid w:val="064E2175"/>
    <w:rsid w:val="06566924"/>
    <w:rsid w:val="06685216"/>
    <w:rsid w:val="06732D75"/>
    <w:rsid w:val="06C243BC"/>
    <w:rsid w:val="07856147"/>
    <w:rsid w:val="07B064D2"/>
    <w:rsid w:val="07F41CF0"/>
    <w:rsid w:val="081C395D"/>
    <w:rsid w:val="085A2DDB"/>
    <w:rsid w:val="087C0E79"/>
    <w:rsid w:val="08F62CE6"/>
    <w:rsid w:val="08FE0EF8"/>
    <w:rsid w:val="09126814"/>
    <w:rsid w:val="09180FB8"/>
    <w:rsid w:val="095139A1"/>
    <w:rsid w:val="09810D66"/>
    <w:rsid w:val="099F11BF"/>
    <w:rsid w:val="09EF6031"/>
    <w:rsid w:val="0A503055"/>
    <w:rsid w:val="0A744BD0"/>
    <w:rsid w:val="0A80164E"/>
    <w:rsid w:val="0AC4421A"/>
    <w:rsid w:val="0AC719B9"/>
    <w:rsid w:val="0BA4273F"/>
    <w:rsid w:val="0BF1278E"/>
    <w:rsid w:val="0BF376A6"/>
    <w:rsid w:val="0C095504"/>
    <w:rsid w:val="0C474C83"/>
    <w:rsid w:val="0C595FAB"/>
    <w:rsid w:val="0CF239F4"/>
    <w:rsid w:val="0D081DAD"/>
    <w:rsid w:val="0D6F6E04"/>
    <w:rsid w:val="0DAB73E6"/>
    <w:rsid w:val="0DDA310A"/>
    <w:rsid w:val="0DE46F6F"/>
    <w:rsid w:val="0DEC0A8B"/>
    <w:rsid w:val="0EDB7B2C"/>
    <w:rsid w:val="0EDB7E0B"/>
    <w:rsid w:val="0F770CD9"/>
    <w:rsid w:val="0FA768B4"/>
    <w:rsid w:val="0FCE3978"/>
    <w:rsid w:val="0FDA68C2"/>
    <w:rsid w:val="0FEF4BEA"/>
    <w:rsid w:val="100C4175"/>
    <w:rsid w:val="10575A15"/>
    <w:rsid w:val="10671385"/>
    <w:rsid w:val="10813359"/>
    <w:rsid w:val="10A9577F"/>
    <w:rsid w:val="10C61511"/>
    <w:rsid w:val="10D5689F"/>
    <w:rsid w:val="119A7D94"/>
    <w:rsid w:val="11CA3DAA"/>
    <w:rsid w:val="11EF5D49"/>
    <w:rsid w:val="123E1DDF"/>
    <w:rsid w:val="12AB268F"/>
    <w:rsid w:val="13052F7E"/>
    <w:rsid w:val="13D82DCC"/>
    <w:rsid w:val="148F4C73"/>
    <w:rsid w:val="14BB128F"/>
    <w:rsid w:val="14D404A1"/>
    <w:rsid w:val="15327380"/>
    <w:rsid w:val="159E5CAE"/>
    <w:rsid w:val="15CB21C8"/>
    <w:rsid w:val="161A234C"/>
    <w:rsid w:val="16272CAC"/>
    <w:rsid w:val="16B4530A"/>
    <w:rsid w:val="16D260E0"/>
    <w:rsid w:val="170948D2"/>
    <w:rsid w:val="17530AC3"/>
    <w:rsid w:val="178E227F"/>
    <w:rsid w:val="17A11A29"/>
    <w:rsid w:val="17A9352D"/>
    <w:rsid w:val="189C71BF"/>
    <w:rsid w:val="18BE4AA2"/>
    <w:rsid w:val="19A05980"/>
    <w:rsid w:val="19D14718"/>
    <w:rsid w:val="19FF4736"/>
    <w:rsid w:val="1A3271A9"/>
    <w:rsid w:val="1A3508F7"/>
    <w:rsid w:val="1B1E70B8"/>
    <w:rsid w:val="1B9C3278"/>
    <w:rsid w:val="1CAE3EBE"/>
    <w:rsid w:val="1D69462D"/>
    <w:rsid w:val="1DB56037"/>
    <w:rsid w:val="1DED7CF2"/>
    <w:rsid w:val="1DFE45A7"/>
    <w:rsid w:val="1E2802D9"/>
    <w:rsid w:val="1E2C6C16"/>
    <w:rsid w:val="1EA64F39"/>
    <w:rsid w:val="1EC429AF"/>
    <w:rsid w:val="1F7659B8"/>
    <w:rsid w:val="1F7B0BE4"/>
    <w:rsid w:val="1FA12FE5"/>
    <w:rsid w:val="1FB26366"/>
    <w:rsid w:val="1FF4FAD5"/>
    <w:rsid w:val="202D6C55"/>
    <w:rsid w:val="204D0B29"/>
    <w:rsid w:val="20771875"/>
    <w:rsid w:val="20986737"/>
    <w:rsid w:val="20E61E7C"/>
    <w:rsid w:val="20F17BC4"/>
    <w:rsid w:val="218747E8"/>
    <w:rsid w:val="21923E69"/>
    <w:rsid w:val="21CE136C"/>
    <w:rsid w:val="21D45938"/>
    <w:rsid w:val="21E83945"/>
    <w:rsid w:val="21F336CA"/>
    <w:rsid w:val="21F5144B"/>
    <w:rsid w:val="21F71AFC"/>
    <w:rsid w:val="220A7AB0"/>
    <w:rsid w:val="22204C1C"/>
    <w:rsid w:val="226B3E0A"/>
    <w:rsid w:val="229B3529"/>
    <w:rsid w:val="23122A00"/>
    <w:rsid w:val="236D69A3"/>
    <w:rsid w:val="238B05F6"/>
    <w:rsid w:val="239C0550"/>
    <w:rsid w:val="24B33E4F"/>
    <w:rsid w:val="24F03D7A"/>
    <w:rsid w:val="25380960"/>
    <w:rsid w:val="25973E2A"/>
    <w:rsid w:val="25FE6900"/>
    <w:rsid w:val="26645FEF"/>
    <w:rsid w:val="27001E8D"/>
    <w:rsid w:val="276B7132"/>
    <w:rsid w:val="27AF2239"/>
    <w:rsid w:val="27CB23D3"/>
    <w:rsid w:val="281137E7"/>
    <w:rsid w:val="289941BF"/>
    <w:rsid w:val="28C054C2"/>
    <w:rsid w:val="28CB0826"/>
    <w:rsid w:val="28FF3DB9"/>
    <w:rsid w:val="291D3828"/>
    <w:rsid w:val="295D7400"/>
    <w:rsid w:val="297966E5"/>
    <w:rsid w:val="29A16A06"/>
    <w:rsid w:val="2A005D83"/>
    <w:rsid w:val="2A105212"/>
    <w:rsid w:val="2A4E7F57"/>
    <w:rsid w:val="2A96537E"/>
    <w:rsid w:val="2AE26938"/>
    <w:rsid w:val="2B1C605B"/>
    <w:rsid w:val="2B232737"/>
    <w:rsid w:val="2B2C64B4"/>
    <w:rsid w:val="2BE76489"/>
    <w:rsid w:val="2C2E0431"/>
    <w:rsid w:val="2D121B1C"/>
    <w:rsid w:val="2D74292F"/>
    <w:rsid w:val="2DE463EC"/>
    <w:rsid w:val="2E1D67DA"/>
    <w:rsid w:val="2E837065"/>
    <w:rsid w:val="2ED02A3C"/>
    <w:rsid w:val="2F003F02"/>
    <w:rsid w:val="2F27145B"/>
    <w:rsid w:val="2F283E2E"/>
    <w:rsid w:val="2F682B73"/>
    <w:rsid w:val="2F7571B1"/>
    <w:rsid w:val="2F7C7E37"/>
    <w:rsid w:val="2FA45675"/>
    <w:rsid w:val="304A741A"/>
    <w:rsid w:val="304E2E6B"/>
    <w:rsid w:val="30A06FA8"/>
    <w:rsid w:val="30C11FFF"/>
    <w:rsid w:val="31B90B0B"/>
    <w:rsid w:val="31D40733"/>
    <w:rsid w:val="32166FC8"/>
    <w:rsid w:val="322345B4"/>
    <w:rsid w:val="32247048"/>
    <w:rsid w:val="32B241BC"/>
    <w:rsid w:val="32C747EA"/>
    <w:rsid w:val="332B040B"/>
    <w:rsid w:val="33C672F5"/>
    <w:rsid w:val="34565404"/>
    <w:rsid w:val="34851021"/>
    <w:rsid w:val="35B1543C"/>
    <w:rsid w:val="35B623D1"/>
    <w:rsid w:val="35D3D3B0"/>
    <w:rsid w:val="36455676"/>
    <w:rsid w:val="36AA4A58"/>
    <w:rsid w:val="36E257F2"/>
    <w:rsid w:val="37865431"/>
    <w:rsid w:val="37DE32C1"/>
    <w:rsid w:val="37F06B36"/>
    <w:rsid w:val="37FBCD09"/>
    <w:rsid w:val="3821305A"/>
    <w:rsid w:val="38554A13"/>
    <w:rsid w:val="38E57AC4"/>
    <w:rsid w:val="38EB6CF9"/>
    <w:rsid w:val="393B4C4E"/>
    <w:rsid w:val="393F2F72"/>
    <w:rsid w:val="395066E5"/>
    <w:rsid w:val="3977414B"/>
    <w:rsid w:val="39823181"/>
    <w:rsid w:val="39E11DA3"/>
    <w:rsid w:val="39E52061"/>
    <w:rsid w:val="39E74B14"/>
    <w:rsid w:val="3A0D5403"/>
    <w:rsid w:val="3A18068F"/>
    <w:rsid w:val="3A1F21DE"/>
    <w:rsid w:val="3A332F40"/>
    <w:rsid w:val="3A6A4C33"/>
    <w:rsid w:val="3B397074"/>
    <w:rsid w:val="3B3B0BCD"/>
    <w:rsid w:val="3B9F6E55"/>
    <w:rsid w:val="3BA97ADD"/>
    <w:rsid w:val="3BFE6545"/>
    <w:rsid w:val="3CE45083"/>
    <w:rsid w:val="3CEA2A36"/>
    <w:rsid w:val="3DA729DD"/>
    <w:rsid w:val="3DCD3D25"/>
    <w:rsid w:val="3DFA77ED"/>
    <w:rsid w:val="3E1233DB"/>
    <w:rsid w:val="3E3922DD"/>
    <w:rsid w:val="3E5C1AB6"/>
    <w:rsid w:val="3E970EA3"/>
    <w:rsid w:val="3EA00EFA"/>
    <w:rsid w:val="3F042527"/>
    <w:rsid w:val="3FD05463"/>
    <w:rsid w:val="3FE803D3"/>
    <w:rsid w:val="400004B6"/>
    <w:rsid w:val="401970DD"/>
    <w:rsid w:val="40313612"/>
    <w:rsid w:val="40644D54"/>
    <w:rsid w:val="407D250A"/>
    <w:rsid w:val="4089014C"/>
    <w:rsid w:val="40B473D5"/>
    <w:rsid w:val="40EF028D"/>
    <w:rsid w:val="411C4700"/>
    <w:rsid w:val="41F91C8C"/>
    <w:rsid w:val="424156E8"/>
    <w:rsid w:val="42D32947"/>
    <w:rsid w:val="42E757C8"/>
    <w:rsid w:val="43845892"/>
    <w:rsid w:val="43D246B0"/>
    <w:rsid w:val="44124225"/>
    <w:rsid w:val="44B60958"/>
    <w:rsid w:val="46404989"/>
    <w:rsid w:val="464160DB"/>
    <w:rsid w:val="46792B8C"/>
    <w:rsid w:val="47783A68"/>
    <w:rsid w:val="47860197"/>
    <w:rsid w:val="47FE48C2"/>
    <w:rsid w:val="48100A7B"/>
    <w:rsid w:val="486036DA"/>
    <w:rsid w:val="48A8092E"/>
    <w:rsid w:val="48D004E1"/>
    <w:rsid w:val="49154004"/>
    <w:rsid w:val="496442A9"/>
    <w:rsid w:val="49EE30CD"/>
    <w:rsid w:val="49F376E4"/>
    <w:rsid w:val="4A1B2EAF"/>
    <w:rsid w:val="4A230901"/>
    <w:rsid w:val="4A593192"/>
    <w:rsid w:val="4A5D1558"/>
    <w:rsid w:val="4A9856DA"/>
    <w:rsid w:val="4B663806"/>
    <w:rsid w:val="4B973716"/>
    <w:rsid w:val="4C705C13"/>
    <w:rsid w:val="4C730813"/>
    <w:rsid w:val="4CDA3A11"/>
    <w:rsid w:val="4CE03D70"/>
    <w:rsid w:val="4CFB43B5"/>
    <w:rsid w:val="4D262F38"/>
    <w:rsid w:val="4D9D6E1F"/>
    <w:rsid w:val="4DF7032C"/>
    <w:rsid w:val="4DF76246"/>
    <w:rsid w:val="4DFE3B32"/>
    <w:rsid w:val="4E137069"/>
    <w:rsid w:val="4E3C252B"/>
    <w:rsid w:val="4E8B133F"/>
    <w:rsid w:val="4FB23C38"/>
    <w:rsid w:val="4FD7256D"/>
    <w:rsid w:val="501D1397"/>
    <w:rsid w:val="504423AA"/>
    <w:rsid w:val="5059467B"/>
    <w:rsid w:val="509B1927"/>
    <w:rsid w:val="50CA7C5E"/>
    <w:rsid w:val="50DF688D"/>
    <w:rsid w:val="50EA5718"/>
    <w:rsid w:val="50F71046"/>
    <w:rsid w:val="51163757"/>
    <w:rsid w:val="51804B13"/>
    <w:rsid w:val="51D56B60"/>
    <w:rsid w:val="51DD7E5E"/>
    <w:rsid w:val="51FC208D"/>
    <w:rsid w:val="520C1EDD"/>
    <w:rsid w:val="528F77CB"/>
    <w:rsid w:val="52A77848"/>
    <w:rsid w:val="52DD564A"/>
    <w:rsid w:val="53C57C91"/>
    <w:rsid w:val="53D0046B"/>
    <w:rsid w:val="53D75D58"/>
    <w:rsid w:val="54263B3F"/>
    <w:rsid w:val="54367035"/>
    <w:rsid w:val="54A31B35"/>
    <w:rsid w:val="54CD3007"/>
    <w:rsid w:val="54D05373"/>
    <w:rsid w:val="555D3E12"/>
    <w:rsid w:val="558552D3"/>
    <w:rsid w:val="55B9078C"/>
    <w:rsid w:val="55FB54B4"/>
    <w:rsid w:val="564F41ED"/>
    <w:rsid w:val="566C5A50"/>
    <w:rsid w:val="568E4FB6"/>
    <w:rsid w:val="569578E5"/>
    <w:rsid w:val="569A7588"/>
    <w:rsid w:val="56CB1860"/>
    <w:rsid w:val="571C27F0"/>
    <w:rsid w:val="574C5E0F"/>
    <w:rsid w:val="579E70EB"/>
    <w:rsid w:val="57EF9424"/>
    <w:rsid w:val="58084CE6"/>
    <w:rsid w:val="58492A84"/>
    <w:rsid w:val="584A34C6"/>
    <w:rsid w:val="58855DDC"/>
    <w:rsid w:val="58C64EC3"/>
    <w:rsid w:val="59437DF7"/>
    <w:rsid w:val="597BEF4B"/>
    <w:rsid w:val="599E0929"/>
    <w:rsid w:val="59BC0EEF"/>
    <w:rsid w:val="59DF38B6"/>
    <w:rsid w:val="59E46853"/>
    <w:rsid w:val="59E71599"/>
    <w:rsid w:val="5A2318EC"/>
    <w:rsid w:val="5A423440"/>
    <w:rsid w:val="5A8A2EBC"/>
    <w:rsid w:val="5AA56CB2"/>
    <w:rsid w:val="5AC826F9"/>
    <w:rsid w:val="5AD67CA2"/>
    <w:rsid w:val="5AF773C1"/>
    <w:rsid w:val="5B1F78EB"/>
    <w:rsid w:val="5B38265D"/>
    <w:rsid w:val="5B7B3096"/>
    <w:rsid w:val="5B8605A4"/>
    <w:rsid w:val="5BE920E0"/>
    <w:rsid w:val="5BFD69AF"/>
    <w:rsid w:val="5C9070A0"/>
    <w:rsid w:val="5D6250B9"/>
    <w:rsid w:val="5DC575B5"/>
    <w:rsid w:val="5DC876BE"/>
    <w:rsid w:val="5E2C1A27"/>
    <w:rsid w:val="5E74B83E"/>
    <w:rsid w:val="5EBBFF94"/>
    <w:rsid w:val="5F1E3B16"/>
    <w:rsid w:val="5F216D47"/>
    <w:rsid w:val="5F883CDF"/>
    <w:rsid w:val="5F8F2B23"/>
    <w:rsid w:val="5FF7EAE4"/>
    <w:rsid w:val="60141518"/>
    <w:rsid w:val="604C560B"/>
    <w:rsid w:val="60524892"/>
    <w:rsid w:val="60857745"/>
    <w:rsid w:val="60A8233A"/>
    <w:rsid w:val="60C12306"/>
    <w:rsid w:val="60CC2F1B"/>
    <w:rsid w:val="60FF6F73"/>
    <w:rsid w:val="61961F3C"/>
    <w:rsid w:val="61985542"/>
    <w:rsid w:val="61BB2024"/>
    <w:rsid w:val="61CD7727"/>
    <w:rsid w:val="61CF4412"/>
    <w:rsid w:val="61E737A0"/>
    <w:rsid w:val="621C620D"/>
    <w:rsid w:val="62584BCC"/>
    <w:rsid w:val="62CB274D"/>
    <w:rsid w:val="62DA69E2"/>
    <w:rsid w:val="62DD2A86"/>
    <w:rsid w:val="62E16167"/>
    <w:rsid w:val="63673350"/>
    <w:rsid w:val="63917667"/>
    <w:rsid w:val="63C46F69"/>
    <w:rsid w:val="63C82989"/>
    <w:rsid w:val="63DD5658"/>
    <w:rsid w:val="63F013B1"/>
    <w:rsid w:val="6428796E"/>
    <w:rsid w:val="64CC5C89"/>
    <w:rsid w:val="65105294"/>
    <w:rsid w:val="65925689"/>
    <w:rsid w:val="65CB7D1D"/>
    <w:rsid w:val="65D9105E"/>
    <w:rsid w:val="65F17B56"/>
    <w:rsid w:val="663976C2"/>
    <w:rsid w:val="665E21BB"/>
    <w:rsid w:val="66827D3F"/>
    <w:rsid w:val="669B329E"/>
    <w:rsid w:val="66E72E34"/>
    <w:rsid w:val="671C3072"/>
    <w:rsid w:val="674FDCC5"/>
    <w:rsid w:val="67724778"/>
    <w:rsid w:val="678E2727"/>
    <w:rsid w:val="67FBEABC"/>
    <w:rsid w:val="6818770F"/>
    <w:rsid w:val="682079D6"/>
    <w:rsid w:val="68FC50DC"/>
    <w:rsid w:val="693F02EE"/>
    <w:rsid w:val="69BC2734"/>
    <w:rsid w:val="6A3929D8"/>
    <w:rsid w:val="6A8127D4"/>
    <w:rsid w:val="6AF316FF"/>
    <w:rsid w:val="6B1F78E5"/>
    <w:rsid w:val="6BBC21F0"/>
    <w:rsid w:val="6C7169F8"/>
    <w:rsid w:val="6CC67AE7"/>
    <w:rsid w:val="6CD357DF"/>
    <w:rsid w:val="6D336605"/>
    <w:rsid w:val="6D355420"/>
    <w:rsid w:val="6D7A583B"/>
    <w:rsid w:val="6DA73D92"/>
    <w:rsid w:val="6DEB1B95"/>
    <w:rsid w:val="6E085103"/>
    <w:rsid w:val="6E0A767B"/>
    <w:rsid w:val="6E3E6466"/>
    <w:rsid w:val="6EC91C47"/>
    <w:rsid w:val="6EEB47BC"/>
    <w:rsid w:val="6EEC4538"/>
    <w:rsid w:val="6F1C396F"/>
    <w:rsid w:val="6F1E7FF8"/>
    <w:rsid w:val="6F2D04F9"/>
    <w:rsid w:val="6F37391D"/>
    <w:rsid w:val="6F5245E9"/>
    <w:rsid w:val="6F9E095A"/>
    <w:rsid w:val="6FD12434"/>
    <w:rsid w:val="6FD557EC"/>
    <w:rsid w:val="6FF5B683"/>
    <w:rsid w:val="703F0413"/>
    <w:rsid w:val="705C3F33"/>
    <w:rsid w:val="7097605C"/>
    <w:rsid w:val="70B934CF"/>
    <w:rsid w:val="71785B59"/>
    <w:rsid w:val="71B303C1"/>
    <w:rsid w:val="71D4007F"/>
    <w:rsid w:val="720F6E39"/>
    <w:rsid w:val="72A607C9"/>
    <w:rsid w:val="72F37130"/>
    <w:rsid w:val="73082E29"/>
    <w:rsid w:val="735C71E6"/>
    <w:rsid w:val="73CB3FAF"/>
    <w:rsid w:val="74F221DA"/>
    <w:rsid w:val="75080429"/>
    <w:rsid w:val="75517740"/>
    <w:rsid w:val="756D0F91"/>
    <w:rsid w:val="758229E3"/>
    <w:rsid w:val="75893FAE"/>
    <w:rsid w:val="75AF2EAF"/>
    <w:rsid w:val="7616470A"/>
    <w:rsid w:val="7652122C"/>
    <w:rsid w:val="765E5B35"/>
    <w:rsid w:val="76740A32"/>
    <w:rsid w:val="7682221F"/>
    <w:rsid w:val="768367F3"/>
    <w:rsid w:val="76F26086"/>
    <w:rsid w:val="771C4E06"/>
    <w:rsid w:val="77430D05"/>
    <w:rsid w:val="77512368"/>
    <w:rsid w:val="776F6E84"/>
    <w:rsid w:val="77BF671D"/>
    <w:rsid w:val="77E15F68"/>
    <w:rsid w:val="77E76BD0"/>
    <w:rsid w:val="77FB28E1"/>
    <w:rsid w:val="7859629C"/>
    <w:rsid w:val="787E1044"/>
    <w:rsid w:val="7888490C"/>
    <w:rsid w:val="788A2C3E"/>
    <w:rsid w:val="789822F5"/>
    <w:rsid w:val="78F804EC"/>
    <w:rsid w:val="79514A9A"/>
    <w:rsid w:val="79955198"/>
    <w:rsid w:val="79A27392"/>
    <w:rsid w:val="79B5217C"/>
    <w:rsid w:val="79BE0C2D"/>
    <w:rsid w:val="7A0FFBBE"/>
    <w:rsid w:val="7A253A4F"/>
    <w:rsid w:val="7A6AB455"/>
    <w:rsid w:val="7A9225BD"/>
    <w:rsid w:val="7B280F13"/>
    <w:rsid w:val="7B646F76"/>
    <w:rsid w:val="7BAB01C9"/>
    <w:rsid w:val="7BBF9375"/>
    <w:rsid w:val="7BD9F2AA"/>
    <w:rsid w:val="7BDE2859"/>
    <w:rsid w:val="7BF29B2F"/>
    <w:rsid w:val="7BF52BA1"/>
    <w:rsid w:val="7BFD8BC9"/>
    <w:rsid w:val="7C1502AF"/>
    <w:rsid w:val="7C241034"/>
    <w:rsid w:val="7C6D7DCD"/>
    <w:rsid w:val="7CFD1316"/>
    <w:rsid w:val="7D3F1DD1"/>
    <w:rsid w:val="7D4D3DFE"/>
    <w:rsid w:val="7D590339"/>
    <w:rsid w:val="7DBF0E40"/>
    <w:rsid w:val="7DC01EEC"/>
    <w:rsid w:val="7DFB48D7"/>
    <w:rsid w:val="7DFFA9E3"/>
    <w:rsid w:val="7E3C1C10"/>
    <w:rsid w:val="7ED31D0F"/>
    <w:rsid w:val="7EE4011E"/>
    <w:rsid w:val="7EE77C54"/>
    <w:rsid w:val="7EFCC74B"/>
    <w:rsid w:val="7EFEA40D"/>
    <w:rsid w:val="7F0D3868"/>
    <w:rsid w:val="7F2C21AF"/>
    <w:rsid w:val="7F7B1800"/>
    <w:rsid w:val="7F7BF749"/>
    <w:rsid w:val="7FBD90AE"/>
    <w:rsid w:val="7FBE6E35"/>
    <w:rsid w:val="7FBF74A6"/>
    <w:rsid w:val="7FFF1BFA"/>
    <w:rsid w:val="916E528B"/>
    <w:rsid w:val="93EE6256"/>
    <w:rsid w:val="9BF2E210"/>
    <w:rsid w:val="9DF240B7"/>
    <w:rsid w:val="9EDB023E"/>
    <w:rsid w:val="9FF2561B"/>
    <w:rsid w:val="A5FEB87B"/>
    <w:rsid w:val="ACF7B27D"/>
    <w:rsid w:val="ACFB93D6"/>
    <w:rsid w:val="B7BD71CA"/>
    <w:rsid w:val="B7D7535C"/>
    <w:rsid w:val="B97B62A1"/>
    <w:rsid w:val="B98FA27C"/>
    <w:rsid w:val="BB6ED2AD"/>
    <w:rsid w:val="BCCF390D"/>
    <w:rsid w:val="BEFB3172"/>
    <w:rsid w:val="BFBF97E2"/>
    <w:rsid w:val="BFDDA1C0"/>
    <w:rsid w:val="BFEF89F1"/>
    <w:rsid w:val="BFFA338A"/>
    <w:rsid w:val="C39F1C05"/>
    <w:rsid w:val="C3F2F521"/>
    <w:rsid w:val="C7FF8563"/>
    <w:rsid w:val="D3FBA111"/>
    <w:rsid w:val="D5DF2680"/>
    <w:rsid w:val="D6DD7821"/>
    <w:rsid w:val="D7F77D94"/>
    <w:rsid w:val="DAACF931"/>
    <w:rsid w:val="DBF87E38"/>
    <w:rsid w:val="DDBE024C"/>
    <w:rsid w:val="DDFD23EF"/>
    <w:rsid w:val="DFAFC1AD"/>
    <w:rsid w:val="DFD83527"/>
    <w:rsid w:val="DFF13CD0"/>
    <w:rsid w:val="E1DCBEF0"/>
    <w:rsid w:val="E66F8024"/>
    <w:rsid w:val="EB073A92"/>
    <w:rsid w:val="EDBFCF11"/>
    <w:rsid w:val="EDFFFD66"/>
    <w:rsid w:val="EEBD2395"/>
    <w:rsid w:val="EF6FB895"/>
    <w:rsid w:val="EFAF8CA7"/>
    <w:rsid w:val="EFDE82A1"/>
    <w:rsid w:val="EFFFF474"/>
    <w:rsid w:val="F1AE12E2"/>
    <w:rsid w:val="F3F6F33C"/>
    <w:rsid w:val="F3FEE16A"/>
    <w:rsid w:val="F6CE18A6"/>
    <w:rsid w:val="F972906C"/>
    <w:rsid w:val="FAFBD641"/>
    <w:rsid w:val="FBD37ADA"/>
    <w:rsid w:val="FBF9CC90"/>
    <w:rsid w:val="FDBC734F"/>
    <w:rsid w:val="FDCB555D"/>
    <w:rsid w:val="FDF7585E"/>
    <w:rsid w:val="FE7F3BC2"/>
    <w:rsid w:val="FEBF8935"/>
    <w:rsid w:val="FED78D68"/>
    <w:rsid w:val="FF6151C7"/>
    <w:rsid w:val="FF7FA460"/>
    <w:rsid w:val="FFBEC230"/>
    <w:rsid w:val="FFE76E58"/>
    <w:rsid w:val="FFF6FBB5"/>
    <w:rsid w:val="FFF747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z w:val="32"/>
      <w:szCs w:val="32"/>
      <w:lang w:val="en-US" w:eastAsia="zh-CN" w:bidi="ar-SA"/>
    </w:rPr>
  </w:style>
  <w:style w:type="paragraph" w:styleId="3">
    <w:name w:val="heading 1"/>
    <w:basedOn w:val="1"/>
    <w:next w:val="1"/>
    <w:qFormat/>
    <w:uiPriority w:val="0"/>
    <w:pPr>
      <w:keepNext/>
      <w:keepLines/>
      <w:spacing w:before="340" w:after="330" w:line="578" w:lineRule="auto"/>
      <w:outlineLvl w:val="0"/>
    </w:pPr>
    <w:rPr>
      <w:rFonts w:eastAsia="宋体"/>
      <w:b/>
      <w:bCs/>
      <w:kern w:val="44"/>
      <w:sz w:val="44"/>
      <w:szCs w:val="4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无间隔1"/>
    <w:basedOn w:val="1"/>
    <w:qFormat/>
    <w:uiPriority w:val="0"/>
    <w:pPr>
      <w:spacing w:line="360" w:lineRule="auto"/>
      <w:jc w:val="left"/>
    </w:pPr>
    <w:rPr>
      <w:rFonts w:ascii="Calibri" w:hAnsi="Calibri" w:eastAsia="宋体" w:cs="宋体"/>
      <w:b/>
      <w:bCs/>
      <w:sz w:val="30"/>
      <w:szCs w:val="30"/>
    </w:rPr>
  </w:style>
  <w:style w:type="paragraph" w:styleId="4">
    <w:name w:val="Document Map"/>
    <w:basedOn w:val="1"/>
    <w:semiHidden/>
    <w:qFormat/>
    <w:uiPriority w:val="0"/>
    <w:pPr>
      <w:shd w:val="clear" w:color="auto" w:fill="000080"/>
    </w:pPr>
  </w:style>
  <w:style w:type="paragraph" w:styleId="5">
    <w:name w:val="Plain Text"/>
    <w:basedOn w:val="1"/>
    <w:link w:val="18"/>
    <w:qFormat/>
    <w:uiPriority w:val="0"/>
    <w:rPr>
      <w:rFonts w:ascii="宋体" w:hAnsi="Courier New" w:eastAsia="宋体" w:cs="Courier New"/>
      <w:kern w:val="2"/>
      <w:sz w:val="21"/>
      <w:szCs w:val="21"/>
    </w:r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link w:val="23"/>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Autospacing="1" w:after="100" w:afterAutospacing="1"/>
      <w:jc w:val="left"/>
    </w:pPr>
    <w:rPr>
      <w:rFonts w:ascii="宋体" w:hAnsi="宋体" w:eastAsia="宋体" w:cs="宋体"/>
      <w:sz w:val="24"/>
      <w:szCs w:val="24"/>
    </w:rPr>
  </w:style>
  <w:style w:type="table" w:styleId="11">
    <w:name w:val="Table Grid"/>
    <w:basedOn w:val="10"/>
    <w:qFormat/>
    <w:uiPriority w:val="0"/>
    <w:pPr>
      <w:widowControl w:val="0"/>
      <w:jc w:val="both"/>
    </w:pPr>
    <w:rPr>
      <w:sz w:val="32"/>
      <w:szCs w:val="3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bCs/>
    </w:rPr>
  </w:style>
  <w:style w:type="character" w:styleId="14">
    <w:name w:val="page number"/>
    <w:basedOn w:val="12"/>
    <w:qFormat/>
    <w:uiPriority w:val="0"/>
  </w:style>
  <w:style w:type="character" w:styleId="15">
    <w:name w:val="Emphasis"/>
    <w:qFormat/>
    <w:uiPriority w:val="0"/>
    <w:rPr>
      <w:rFonts w:ascii="Times New Roman" w:hAnsi="Times New Roman"/>
    </w:rPr>
  </w:style>
  <w:style w:type="character" w:styleId="16">
    <w:name w:val="Hyperlink"/>
    <w:basedOn w:val="12"/>
    <w:qFormat/>
    <w:uiPriority w:val="0"/>
    <w:rPr>
      <w:color w:val="0000FF"/>
      <w:u w:val="single"/>
    </w:rPr>
  </w:style>
  <w:style w:type="character" w:customStyle="1" w:styleId="17">
    <w:name w:val="15"/>
    <w:basedOn w:val="12"/>
    <w:qFormat/>
    <w:uiPriority w:val="0"/>
    <w:rPr>
      <w:rFonts w:hint="default" w:ascii="Times New Roman" w:hAnsi="Times New Roman" w:cs="Times New Roman"/>
      <w:sz w:val="32"/>
      <w:szCs w:val="32"/>
    </w:rPr>
  </w:style>
  <w:style w:type="character" w:customStyle="1" w:styleId="18">
    <w:name w:val="纯文本 字符"/>
    <w:basedOn w:val="12"/>
    <w:link w:val="5"/>
    <w:qFormat/>
    <w:locked/>
    <w:uiPriority w:val="0"/>
    <w:rPr>
      <w:rFonts w:ascii="宋体" w:hAnsi="Courier New" w:eastAsia="宋体" w:cs="Courier New"/>
      <w:kern w:val="2"/>
      <w:sz w:val="21"/>
      <w:szCs w:val="21"/>
      <w:lang w:val="en-US" w:eastAsia="zh-CN" w:bidi="ar-SA"/>
    </w:rPr>
  </w:style>
  <w:style w:type="character" w:customStyle="1" w:styleId="19">
    <w:name w:val="公文正文"/>
    <w:basedOn w:val="12"/>
    <w:qFormat/>
    <w:uiPriority w:val="0"/>
    <w:rPr>
      <w:rFonts w:ascii="仿宋_GB2312" w:eastAsia="仿宋_GB2312"/>
      <w:sz w:val="32"/>
    </w:rPr>
  </w:style>
  <w:style w:type="character" w:customStyle="1" w:styleId="20">
    <w:name w:val="公文日期"/>
    <w:basedOn w:val="12"/>
    <w:qFormat/>
    <w:uiPriority w:val="0"/>
  </w:style>
  <w:style w:type="character" w:customStyle="1" w:styleId="21">
    <w:name w:val="font61"/>
    <w:basedOn w:val="12"/>
    <w:qFormat/>
    <w:uiPriority w:val="0"/>
    <w:rPr>
      <w:rFonts w:ascii="仿宋_GB2312" w:eastAsia="仿宋_GB2312" w:cs="仿宋_GB2312"/>
      <w:color w:val="FF0000"/>
      <w:sz w:val="24"/>
      <w:szCs w:val="24"/>
      <w:u w:val="none"/>
    </w:rPr>
  </w:style>
  <w:style w:type="character" w:customStyle="1" w:styleId="22">
    <w:name w:val="公文发出日期"/>
    <w:basedOn w:val="12"/>
    <w:qFormat/>
    <w:uiPriority w:val="0"/>
    <w:rPr>
      <w:rFonts w:ascii="仿宋_GB2312"/>
      <w:sz w:val="28"/>
    </w:rPr>
  </w:style>
  <w:style w:type="character" w:customStyle="1" w:styleId="23">
    <w:name w:val="页眉 字符"/>
    <w:basedOn w:val="12"/>
    <w:link w:val="8"/>
    <w:qFormat/>
    <w:uiPriority w:val="0"/>
    <w:rPr>
      <w:rFonts w:eastAsia="仿宋_GB2312"/>
      <w:sz w:val="18"/>
      <w:szCs w:val="18"/>
      <w:lang w:val="en-US" w:eastAsia="zh-CN" w:bidi="ar-SA"/>
    </w:rPr>
  </w:style>
  <w:style w:type="character" w:customStyle="1" w:styleId="24">
    <w:name w:val="公文标题"/>
    <w:basedOn w:val="12"/>
    <w:qFormat/>
    <w:uiPriority w:val="0"/>
    <w:rPr>
      <w:sz w:val="44"/>
    </w:rPr>
  </w:style>
  <w:style w:type="character" w:customStyle="1" w:styleId="25">
    <w:name w:val="font131"/>
    <w:basedOn w:val="12"/>
    <w:qFormat/>
    <w:uiPriority w:val="0"/>
    <w:rPr>
      <w:rFonts w:ascii="仿宋_GB2312" w:eastAsia="仿宋_GB2312" w:cs="仿宋_GB2312"/>
      <w:color w:val="000000"/>
      <w:sz w:val="24"/>
      <w:szCs w:val="24"/>
      <w:u w:val="none"/>
    </w:rPr>
  </w:style>
  <w:style w:type="paragraph" w:customStyle="1" w:styleId="26">
    <w:name w:val="Char Char Char1 Char"/>
    <w:basedOn w:val="1"/>
    <w:semiHidden/>
    <w:qFormat/>
    <w:uiPriority w:val="0"/>
    <w:rPr>
      <w:rFonts w:eastAsia="宋体"/>
      <w:kern w:val="2"/>
      <w:sz w:val="21"/>
      <w:szCs w:val="24"/>
    </w:rPr>
  </w:style>
  <w:style w:type="paragraph" w:customStyle="1" w:styleId="27">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8">
    <w:name w:val="List Paragraph"/>
    <w:basedOn w:val="1"/>
    <w:qFormat/>
    <w:uiPriority w:val="34"/>
    <w:pPr>
      <w:ind w:firstLine="420" w:firstLineChars="200"/>
      <w:jc w:val="left"/>
    </w:pPr>
    <w:rPr>
      <w:rFonts w:ascii="Calibri" w:hAnsi="Calibri" w:eastAsia="宋体"/>
      <w:kern w:val="2"/>
      <w:sz w:val="21"/>
      <w:szCs w:val="22"/>
    </w:rPr>
  </w:style>
  <w:style w:type="paragraph" w:customStyle="1" w:styleId="29">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
    <w:name w:val="Char"/>
    <w:basedOn w:val="1"/>
    <w:qFormat/>
    <w:uiPriority w:val="0"/>
    <w:pPr>
      <w:widowControl/>
      <w:spacing w:after="160" w:line="240" w:lineRule="exact"/>
      <w:jc w:val="left"/>
    </w:pPr>
    <w:rPr>
      <w:rFonts w:eastAsia="宋体"/>
      <w:kern w:val="2"/>
      <w:sz w:val="21"/>
      <w:szCs w:val="20"/>
    </w:rPr>
  </w:style>
  <w:style w:type="paragraph" w:customStyle="1" w:styleId="31">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cs="Verdana"/>
      <w:snapToGrid w:val="0"/>
      <w:sz w:val="24"/>
      <w:szCs w:val="21"/>
      <w:lang w:eastAsia="en-US"/>
    </w:rPr>
  </w:style>
  <w:style w:type="paragraph" w:customStyle="1" w:styleId="32">
    <w:name w:val="Char Char Char"/>
    <w:basedOn w:val="1"/>
    <w:qFormat/>
    <w:uiPriority w:val="0"/>
    <w:pPr>
      <w:tabs>
        <w:tab w:val="left" w:pos="360"/>
      </w:tabs>
    </w:pPr>
    <w:rPr>
      <w:rFonts w:eastAsia="宋体"/>
      <w:kern w:val="2"/>
      <w:sz w:val="24"/>
      <w:szCs w:val="24"/>
    </w:rPr>
  </w:style>
  <w:style w:type="paragraph" w:customStyle="1" w:styleId="33">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14</Pages>
  <Words>6763</Words>
  <Characters>6888</Characters>
  <Lines>4</Lines>
  <Paragraphs>1</Paragraphs>
  <TotalTime>25</TotalTime>
  <ScaleCrop>false</ScaleCrop>
  <LinksUpToDate>false</LinksUpToDate>
  <CharactersWithSpaces>6912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2021-04-14T15:00:00Z</dcterms:created>
  <dc:creator>朱江津</dc:creator>
  <cp:lastModifiedBy>WPS_1598251242</cp:lastModifiedBy>
  <cp:lastPrinted>2022-12-17T22:33:00Z</cp:lastPrinted>
  <dcterms:modified xsi:type="dcterms:W3CDTF">2023-01-13T09:03:35Z</dcterms:modified>
  <dc:title>000001</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D4A65CD2F4D640DA9CC91A64F565A0DE</vt:lpwstr>
  </property>
</Properties>
</file>