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sz w:val="28"/>
          <w:szCs w:val="20"/>
        </w:rPr>
      </w:pPr>
      <w:bookmarkStart w:id="15" w:name="_GoBack"/>
      <w:bookmarkEnd w:id="15"/>
      <w:r>
        <w:rPr>
          <w:rFonts w:ascii="Times New Roman" w:hAnsi="Times New Roman" w:cs="Times New Roman"/>
          <w:b/>
          <w:sz w:val="28"/>
          <w:szCs w:val="20"/>
        </w:rPr>
        <w:t>一、建设项目基本情况</w:t>
      </w:r>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1"/>
        <w:gridCol w:w="851"/>
        <w:gridCol w:w="2557"/>
        <w:gridCol w:w="2262"/>
        <w:gridCol w:w="31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建设项目名称</w:t>
            </w:r>
          </w:p>
        </w:tc>
        <w:tc>
          <w:tcPr>
            <w:tcW w:w="7984"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东川区殡仪馆项目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建设单位</w:t>
            </w:r>
          </w:p>
        </w:tc>
        <w:tc>
          <w:tcPr>
            <w:tcW w:w="7984"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昆明市东川区民政局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项目代码</w:t>
            </w:r>
          </w:p>
        </w:tc>
        <w:tc>
          <w:tcPr>
            <w:tcW w:w="7984"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2208-530113-04-01-873756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联系人</w:t>
            </w:r>
          </w:p>
        </w:tc>
        <w:tc>
          <w:tcPr>
            <w:tcW w:w="2557" w:type="dxa"/>
            <w:tcBorders>
              <w:right w:val="single" w:color="auto" w:sz="4" w:space="0"/>
            </w:tcBorders>
            <w:vAlign w:val="center"/>
          </w:tcPr>
          <w:p>
            <w:pPr>
              <w:spacing w:line="360" w:lineRule="auto"/>
              <w:jc w:val="center"/>
              <w:rPr>
                <w:rFonts w:hint="default" w:ascii="Times New Roman" w:hAnsi="Times New Roman" w:cs="Times New Roman" w:eastAsiaTheme="minorEastAsia"/>
                <w:sz w:val="24"/>
                <w:szCs w:val="24"/>
                <w:lang w:val="en-US" w:eastAsia="zh-CN"/>
              </w:rPr>
            </w:pP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联系方式</w:t>
            </w:r>
          </w:p>
        </w:tc>
        <w:tc>
          <w:tcPr>
            <w:tcW w:w="3165" w:type="dxa"/>
            <w:tcBorders>
              <w:left w:val="single" w:color="auto" w:sz="4" w:space="0"/>
            </w:tcBorders>
            <w:vAlign w:val="center"/>
          </w:tcPr>
          <w:p>
            <w:pPr>
              <w:spacing w:line="360" w:lineRule="auto"/>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建设地点</w:t>
            </w:r>
          </w:p>
        </w:tc>
        <w:tc>
          <w:tcPr>
            <w:tcW w:w="7984"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东川区碧谷街道（北郊板河口老殡仪馆原址）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地理坐标</w:t>
            </w:r>
          </w:p>
        </w:tc>
        <w:tc>
          <w:tcPr>
            <w:tcW w:w="7984" w:type="dxa"/>
            <w:gridSpan w:val="3"/>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东经103°08'58.250"，北纬26°07'59.566"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国民经济行业类别</w:t>
            </w:r>
          </w:p>
        </w:tc>
        <w:tc>
          <w:tcPr>
            <w:tcW w:w="2557"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8080 殡葬服务</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建设项目行业类别</w:t>
            </w:r>
          </w:p>
        </w:tc>
        <w:tc>
          <w:tcPr>
            <w:tcW w:w="3165"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殡仪馆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建设性质</w:t>
            </w:r>
          </w:p>
        </w:tc>
        <w:tc>
          <w:tcPr>
            <w:tcW w:w="2557" w:type="dxa"/>
            <w:tcBorders>
              <w:right w:val="single" w:color="auto" w:sz="4" w:space="0"/>
            </w:tcBorders>
            <w:vAlign w:val="center"/>
          </w:tcPr>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☑新建（迁建）</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□改建</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□扩建</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□技术改造</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建设项目申报情形</w:t>
            </w:r>
          </w:p>
        </w:tc>
        <w:tc>
          <w:tcPr>
            <w:tcW w:w="3165" w:type="dxa"/>
            <w:tcBorders>
              <w:left w:val="single" w:color="auto" w:sz="4" w:space="0"/>
            </w:tcBorders>
            <w:vAlign w:val="center"/>
          </w:tcPr>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☑首次申报项目</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□不予批准后再次申报项目</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□超五年重新审核项目</w:t>
            </w:r>
          </w:p>
          <w:p>
            <w:pPr>
              <w:spacing w:line="360" w:lineRule="auto"/>
              <w:ind w:firstLine="120" w:firstLineChars="50"/>
              <w:jc w:val="left"/>
              <w:rPr>
                <w:rFonts w:ascii="Times New Roman" w:hAnsi="Times New Roman" w:cs="Times New Roman"/>
                <w:sz w:val="24"/>
                <w:szCs w:val="24"/>
              </w:rPr>
            </w:pPr>
            <w:r>
              <w:rPr>
                <w:rFonts w:ascii="Times New Roman" w:hAnsi="Times New Roman" w:cs="Times New Roman"/>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项目审批（核准/备案）部门（选填）</w:t>
            </w:r>
          </w:p>
        </w:tc>
        <w:tc>
          <w:tcPr>
            <w:tcW w:w="2557"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昆明市东川区发展和改革局</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项目审批（核准/备案）文号（选填）</w:t>
            </w:r>
          </w:p>
        </w:tc>
        <w:tc>
          <w:tcPr>
            <w:tcW w:w="3165"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东发改复【2022】139号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总投资（万元）</w:t>
            </w:r>
          </w:p>
        </w:tc>
        <w:tc>
          <w:tcPr>
            <w:tcW w:w="2557"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2499.60</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环保投资（万元）</w:t>
            </w:r>
          </w:p>
        </w:tc>
        <w:tc>
          <w:tcPr>
            <w:tcW w:w="3165"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525.2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环保投资占比</w:t>
            </w:r>
          </w:p>
        </w:tc>
        <w:tc>
          <w:tcPr>
            <w:tcW w:w="2557"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21.01%</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施工工期</w:t>
            </w:r>
          </w:p>
        </w:tc>
        <w:tc>
          <w:tcPr>
            <w:tcW w:w="3165"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18个月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是否开工建设</w:t>
            </w:r>
          </w:p>
        </w:tc>
        <w:tc>
          <w:tcPr>
            <w:tcW w:w="2557"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否</w:t>
            </w:r>
          </w:p>
        </w:tc>
        <w:tc>
          <w:tcPr>
            <w:tcW w:w="2262"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用地（用海）面积</w:t>
            </w:r>
          </w:p>
        </w:tc>
        <w:tc>
          <w:tcPr>
            <w:tcW w:w="3165" w:type="dxa"/>
            <w:tcBorders>
              <w:lef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32886.67m²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专项评价设置情况</w:t>
            </w:r>
          </w:p>
        </w:tc>
        <w:tc>
          <w:tcPr>
            <w:tcW w:w="7984" w:type="dxa"/>
            <w:gridSpan w:val="3"/>
            <w:tcBorders>
              <w:left w:val="single" w:color="auto" w:sz="4" w:space="0"/>
            </w:tcBorders>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根据《建设项目环境影响报告表编制技术指南》（污染影响类）（试行）“表1 专项评价设置原则表”的要求，该项目专项评价设置情况具体如下表所示。</w:t>
            </w:r>
          </w:p>
          <w:p>
            <w:pPr>
              <w:spacing w:beforeLines="50" w:line="360" w:lineRule="auto"/>
              <w:ind w:firstLine="480" w:firstLineChars="200"/>
              <w:rPr>
                <w:rFonts w:ascii="Times New Roman" w:hAnsi="Times New Roman" w:cs="Times New Roman"/>
                <w:sz w:val="24"/>
                <w:szCs w:val="24"/>
              </w:rPr>
            </w:pPr>
          </w:p>
          <w:p>
            <w:pPr>
              <w:jc w:val="center"/>
              <w:rPr>
                <w:rFonts w:ascii="Times New Roman" w:hAnsi="Times New Roman" w:cs="Times New Roman"/>
                <w:b/>
              </w:rPr>
            </w:pPr>
            <w:r>
              <w:rPr>
                <w:rFonts w:ascii="Times New Roman" w:hAnsi="Times New Roman" w:cs="Times New Roman"/>
                <w:b/>
              </w:rPr>
              <w:t>表1-1 专项评价设置情况分析表</w:t>
            </w:r>
          </w:p>
          <w:tbl>
            <w:tblPr>
              <w:tblStyle w:val="17"/>
              <w:tblW w:w="77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4"/>
              <w:gridCol w:w="3040"/>
              <w:gridCol w:w="3321"/>
              <w:gridCol w:w="6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4" w:type="dxa"/>
                  <w:vAlign w:val="center"/>
                </w:tcPr>
                <w:p>
                  <w:pPr>
                    <w:pStyle w:val="26"/>
                    <w:spacing w:line="360" w:lineRule="exact"/>
                    <w:rPr>
                      <w:rFonts w:eastAsiaTheme="minorEastAsia"/>
                      <w:color w:val="auto"/>
                      <w:szCs w:val="21"/>
                    </w:rPr>
                  </w:pPr>
                  <w:r>
                    <w:rPr>
                      <w:rFonts w:eastAsiaTheme="minorEastAsia"/>
                      <w:color w:val="auto"/>
                      <w:szCs w:val="21"/>
                    </w:rPr>
                    <w:t>环境影响因素</w:t>
                  </w:r>
                </w:p>
              </w:tc>
              <w:tc>
                <w:tcPr>
                  <w:tcW w:w="3040" w:type="dxa"/>
                  <w:vAlign w:val="center"/>
                </w:tcPr>
                <w:p>
                  <w:pPr>
                    <w:pStyle w:val="26"/>
                    <w:spacing w:line="360" w:lineRule="exact"/>
                    <w:rPr>
                      <w:rFonts w:eastAsiaTheme="minorEastAsia"/>
                      <w:color w:val="auto"/>
                      <w:szCs w:val="21"/>
                    </w:rPr>
                  </w:pPr>
                  <w:r>
                    <w:rPr>
                      <w:rFonts w:eastAsiaTheme="minorEastAsia"/>
                      <w:color w:val="auto"/>
                      <w:szCs w:val="21"/>
                    </w:rPr>
                    <w:t>专项设置原则</w:t>
                  </w:r>
                </w:p>
              </w:tc>
              <w:tc>
                <w:tcPr>
                  <w:tcW w:w="3321" w:type="dxa"/>
                  <w:vAlign w:val="center"/>
                </w:tcPr>
                <w:p>
                  <w:pPr>
                    <w:pStyle w:val="26"/>
                    <w:spacing w:line="360" w:lineRule="exact"/>
                    <w:rPr>
                      <w:rFonts w:eastAsiaTheme="minorEastAsia"/>
                      <w:color w:val="auto"/>
                      <w:szCs w:val="21"/>
                    </w:rPr>
                  </w:pPr>
                  <w:r>
                    <w:rPr>
                      <w:rFonts w:eastAsiaTheme="minorEastAsia"/>
                      <w:color w:val="auto"/>
                      <w:szCs w:val="21"/>
                    </w:rPr>
                    <w:t>该项目情况</w:t>
                  </w:r>
                </w:p>
              </w:tc>
              <w:tc>
                <w:tcPr>
                  <w:tcW w:w="653" w:type="dxa"/>
                  <w:vAlign w:val="center"/>
                </w:tcPr>
                <w:p>
                  <w:pPr>
                    <w:pStyle w:val="26"/>
                    <w:spacing w:line="360" w:lineRule="exact"/>
                    <w:rPr>
                      <w:rFonts w:eastAsiaTheme="minorEastAsia"/>
                      <w:color w:val="auto"/>
                      <w:szCs w:val="21"/>
                    </w:rPr>
                  </w:pPr>
                  <w:r>
                    <w:rPr>
                      <w:rFonts w:eastAsiaTheme="minorEastAsia"/>
                      <w:color w:val="auto"/>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4" w:type="dxa"/>
                  <w:vAlign w:val="center"/>
                </w:tcPr>
                <w:p>
                  <w:pPr>
                    <w:pStyle w:val="26"/>
                    <w:spacing w:line="360" w:lineRule="exact"/>
                    <w:rPr>
                      <w:rFonts w:eastAsiaTheme="minorEastAsia"/>
                      <w:color w:val="auto"/>
                      <w:szCs w:val="21"/>
                    </w:rPr>
                  </w:pPr>
                  <w:r>
                    <w:rPr>
                      <w:rFonts w:eastAsiaTheme="minorEastAsia"/>
                      <w:color w:val="auto"/>
                      <w:szCs w:val="21"/>
                    </w:rPr>
                    <w:t>大气</w:t>
                  </w:r>
                </w:p>
              </w:tc>
              <w:tc>
                <w:tcPr>
                  <w:tcW w:w="3040" w:type="dxa"/>
                  <w:vAlign w:val="center"/>
                </w:tcPr>
                <w:p>
                  <w:pPr>
                    <w:pStyle w:val="26"/>
                    <w:spacing w:line="360" w:lineRule="exact"/>
                    <w:ind w:firstLine="210" w:firstLineChars="100"/>
                    <w:jc w:val="both"/>
                    <w:rPr>
                      <w:color w:val="auto"/>
                      <w:szCs w:val="21"/>
                    </w:rPr>
                  </w:pPr>
                  <w:r>
                    <w:rPr>
                      <w:color w:val="auto"/>
                      <w:szCs w:val="21"/>
                    </w:rPr>
                    <w:t>排放废气含有《有毒有害大气污染物名录》的污染物（不包括无排放标准的污染物）、二噁英、苯并[a]芘、氰化物、氯气且厂界外500 米范围内有环境空气保护目标的建设项目。</w:t>
                  </w:r>
                </w:p>
              </w:tc>
              <w:tc>
                <w:tcPr>
                  <w:tcW w:w="3321" w:type="dxa"/>
                  <w:vAlign w:val="center"/>
                </w:tcPr>
                <w:p>
                  <w:pPr>
                    <w:pStyle w:val="26"/>
                    <w:spacing w:line="360" w:lineRule="exact"/>
                    <w:ind w:firstLine="210" w:firstLineChars="100"/>
                    <w:jc w:val="both"/>
                    <w:rPr>
                      <w:color w:val="auto"/>
                      <w:szCs w:val="21"/>
                    </w:rPr>
                  </w:pPr>
                  <w:r>
                    <w:rPr>
                      <w:color w:val="auto"/>
                      <w:szCs w:val="21"/>
                    </w:rPr>
                    <w:t>根据工程分析，项目会产生二噁英等污染物，且项目区南侧132m有一散户居民、东侧8m有一散户居民</w:t>
                  </w:r>
                  <w:r>
                    <w:rPr>
                      <w:rFonts w:hint="eastAsia"/>
                      <w:color w:val="auto"/>
                      <w:szCs w:val="21"/>
                    </w:rPr>
                    <w:t>，不属于严格意义的环境空气保护目标，但环评拟参考</w:t>
                  </w:r>
                  <w:r>
                    <w:rPr>
                      <w:color w:val="auto"/>
                      <w:szCs w:val="21"/>
                    </w:rPr>
                    <w:t>《环境影响评价技术导则 大气环境》（HJ2.2-2018）的要求，开展大气专项评价。</w:t>
                  </w:r>
                </w:p>
              </w:tc>
              <w:tc>
                <w:tcPr>
                  <w:tcW w:w="65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4" w:type="dxa"/>
                  <w:vAlign w:val="center"/>
                </w:tcPr>
                <w:p>
                  <w:pPr>
                    <w:pStyle w:val="26"/>
                    <w:spacing w:line="360" w:lineRule="exact"/>
                    <w:rPr>
                      <w:rFonts w:eastAsiaTheme="minorEastAsia"/>
                      <w:color w:val="auto"/>
                      <w:szCs w:val="21"/>
                    </w:rPr>
                  </w:pPr>
                  <w:r>
                    <w:rPr>
                      <w:rFonts w:eastAsiaTheme="minorEastAsia"/>
                      <w:color w:val="auto"/>
                      <w:szCs w:val="21"/>
                    </w:rPr>
                    <w:t>地表水</w:t>
                  </w:r>
                </w:p>
              </w:tc>
              <w:tc>
                <w:tcPr>
                  <w:tcW w:w="3040" w:type="dxa"/>
                  <w:vAlign w:val="center"/>
                </w:tcPr>
                <w:p>
                  <w:pPr>
                    <w:pStyle w:val="26"/>
                    <w:spacing w:line="360" w:lineRule="exact"/>
                    <w:ind w:firstLine="210" w:firstLineChars="100"/>
                    <w:jc w:val="both"/>
                    <w:rPr>
                      <w:color w:val="auto"/>
                      <w:szCs w:val="21"/>
                    </w:rPr>
                  </w:pPr>
                  <w:r>
                    <w:rPr>
                      <w:color w:val="auto"/>
                      <w:szCs w:val="21"/>
                    </w:rPr>
                    <w:t>新增工业废水直排建设项目（槽罐车外送污水处理厂的除外）；新增废水直排的污水集中处理厂。</w:t>
                  </w:r>
                </w:p>
              </w:tc>
              <w:tc>
                <w:tcPr>
                  <w:tcW w:w="3321" w:type="dxa"/>
                  <w:vAlign w:val="center"/>
                </w:tcPr>
                <w:p>
                  <w:pPr>
                    <w:pStyle w:val="26"/>
                    <w:spacing w:line="360" w:lineRule="exact"/>
                    <w:ind w:firstLine="210" w:firstLineChars="100"/>
                    <w:jc w:val="both"/>
                    <w:rPr>
                      <w:color w:val="auto"/>
                      <w:szCs w:val="21"/>
                    </w:rPr>
                  </w:pPr>
                  <w:r>
                    <w:rPr>
                      <w:color w:val="auto"/>
                      <w:szCs w:val="21"/>
                    </w:rPr>
                    <w:t>根据工程分析，项目废水包括：遗体清洗废水、生活污水、灵车清洗废水和初期雨水，项目区域未配套建设市政污水管网，不具备排水条件，因此拟配套设置、隔油池、化粪池、调节池、一体化污水处理设施和回用水池等废水处理设施对综合废水进行处理，处理达到《城市污水再生利用 城市杂用水水质》（GB/T18920-2020）城市绿化标准后，回用于项目区绿化，不外排；因此不设置地表水专项评价。</w:t>
                  </w:r>
                </w:p>
              </w:tc>
              <w:tc>
                <w:tcPr>
                  <w:tcW w:w="653" w:type="dxa"/>
                  <w:vAlign w:val="center"/>
                </w:tcPr>
                <w:p>
                  <w:pPr>
                    <w:pStyle w:val="26"/>
                    <w:spacing w:line="360" w:lineRule="exact"/>
                    <w:rPr>
                      <w:rFonts w:eastAsiaTheme="minorEastAsia"/>
                      <w:color w:val="auto"/>
                      <w:szCs w:val="21"/>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4" w:type="dxa"/>
                  <w:vAlign w:val="center"/>
                </w:tcPr>
                <w:p>
                  <w:pPr>
                    <w:pStyle w:val="26"/>
                    <w:spacing w:line="360" w:lineRule="exact"/>
                    <w:rPr>
                      <w:rFonts w:eastAsiaTheme="minorEastAsia"/>
                      <w:color w:val="auto"/>
                      <w:szCs w:val="21"/>
                    </w:rPr>
                  </w:pPr>
                  <w:r>
                    <w:rPr>
                      <w:rFonts w:eastAsiaTheme="minorEastAsia"/>
                      <w:color w:val="auto"/>
                      <w:szCs w:val="21"/>
                    </w:rPr>
                    <w:t>环境风险</w:t>
                  </w:r>
                </w:p>
              </w:tc>
              <w:tc>
                <w:tcPr>
                  <w:tcW w:w="3040" w:type="dxa"/>
                  <w:vAlign w:val="center"/>
                </w:tcPr>
                <w:p>
                  <w:pPr>
                    <w:pStyle w:val="26"/>
                    <w:spacing w:line="360" w:lineRule="exact"/>
                    <w:ind w:firstLine="210" w:firstLineChars="100"/>
                    <w:jc w:val="both"/>
                    <w:rPr>
                      <w:color w:val="auto"/>
                      <w:szCs w:val="21"/>
                    </w:rPr>
                  </w:pPr>
                  <w:r>
                    <w:rPr>
                      <w:color w:val="auto"/>
                      <w:szCs w:val="21"/>
                    </w:rPr>
                    <w:t>有毒有害和易燃易爆危险物质存储量超过临界量的建设项目。</w:t>
                  </w:r>
                </w:p>
              </w:tc>
              <w:tc>
                <w:tcPr>
                  <w:tcW w:w="3321" w:type="dxa"/>
                  <w:vAlign w:val="center"/>
                </w:tcPr>
                <w:p>
                  <w:pPr>
                    <w:pStyle w:val="26"/>
                    <w:spacing w:line="360" w:lineRule="exact"/>
                    <w:ind w:firstLine="210" w:firstLineChars="100"/>
                    <w:jc w:val="both"/>
                    <w:rPr>
                      <w:color w:val="auto"/>
                      <w:szCs w:val="21"/>
                    </w:rPr>
                  </w:pPr>
                  <w:r>
                    <w:rPr>
                      <w:color w:val="auto"/>
                      <w:szCs w:val="21"/>
                    </w:rPr>
                    <w:t>该改建项目涉及的危险物质包括暂存的次氯酸钠、废机油、一次性手套、废弃化妆棉和污水处理系统污泥，次氯酸钠最大储存量为0.15t（临界量为5t）、废机油最大储存量为0.08t（临界量为2500t），一次性手套、废弃化妆棉和污水处理系统污泥无临界量；则项目涉及危险废物未超过临界量，因此不需设置环境风险评价等级。</w:t>
                  </w:r>
                </w:p>
              </w:tc>
              <w:tc>
                <w:tcPr>
                  <w:tcW w:w="653" w:type="dxa"/>
                  <w:vAlign w:val="center"/>
                </w:tcPr>
                <w:p>
                  <w:pPr>
                    <w:pStyle w:val="26"/>
                    <w:spacing w:line="360" w:lineRule="exact"/>
                    <w:rPr>
                      <w:rFonts w:eastAsiaTheme="minorEastAsia"/>
                      <w:color w:val="auto"/>
                      <w:szCs w:val="21"/>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4" w:type="dxa"/>
                  <w:vAlign w:val="center"/>
                </w:tcPr>
                <w:p>
                  <w:pPr>
                    <w:pStyle w:val="26"/>
                    <w:spacing w:line="360" w:lineRule="exact"/>
                    <w:rPr>
                      <w:rFonts w:eastAsiaTheme="minorEastAsia"/>
                      <w:color w:val="auto"/>
                      <w:szCs w:val="21"/>
                    </w:rPr>
                  </w:pPr>
                  <w:r>
                    <w:rPr>
                      <w:rFonts w:eastAsiaTheme="minorEastAsia"/>
                      <w:color w:val="auto"/>
                      <w:szCs w:val="21"/>
                    </w:rPr>
                    <w:t>生态</w:t>
                  </w:r>
                </w:p>
              </w:tc>
              <w:tc>
                <w:tcPr>
                  <w:tcW w:w="3040" w:type="dxa"/>
                  <w:vAlign w:val="center"/>
                </w:tcPr>
                <w:p>
                  <w:pPr>
                    <w:pStyle w:val="26"/>
                    <w:spacing w:line="360" w:lineRule="exact"/>
                    <w:ind w:firstLine="210" w:firstLineChars="100"/>
                    <w:jc w:val="both"/>
                    <w:rPr>
                      <w:color w:val="auto"/>
                      <w:szCs w:val="21"/>
                    </w:rPr>
                  </w:pPr>
                  <w:r>
                    <w:rPr>
                      <w:color w:val="auto"/>
                      <w:szCs w:val="21"/>
                    </w:rPr>
                    <w:t>取水口下游500 米范围内有重要水生生物的自然产卵场、索饵场、越冬场和洄游通道的新增河道取水的污染类建设项目。</w:t>
                  </w:r>
                </w:p>
              </w:tc>
              <w:tc>
                <w:tcPr>
                  <w:tcW w:w="3321" w:type="dxa"/>
                  <w:vAlign w:val="center"/>
                </w:tcPr>
                <w:p>
                  <w:pPr>
                    <w:pStyle w:val="26"/>
                    <w:spacing w:line="360" w:lineRule="exact"/>
                    <w:ind w:firstLine="210" w:firstLineChars="100"/>
                    <w:jc w:val="both"/>
                    <w:rPr>
                      <w:color w:val="auto"/>
                      <w:sz w:val="24"/>
                      <w:szCs w:val="24"/>
                      <w:lang w:val="en-US"/>
                    </w:rPr>
                  </w:pPr>
                  <w:r>
                    <w:rPr>
                      <w:color w:val="auto"/>
                      <w:szCs w:val="21"/>
                    </w:rPr>
                    <w:t>该项目用水使用自来水，不涉及河道取水，因此不设置生态专项评价。</w:t>
                  </w:r>
                </w:p>
              </w:tc>
              <w:tc>
                <w:tcPr>
                  <w:tcW w:w="65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4" w:type="dxa"/>
                  <w:vAlign w:val="center"/>
                </w:tcPr>
                <w:p>
                  <w:pPr>
                    <w:pStyle w:val="26"/>
                    <w:spacing w:line="360" w:lineRule="exact"/>
                    <w:rPr>
                      <w:rFonts w:eastAsiaTheme="minorEastAsia"/>
                      <w:color w:val="auto"/>
                      <w:szCs w:val="21"/>
                    </w:rPr>
                  </w:pPr>
                  <w:r>
                    <w:rPr>
                      <w:rFonts w:eastAsiaTheme="minorEastAsia"/>
                      <w:color w:val="auto"/>
                      <w:szCs w:val="21"/>
                    </w:rPr>
                    <w:t>海洋</w:t>
                  </w:r>
                </w:p>
              </w:tc>
              <w:tc>
                <w:tcPr>
                  <w:tcW w:w="3040" w:type="dxa"/>
                  <w:vAlign w:val="center"/>
                </w:tcPr>
                <w:p>
                  <w:pPr>
                    <w:pStyle w:val="26"/>
                    <w:spacing w:line="360" w:lineRule="exact"/>
                    <w:ind w:firstLine="210" w:firstLineChars="100"/>
                    <w:jc w:val="both"/>
                    <w:rPr>
                      <w:color w:val="auto"/>
                      <w:szCs w:val="21"/>
                    </w:rPr>
                  </w:pPr>
                  <w:r>
                    <w:rPr>
                      <w:color w:val="auto"/>
                      <w:szCs w:val="21"/>
                    </w:rPr>
                    <w:t>直接向海排放污染物的海洋工程建设项目。</w:t>
                  </w:r>
                </w:p>
              </w:tc>
              <w:tc>
                <w:tcPr>
                  <w:tcW w:w="3321" w:type="dxa"/>
                  <w:vAlign w:val="center"/>
                </w:tcPr>
                <w:p>
                  <w:pPr>
                    <w:pStyle w:val="26"/>
                    <w:spacing w:line="360" w:lineRule="exact"/>
                    <w:ind w:firstLine="210" w:firstLineChars="100"/>
                    <w:jc w:val="both"/>
                    <w:rPr>
                      <w:color w:val="auto"/>
                      <w:szCs w:val="21"/>
                    </w:rPr>
                  </w:pPr>
                  <w:r>
                    <w:rPr>
                      <w:color w:val="auto"/>
                      <w:szCs w:val="21"/>
                    </w:rPr>
                    <w:t>该项目不涉及海洋，因此不设置海洋专项评价。</w:t>
                  </w:r>
                </w:p>
              </w:tc>
              <w:tc>
                <w:tcPr>
                  <w:tcW w:w="65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否</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综上，该项目设置大气专项评价。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规划情况</w:t>
            </w:r>
          </w:p>
        </w:tc>
        <w:tc>
          <w:tcPr>
            <w:tcW w:w="7984" w:type="dxa"/>
            <w:gridSpan w:val="3"/>
            <w:tcBorders>
              <w:left w:val="single" w:color="auto" w:sz="4" w:space="0"/>
            </w:tcBorders>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项目位于东川区碧谷街道（北郊板河口老殡仪馆原址），该区域不属于工业园区，该区域暂无相关规划。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规划环境影响评价情况</w:t>
            </w:r>
          </w:p>
        </w:tc>
        <w:tc>
          <w:tcPr>
            <w:tcW w:w="7984" w:type="dxa"/>
            <w:gridSpan w:val="3"/>
            <w:tcBorders>
              <w:left w:val="single" w:color="auto" w:sz="4" w:space="0"/>
            </w:tcBorders>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2" w:type="dxa"/>
            <w:gridSpan w:val="2"/>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规划及规划环境影响评价符合性分析</w:t>
            </w:r>
          </w:p>
        </w:tc>
        <w:tc>
          <w:tcPr>
            <w:tcW w:w="7984" w:type="dxa"/>
            <w:gridSpan w:val="3"/>
            <w:tcBorders>
              <w:left w:val="single" w:color="auto" w:sz="4" w:space="0"/>
            </w:tcBorders>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1"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其他符合性分析</w:t>
            </w:r>
          </w:p>
        </w:tc>
        <w:tc>
          <w:tcPr>
            <w:tcW w:w="8835" w:type="dxa"/>
            <w:gridSpan w:val="4"/>
            <w:vAlign w:val="center"/>
          </w:tcPr>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（1）“三线一单”符合性分析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昆明市人民政府已发布《昆明市人民政府关于昆明市“三线一单” 生态环境分区管控的实施意见》，该项目符合性分析具体如下：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①生态保护红线和一般生态空间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东川区碧谷街道（北郊板河口老殡仪馆原址），属于城市建成区域，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根据调查，该项目位于东川区碧谷街道（北郊板河口老殡仪馆原址），项目所在地属于东川区县城重点管控单元，因此项目不属于优先保护单元。</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《昆明市人民政府关于昆明市“三线一单” 生态环境分区管控的实施意见》对环境质量底线设定了2025年和2035年两个目标，该项目位于东川区碧谷街道（北郊板河口老殡仪馆原址），环境质量底线和该项目相关的要求及符合性分析如下：</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1 \* GB2 </w:instrText>
            </w:r>
            <w:r>
              <w:rPr>
                <w:rFonts w:ascii="Times New Roman" w:hAnsi="Times New Roman" w:cs="Times New Roman"/>
                <w:b/>
                <w:sz w:val="24"/>
              </w:rPr>
              <w:fldChar w:fldCharType="separate"/>
            </w:r>
            <w:r>
              <w:rPr>
                <w:rFonts w:ascii="Times New Roman" w:hAnsi="Times New Roman" w:cs="Times New Roman"/>
                <w:b/>
                <w:sz w:val="24"/>
              </w:rPr>
              <w:t>⑴</w:t>
            </w:r>
            <w:r>
              <w:rPr>
                <w:rFonts w:ascii="Times New Roman" w:hAnsi="Times New Roman" w:cs="Times New Roman"/>
                <w:b/>
                <w:sz w:val="24"/>
              </w:rPr>
              <w:fldChar w:fldCharType="end"/>
            </w:r>
            <w:r>
              <w:rPr>
                <w:rFonts w:ascii="Times New Roman" w:hAnsi="Times New Roman" w:cs="Times New Roman"/>
                <w:b/>
                <w:sz w:val="24"/>
              </w:rPr>
              <w:t>生态环境质量底线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2 \* GB2 </w:instrText>
            </w:r>
            <w:r>
              <w:rPr>
                <w:rFonts w:ascii="Times New Roman" w:hAnsi="Times New Roman" w:cs="Times New Roman"/>
                <w:b/>
                <w:sz w:val="24"/>
              </w:rPr>
              <w:fldChar w:fldCharType="separate"/>
            </w:r>
            <w:r>
              <w:rPr>
                <w:rFonts w:ascii="Times New Roman" w:hAnsi="Times New Roman" w:cs="Times New Roman"/>
                <w:b/>
                <w:sz w:val="24"/>
              </w:rPr>
              <w:t>⑵</w:t>
            </w:r>
            <w:r>
              <w:rPr>
                <w:rFonts w:ascii="Times New Roman" w:hAnsi="Times New Roman" w:cs="Times New Roman"/>
                <w:b/>
                <w:sz w:val="24"/>
              </w:rPr>
              <w:fldChar w:fldCharType="end"/>
            </w:r>
            <w:r>
              <w:rPr>
                <w:rFonts w:ascii="Times New Roman" w:hAnsi="Times New Roman" w:cs="Times New Roman"/>
                <w:b/>
                <w:sz w:val="24"/>
              </w:rPr>
              <w:t>环境空气环境质量底线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“实施意见”要求：到2025年，全市环境空气质量总体保持优良，主城建成区空气质量优良天数占比达99%以上，二氧化硫（SO</w:t>
            </w:r>
            <w:r>
              <w:rPr>
                <w:rFonts w:ascii="Times New Roman" w:hAnsi="Times New Roman" w:cs="Times New Roman"/>
                <w:sz w:val="24"/>
                <w:vertAlign w:val="subscript"/>
              </w:rPr>
              <w:t>2</w:t>
            </w:r>
            <w:r>
              <w:rPr>
                <w:rFonts w:ascii="Times New Roman" w:hAnsi="Times New Roman" w:cs="Times New Roman"/>
                <w:sz w:val="24"/>
              </w:rPr>
              <w:t>）和氮氧化物（NOx）排放总量控制在省下达的目标以内，主城区空气中颗粒物（PM</w:t>
            </w:r>
            <w:r>
              <w:rPr>
                <w:rFonts w:ascii="Times New Roman" w:hAnsi="Times New Roman" w:cs="Times New Roman"/>
                <w:sz w:val="24"/>
                <w:vertAlign w:val="subscript"/>
              </w:rPr>
              <w:t>10</w:t>
            </w:r>
            <w:r>
              <w:rPr>
                <w:rFonts w:ascii="Times New Roman" w:hAnsi="Times New Roman" w:cs="Times New Roman"/>
                <w:sz w:val="24"/>
              </w:rPr>
              <w:t>、PM</w:t>
            </w:r>
            <w:r>
              <w:rPr>
                <w:rFonts w:ascii="Times New Roman" w:hAnsi="Times New Roman" w:cs="Times New Roman"/>
                <w:sz w:val="24"/>
                <w:vertAlign w:val="subscript"/>
              </w:rPr>
              <w:t>2.5</w:t>
            </w:r>
            <w:r>
              <w:rPr>
                <w:rFonts w:ascii="Times New Roman" w:hAnsi="Times New Roman" w:cs="Times New Roman"/>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根据调查，现目选址区域空气环境可达到《环境空气质量标准》（GB3095-2012）二级标准，属于空气达标区，且该项目的建设不会改变区域环境空气质量功能要求。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3 \* GB2 </w:instrText>
            </w:r>
            <w:r>
              <w:rPr>
                <w:rFonts w:ascii="Times New Roman" w:hAnsi="Times New Roman" w:cs="Times New Roman"/>
                <w:b/>
                <w:sz w:val="24"/>
              </w:rPr>
              <w:fldChar w:fldCharType="separate"/>
            </w:r>
            <w:r>
              <w:rPr>
                <w:rFonts w:ascii="Times New Roman" w:hAnsi="Times New Roman" w:cs="Times New Roman"/>
                <w:b/>
                <w:sz w:val="24"/>
              </w:rPr>
              <w:t>⑶</w:t>
            </w:r>
            <w:r>
              <w:rPr>
                <w:rFonts w:ascii="Times New Roman" w:hAnsi="Times New Roman" w:cs="Times New Roman"/>
                <w:b/>
                <w:sz w:val="24"/>
              </w:rPr>
              <w:fldChar w:fldCharType="end"/>
            </w:r>
            <w:r>
              <w:rPr>
                <w:rFonts w:ascii="Times New Roman" w:hAnsi="Times New Roman" w:cs="Times New Roman"/>
                <w:b/>
                <w:sz w:val="24"/>
              </w:rPr>
              <w:t>地表水环境质量底线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sz w:val="24"/>
              </w:rPr>
              <w:t>Ⅳ</w:t>
            </w:r>
            <w:r>
              <w:rPr>
                <w:rFonts w:ascii="Times New Roman" w:hAnsi="Times New Roman" w:cs="Times New Roman"/>
                <w:sz w:val="24"/>
              </w:rPr>
              <w:t>类，滇池外海水质达</w:t>
            </w:r>
            <w:r>
              <w:rPr>
                <w:rFonts w:ascii="Times New Roman" w:cs="Times New Roman" w:hAnsiTheme="minorEastAsia"/>
                <w:sz w:val="24"/>
              </w:rPr>
              <w:t>Ⅳ</w:t>
            </w:r>
            <w:r>
              <w:rPr>
                <w:rFonts w:ascii="Times New Roman" w:hAnsi="Times New Roman" w:cs="Times New Roman"/>
                <w:sz w:val="24"/>
              </w:rPr>
              <w:t>类（化学需氧量≤40毫克/升），阳宗海水质达</w:t>
            </w:r>
            <w:r>
              <w:rPr>
                <w:rFonts w:ascii="Times New Roman" w:cs="Times New Roman" w:hAnsiTheme="minorEastAsia"/>
                <w:sz w:val="24"/>
              </w:rPr>
              <w:t>Ⅲ</w:t>
            </w:r>
            <w:r>
              <w:rPr>
                <w:rFonts w:ascii="Times New Roman" w:hAnsi="Times New Roman" w:cs="Times New Roman"/>
                <w:sz w:val="24"/>
              </w:rPr>
              <w:t>类，集中式饮用水源水质巩固改善。到2035年，地表水体水质优良率全面提升，各监测断面水质达到水环境功能要求，消除劣V类水体，集中式饮用水水源水质稳定达标。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根据调查，该项目地表水体小江板河口断面水质可达到《地表水环境质量标准》（GB3838-2002）III类标准；项目区综合废水经调节池、一体化污水处理设施和回用水池等废水处理设施处理达到《城市污水再生利用 城市杂用水水质》（GB/T18920-2020）城市绿化标准后，回用于项目区绿化，不外排；不会改变区域地表水环境质量功能要求。</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4 \* GB2 </w:instrText>
            </w:r>
            <w:r>
              <w:rPr>
                <w:rFonts w:ascii="Times New Roman" w:hAnsi="Times New Roman" w:cs="Times New Roman"/>
                <w:b/>
                <w:sz w:val="24"/>
              </w:rPr>
              <w:fldChar w:fldCharType="separate"/>
            </w:r>
            <w:r>
              <w:rPr>
                <w:rFonts w:ascii="Times New Roman" w:hAnsi="Times New Roman" w:cs="Times New Roman"/>
                <w:b/>
                <w:sz w:val="24"/>
              </w:rPr>
              <w:t>⑷</w:t>
            </w:r>
            <w:r>
              <w:rPr>
                <w:rFonts w:ascii="Times New Roman" w:hAnsi="Times New Roman" w:cs="Times New Roman"/>
                <w:b/>
                <w:sz w:val="24"/>
              </w:rPr>
              <w:fldChar w:fldCharType="end"/>
            </w:r>
            <w:r>
              <w:rPr>
                <w:rFonts w:ascii="Times New Roman" w:hAnsi="Times New Roman" w:cs="Times New Roman"/>
                <w:b/>
                <w:sz w:val="24"/>
              </w:rPr>
              <w:t>土壤环境质量底线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该项目属于殡仪馆建设项目，只要严格执行相应的土壤环境保护措施，项目建设不会改变区域土壤环境质量功能要求。</w:t>
            </w:r>
          </w:p>
          <w:p>
            <w:pPr>
              <w:spacing w:line="360" w:lineRule="auto"/>
              <w:ind w:firstLine="482" w:firstLineChars="200"/>
              <w:rPr>
                <w:rFonts w:ascii="Times New Roman" w:hAnsi="Times New Roman" w:cs="Times New Roman"/>
                <w:b/>
                <w:sz w:val="24"/>
              </w:rPr>
            </w:pPr>
            <w:r>
              <w:rPr>
                <w:rFonts w:ascii="Times New Roman" w:cs="Times New Roman" w:hAnsiTheme="minorEastAsia"/>
                <w:b/>
                <w:sz w:val="24"/>
                <w:szCs w:val="24"/>
              </w:rPr>
              <w:t>③</w:t>
            </w:r>
            <w:r>
              <w:rPr>
                <w:rFonts w:ascii="Times New Roman" w:hAnsi="Times New Roman" w:cs="Times New Roman"/>
                <w:b/>
                <w:sz w:val="24"/>
                <w:szCs w:val="24"/>
              </w:rPr>
              <w:t>资源利用上线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根据调查，项目用水量为15.21m³/d（3493.2m³/a），用水量较全市工业用水量占比极小；该项目在老殡仪馆原址进行建设，不新增用地；因此项目资源利用符合国家相关要求。</w:t>
            </w:r>
          </w:p>
          <w:p>
            <w:pPr>
              <w:spacing w:line="360" w:lineRule="auto"/>
              <w:ind w:firstLine="482" w:firstLineChars="200"/>
              <w:rPr>
                <w:rFonts w:ascii="Times New Roman" w:hAnsi="Times New Roman" w:cs="Times New Roman"/>
                <w:b/>
                <w:sz w:val="24"/>
                <w:szCs w:val="24"/>
              </w:rPr>
            </w:pPr>
            <w:r>
              <w:rPr>
                <w:rFonts w:cs="Times New Roman" w:asciiTheme="minorEastAsia" w:hAnsiTheme="minorEastAsia"/>
                <w:b/>
                <w:sz w:val="24"/>
                <w:szCs w:val="24"/>
              </w:rPr>
              <w:t>④</w:t>
            </w:r>
            <w:r>
              <w:rPr>
                <w:rFonts w:ascii="Times New Roman" w:hAnsi="Times New Roman" w:cs="Times New Roman"/>
                <w:b/>
                <w:sz w:val="24"/>
              </w:rPr>
              <w:t>环境准入负面清单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调查，该项目位于东川区碧谷街道（北郊板河口老殡仪馆原址），项目所在地属于东川区县城重点管控单元，根据东川区环境管控单元生态环境准入清单的管理要求，该项目环境准入负面清单符合性具体下表所示。</w:t>
            </w:r>
          </w:p>
          <w:p>
            <w:pPr>
              <w:spacing w:line="360" w:lineRule="auto"/>
              <w:ind w:firstLine="480" w:firstLineChars="200"/>
              <w:rPr>
                <w:rFonts w:ascii="Times New Roman" w:hAnsi="Times New Roman" w:cs="Times New Roman"/>
                <w:sz w:val="24"/>
              </w:rPr>
            </w:pP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表1-1 与东川区环境管控单元生态环境准入清单符合性分析一览表</w:t>
            </w:r>
          </w:p>
          <w:tbl>
            <w:tblPr>
              <w:tblStyle w:val="17"/>
              <w:tblW w:w="86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7"/>
              <w:gridCol w:w="625"/>
              <w:gridCol w:w="3329"/>
              <w:gridCol w:w="3226"/>
              <w:gridCol w:w="7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7" w:type="dxa"/>
                  <w:vAlign w:val="center"/>
                </w:tcPr>
                <w:p>
                  <w:pPr>
                    <w:pStyle w:val="26"/>
                    <w:spacing w:line="360" w:lineRule="exact"/>
                    <w:rPr>
                      <w:rFonts w:eastAsiaTheme="minorEastAsia"/>
                      <w:color w:val="auto"/>
                      <w:szCs w:val="21"/>
                    </w:rPr>
                  </w:pPr>
                  <w:r>
                    <w:rPr>
                      <w:rFonts w:eastAsiaTheme="minorEastAsia"/>
                      <w:color w:val="auto"/>
                      <w:szCs w:val="21"/>
                    </w:rPr>
                    <w:t>单元名称</w:t>
                  </w:r>
                </w:p>
              </w:tc>
              <w:tc>
                <w:tcPr>
                  <w:tcW w:w="3954" w:type="dxa"/>
                  <w:gridSpan w:val="2"/>
                  <w:vAlign w:val="center"/>
                </w:tcPr>
                <w:p>
                  <w:pPr>
                    <w:pStyle w:val="26"/>
                    <w:spacing w:line="360" w:lineRule="exact"/>
                    <w:rPr>
                      <w:rFonts w:eastAsiaTheme="minorEastAsia"/>
                      <w:color w:val="auto"/>
                      <w:szCs w:val="21"/>
                    </w:rPr>
                  </w:pPr>
                  <w:r>
                    <w:rPr>
                      <w:rFonts w:eastAsiaTheme="minorEastAsia"/>
                      <w:color w:val="auto"/>
                      <w:szCs w:val="21"/>
                    </w:rPr>
                    <w:t>管控要求</w:t>
                  </w:r>
                </w:p>
              </w:tc>
              <w:tc>
                <w:tcPr>
                  <w:tcW w:w="3226" w:type="dxa"/>
                  <w:vAlign w:val="center"/>
                </w:tcPr>
                <w:p>
                  <w:pPr>
                    <w:pStyle w:val="26"/>
                    <w:spacing w:line="360" w:lineRule="exact"/>
                    <w:rPr>
                      <w:rFonts w:eastAsiaTheme="minorEastAsia"/>
                      <w:color w:val="auto"/>
                      <w:szCs w:val="21"/>
                    </w:rPr>
                  </w:pPr>
                  <w:r>
                    <w:rPr>
                      <w:rFonts w:eastAsiaTheme="minorEastAsia"/>
                      <w:color w:val="auto"/>
                      <w:szCs w:val="21"/>
                    </w:rPr>
                    <w:t>项目实际情况</w:t>
                  </w:r>
                </w:p>
              </w:tc>
              <w:tc>
                <w:tcPr>
                  <w:tcW w:w="712" w:type="dxa"/>
                  <w:vAlign w:val="center"/>
                </w:tcPr>
                <w:p>
                  <w:pPr>
                    <w:pStyle w:val="26"/>
                    <w:spacing w:line="360" w:lineRule="exact"/>
                    <w:rPr>
                      <w:rFonts w:eastAsiaTheme="minorEastAsia"/>
                      <w:color w:val="auto"/>
                      <w:szCs w:val="21"/>
                    </w:rPr>
                  </w:pPr>
                  <w:r>
                    <w:rPr>
                      <w:rFonts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7" w:type="dxa"/>
                  <w:vMerge w:val="restart"/>
                  <w:vAlign w:val="center"/>
                </w:tcPr>
                <w:p>
                  <w:pPr>
                    <w:pStyle w:val="26"/>
                    <w:spacing w:line="360" w:lineRule="exact"/>
                    <w:rPr>
                      <w:rFonts w:eastAsiaTheme="minorEastAsia"/>
                      <w:color w:val="auto"/>
                      <w:szCs w:val="21"/>
                    </w:rPr>
                  </w:pPr>
                  <w:r>
                    <w:rPr>
                      <w:rFonts w:eastAsiaTheme="minorEastAsia"/>
                      <w:color w:val="auto"/>
                      <w:szCs w:val="21"/>
                    </w:rPr>
                    <w:t>东川区县城重点管控单元</w:t>
                  </w:r>
                </w:p>
              </w:tc>
              <w:tc>
                <w:tcPr>
                  <w:tcW w:w="625" w:type="dxa"/>
                  <w:vAlign w:val="center"/>
                </w:tcPr>
                <w:p>
                  <w:pPr>
                    <w:pStyle w:val="26"/>
                    <w:spacing w:line="360" w:lineRule="exact"/>
                    <w:rPr>
                      <w:rFonts w:eastAsiaTheme="minorEastAsia"/>
                      <w:color w:val="auto"/>
                      <w:szCs w:val="21"/>
                    </w:rPr>
                  </w:pPr>
                  <w:r>
                    <w:rPr>
                      <w:rFonts w:eastAsiaTheme="minorEastAsia"/>
                      <w:color w:val="auto"/>
                    </w:rPr>
                    <w:t>污染物排放管控</w:t>
                  </w:r>
                </w:p>
              </w:tc>
              <w:tc>
                <w:tcPr>
                  <w:tcW w:w="3329" w:type="dxa"/>
                  <w:vAlign w:val="center"/>
                </w:tcPr>
                <w:p>
                  <w:pPr>
                    <w:pStyle w:val="26"/>
                    <w:spacing w:line="360" w:lineRule="exact"/>
                    <w:ind w:firstLine="210" w:firstLineChars="100"/>
                    <w:jc w:val="both"/>
                    <w:rPr>
                      <w:color w:val="auto"/>
                    </w:rPr>
                  </w:pPr>
                  <w:r>
                    <w:rPr>
                      <w:color w:val="auto"/>
                    </w:rPr>
                    <w:t>1.限制新建、改扩建各类畜禽养殖场，已建的应配套建设粪便污水贮存、处理、利用设施实现粪污综合利用。</w:t>
                  </w:r>
                </w:p>
                <w:p>
                  <w:pPr>
                    <w:pStyle w:val="26"/>
                    <w:spacing w:line="360" w:lineRule="exact"/>
                    <w:ind w:firstLine="210" w:firstLineChars="100"/>
                    <w:jc w:val="both"/>
                    <w:rPr>
                      <w:color w:val="auto"/>
                    </w:rPr>
                  </w:pPr>
                  <w:r>
                    <w:rPr>
                      <w:color w:val="auto"/>
                    </w:rPr>
                    <w:t>2.现有散、小规模养殖场（户）应限期实现退养或标准化改造。</w:t>
                  </w:r>
                </w:p>
                <w:p>
                  <w:pPr>
                    <w:pStyle w:val="26"/>
                    <w:spacing w:line="360" w:lineRule="exact"/>
                    <w:ind w:firstLine="210" w:firstLineChars="100"/>
                    <w:jc w:val="both"/>
                    <w:rPr>
                      <w:color w:val="auto"/>
                    </w:rPr>
                  </w:pPr>
                  <w:r>
                    <w:rPr>
                      <w:color w:val="auto"/>
                    </w:rPr>
                    <w:t>3.污水收集管网范围内除相关法律法规和标准规定必须单独设置排污口的情况外应全部纳入污水管网集中处理，现有的入河排污口应限期纳入污水管网。</w:t>
                  </w:r>
                </w:p>
                <w:p>
                  <w:pPr>
                    <w:pStyle w:val="26"/>
                    <w:spacing w:line="360" w:lineRule="exact"/>
                    <w:ind w:firstLine="210" w:firstLineChars="100"/>
                    <w:jc w:val="both"/>
                    <w:rPr>
                      <w:color w:val="auto"/>
                    </w:rPr>
                  </w:pPr>
                  <w:r>
                    <w:rPr>
                      <w:color w:val="auto"/>
                    </w:rPr>
                    <w:t>4.城镇生活污水集中处理率达到80%以上，生活污水处理达标率达到100%。</w:t>
                  </w:r>
                </w:p>
                <w:p>
                  <w:pPr>
                    <w:pStyle w:val="26"/>
                    <w:spacing w:line="360" w:lineRule="exact"/>
                    <w:ind w:firstLine="210" w:firstLineChars="100"/>
                    <w:jc w:val="both"/>
                    <w:rPr>
                      <w:color w:val="auto"/>
                    </w:rPr>
                  </w:pPr>
                  <w:r>
                    <w:rPr>
                      <w:color w:val="auto"/>
                    </w:rPr>
                    <w:t>5.按国家、省、市相关标准要求建设、改造、提升满足实际需求的生活垃圾处理厂（场）、粪便处理厂、厨余垃圾处理厂、建筑垃圾（渣土）处理场、垃圾转运站、公共厕所、生活垃圾分类设施等环卫基础设施。</w:t>
                  </w:r>
                </w:p>
              </w:tc>
              <w:tc>
                <w:tcPr>
                  <w:tcW w:w="3226" w:type="dxa"/>
                  <w:vAlign w:val="center"/>
                </w:tcPr>
                <w:p>
                  <w:pPr>
                    <w:pStyle w:val="26"/>
                    <w:spacing w:line="360" w:lineRule="exact"/>
                    <w:ind w:firstLine="210" w:firstLineChars="100"/>
                    <w:jc w:val="both"/>
                    <w:rPr>
                      <w:color w:val="auto"/>
                    </w:rPr>
                  </w:pPr>
                  <w:r>
                    <w:rPr>
                      <w:color w:val="auto"/>
                    </w:rPr>
                    <w:t>1、该项目为殡仪馆项目，不属于畜禽养殖场类项目。</w:t>
                  </w:r>
                </w:p>
                <w:p>
                  <w:pPr>
                    <w:pStyle w:val="26"/>
                    <w:spacing w:line="360" w:lineRule="exact"/>
                    <w:ind w:firstLine="210" w:firstLineChars="100"/>
                    <w:jc w:val="both"/>
                    <w:rPr>
                      <w:color w:val="auto"/>
                    </w:rPr>
                  </w:pPr>
                  <w:r>
                    <w:rPr>
                      <w:color w:val="auto"/>
                    </w:rPr>
                    <w:t>2、项目运行期间产生的综合废水经调节池、一体化污水处理设施和回用水池等废水处理设施处理达到《城市污水再生利用 城市杂用水水质》（GB/T18920-2020）城市绿化标准后，回用于项目区绿化，不外排。</w:t>
                  </w:r>
                </w:p>
              </w:tc>
              <w:tc>
                <w:tcPr>
                  <w:tcW w:w="712" w:type="dxa"/>
                  <w:vAlign w:val="center"/>
                </w:tcPr>
                <w:p>
                  <w:pPr>
                    <w:pStyle w:val="26"/>
                    <w:spacing w:line="360" w:lineRule="exact"/>
                    <w:rPr>
                      <w:rFonts w:eastAsiaTheme="minorEastAsia"/>
                      <w:color w:val="auto"/>
                      <w:szCs w:val="21"/>
                    </w:rPr>
                  </w:pPr>
                  <w:r>
                    <w:rPr>
                      <w:rFonts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7" w:type="dxa"/>
                  <w:vMerge w:val="continue"/>
                  <w:vAlign w:val="center"/>
                </w:tcPr>
                <w:p>
                  <w:pPr>
                    <w:pStyle w:val="26"/>
                    <w:spacing w:line="360" w:lineRule="exact"/>
                    <w:rPr>
                      <w:rFonts w:eastAsiaTheme="minorEastAsia"/>
                      <w:color w:val="auto"/>
                      <w:szCs w:val="21"/>
                    </w:rPr>
                  </w:pPr>
                </w:p>
              </w:tc>
              <w:tc>
                <w:tcPr>
                  <w:tcW w:w="625" w:type="dxa"/>
                  <w:vAlign w:val="center"/>
                </w:tcPr>
                <w:p>
                  <w:pPr>
                    <w:pStyle w:val="26"/>
                    <w:spacing w:line="360" w:lineRule="exact"/>
                    <w:rPr>
                      <w:rFonts w:eastAsiaTheme="minorEastAsia"/>
                      <w:color w:val="auto"/>
                    </w:rPr>
                  </w:pPr>
                  <w:r>
                    <w:rPr>
                      <w:rFonts w:eastAsiaTheme="minorEastAsia"/>
                      <w:color w:val="auto"/>
                    </w:rPr>
                    <w:t>环境风险防控</w:t>
                  </w:r>
                </w:p>
              </w:tc>
              <w:tc>
                <w:tcPr>
                  <w:tcW w:w="3329" w:type="dxa"/>
                  <w:vAlign w:val="center"/>
                </w:tcPr>
                <w:p>
                  <w:pPr>
                    <w:pStyle w:val="26"/>
                    <w:spacing w:line="360" w:lineRule="exact"/>
                    <w:ind w:firstLine="210" w:firstLineChars="100"/>
                    <w:jc w:val="both"/>
                    <w:rPr>
                      <w:color w:val="auto"/>
                    </w:rPr>
                  </w:pPr>
                  <w:r>
                    <w:rPr>
                      <w:color w:val="auto"/>
                    </w:rPr>
                    <w:t>禁止在居民区、学校、医疗和养老机构等周边新建有色金属冶炼、焦化等行业企业。</w:t>
                  </w:r>
                </w:p>
              </w:tc>
              <w:tc>
                <w:tcPr>
                  <w:tcW w:w="3226" w:type="dxa"/>
                  <w:vAlign w:val="center"/>
                </w:tcPr>
                <w:p>
                  <w:pPr>
                    <w:pStyle w:val="26"/>
                    <w:spacing w:line="360" w:lineRule="exact"/>
                    <w:ind w:firstLine="210" w:firstLineChars="100"/>
                    <w:jc w:val="both"/>
                    <w:rPr>
                      <w:color w:val="auto"/>
                    </w:rPr>
                  </w:pPr>
                  <w:r>
                    <w:rPr>
                      <w:color w:val="auto"/>
                    </w:rPr>
                    <w:t>该项目为殡仪馆项目，不属于有色金属冶炼、焦化等行业企业。</w:t>
                  </w:r>
                </w:p>
              </w:tc>
              <w:tc>
                <w:tcPr>
                  <w:tcW w:w="712" w:type="dxa"/>
                  <w:vAlign w:val="center"/>
                </w:tcPr>
                <w:p>
                  <w:pPr>
                    <w:pStyle w:val="26"/>
                    <w:spacing w:line="360" w:lineRule="exact"/>
                    <w:rPr>
                      <w:rFonts w:eastAsiaTheme="minorEastAsia"/>
                      <w:color w:val="auto"/>
                      <w:szCs w:val="21"/>
                    </w:rPr>
                  </w:pPr>
                  <w:r>
                    <w:rPr>
                      <w:rFonts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7" w:type="dxa"/>
                  <w:vMerge w:val="continue"/>
                  <w:vAlign w:val="center"/>
                </w:tcPr>
                <w:p>
                  <w:pPr>
                    <w:pStyle w:val="26"/>
                    <w:spacing w:line="360" w:lineRule="exact"/>
                    <w:rPr>
                      <w:rFonts w:eastAsiaTheme="minorEastAsia"/>
                      <w:color w:val="auto"/>
                      <w:szCs w:val="21"/>
                    </w:rPr>
                  </w:pPr>
                </w:p>
              </w:tc>
              <w:tc>
                <w:tcPr>
                  <w:tcW w:w="625" w:type="dxa"/>
                  <w:vAlign w:val="center"/>
                </w:tcPr>
                <w:p>
                  <w:pPr>
                    <w:pStyle w:val="26"/>
                    <w:spacing w:line="360" w:lineRule="exact"/>
                    <w:rPr>
                      <w:rFonts w:eastAsiaTheme="minorEastAsia"/>
                      <w:color w:val="auto"/>
                    </w:rPr>
                  </w:pPr>
                  <w:r>
                    <w:rPr>
                      <w:rFonts w:eastAsiaTheme="minorEastAsia"/>
                      <w:color w:val="auto"/>
                    </w:rPr>
                    <w:t>资源开发效率要求</w:t>
                  </w:r>
                </w:p>
              </w:tc>
              <w:tc>
                <w:tcPr>
                  <w:tcW w:w="3329" w:type="dxa"/>
                  <w:vAlign w:val="center"/>
                </w:tcPr>
                <w:p>
                  <w:pPr>
                    <w:pStyle w:val="26"/>
                    <w:spacing w:line="360" w:lineRule="exact"/>
                    <w:ind w:firstLine="210" w:firstLineChars="100"/>
                    <w:jc w:val="both"/>
                    <w:rPr>
                      <w:color w:val="auto"/>
                    </w:rPr>
                  </w:pPr>
                  <w:r>
                    <w:rPr>
                      <w:color w:val="auto"/>
                    </w:rPr>
                    <w:t>1.按照《城市新区设立审核办法》，严格审核城市新区规划建设用地规模和布局。</w:t>
                  </w:r>
                </w:p>
                <w:p>
                  <w:pPr>
                    <w:pStyle w:val="26"/>
                    <w:spacing w:line="360" w:lineRule="exact"/>
                    <w:ind w:firstLine="210" w:firstLineChars="100"/>
                    <w:jc w:val="both"/>
                    <w:rPr>
                      <w:color w:val="auto"/>
                    </w:rPr>
                  </w:pPr>
                  <w:r>
                    <w:rPr>
                      <w:color w:val="auto"/>
                    </w:rPr>
                    <w:t>2.禁止建设不符合《云南省用水定额》标准的项目。</w:t>
                  </w:r>
                </w:p>
                <w:p>
                  <w:pPr>
                    <w:pStyle w:val="26"/>
                    <w:spacing w:line="360" w:lineRule="exact"/>
                    <w:ind w:firstLine="210" w:firstLineChars="100"/>
                    <w:jc w:val="both"/>
                    <w:rPr>
                      <w:color w:val="auto"/>
                    </w:rPr>
                  </w:pPr>
                  <w:r>
                    <w:rPr>
                      <w:color w:val="auto"/>
                    </w:rPr>
                    <w:t>3.城市污水再生利用率达到20%以上。</w:t>
                  </w:r>
                </w:p>
              </w:tc>
              <w:tc>
                <w:tcPr>
                  <w:tcW w:w="3226" w:type="dxa"/>
                  <w:vAlign w:val="center"/>
                </w:tcPr>
                <w:p>
                  <w:pPr>
                    <w:pStyle w:val="26"/>
                    <w:spacing w:line="360" w:lineRule="exact"/>
                    <w:ind w:firstLine="210" w:firstLineChars="100"/>
                    <w:jc w:val="both"/>
                    <w:rPr>
                      <w:color w:val="auto"/>
                    </w:rPr>
                  </w:pPr>
                  <w:r>
                    <w:rPr>
                      <w:color w:val="auto"/>
                    </w:rPr>
                    <w:t>1、该项目与城市新区规划无关。</w:t>
                  </w:r>
                </w:p>
                <w:p>
                  <w:pPr>
                    <w:pStyle w:val="26"/>
                    <w:spacing w:line="360" w:lineRule="exact"/>
                    <w:ind w:firstLine="210" w:firstLineChars="100"/>
                    <w:jc w:val="both"/>
                    <w:rPr>
                      <w:color w:val="auto"/>
                    </w:rPr>
                  </w:pPr>
                  <w:r>
                    <w:rPr>
                      <w:color w:val="auto"/>
                    </w:rPr>
                    <w:t>2、该项目为殡仪馆项目，项目符合《云南省用水定额》标准。</w:t>
                  </w:r>
                </w:p>
                <w:p>
                  <w:pPr>
                    <w:pStyle w:val="26"/>
                    <w:spacing w:line="360" w:lineRule="exact"/>
                    <w:ind w:firstLine="210" w:firstLineChars="100"/>
                    <w:jc w:val="both"/>
                    <w:rPr>
                      <w:color w:val="auto"/>
                    </w:rPr>
                  </w:pPr>
                  <w:r>
                    <w:rPr>
                      <w:color w:val="auto"/>
                    </w:rPr>
                    <w:t>3、根据调查，项目产生的综合废水经处理后完全回用，不外排。</w:t>
                  </w:r>
                </w:p>
              </w:tc>
              <w:tc>
                <w:tcPr>
                  <w:tcW w:w="712" w:type="dxa"/>
                  <w:vAlign w:val="center"/>
                </w:tcPr>
                <w:p>
                  <w:pPr>
                    <w:pStyle w:val="26"/>
                    <w:spacing w:line="360" w:lineRule="exact"/>
                    <w:rPr>
                      <w:rFonts w:eastAsiaTheme="minorEastAsia"/>
                      <w:color w:val="auto"/>
                      <w:szCs w:val="21"/>
                    </w:rPr>
                  </w:pPr>
                  <w:r>
                    <w:rPr>
                      <w:rFonts w:eastAsiaTheme="minorEastAsia"/>
                      <w:color w:val="auto"/>
                      <w:szCs w:val="21"/>
                    </w:rPr>
                    <w:t>符合</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由上表可知，项目建设满足东川区环境管控单元生态环境准入清单的相关要求。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综上分析，项目建设符合“三线一单”要求。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（2）与《中华人民共和国长江保护法》</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rPr>
            </w:pPr>
            <w:r>
              <w:rPr>
                <w:rFonts w:ascii="Times New Roman" w:hAnsi="Times New Roman" w:cs="Times New Roman"/>
                <w:b/>
              </w:rPr>
              <w:t>表1-2 与《中华人民共和国长江保护法》符合性分析一览表</w:t>
            </w:r>
          </w:p>
          <w:tbl>
            <w:tblPr>
              <w:tblStyle w:val="17"/>
              <w:tblW w:w="86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2"/>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6"/>
                    <w:spacing w:line="360" w:lineRule="exact"/>
                    <w:rPr>
                      <w:color w:val="auto"/>
                      <w:kern w:val="0"/>
                      <w:szCs w:val="21"/>
                    </w:rPr>
                  </w:pPr>
                  <w:r>
                    <w:rPr>
                      <w:color w:val="auto"/>
                      <w:kern w:val="0"/>
                      <w:szCs w:val="21"/>
                    </w:rPr>
                    <w:t>序号</w:t>
                  </w:r>
                </w:p>
              </w:tc>
              <w:tc>
                <w:tcPr>
                  <w:tcW w:w="3022" w:type="dxa"/>
                  <w:vAlign w:val="center"/>
                </w:tcPr>
                <w:p>
                  <w:pPr>
                    <w:pStyle w:val="26"/>
                    <w:spacing w:line="360" w:lineRule="exact"/>
                    <w:rPr>
                      <w:color w:val="auto"/>
                      <w:kern w:val="0"/>
                      <w:szCs w:val="21"/>
                    </w:rPr>
                  </w:pPr>
                  <w:r>
                    <w:rPr>
                      <w:color w:val="auto"/>
                      <w:kern w:val="0"/>
                      <w:szCs w:val="21"/>
                    </w:rPr>
                    <w:t>中华人民共和国长江保护法要求</w:t>
                  </w:r>
                </w:p>
              </w:tc>
              <w:tc>
                <w:tcPr>
                  <w:tcW w:w="4308" w:type="dxa"/>
                  <w:vAlign w:val="center"/>
                </w:tcPr>
                <w:p>
                  <w:pPr>
                    <w:pStyle w:val="26"/>
                    <w:spacing w:line="360" w:lineRule="exact"/>
                    <w:rPr>
                      <w:color w:val="auto"/>
                      <w:kern w:val="0"/>
                      <w:szCs w:val="21"/>
                    </w:rPr>
                  </w:pPr>
                  <w:r>
                    <w:rPr>
                      <w:color w:val="auto"/>
                      <w:kern w:val="0"/>
                      <w:szCs w:val="21"/>
                    </w:rPr>
                    <w:t>该项目实际情况</w:t>
                  </w:r>
                </w:p>
              </w:tc>
              <w:tc>
                <w:tcPr>
                  <w:tcW w:w="748" w:type="dxa"/>
                  <w:vAlign w:val="center"/>
                </w:tcPr>
                <w:p>
                  <w:pPr>
                    <w:pStyle w:val="26"/>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6"/>
                    <w:spacing w:line="360" w:lineRule="exact"/>
                    <w:rPr>
                      <w:color w:val="auto"/>
                      <w:kern w:val="0"/>
                      <w:szCs w:val="21"/>
                    </w:rPr>
                  </w:pPr>
                  <w:r>
                    <w:rPr>
                      <w:color w:val="auto"/>
                      <w:kern w:val="0"/>
                      <w:szCs w:val="21"/>
                    </w:rPr>
                    <w:t>1</w:t>
                  </w:r>
                </w:p>
              </w:tc>
              <w:tc>
                <w:tcPr>
                  <w:tcW w:w="3022" w:type="dxa"/>
                  <w:vAlign w:val="center"/>
                </w:tcPr>
                <w:p>
                  <w:pPr>
                    <w:pStyle w:val="26"/>
                    <w:spacing w:line="360" w:lineRule="exact"/>
                    <w:ind w:firstLine="210" w:firstLineChars="100"/>
                    <w:jc w:val="both"/>
                    <w:rPr>
                      <w:color w:val="auto"/>
                      <w:kern w:val="0"/>
                      <w:szCs w:val="21"/>
                    </w:rPr>
                  </w:pPr>
                  <w:r>
                    <w:rPr>
                      <w:color w:val="auto"/>
                      <w:kern w:val="0"/>
                      <w:szCs w:val="21"/>
                    </w:rPr>
                    <w:t>禁止在长江干支流岸线一公里范围内新建、扩建化工园区和化工项目。</w:t>
                  </w:r>
                </w:p>
              </w:tc>
              <w:tc>
                <w:tcPr>
                  <w:tcW w:w="4308" w:type="dxa"/>
                  <w:vAlign w:val="center"/>
                </w:tcPr>
                <w:p>
                  <w:pPr>
                    <w:pStyle w:val="26"/>
                    <w:spacing w:line="360" w:lineRule="exact"/>
                    <w:ind w:firstLine="210" w:firstLineChars="100"/>
                    <w:jc w:val="both"/>
                    <w:rPr>
                      <w:color w:val="auto"/>
                      <w:kern w:val="0"/>
                      <w:szCs w:val="21"/>
                    </w:rPr>
                  </w:pPr>
                  <w:r>
                    <w:rPr>
                      <w:color w:val="auto"/>
                      <w:kern w:val="0"/>
                      <w:szCs w:val="21"/>
                    </w:rPr>
                    <w:t>该项目为殡仪馆项目，不属于化工项目。</w:t>
                  </w:r>
                </w:p>
              </w:tc>
              <w:tc>
                <w:tcPr>
                  <w:tcW w:w="748" w:type="dxa"/>
                  <w:vAlign w:val="center"/>
                </w:tcPr>
                <w:p>
                  <w:pPr>
                    <w:pStyle w:val="26"/>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6"/>
                    <w:spacing w:line="360" w:lineRule="exact"/>
                    <w:rPr>
                      <w:color w:val="auto"/>
                      <w:kern w:val="0"/>
                      <w:szCs w:val="21"/>
                    </w:rPr>
                  </w:pPr>
                  <w:r>
                    <w:rPr>
                      <w:color w:val="auto"/>
                      <w:kern w:val="0"/>
                      <w:szCs w:val="21"/>
                    </w:rPr>
                    <w:t>2</w:t>
                  </w:r>
                </w:p>
              </w:tc>
              <w:tc>
                <w:tcPr>
                  <w:tcW w:w="3022" w:type="dxa"/>
                  <w:vAlign w:val="center"/>
                </w:tcPr>
                <w:p>
                  <w:pPr>
                    <w:pStyle w:val="26"/>
                    <w:spacing w:line="360" w:lineRule="exact"/>
                    <w:ind w:firstLine="210" w:firstLineChars="100"/>
                    <w:jc w:val="both"/>
                    <w:rPr>
                      <w:color w:val="auto"/>
                      <w:kern w:val="0"/>
                      <w:szCs w:val="21"/>
                    </w:rPr>
                  </w:pPr>
                  <w:r>
                    <w:rPr>
                      <w:color w:val="auto"/>
                      <w:kern w:val="0"/>
                      <w:szCs w:val="21"/>
                    </w:rPr>
                    <w:t>严格控制高耗水项目建设。</w:t>
                  </w:r>
                </w:p>
              </w:tc>
              <w:tc>
                <w:tcPr>
                  <w:tcW w:w="4308" w:type="dxa"/>
                  <w:vAlign w:val="center"/>
                </w:tcPr>
                <w:p>
                  <w:pPr>
                    <w:pStyle w:val="26"/>
                    <w:pBdr>
                      <w:bottom w:val="single" w:color="DDDDDD" w:sz="6" w:space="7"/>
                    </w:pBdr>
                    <w:spacing w:line="360" w:lineRule="exact"/>
                    <w:ind w:firstLine="210" w:firstLineChars="100"/>
                    <w:jc w:val="both"/>
                    <w:rPr>
                      <w:color w:val="auto"/>
                      <w:kern w:val="0"/>
                      <w:szCs w:val="21"/>
                    </w:rPr>
                  </w:pPr>
                  <w:r>
                    <w:rPr>
                      <w:color w:val="auto"/>
                      <w:kern w:val="0"/>
                      <w:szCs w:val="21"/>
                    </w:rPr>
                    <w:t>水利部发布18项传统高耗水行业包括：钢铁、火力发电、石油炼制、选煤、罐头食品、食糖、毛皮、皮革、核电、氨纶、锦纶、聚酯涤纶、维纶、再生涤纶、多晶硅、离子型稀土矿冶炼分离、对二甲苯、精对二甲苯。</w:t>
                  </w:r>
                </w:p>
                <w:p>
                  <w:pPr>
                    <w:pStyle w:val="26"/>
                    <w:pBdr>
                      <w:bottom w:val="single" w:color="DDDDDD" w:sz="6" w:space="7"/>
                    </w:pBdr>
                    <w:spacing w:line="360" w:lineRule="exact"/>
                    <w:ind w:firstLine="210" w:firstLineChars="100"/>
                    <w:jc w:val="both"/>
                    <w:rPr>
                      <w:color w:val="auto"/>
                      <w:kern w:val="0"/>
                      <w:szCs w:val="21"/>
                    </w:rPr>
                  </w:pPr>
                  <w:r>
                    <w:rPr>
                      <w:color w:val="auto"/>
                      <w:kern w:val="0"/>
                      <w:szCs w:val="21"/>
                    </w:rPr>
                    <w:t>该项目为殡仪馆项目，不属于水利部发布18项传统高耗水行业。</w:t>
                  </w:r>
                </w:p>
              </w:tc>
              <w:tc>
                <w:tcPr>
                  <w:tcW w:w="748" w:type="dxa"/>
                  <w:vAlign w:val="center"/>
                </w:tcPr>
                <w:p>
                  <w:pPr>
                    <w:pStyle w:val="26"/>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26"/>
                    <w:spacing w:line="360" w:lineRule="exact"/>
                    <w:rPr>
                      <w:color w:val="auto"/>
                      <w:kern w:val="0"/>
                      <w:szCs w:val="21"/>
                    </w:rPr>
                  </w:pPr>
                  <w:r>
                    <w:rPr>
                      <w:color w:val="auto"/>
                      <w:kern w:val="0"/>
                      <w:szCs w:val="21"/>
                    </w:rPr>
                    <w:t>3</w:t>
                  </w:r>
                </w:p>
              </w:tc>
              <w:tc>
                <w:tcPr>
                  <w:tcW w:w="3022" w:type="dxa"/>
                  <w:vAlign w:val="center"/>
                </w:tcPr>
                <w:p>
                  <w:pPr>
                    <w:pStyle w:val="26"/>
                    <w:spacing w:line="360" w:lineRule="exact"/>
                    <w:ind w:firstLine="210" w:firstLineChars="100"/>
                    <w:jc w:val="both"/>
                    <w:rPr>
                      <w:color w:val="auto"/>
                      <w:kern w:val="0"/>
                      <w:szCs w:val="21"/>
                    </w:rPr>
                  </w:pPr>
                  <w:r>
                    <w:rPr>
                      <w:color w:val="auto"/>
                      <w:kern w:val="0"/>
                      <w:szCs w:val="21"/>
                    </w:rPr>
                    <w:t>禁止在长江流域河湖管理范围内倾倒、填埋、堆放、弃置、处理固体废物。</w:t>
                  </w:r>
                </w:p>
              </w:tc>
              <w:tc>
                <w:tcPr>
                  <w:tcW w:w="4308" w:type="dxa"/>
                  <w:vAlign w:val="center"/>
                </w:tcPr>
                <w:p>
                  <w:pPr>
                    <w:pStyle w:val="26"/>
                    <w:spacing w:line="360" w:lineRule="exact"/>
                    <w:ind w:firstLine="210" w:firstLineChars="100"/>
                    <w:jc w:val="both"/>
                    <w:rPr>
                      <w:color w:val="auto"/>
                      <w:kern w:val="0"/>
                      <w:szCs w:val="21"/>
                    </w:rPr>
                  </w:pPr>
                  <w:r>
                    <w:rPr>
                      <w:color w:val="auto"/>
                      <w:kern w:val="0"/>
                      <w:szCs w:val="21"/>
                    </w:rPr>
                    <w:t>该项目位于东川区碧谷街道（北郊板河口老殡仪馆原址），该区域不属于长江流域河湖管理范围。</w:t>
                  </w:r>
                </w:p>
              </w:tc>
              <w:tc>
                <w:tcPr>
                  <w:tcW w:w="748" w:type="dxa"/>
                  <w:vAlign w:val="center"/>
                </w:tcPr>
                <w:p>
                  <w:pPr>
                    <w:pStyle w:val="26"/>
                    <w:spacing w:line="360" w:lineRule="exact"/>
                    <w:rPr>
                      <w:color w:val="auto"/>
                      <w:kern w:val="0"/>
                      <w:szCs w:val="21"/>
                    </w:rPr>
                  </w:pPr>
                  <w:r>
                    <w:rPr>
                      <w:color w:val="auto"/>
                      <w:kern w:val="0"/>
                      <w:szCs w:val="21"/>
                    </w:rPr>
                    <w:t>符合</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（3）与《长江经济带发展负面清单指南》（试行）的符合性分析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2019年1月12日，推动长江经济带发展领导小组办公室发布了《关于发布长江经济带发展负面清单指南（试行）的通知》（第89号），该项目位于东川区碧谷街道（北郊板河口老殡仪馆原址），项目所在地的纳污水体为大桥河和小江（清水海-入金沙江口段），小江属于长江的上游主要支流。因此，本环评须分析该项目与《长江经济带发展负面清单指南（试行）》的符合性。具体分析如下表所示。</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pStyle w:val="13"/>
              <w:spacing w:after="0"/>
              <w:ind w:left="0" w:leftChars="0"/>
              <w:jc w:val="center"/>
              <w:rPr>
                <w:rFonts w:eastAsiaTheme="minorEastAsia"/>
                <w:b/>
                <w:sz w:val="21"/>
                <w:szCs w:val="21"/>
              </w:rPr>
            </w:pPr>
            <w:r>
              <w:rPr>
                <w:rFonts w:eastAsiaTheme="minorEastAsia"/>
                <w:b/>
                <w:sz w:val="21"/>
                <w:szCs w:val="21"/>
              </w:rPr>
              <w:t>表1-3 与《长江经济带发展负面清单指南（试行）》符合性分析一览表</w:t>
            </w:r>
          </w:p>
          <w:tbl>
            <w:tblPr>
              <w:tblStyle w:val="17"/>
              <w:tblW w:w="860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2"/>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序号</w:t>
                  </w:r>
                </w:p>
              </w:tc>
              <w:tc>
                <w:tcPr>
                  <w:tcW w:w="3596" w:type="dxa"/>
                  <w:vAlign w:val="center"/>
                </w:tcPr>
                <w:p>
                  <w:pPr>
                    <w:pStyle w:val="26"/>
                    <w:spacing w:line="360" w:lineRule="exact"/>
                    <w:rPr>
                      <w:rFonts w:eastAsiaTheme="minorEastAsia"/>
                      <w:color w:val="auto"/>
                      <w:kern w:val="0"/>
                      <w:szCs w:val="21"/>
                    </w:rPr>
                  </w:pPr>
                  <w:r>
                    <w:rPr>
                      <w:rFonts w:eastAsiaTheme="minorEastAsia"/>
                      <w:color w:val="auto"/>
                      <w:szCs w:val="21"/>
                    </w:rPr>
                    <w:t>长江经济带发展负面清单指南（试行）要求</w:t>
                  </w:r>
                </w:p>
              </w:tc>
              <w:tc>
                <w:tcPr>
                  <w:tcW w:w="3665" w:type="dxa"/>
                  <w:vAlign w:val="center"/>
                </w:tcPr>
                <w:p>
                  <w:pPr>
                    <w:pStyle w:val="26"/>
                    <w:spacing w:line="360" w:lineRule="exact"/>
                    <w:rPr>
                      <w:rFonts w:eastAsiaTheme="minorEastAsia"/>
                      <w:color w:val="auto"/>
                      <w:kern w:val="0"/>
                      <w:szCs w:val="21"/>
                    </w:rPr>
                  </w:pPr>
                  <w:r>
                    <w:rPr>
                      <w:rFonts w:eastAsiaTheme="minorEastAsia"/>
                      <w:color w:val="auto"/>
                      <w:kern w:val="0"/>
                      <w:szCs w:val="21"/>
                    </w:rPr>
                    <w:t>该项目实际情况</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1</w:t>
                  </w:r>
                </w:p>
              </w:tc>
              <w:tc>
                <w:tcPr>
                  <w:tcW w:w="3596"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禁止建设不符合全国和省级港口布局规划以及港口总体规划的码头项目，禁止建设不符合《长江干线过江通道布局规划》的过江通道项目。</w:t>
                  </w:r>
                </w:p>
              </w:tc>
              <w:tc>
                <w:tcPr>
                  <w:tcW w:w="3665"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该项目位于东川区碧谷街道（北郊板河口老殡仪馆原址），不涉及码头及过江通道。</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2</w:t>
                  </w:r>
                </w:p>
              </w:tc>
              <w:tc>
                <w:tcPr>
                  <w:tcW w:w="3596"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665"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该项目位于东川区碧谷街道（北郊板河口老殡仪馆原址），不涉及自然保护区核心区、风景名胜区等特殊敏感区。</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3</w:t>
                  </w:r>
                </w:p>
              </w:tc>
              <w:tc>
                <w:tcPr>
                  <w:tcW w:w="3596"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665"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该项目位于东川区碧谷街道（北郊板河口老殡仪馆原址），</w:t>
                  </w:r>
                  <w:r>
                    <w:rPr>
                      <w:color w:val="auto"/>
                      <w:kern w:val="0"/>
                      <w:szCs w:val="21"/>
                    </w:rPr>
                    <w:t>不涉及到饮用水水源地的一级保护区或二级保护区。</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4</w:t>
                  </w:r>
                </w:p>
              </w:tc>
              <w:tc>
                <w:tcPr>
                  <w:tcW w:w="3596"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665"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该项目为殡仪馆项目</w:t>
                  </w:r>
                  <w:r>
                    <w:rPr>
                      <w:color w:val="auto"/>
                      <w:kern w:val="0"/>
                      <w:szCs w:val="21"/>
                    </w:rPr>
                    <w:t>，项目建设</w:t>
                  </w:r>
                  <w:r>
                    <w:rPr>
                      <w:rFonts w:eastAsiaTheme="minorEastAsia"/>
                      <w:color w:val="auto"/>
                      <w:kern w:val="0"/>
                      <w:szCs w:val="21"/>
                    </w:rPr>
                    <w:t>符合主体功能定位，项目所在地的纳污水体为大桥河和小江（清水海-入金沙江口段），不属于水产种植资源保护区的岸线和河段范围。</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5</w:t>
                  </w:r>
                </w:p>
              </w:tc>
              <w:tc>
                <w:tcPr>
                  <w:tcW w:w="3596"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665"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该项目位于东川区碧谷街道（北郊板河口老殡仪馆原址），项目所在地的纳污水体为大桥河和小江（清水海-入金沙江口段），该河段不属于《长江岸线保护和开发利用总体规划》划定的岸线保护区，也不属于全国重要江河湖泊水功能区划》划定的河段保护区、保留区。</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6</w:t>
                  </w:r>
                </w:p>
              </w:tc>
              <w:tc>
                <w:tcPr>
                  <w:tcW w:w="3596"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665"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该项目位于东川区碧谷街道（北郊板河口老殡仪馆原址），</w:t>
                  </w:r>
                  <w:r>
                    <w:rPr>
                      <w:rFonts w:eastAsiaTheme="minorEastAsia"/>
                      <w:color w:val="auto"/>
                      <w:szCs w:val="21"/>
                    </w:rPr>
                    <w:t>项目建设</w:t>
                  </w:r>
                  <w:r>
                    <w:rPr>
                      <w:rFonts w:eastAsiaTheme="minorEastAsia"/>
                      <w:color w:val="auto"/>
                      <w:kern w:val="0"/>
                      <w:szCs w:val="21"/>
                    </w:rPr>
                    <w:t>不涉及生态保护红线和永久基本农田。</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7</w:t>
                  </w:r>
                </w:p>
              </w:tc>
              <w:tc>
                <w:tcPr>
                  <w:tcW w:w="3596"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禁止在长江干支流1公里范围内新建、扩建化工园区和化工项目。禁止在合规园区外新建、扩建钢铁、石化、化工、焦化、建材、有色等高污染项目。</w:t>
                  </w:r>
                </w:p>
              </w:tc>
              <w:tc>
                <w:tcPr>
                  <w:tcW w:w="3665"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该项目为殡仪馆项目，不属于钢铁、石化、化工、焦化、建材、有色等高污染项目。</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8</w:t>
                  </w:r>
                </w:p>
              </w:tc>
              <w:tc>
                <w:tcPr>
                  <w:tcW w:w="3596"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禁止新建、扩建不符合国家石化、现代煤化工等产业布局规划的项目。</w:t>
                  </w:r>
                </w:p>
              </w:tc>
              <w:tc>
                <w:tcPr>
                  <w:tcW w:w="3665"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该项目为殡仪馆项目，不属于不符合国家石化、现代煤化工等产业布局规划的项目。</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9</w:t>
                  </w:r>
                </w:p>
              </w:tc>
              <w:tc>
                <w:tcPr>
                  <w:tcW w:w="3596"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禁止新建、扩建法律法规和相关政策明令禁止的落后产能项目。</w:t>
                  </w:r>
                </w:p>
              </w:tc>
              <w:tc>
                <w:tcPr>
                  <w:tcW w:w="3665"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该项目为殡仪馆项目，根据《产业结构调整指导目录》（2019年本），该项目不属于鼓励类、淘汰类和限制类项目，属于允许类项目。</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2" w:type="dxa"/>
                  <w:vAlign w:val="center"/>
                </w:tcPr>
                <w:p>
                  <w:pPr>
                    <w:pStyle w:val="26"/>
                    <w:spacing w:line="360" w:lineRule="exact"/>
                    <w:rPr>
                      <w:rFonts w:eastAsiaTheme="minorEastAsia"/>
                      <w:color w:val="auto"/>
                      <w:kern w:val="0"/>
                      <w:szCs w:val="21"/>
                    </w:rPr>
                  </w:pPr>
                  <w:r>
                    <w:rPr>
                      <w:rFonts w:eastAsiaTheme="minorEastAsia"/>
                      <w:color w:val="auto"/>
                      <w:kern w:val="0"/>
                      <w:szCs w:val="21"/>
                    </w:rPr>
                    <w:t>10</w:t>
                  </w:r>
                </w:p>
              </w:tc>
              <w:tc>
                <w:tcPr>
                  <w:tcW w:w="3596"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禁止新建、扩建不符合国家产能置换要求的严重过剩产能行业的项目。</w:t>
                  </w:r>
                </w:p>
              </w:tc>
              <w:tc>
                <w:tcPr>
                  <w:tcW w:w="3665" w:type="dxa"/>
                  <w:vAlign w:val="center"/>
                </w:tcPr>
                <w:p>
                  <w:pPr>
                    <w:pStyle w:val="26"/>
                    <w:spacing w:line="360" w:lineRule="exact"/>
                    <w:ind w:firstLine="210" w:firstLineChars="100"/>
                    <w:jc w:val="both"/>
                    <w:rPr>
                      <w:rFonts w:eastAsiaTheme="minorEastAsia"/>
                      <w:color w:val="auto"/>
                      <w:kern w:val="0"/>
                      <w:szCs w:val="21"/>
                    </w:rPr>
                  </w:pPr>
                  <w:r>
                    <w:rPr>
                      <w:rFonts w:eastAsiaTheme="minorEastAsia"/>
                      <w:color w:val="auto"/>
                      <w:kern w:val="0"/>
                      <w:szCs w:val="21"/>
                    </w:rPr>
                    <w:t>该项目为殡仪馆项目，不属于国家产能置换要求的严重过剩产能行业的项目。</w:t>
                  </w:r>
                </w:p>
              </w:tc>
              <w:tc>
                <w:tcPr>
                  <w:tcW w:w="816" w:type="dxa"/>
                  <w:vAlign w:val="center"/>
                </w:tcPr>
                <w:p>
                  <w:pPr>
                    <w:pStyle w:val="26"/>
                    <w:spacing w:line="360" w:lineRule="exact"/>
                    <w:rPr>
                      <w:rFonts w:eastAsiaTheme="minorEastAsia"/>
                      <w:color w:val="auto"/>
                      <w:kern w:val="0"/>
                      <w:szCs w:val="21"/>
                    </w:rPr>
                  </w:pPr>
                  <w:r>
                    <w:rPr>
                      <w:rFonts w:eastAsiaTheme="minorEastAsia"/>
                      <w:color w:val="auto"/>
                      <w:kern w:val="0"/>
                      <w:szCs w:val="21"/>
                    </w:rPr>
                    <w:t>符合</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由上表可知，该项目的建设符合《长江经济带发展负面清单指南（试行）》的要求。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（4）与《长江经济带生态环境保护规划》符合性分析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该项目为殡仪馆项目，该项目的建设与《长江经济带生态环境保护规划》的相关要求不相冲突。</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（5）与城市总体规划符合性分析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该项目位于东川区碧谷街道（北郊板河口老殡仪馆原址），该项目建设与城市总体规划不冲突。</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（6）与《</w:t>
            </w:r>
            <w:r>
              <w:rPr>
                <w:rFonts w:ascii="Times New Roman" w:hAnsi="Times New Roman" w:eastAsia="宋体" w:cs="Times New Roman"/>
                <w:b/>
                <w:sz w:val="24"/>
                <w:szCs w:val="24"/>
              </w:rPr>
              <w:t>中共昆明市委  昆明市人民政府关于加快开发区及产业园区高质量发展的意见</w:t>
            </w:r>
            <w:r>
              <w:rPr>
                <w:rFonts w:ascii="Times New Roman" w:hAnsi="Times New Roman" w:cs="Times New Roman"/>
                <w:b/>
                <w:sz w:val="24"/>
                <w:szCs w:val="24"/>
              </w:rPr>
              <w:t>》（</w:t>
            </w:r>
            <w:r>
              <w:rPr>
                <w:rFonts w:ascii="Times New Roman" w:hAnsi="Times New Roman" w:eastAsia="宋体" w:cs="Times New Roman"/>
                <w:b/>
                <w:sz w:val="24"/>
                <w:szCs w:val="24"/>
              </w:rPr>
              <w:t>昆发</w:t>
            </w:r>
            <w:r>
              <w:rPr>
                <w:rFonts w:ascii="Times New Roman" w:hAnsi="Times New Roman" w:cs="Times New Roman"/>
                <w:b/>
                <w:sz w:val="24"/>
                <w:szCs w:val="24"/>
              </w:rPr>
              <w:t>【</w:t>
            </w:r>
            <w:r>
              <w:rPr>
                <w:rFonts w:ascii="Times New Roman" w:hAnsi="Times New Roman" w:eastAsia="宋体" w:cs="Times New Roman"/>
                <w:b/>
                <w:sz w:val="24"/>
                <w:szCs w:val="24"/>
              </w:rPr>
              <w:t>2021</w:t>
            </w:r>
            <w:r>
              <w:rPr>
                <w:rFonts w:ascii="Times New Roman" w:hAnsi="Times New Roman" w:cs="Times New Roman"/>
                <w:b/>
                <w:sz w:val="24"/>
                <w:szCs w:val="24"/>
              </w:rPr>
              <w:t>】</w:t>
            </w:r>
            <w:r>
              <w:rPr>
                <w:rFonts w:ascii="Times New Roman" w:hAnsi="Times New Roman" w:eastAsia="宋体" w:cs="Times New Roman"/>
                <w:b/>
                <w:sz w:val="24"/>
                <w:szCs w:val="24"/>
              </w:rPr>
              <w:t>12号</w:t>
            </w:r>
            <w:r>
              <w:rPr>
                <w:rFonts w:ascii="Times New Roman" w:hAnsi="Times New Roman" w:cs="Times New Roman"/>
                <w:b/>
                <w:sz w:val="24"/>
                <w:szCs w:val="24"/>
              </w:rPr>
              <w:t>）符合性分析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根据《中共昆明市委  昆明市人民政府关于加快开发区及产业园区高质量发展的意见》（昆发【2021】12号）第二十四条规定：“凡新建、引进的制造业项目和企业必须入园选址发展，园区外原则上不再安排工业项目。对达不到入园条件和标准的农副产品加工、一般加工制造类项目或预拌混凝土搅拌站等不宜入园的特殊行业，须经所在地县（市）区政府、开发区管委会审核同意并报市工高办备案后方可办理其他有关审批手续。”，又针对以上意见，为助推经济发展，2022年2月18日，昆明市生态环境局下发了《昆明市生态环境局关于印发服务经济社会发展 助推项目建设的若干措施的通知》（昆生环通【2022】7号），该文件第四条提出：“对达不到入园条件和标准的农副产品加工、一般加工制造类项目或预拌混凝土搅拌站等不宜入园的特殊行业建设项目，按照经济主管部门投资备案及立项意见，开展项目环评审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为新建项目，位于东川区碧谷街道（北郊板河口老殡仪馆原址），该区域不属于工业园区，该项目已于2022年8月19日取得昆明市东川区发展和改革局《关于东川区殡仪馆项目可行性研究报告的批复》（东发改复【2022】139号），因此项目符合环评审批要求，项目建设与《中共昆明市委  昆明市人民政府关于加快开发区及产业园区高质量发展的意见》（昆发【2021】12号）不冲突。</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二、建设项目工程分析</w:t>
      </w:r>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建设内容</w:t>
            </w:r>
          </w:p>
        </w:tc>
        <w:tc>
          <w:tcPr>
            <w:tcW w:w="8831" w:type="dxa"/>
            <w:vAlign w:val="center"/>
          </w:tcPr>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东川区老殡仪馆是东川区唯一的殡葬服务单位，该殡仪馆始建于1975年，并于1998年进行过改造一致延续使用至今，1998年修缮过一次使用至今。殡仪馆现有设施设备落后，只能开展基本服务，无条件为群众开展多元化、个性化的延伸服务。为满足东川区殡葬改革的需要，昆明市东川区民政局拟在北郊板河口老殡仪馆原址对老殡仪馆进行拆除重建。</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2.1 建设内容及规模</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（1）建设规模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根据可研，该项目为IV类殡仪馆，规划服务期遗体实际火化量2060具/年。</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（2）建设内容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根据可研，该项目占地面积32886.67m²（49.33亩），建筑面积4469.6m²，建设内容包括:业务及后勤管理区、悼念区、遗体处理区、骨灰寄存区及室外配套设施等功能区。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项目主要工程内容如下表所示。</w:t>
            </w:r>
          </w:p>
          <w:p>
            <w:pPr>
              <w:pStyle w:val="28"/>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表2.1-1 项目建设内容组成一览表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21"/>
              <w:gridCol w:w="1069"/>
              <w:gridCol w:w="5299"/>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Align w:val="center"/>
                </w:tcPr>
                <w:p>
                  <w:pPr>
                    <w:pStyle w:val="26"/>
                    <w:spacing w:line="360" w:lineRule="exact"/>
                    <w:rPr>
                      <w:color w:val="auto"/>
                      <w:szCs w:val="21"/>
                    </w:rPr>
                  </w:pPr>
                  <w:r>
                    <w:rPr>
                      <w:color w:val="auto"/>
                      <w:szCs w:val="21"/>
                    </w:rPr>
                    <w:t>类别</w:t>
                  </w:r>
                </w:p>
              </w:tc>
              <w:tc>
                <w:tcPr>
                  <w:tcW w:w="1790" w:type="dxa"/>
                  <w:gridSpan w:val="2"/>
                  <w:vAlign w:val="center"/>
                </w:tcPr>
                <w:p>
                  <w:pPr>
                    <w:pStyle w:val="26"/>
                    <w:spacing w:line="360" w:lineRule="exact"/>
                    <w:rPr>
                      <w:color w:val="auto"/>
                      <w:szCs w:val="21"/>
                    </w:rPr>
                  </w:pPr>
                  <w:r>
                    <w:rPr>
                      <w:color w:val="auto"/>
                      <w:szCs w:val="21"/>
                    </w:rPr>
                    <w:t>工程内容</w:t>
                  </w:r>
                </w:p>
              </w:tc>
              <w:tc>
                <w:tcPr>
                  <w:tcW w:w="5299" w:type="dxa"/>
                  <w:vAlign w:val="center"/>
                </w:tcPr>
                <w:p>
                  <w:pPr>
                    <w:pStyle w:val="26"/>
                    <w:spacing w:line="360" w:lineRule="exact"/>
                    <w:rPr>
                      <w:color w:val="auto"/>
                      <w:szCs w:val="21"/>
                    </w:rPr>
                  </w:pPr>
                  <w:r>
                    <w:rPr>
                      <w:color w:val="auto"/>
                      <w:szCs w:val="21"/>
                    </w:rPr>
                    <w:t>建筑内容及规模</w:t>
                  </w:r>
                </w:p>
              </w:tc>
              <w:tc>
                <w:tcPr>
                  <w:tcW w:w="783" w:type="dxa"/>
                  <w:vAlign w:val="center"/>
                </w:tcPr>
                <w:p>
                  <w:pPr>
                    <w:pStyle w:val="26"/>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restart"/>
                  <w:vAlign w:val="center"/>
                </w:tcPr>
                <w:p>
                  <w:pPr>
                    <w:pStyle w:val="26"/>
                    <w:spacing w:line="360" w:lineRule="exact"/>
                    <w:rPr>
                      <w:color w:val="auto"/>
                      <w:szCs w:val="21"/>
                    </w:rPr>
                  </w:pPr>
                  <w:r>
                    <w:rPr>
                      <w:color w:val="auto"/>
                      <w:szCs w:val="21"/>
                    </w:rPr>
                    <w:t>主体工程</w:t>
                  </w:r>
                </w:p>
              </w:tc>
              <w:tc>
                <w:tcPr>
                  <w:tcW w:w="1790" w:type="dxa"/>
                  <w:gridSpan w:val="2"/>
                  <w:vAlign w:val="center"/>
                </w:tcPr>
                <w:p>
                  <w:pPr>
                    <w:pStyle w:val="26"/>
                    <w:spacing w:line="360" w:lineRule="exact"/>
                    <w:rPr>
                      <w:color w:val="auto"/>
                      <w:szCs w:val="21"/>
                    </w:rPr>
                  </w:pPr>
                  <w:r>
                    <w:rPr>
                      <w:color w:val="auto"/>
                      <w:szCs w:val="21"/>
                    </w:rPr>
                    <w:t>悼念厅及守灵厅</w:t>
                  </w:r>
                </w:p>
              </w:tc>
              <w:tc>
                <w:tcPr>
                  <w:tcW w:w="5299" w:type="dxa"/>
                  <w:vAlign w:val="center"/>
                </w:tcPr>
                <w:p>
                  <w:pPr>
                    <w:pStyle w:val="26"/>
                    <w:spacing w:line="360" w:lineRule="exact"/>
                    <w:ind w:firstLine="210" w:firstLineChars="100"/>
                    <w:jc w:val="both"/>
                    <w:rPr>
                      <w:color w:val="auto"/>
                      <w:szCs w:val="21"/>
                    </w:rPr>
                  </w:pPr>
                  <w:r>
                    <w:rPr>
                      <w:color w:val="auto"/>
                      <w:szCs w:val="21"/>
                    </w:rPr>
                    <w:t>根据可研，悼念厅及守灵厅共1层，建筑面积1326.1m²，功能布局主要包括两部分一部分为遗体处置，另外一部分为悼念活动。</w:t>
                  </w:r>
                </w:p>
                <w:p>
                  <w:pPr>
                    <w:pStyle w:val="26"/>
                    <w:spacing w:line="360" w:lineRule="exact"/>
                    <w:ind w:firstLine="210" w:firstLineChars="100"/>
                    <w:jc w:val="both"/>
                    <w:rPr>
                      <w:color w:val="auto"/>
                      <w:szCs w:val="21"/>
                    </w:rPr>
                  </w:pPr>
                  <w:r>
                    <w:rPr>
                      <w:color w:val="auto"/>
                      <w:szCs w:val="21"/>
                    </w:rPr>
                    <w:t>遗体处置功能区域包括：遗体通道、尸体解剖间、整容间、冷藏室、防腐室、消毒间、灵车停车库、接尸厅、设备间、遗体待焚间等；主要功能为对有需要的常规遗体进行清洗、穿衣等；通过也兼顾法医解剖等工作。</w:t>
                  </w:r>
                </w:p>
                <w:p>
                  <w:pPr>
                    <w:pStyle w:val="26"/>
                    <w:spacing w:line="360" w:lineRule="exact"/>
                    <w:ind w:firstLine="210" w:firstLineChars="100"/>
                    <w:jc w:val="both"/>
                    <w:rPr>
                      <w:color w:val="auto"/>
                      <w:szCs w:val="21"/>
                    </w:rPr>
                  </w:pPr>
                  <w:r>
                    <w:rPr>
                      <w:color w:val="auto"/>
                      <w:szCs w:val="21"/>
                    </w:rPr>
                    <w:t>悼念活动区域包括：悼念厅、守灵厅、家属休息室、卫生间等。</w:t>
                  </w:r>
                </w:p>
              </w:tc>
              <w:tc>
                <w:tcPr>
                  <w:tcW w:w="783" w:type="dxa"/>
                  <w:vAlign w:val="center"/>
                </w:tcPr>
                <w:p>
                  <w:pPr>
                    <w:pStyle w:val="26"/>
                    <w:spacing w:line="360" w:lineRule="exact"/>
                    <w:rPr>
                      <w:color w:val="auto"/>
                      <w:szCs w:val="21"/>
                    </w:rPr>
                  </w:pPr>
                  <w:r>
                    <w:rPr>
                      <w:color w:val="auto"/>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rPr>
                  </w:pPr>
                </w:p>
              </w:tc>
              <w:tc>
                <w:tcPr>
                  <w:tcW w:w="1790" w:type="dxa"/>
                  <w:gridSpan w:val="2"/>
                  <w:vAlign w:val="center"/>
                </w:tcPr>
                <w:p>
                  <w:pPr>
                    <w:pStyle w:val="26"/>
                    <w:spacing w:line="360" w:lineRule="exact"/>
                    <w:rPr>
                      <w:color w:val="auto"/>
                      <w:szCs w:val="21"/>
                    </w:rPr>
                  </w:pPr>
                  <w:r>
                    <w:rPr>
                      <w:color w:val="auto"/>
                      <w:szCs w:val="21"/>
                    </w:rPr>
                    <w:t>火化车间及捡灰间</w:t>
                  </w:r>
                </w:p>
              </w:tc>
              <w:tc>
                <w:tcPr>
                  <w:tcW w:w="5299" w:type="dxa"/>
                  <w:vAlign w:val="center"/>
                </w:tcPr>
                <w:p>
                  <w:pPr>
                    <w:pStyle w:val="26"/>
                    <w:spacing w:line="360" w:lineRule="exact"/>
                    <w:ind w:firstLine="210" w:firstLineChars="100"/>
                    <w:jc w:val="both"/>
                    <w:rPr>
                      <w:color w:val="auto"/>
                      <w:szCs w:val="21"/>
                    </w:rPr>
                  </w:pPr>
                  <w:r>
                    <w:rPr>
                      <w:color w:val="auto"/>
                      <w:szCs w:val="21"/>
                    </w:rPr>
                    <w:t>根据可研，火化车间及捡灰间共1层，建筑面积574.6m²，该火化车间内配套设置4套智能监测环保节能拣灰火化机进行遗体火化。</w:t>
                  </w:r>
                </w:p>
              </w:tc>
              <w:tc>
                <w:tcPr>
                  <w:tcW w:w="783" w:type="dxa"/>
                  <w:vAlign w:val="center"/>
                </w:tcPr>
                <w:p>
                  <w:pPr>
                    <w:pStyle w:val="26"/>
                    <w:spacing w:line="360" w:lineRule="exact"/>
                    <w:rPr>
                      <w:color w:val="auto"/>
                      <w:szCs w:val="21"/>
                    </w:rPr>
                  </w:pPr>
                  <w:r>
                    <w:rPr>
                      <w:color w:val="auto"/>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rPr>
                  </w:pPr>
                </w:p>
              </w:tc>
              <w:tc>
                <w:tcPr>
                  <w:tcW w:w="1790" w:type="dxa"/>
                  <w:gridSpan w:val="2"/>
                  <w:vAlign w:val="center"/>
                </w:tcPr>
                <w:p>
                  <w:pPr>
                    <w:pStyle w:val="26"/>
                    <w:spacing w:line="360" w:lineRule="exact"/>
                    <w:rPr>
                      <w:color w:val="auto"/>
                      <w:szCs w:val="21"/>
                    </w:rPr>
                  </w:pPr>
                  <w:r>
                    <w:rPr>
                      <w:color w:val="auto"/>
                      <w:szCs w:val="21"/>
                    </w:rPr>
                    <w:t>化宝间</w:t>
                  </w:r>
                </w:p>
              </w:tc>
              <w:tc>
                <w:tcPr>
                  <w:tcW w:w="5299" w:type="dxa"/>
                  <w:vAlign w:val="center"/>
                </w:tcPr>
                <w:p>
                  <w:pPr>
                    <w:pStyle w:val="26"/>
                    <w:spacing w:line="360" w:lineRule="exact"/>
                    <w:ind w:firstLine="210" w:firstLineChars="100"/>
                    <w:jc w:val="both"/>
                    <w:rPr>
                      <w:color w:val="auto"/>
                      <w:szCs w:val="21"/>
                    </w:rPr>
                  </w:pPr>
                  <w:r>
                    <w:rPr>
                      <w:color w:val="auto"/>
                      <w:szCs w:val="21"/>
                    </w:rPr>
                    <w:t>化宝间建筑面积83.1m²，化宝间内设置1套卧式智能监测环保遗物焚烧炉对逝者遗物进行焚烧。</w:t>
                  </w:r>
                </w:p>
              </w:tc>
              <w:tc>
                <w:tcPr>
                  <w:tcW w:w="783" w:type="dxa"/>
                  <w:vAlign w:val="center"/>
                </w:tcPr>
                <w:p>
                  <w:pPr>
                    <w:pStyle w:val="26"/>
                    <w:spacing w:line="360" w:lineRule="exact"/>
                    <w:rPr>
                      <w:color w:val="auto"/>
                      <w:szCs w:val="21"/>
                    </w:rPr>
                  </w:pPr>
                  <w:r>
                    <w:rPr>
                      <w:color w:val="auto"/>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restart"/>
                  <w:shd w:val="clear" w:color="auto" w:fill="auto"/>
                  <w:vAlign w:val="center"/>
                </w:tcPr>
                <w:p>
                  <w:pPr>
                    <w:pStyle w:val="26"/>
                    <w:spacing w:line="360" w:lineRule="exact"/>
                    <w:rPr>
                      <w:color w:val="auto"/>
                      <w:szCs w:val="21"/>
                    </w:rPr>
                  </w:pPr>
                  <w:r>
                    <w:rPr>
                      <w:color w:val="auto"/>
                      <w:szCs w:val="21"/>
                    </w:rPr>
                    <w:t>辅助工程</w:t>
                  </w:r>
                </w:p>
              </w:tc>
              <w:tc>
                <w:tcPr>
                  <w:tcW w:w="1790" w:type="dxa"/>
                  <w:gridSpan w:val="2"/>
                  <w:vAlign w:val="center"/>
                </w:tcPr>
                <w:p>
                  <w:pPr>
                    <w:pStyle w:val="26"/>
                    <w:spacing w:line="360" w:lineRule="exact"/>
                    <w:rPr>
                      <w:color w:val="auto"/>
                      <w:szCs w:val="21"/>
                    </w:rPr>
                  </w:pPr>
                  <w:r>
                    <w:rPr>
                      <w:color w:val="auto"/>
                      <w:szCs w:val="21"/>
                    </w:rPr>
                    <w:t>综合服务楼</w:t>
                  </w:r>
                </w:p>
              </w:tc>
              <w:tc>
                <w:tcPr>
                  <w:tcW w:w="5299" w:type="dxa"/>
                  <w:shd w:val="clear" w:color="auto" w:fill="auto"/>
                  <w:vAlign w:val="center"/>
                </w:tcPr>
                <w:p>
                  <w:pPr>
                    <w:pStyle w:val="26"/>
                    <w:spacing w:line="360" w:lineRule="exact"/>
                    <w:ind w:firstLine="210" w:firstLineChars="100"/>
                    <w:jc w:val="both"/>
                    <w:rPr>
                      <w:color w:val="auto"/>
                      <w:szCs w:val="21"/>
                    </w:rPr>
                  </w:pPr>
                  <w:r>
                    <w:rPr>
                      <w:color w:val="auto"/>
                      <w:szCs w:val="21"/>
                    </w:rPr>
                    <w:t>根据可研，综合服务楼共4层，建筑面积1820.0m²，功能布置如下：</w:t>
                  </w:r>
                </w:p>
                <w:p>
                  <w:pPr>
                    <w:pStyle w:val="26"/>
                    <w:spacing w:line="360" w:lineRule="exact"/>
                    <w:ind w:firstLine="210" w:firstLineChars="100"/>
                    <w:jc w:val="both"/>
                    <w:rPr>
                      <w:color w:val="auto"/>
                      <w:szCs w:val="21"/>
                    </w:rPr>
                  </w:pPr>
                  <w:r>
                    <w:rPr>
                      <w:color w:val="auto"/>
                      <w:szCs w:val="21"/>
                    </w:rPr>
                    <w:t>一层：门厅、接待室、食堂、值班室、丧葬用品陈列室、活动室、仓库、卫生间等；</w:t>
                  </w:r>
                </w:p>
                <w:p>
                  <w:pPr>
                    <w:pStyle w:val="26"/>
                    <w:spacing w:line="360" w:lineRule="exact"/>
                    <w:ind w:firstLine="210" w:firstLineChars="100"/>
                    <w:jc w:val="both"/>
                    <w:rPr>
                      <w:color w:val="auto"/>
                      <w:szCs w:val="21"/>
                    </w:rPr>
                  </w:pPr>
                  <w:r>
                    <w:rPr>
                      <w:color w:val="auto"/>
                      <w:szCs w:val="21"/>
                    </w:rPr>
                    <w:t>二层：业务咨询室、业务洽谈室、业务办理室、活动室、卫生间、收款室和休息室等；</w:t>
                  </w:r>
                </w:p>
                <w:p>
                  <w:pPr>
                    <w:pStyle w:val="26"/>
                    <w:spacing w:line="360" w:lineRule="exact"/>
                    <w:ind w:firstLine="210" w:firstLineChars="100"/>
                    <w:jc w:val="both"/>
                    <w:rPr>
                      <w:color w:val="auto"/>
                      <w:szCs w:val="21"/>
                    </w:rPr>
                  </w:pPr>
                  <w:r>
                    <w:rPr>
                      <w:color w:val="auto"/>
                      <w:szCs w:val="21"/>
                    </w:rPr>
                    <w:t>三层；办公室、财务室、储物间、卫生间等；</w:t>
                  </w:r>
                </w:p>
                <w:p>
                  <w:pPr>
                    <w:pStyle w:val="26"/>
                    <w:spacing w:line="360" w:lineRule="exact"/>
                    <w:ind w:firstLine="210" w:firstLineChars="100"/>
                    <w:jc w:val="both"/>
                    <w:rPr>
                      <w:color w:val="auto"/>
                      <w:szCs w:val="21"/>
                    </w:rPr>
                  </w:pPr>
                  <w:r>
                    <w:rPr>
                      <w:color w:val="auto"/>
                      <w:szCs w:val="21"/>
                    </w:rPr>
                    <w:t>四层；办公室、会议室、档案室、储物间、卫生间等。</w:t>
                  </w:r>
                </w:p>
              </w:tc>
              <w:tc>
                <w:tcPr>
                  <w:tcW w:w="783" w:type="dxa"/>
                  <w:vAlign w:val="center"/>
                </w:tcPr>
                <w:p>
                  <w:pPr>
                    <w:pStyle w:val="26"/>
                    <w:spacing w:line="360" w:lineRule="exact"/>
                    <w:rPr>
                      <w:color w:val="auto"/>
                      <w:szCs w:val="21"/>
                    </w:rPr>
                  </w:pPr>
                  <w:r>
                    <w:rPr>
                      <w:color w:val="auto"/>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shd w:val="clear" w:color="auto" w:fill="auto"/>
                  <w:vAlign w:val="center"/>
                </w:tcPr>
                <w:p>
                  <w:pPr>
                    <w:pStyle w:val="26"/>
                    <w:spacing w:line="360" w:lineRule="exact"/>
                    <w:rPr>
                      <w:color w:val="auto"/>
                      <w:szCs w:val="21"/>
                    </w:rPr>
                  </w:pPr>
                </w:p>
              </w:tc>
              <w:tc>
                <w:tcPr>
                  <w:tcW w:w="1790" w:type="dxa"/>
                  <w:gridSpan w:val="2"/>
                  <w:vAlign w:val="center"/>
                </w:tcPr>
                <w:p>
                  <w:pPr>
                    <w:pStyle w:val="26"/>
                    <w:spacing w:line="360" w:lineRule="exact"/>
                    <w:rPr>
                      <w:color w:val="auto"/>
                      <w:szCs w:val="21"/>
                    </w:rPr>
                  </w:pPr>
                  <w:r>
                    <w:rPr>
                      <w:color w:val="auto"/>
                      <w:szCs w:val="21"/>
                    </w:rPr>
                    <w:t>骨灰堂</w:t>
                  </w:r>
                </w:p>
              </w:tc>
              <w:tc>
                <w:tcPr>
                  <w:tcW w:w="5299" w:type="dxa"/>
                  <w:shd w:val="clear" w:color="auto" w:fill="auto"/>
                  <w:vAlign w:val="center"/>
                </w:tcPr>
                <w:p>
                  <w:pPr>
                    <w:pStyle w:val="26"/>
                    <w:spacing w:line="360" w:lineRule="exact"/>
                    <w:ind w:firstLine="210" w:firstLineChars="100"/>
                    <w:jc w:val="both"/>
                    <w:rPr>
                      <w:color w:val="auto"/>
                      <w:szCs w:val="21"/>
                    </w:rPr>
                  </w:pPr>
                  <w:r>
                    <w:rPr>
                      <w:color w:val="auto"/>
                      <w:szCs w:val="21"/>
                    </w:rPr>
                    <w:t>根据可研，骨灰堂共3层，建筑面积602.8m²，功能布置如下：</w:t>
                  </w:r>
                </w:p>
                <w:p>
                  <w:pPr>
                    <w:pStyle w:val="26"/>
                    <w:spacing w:line="360" w:lineRule="exact"/>
                    <w:ind w:firstLine="210" w:firstLineChars="100"/>
                    <w:jc w:val="both"/>
                    <w:rPr>
                      <w:color w:val="auto"/>
                      <w:szCs w:val="21"/>
                    </w:rPr>
                  </w:pPr>
                  <w:r>
                    <w:rPr>
                      <w:color w:val="auto"/>
                      <w:szCs w:val="21"/>
                    </w:rPr>
                    <w:t>一层：门厅、业务室、骨灰寄存间；</w:t>
                  </w:r>
                </w:p>
                <w:p>
                  <w:pPr>
                    <w:pStyle w:val="26"/>
                    <w:spacing w:line="360" w:lineRule="exact"/>
                    <w:ind w:firstLine="210" w:firstLineChars="100"/>
                    <w:jc w:val="both"/>
                    <w:rPr>
                      <w:color w:val="auto"/>
                      <w:szCs w:val="21"/>
                    </w:rPr>
                  </w:pPr>
                  <w:r>
                    <w:rPr>
                      <w:color w:val="auto"/>
                      <w:szCs w:val="21"/>
                    </w:rPr>
                    <w:t>二层~三层：骨灰寄存间。</w:t>
                  </w:r>
                </w:p>
              </w:tc>
              <w:tc>
                <w:tcPr>
                  <w:tcW w:w="783" w:type="dxa"/>
                  <w:vAlign w:val="center"/>
                </w:tcPr>
                <w:p>
                  <w:pPr>
                    <w:pStyle w:val="26"/>
                    <w:spacing w:line="360" w:lineRule="exact"/>
                    <w:rPr>
                      <w:color w:val="auto"/>
                      <w:szCs w:val="21"/>
                    </w:rPr>
                  </w:pPr>
                  <w:r>
                    <w:rPr>
                      <w:color w:val="auto"/>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shd w:val="clear" w:color="auto" w:fill="auto"/>
                  <w:vAlign w:val="center"/>
                </w:tcPr>
                <w:p>
                  <w:pPr>
                    <w:pStyle w:val="26"/>
                    <w:spacing w:line="360" w:lineRule="exact"/>
                    <w:rPr>
                      <w:color w:val="auto"/>
                      <w:szCs w:val="21"/>
                    </w:rPr>
                  </w:pPr>
                </w:p>
              </w:tc>
              <w:tc>
                <w:tcPr>
                  <w:tcW w:w="1790" w:type="dxa"/>
                  <w:gridSpan w:val="2"/>
                  <w:vAlign w:val="center"/>
                </w:tcPr>
                <w:p>
                  <w:pPr>
                    <w:pStyle w:val="26"/>
                    <w:spacing w:line="360" w:lineRule="exact"/>
                    <w:rPr>
                      <w:color w:val="auto"/>
                      <w:szCs w:val="21"/>
                    </w:rPr>
                  </w:pPr>
                  <w:r>
                    <w:rPr>
                      <w:color w:val="auto"/>
                      <w:szCs w:val="21"/>
                    </w:rPr>
                    <w:t>公厕</w:t>
                  </w:r>
                </w:p>
              </w:tc>
              <w:tc>
                <w:tcPr>
                  <w:tcW w:w="5299" w:type="dxa"/>
                  <w:shd w:val="clear" w:color="auto" w:fill="auto"/>
                  <w:vAlign w:val="center"/>
                </w:tcPr>
                <w:p>
                  <w:pPr>
                    <w:pStyle w:val="26"/>
                    <w:spacing w:line="360" w:lineRule="exact"/>
                    <w:ind w:firstLine="210" w:firstLineChars="100"/>
                    <w:jc w:val="both"/>
                    <w:rPr>
                      <w:color w:val="auto"/>
                      <w:szCs w:val="21"/>
                    </w:rPr>
                  </w:pPr>
                  <w:r>
                    <w:rPr>
                      <w:color w:val="auto"/>
                      <w:szCs w:val="21"/>
                    </w:rPr>
                    <w:t>根据可研，项目拟建设一个建筑面积63m²的公厕。</w:t>
                  </w:r>
                </w:p>
              </w:tc>
              <w:tc>
                <w:tcPr>
                  <w:tcW w:w="783" w:type="dxa"/>
                  <w:vAlign w:val="center"/>
                </w:tcPr>
                <w:p>
                  <w:pPr>
                    <w:pStyle w:val="26"/>
                    <w:spacing w:line="360" w:lineRule="exact"/>
                    <w:rPr>
                      <w:color w:val="auto"/>
                      <w:szCs w:val="21"/>
                    </w:rPr>
                  </w:pPr>
                  <w:r>
                    <w:rPr>
                      <w:color w:val="auto"/>
                      <w:szCs w:val="21"/>
                    </w:rPr>
                    <w:t>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restart"/>
                  <w:vAlign w:val="center"/>
                </w:tcPr>
                <w:p>
                  <w:pPr>
                    <w:pStyle w:val="26"/>
                    <w:spacing w:line="360" w:lineRule="exact"/>
                    <w:rPr>
                      <w:color w:val="auto"/>
                      <w:szCs w:val="21"/>
                    </w:rPr>
                  </w:pPr>
                  <w:r>
                    <w:rPr>
                      <w:color w:val="auto"/>
                      <w:szCs w:val="21"/>
                    </w:rPr>
                    <w:t>公用工程</w:t>
                  </w:r>
                </w:p>
              </w:tc>
              <w:tc>
                <w:tcPr>
                  <w:tcW w:w="1790" w:type="dxa"/>
                  <w:gridSpan w:val="2"/>
                  <w:vAlign w:val="center"/>
                </w:tcPr>
                <w:p>
                  <w:pPr>
                    <w:pStyle w:val="26"/>
                    <w:spacing w:line="360" w:lineRule="exact"/>
                    <w:rPr>
                      <w:color w:val="auto"/>
                      <w:szCs w:val="21"/>
                    </w:rPr>
                  </w:pPr>
                  <w:r>
                    <w:rPr>
                      <w:color w:val="auto"/>
                      <w:szCs w:val="21"/>
                    </w:rPr>
                    <w:t>供电</w:t>
                  </w:r>
                </w:p>
              </w:tc>
              <w:tc>
                <w:tcPr>
                  <w:tcW w:w="5299" w:type="dxa"/>
                  <w:vAlign w:val="center"/>
                </w:tcPr>
                <w:p>
                  <w:pPr>
                    <w:pStyle w:val="26"/>
                    <w:spacing w:line="360" w:lineRule="exact"/>
                    <w:ind w:firstLine="210" w:firstLineChars="100"/>
                    <w:jc w:val="both"/>
                    <w:rPr>
                      <w:color w:val="auto"/>
                      <w:szCs w:val="21"/>
                    </w:rPr>
                  </w:pPr>
                  <w:r>
                    <w:rPr>
                      <w:color w:val="auto"/>
                      <w:szCs w:val="21"/>
                    </w:rPr>
                    <w:t>供电由电力公司供给。</w:t>
                  </w:r>
                </w:p>
              </w:tc>
              <w:tc>
                <w:tcPr>
                  <w:tcW w:w="783"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rPr>
                  </w:pPr>
                </w:p>
              </w:tc>
              <w:tc>
                <w:tcPr>
                  <w:tcW w:w="1790" w:type="dxa"/>
                  <w:gridSpan w:val="2"/>
                  <w:vAlign w:val="center"/>
                </w:tcPr>
                <w:p>
                  <w:pPr>
                    <w:pStyle w:val="26"/>
                    <w:spacing w:line="360" w:lineRule="exact"/>
                    <w:rPr>
                      <w:color w:val="auto"/>
                      <w:szCs w:val="21"/>
                    </w:rPr>
                  </w:pPr>
                  <w:r>
                    <w:rPr>
                      <w:color w:val="auto"/>
                      <w:szCs w:val="21"/>
                    </w:rPr>
                    <w:t>给水</w:t>
                  </w:r>
                </w:p>
              </w:tc>
              <w:tc>
                <w:tcPr>
                  <w:tcW w:w="5299" w:type="dxa"/>
                  <w:vAlign w:val="center"/>
                </w:tcPr>
                <w:p>
                  <w:pPr>
                    <w:pStyle w:val="26"/>
                    <w:spacing w:line="360" w:lineRule="exact"/>
                    <w:ind w:firstLine="210" w:firstLineChars="100"/>
                    <w:jc w:val="both"/>
                    <w:rPr>
                      <w:color w:val="auto"/>
                      <w:szCs w:val="21"/>
                    </w:rPr>
                  </w:pPr>
                  <w:r>
                    <w:rPr>
                      <w:color w:val="auto"/>
                      <w:szCs w:val="21"/>
                    </w:rPr>
                    <w:t>根据可研，项目用水均使用自来水。</w:t>
                  </w:r>
                </w:p>
              </w:tc>
              <w:tc>
                <w:tcPr>
                  <w:tcW w:w="783"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rPr>
                  </w:pPr>
                </w:p>
              </w:tc>
              <w:tc>
                <w:tcPr>
                  <w:tcW w:w="1790" w:type="dxa"/>
                  <w:gridSpan w:val="2"/>
                  <w:vAlign w:val="center"/>
                </w:tcPr>
                <w:p>
                  <w:pPr>
                    <w:pStyle w:val="26"/>
                    <w:spacing w:line="360" w:lineRule="exact"/>
                    <w:rPr>
                      <w:color w:val="auto"/>
                      <w:szCs w:val="21"/>
                    </w:rPr>
                  </w:pPr>
                  <w:r>
                    <w:rPr>
                      <w:color w:val="auto"/>
                      <w:szCs w:val="21"/>
                    </w:rPr>
                    <w:t>排水</w:t>
                  </w:r>
                </w:p>
              </w:tc>
              <w:tc>
                <w:tcPr>
                  <w:tcW w:w="5299" w:type="dxa"/>
                  <w:vAlign w:val="center"/>
                </w:tcPr>
                <w:p>
                  <w:pPr>
                    <w:pStyle w:val="26"/>
                    <w:spacing w:line="360" w:lineRule="exact"/>
                    <w:ind w:firstLine="210" w:firstLineChars="100"/>
                    <w:jc w:val="both"/>
                    <w:rPr>
                      <w:color w:val="auto"/>
                      <w:szCs w:val="21"/>
                    </w:rPr>
                  </w:pPr>
                  <w:r>
                    <w:rPr>
                      <w:color w:val="auto"/>
                      <w:szCs w:val="21"/>
                    </w:rPr>
                    <w:t>项目拟建设污水管道，和现有的雨水沟分开，实现雨污分流。项目废水包括：遗体清洗废水、生活污水、灵车清洗废水和初期雨水，项目区域未配套建设市政污水管网，不具备排水条件，且项目区内绿化植被较多，因此拟配套设置调节池、一体化污水处理设施和回用水池等废水处理设施对综合废水进行处理，处理达到《城市污水再生利用城市杂用水水质》（GB/T18920-2020）城市绿化标准后，回用于项目区绿化，不外排。</w:t>
                  </w:r>
                </w:p>
              </w:tc>
              <w:tc>
                <w:tcPr>
                  <w:tcW w:w="783"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restart"/>
                  <w:vAlign w:val="center"/>
                </w:tcPr>
                <w:p>
                  <w:pPr>
                    <w:pStyle w:val="26"/>
                    <w:spacing w:line="360" w:lineRule="exact"/>
                    <w:rPr>
                      <w:color w:val="auto"/>
                      <w:szCs w:val="21"/>
                    </w:rPr>
                  </w:pPr>
                  <w:r>
                    <w:rPr>
                      <w:color w:val="auto"/>
                      <w:szCs w:val="21"/>
                    </w:rPr>
                    <w:t>环保工程</w:t>
                  </w:r>
                </w:p>
              </w:tc>
              <w:tc>
                <w:tcPr>
                  <w:tcW w:w="721" w:type="dxa"/>
                  <w:vMerge w:val="restart"/>
                  <w:vAlign w:val="center"/>
                </w:tcPr>
                <w:p>
                  <w:pPr>
                    <w:pStyle w:val="26"/>
                    <w:spacing w:line="360" w:lineRule="exact"/>
                    <w:rPr>
                      <w:color w:val="auto"/>
                      <w:szCs w:val="21"/>
                    </w:rPr>
                  </w:pPr>
                  <w:r>
                    <w:rPr>
                      <w:color w:val="auto"/>
                      <w:szCs w:val="21"/>
                    </w:rPr>
                    <w:t>废气</w:t>
                  </w:r>
                </w:p>
              </w:tc>
              <w:tc>
                <w:tcPr>
                  <w:tcW w:w="1069" w:type="dxa"/>
                  <w:vAlign w:val="center"/>
                </w:tcPr>
                <w:p>
                  <w:pPr>
                    <w:pStyle w:val="26"/>
                    <w:spacing w:line="360" w:lineRule="exact"/>
                    <w:rPr>
                      <w:color w:val="auto"/>
                      <w:szCs w:val="21"/>
                      <w:highlight w:val="yellow"/>
                    </w:rPr>
                  </w:pPr>
                  <w:r>
                    <w:rPr>
                      <w:color w:val="auto"/>
                      <w:szCs w:val="21"/>
                    </w:rPr>
                    <w:t>火化机尾气处理系统</w:t>
                  </w:r>
                </w:p>
              </w:tc>
              <w:tc>
                <w:tcPr>
                  <w:tcW w:w="5299" w:type="dxa"/>
                  <w:vAlign w:val="center"/>
                </w:tcPr>
                <w:p>
                  <w:pPr>
                    <w:pStyle w:val="26"/>
                    <w:spacing w:line="360" w:lineRule="exact"/>
                    <w:ind w:firstLine="210" w:firstLineChars="100"/>
                    <w:jc w:val="both"/>
                    <w:rPr>
                      <w:color w:val="auto"/>
                      <w:szCs w:val="21"/>
                    </w:rPr>
                  </w:pPr>
                  <w:r>
                    <w:rPr>
                      <w:color w:val="auto"/>
                      <w:szCs w:val="21"/>
                    </w:rPr>
                    <w:t>根据可研，项目火化机尾气处理系统由火化机尾气处理装置和排气筒两部分组成。具体如下：</w:t>
                  </w:r>
                </w:p>
                <w:p>
                  <w:pPr>
                    <w:pStyle w:val="26"/>
                    <w:spacing w:line="360" w:lineRule="exact"/>
                    <w:ind w:firstLine="210" w:firstLineChars="100"/>
                    <w:jc w:val="both"/>
                    <w:rPr>
                      <w:color w:val="auto"/>
                      <w:szCs w:val="21"/>
                    </w:rPr>
                  </w:pPr>
                  <w:r>
                    <w:rPr>
                      <w:color w:val="auto"/>
                      <w:szCs w:val="21"/>
                    </w:rPr>
                    <w:t>①火化机尾气处理装置</w:t>
                  </w:r>
                </w:p>
                <w:p>
                  <w:pPr>
                    <w:pStyle w:val="26"/>
                    <w:spacing w:line="360" w:lineRule="exact"/>
                    <w:ind w:firstLine="210" w:firstLineChars="100"/>
                    <w:jc w:val="both"/>
                    <w:rPr>
                      <w:color w:val="auto"/>
                      <w:szCs w:val="21"/>
                    </w:rPr>
                  </w:pPr>
                  <w:r>
                    <w:rPr>
                      <w:color w:val="auto"/>
                      <w:szCs w:val="21"/>
                    </w:rPr>
                    <w:t>根据可研，项目拟采购目前市场较为先进的且为“智能监测环保节能拣灰火化机”配套的火化机尾气处理装置对火化废气进行处理，每两套火化机配套设置1台火化机尾气处理装置，则共设置两套火化机尾气处理装置，该火化机尾气处理装置采用全干法双脉冲处理工艺，内置高效降温器+初级除尘器+脱酸脱硫二噁英喷射装置+布袋除尘器+活性炭吸附器，根据该处理设备的设计参数，烟尘去除率可达到99%、SO</w:t>
                  </w:r>
                  <w:r>
                    <w:rPr>
                      <w:color w:val="auto"/>
                      <w:szCs w:val="21"/>
                      <w:vertAlign w:val="subscript"/>
                    </w:rPr>
                    <w:t>2</w:t>
                  </w:r>
                  <w:r>
                    <w:rPr>
                      <w:color w:val="auto"/>
                      <w:szCs w:val="21"/>
                    </w:rPr>
                    <w:t>去除率可达到80%、CO去除率可达到35.3%、HCl去除率可达到78.7%、汞去除效率可达到80%、二噁英去除率可达到62.2%。</w:t>
                  </w:r>
                </w:p>
                <w:p>
                  <w:pPr>
                    <w:pStyle w:val="26"/>
                    <w:spacing w:line="360" w:lineRule="exact"/>
                    <w:ind w:firstLine="210" w:firstLineChars="100"/>
                    <w:jc w:val="both"/>
                    <w:rPr>
                      <w:color w:val="auto"/>
                      <w:szCs w:val="21"/>
                    </w:rPr>
                  </w:pPr>
                  <w:r>
                    <w:rPr>
                      <w:color w:val="auto"/>
                      <w:szCs w:val="21"/>
                    </w:rPr>
                    <w:t>②排气筒（DA001）</w:t>
                  </w:r>
                </w:p>
                <w:p>
                  <w:pPr>
                    <w:pStyle w:val="26"/>
                    <w:spacing w:line="360" w:lineRule="exact"/>
                    <w:ind w:firstLine="210" w:firstLineChars="100"/>
                    <w:jc w:val="both"/>
                    <w:rPr>
                      <w:color w:val="auto"/>
                      <w:szCs w:val="21"/>
                    </w:rPr>
                  </w:pPr>
                  <w:r>
                    <w:rPr>
                      <w:color w:val="auto"/>
                      <w:szCs w:val="21"/>
                    </w:rPr>
                    <w:t>根据可研，项目经火化机尾气处理装置处理后的废气通过1根12m、Ф0.48m，编号为（DA001）的排气筒外排。</w:t>
                  </w:r>
                </w:p>
              </w:tc>
              <w:tc>
                <w:tcPr>
                  <w:tcW w:w="783" w:type="dxa"/>
                  <w:vAlign w:val="center"/>
                </w:tcPr>
                <w:p>
                  <w:pPr>
                    <w:pStyle w:val="26"/>
                    <w:spacing w:line="360" w:lineRule="exact"/>
                    <w:rPr>
                      <w:color w:val="auto"/>
                      <w:szCs w:val="21"/>
                      <w:highlight w:val="yellow"/>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rPr>
                  </w:pPr>
                </w:p>
              </w:tc>
              <w:tc>
                <w:tcPr>
                  <w:tcW w:w="721" w:type="dxa"/>
                  <w:vMerge w:val="continue"/>
                  <w:vAlign w:val="center"/>
                </w:tcPr>
                <w:p>
                  <w:pPr>
                    <w:pStyle w:val="26"/>
                    <w:spacing w:line="360" w:lineRule="exact"/>
                    <w:rPr>
                      <w:color w:val="auto"/>
                      <w:szCs w:val="21"/>
                    </w:rPr>
                  </w:pPr>
                </w:p>
              </w:tc>
              <w:tc>
                <w:tcPr>
                  <w:tcW w:w="1069" w:type="dxa"/>
                  <w:vAlign w:val="center"/>
                </w:tcPr>
                <w:p>
                  <w:pPr>
                    <w:pStyle w:val="26"/>
                    <w:spacing w:line="360" w:lineRule="exact"/>
                    <w:rPr>
                      <w:color w:val="auto"/>
                      <w:szCs w:val="21"/>
                    </w:rPr>
                  </w:pPr>
                  <w:r>
                    <w:rPr>
                      <w:color w:val="auto"/>
                      <w:szCs w:val="21"/>
                    </w:rPr>
                    <w:t>遗物焚烧炉尾气处理系统</w:t>
                  </w:r>
                </w:p>
              </w:tc>
              <w:tc>
                <w:tcPr>
                  <w:tcW w:w="5299" w:type="dxa"/>
                  <w:vAlign w:val="center"/>
                </w:tcPr>
                <w:p>
                  <w:pPr>
                    <w:pStyle w:val="26"/>
                    <w:spacing w:line="360" w:lineRule="exact"/>
                    <w:ind w:firstLine="210" w:firstLineChars="100"/>
                    <w:jc w:val="both"/>
                    <w:rPr>
                      <w:color w:val="auto"/>
                      <w:szCs w:val="21"/>
                    </w:rPr>
                  </w:pPr>
                  <w:r>
                    <w:rPr>
                      <w:color w:val="auto"/>
                      <w:szCs w:val="21"/>
                    </w:rPr>
                    <w:t>根据可研，项目遗物焚烧炉尾气处理系统由遗物焚烧炉尾气处理装置和排气筒两部分组成。具体如下：</w:t>
                  </w:r>
                </w:p>
                <w:p>
                  <w:pPr>
                    <w:pStyle w:val="26"/>
                    <w:spacing w:line="360" w:lineRule="exact"/>
                    <w:ind w:firstLine="210" w:firstLineChars="100"/>
                    <w:jc w:val="both"/>
                    <w:rPr>
                      <w:color w:val="auto"/>
                      <w:szCs w:val="21"/>
                    </w:rPr>
                  </w:pPr>
                  <w:r>
                    <w:rPr>
                      <w:color w:val="auto"/>
                      <w:szCs w:val="21"/>
                    </w:rPr>
                    <w:t>①遗物焚烧炉尾气处理装置</w:t>
                  </w:r>
                </w:p>
                <w:p>
                  <w:pPr>
                    <w:pStyle w:val="26"/>
                    <w:spacing w:line="360" w:lineRule="exact"/>
                    <w:ind w:firstLine="210" w:firstLineChars="100"/>
                    <w:jc w:val="both"/>
                    <w:rPr>
                      <w:color w:val="auto"/>
                      <w:szCs w:val="21"/>
                    </w:rPr>
                  </w:pPr>
                  <w:r>
                    <w:rPr>
                      <w:color w:val="auto"/>
                      <w:szCs w:val="21"/>
                    </w:rPr>
                    <w:t>根据可研，项目拟采购1套遗物焚烧炉尾气处理装置对遗物焚烧废气进行处理，该遗物焚烧炉尾气处理装置采用全干法双脉冲处理工艺，内置高效降温器+初级除尘器+脱酸脱硫二噁英喷射装置+布袋除尘器+活性炭吸附器，根据该设备的设计参数，烟尘去除率可达到99%、SO</w:t>
                  </w:r>
                  <w:r>
                    <w:rPr>
                      <w:color w:val="auto"/>
                      <w:szCs w:val="21"/>
                      <w:vertAlign w:val="subscript"/>
                    </w:rPr>
                    <w:t>2</w:t>
                  </w:r>
                  <w:r>
                    <w:rPr>
                      <w:color w:val="auto"/>
                      <w:szCs w:val="21"/>
                    </w:rPr>
                    <w:t>去除率可达到80%、CO去除率可达到35.3%、HCl去除率可达到78.7%、汞去除效率可达到80%、二噁英去除率可达到62.2%。</w:t>
                  </w:r>
                </w:p>
                <w:p>
                  <w:pPr>
                    <w:pStyle w:val="26"/>
                    <w:spacing w:line="360" w:lineRule="exact"/>
                    <w:ind w:firstLine="210" w:firstLineChars="100"/>
                    <w:jc w:val="both"/>
                    <w:rPr>
                      <w:color w:val="auto"/>
                      <w:szCs w:val="21"/>
                    </w:rPr>
                  </w:pPr>
                  <w:r>
                    <w:rPr>
                      <w:color w:val="auto"/>
                      <w:szCs w:val="21"/>
                    </w:rPr>
                    <w:t>②排气筒（DA002）</w:t>
                  </w:r>
                </w:p>
                <w:p>
                  <w:pPr>
                    <w:pStyle w:val="26"/>
                    <w:spacing w:line="360" w:lineRule="exact"/>
                    <w:ind w:firstLine="210" w:firstLineChars="100"/>
                    <w:jc w:val="both"/>
                    <w:rPr>
                      <w:color w:val="auto"/>
                      <w:szCs w:val="21"/>
                    </w:rPr>
                  </w:pPr>
                  <w:r>
                    <w:rPr>
                      <w:color w:val="auto"/>
                      <w:szCs w:val="21"/>
                    </w:rPr>
                    <w:t>根据可研，项目经遗物焚烧炉尾气处理装置处理后的废气通过1根12m、Ф0.30m，编号为（DA002）的排气筒外排。</w:t>
                  </w:r>
                </w:p>
              </w:tc>
              <w:tc>
                <w:tcPr>
                  <w:tcW w:w="783" w:type="dxa"/>
                  <w:vAlign w:val="center"/>
                </w:tcPr>
                <w:p>
                  <w:pPr>
                    <w:pStyle w:val="26"/>
                    <w:spacing w:line="360" w:lineRule="exact"/>
                    <w:rPr>
                      <w:color w:val="auto"/>
                      <w:szCs w:val="21"/>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rPr>
                  </w:pPr>
                </w:p>
              </w:tc>
              <w:tc>
                <w:tcPr>
                  <w:tcW w:w="721" w:type="dxa"/>
                  <w:vMerge w:val="continue"/>
                  <w:vAlign w:val="center"/>
                </w:tcPr>
                <w:p>
                  <w:pPr>
                    <w:pStyle w:val="26"/>
                    <w:spacing w:line="360" w:lineRule="exact"/>
                    <w:rPr>
                      <w:color w:val="auto"/>
                      <w:szCs w:val="21"/>
                    </w:rPr>
                  </w:pPr>
                </w:p>
              </w:tc>
              <w:tc>
                <w:tcPr>
                  <w:tcW w:w="1069" w:type="dxa"/>
                  <w:vAlign w:val="center"/>
                </w:tcPr>
                <w:p>
                  <w:pPr>
                    <w:pStyle w:val="26"/>
                    <w:spacing w:line="360" w:lineRule="exact"/>
                    <w:rPr>
                      <w:color w:val="auto"/>
                      <w:szCs w:val="21"/>
                    </w:rPr>
                  </w:pPr>
                  <w:r>
                    <w:rPr>
                      <w:color w:val="auto"/>
                      <w:szCs w:val="21"/>
                    </w:rPr>
                    <w:t>油烟净化器</w:t>
                  </w:r>
                </w:p>
              </w:tc>
              <w:tc>
                <w:tcPr>
                  <w:tcW w:w="5299" w:type="dxa"/>
                  <w:vAlign w:val="center"/>
                </w:tcPr>
                <w:p>
                  <w:pPr>
                    <w:pStyle w:val="26"/>
                    <w:spacing w:line="360" w:lineRule="exact"/>
                    <w:ind w:firstLine="210" w:firstLineChars="100"/>
                    <w:jc w:val="both"/>
                    <w:rPr>
                      <w:color w:val="auto"/>
                      <w:szCs w:val="24"/>
                    </w:rPr>
                  </w:pPr>
                  <w:r>
                    <w:rPr>
                      <w:color w:val="auto"/>
                      <w:szCs w:val="24"/>
                    </w:rPr>
                    <w:t>根据设计，项目针对员工食堂，拟配套设置1台处理效率不低于60%的油烟净化器，并通过高于房顶1.5m的烟道外排。</w:t>
                  </w:r>
                </w:p>
              </w:tc>
              <w:tc>
                <w:tcPr>
                  <w:tcW w:w="783" w:type="dxa"/>
                  <w:vAlign w:val="center"/>
                </w:tcPr>
                <w:p>
                  <w:pPr>
                    <w:pStyle w:val="26"/>
                    <w:spacing w:line="360" w:lineRule="exact"/>
                    <w:rPr>
                      <w:color w:val="auto"/>
                      <w:szCs w:val="21"/>
                    </w:rPr>
                  </w:pPr>
                  <w:r>
                    <w:rPr>
                      <w:color w:val="auto"/>
                      <w:szCs w:val="21"/>
                    </w:rPr>
                    <w:t>可研提出</w:t>
                  </w:r>
                </w:p>
              </w:tc>
            </w:tr>
            <w:tr>
              <w:tblPrEx>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1790" w:type="dxa"/>
                  <w:gridSpan w:val="2"/>
                  <w:vAlign w:val="center"/>
                </w:tcPr>
                <w:p>
                  <w:pPr>
                    <w:pStyle w:val="26"/>
                    <w:spacing w:line="360" w:lineRule="exact"/>
                    <w:rPr>
                      <w:color w:val="auto"/>
                      <w:szCs w:val="21"/>
                    </w:rPr>
                  </w:pPr>
                  <w:r>
                    <w:rPr>
                      <w:color w:val="auto"/>
                      <w:szCs w:val="21"/>
                    </w:rPr>
                    <w:t>雨污分流</w:t>
                  </w:r>
                </w:p>
              </w:tc>
              <w:tc>
                <w:tcPr>
                  <w:tcW w:w="5299" w:type="dxa"/>
                  <w:vAlign w:val="center"/>
                </w:tcPr>
                <w:p>
                  <w:pPr>
                    <w:pStyle w:val="26"/>
                    <w:spacing w:line="360" w:lineRule="exact"/>
                    <w:ind w:firstLine="210" w:firstLineChars="100"/>
                    <w:jc w:val="both"/>
                    <w:rPr>
                      <w:color w:val="auto"/>
                      <w:szCs w:val="21"/>
                    </w:rPr>
                  </w:pPr>
                  <w:r>
                    <w:rPr>
                      <w:color w:val="auto"/>
                      <w:szCs w:val="21"/>
                    </w:rPr>
                    <w:t>根据可研，项目拟建设污水管道，和现有的雨水沟分开，实现雨污分流。</w:t>
                  </w:r>
                </w:p>
              </w:tc>
              <w:tc>
                <w:tcPr>
                  <w:tcW w:w="783" w:type="dxa"/>
                  <w:vAlign w:val="center"/>
                </w:tcPr>
                <w:p>
                  <w:pPr>
                    <w:pStyle w:val="26"/>
                    <w:spacing w:line="360" w:lineRule="exact"/>
                    <w:rPr>
                      <w:color w:val="auto"/>
                      <w:szCs w:val="21"/>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restart"/>
                  <w:vAlign w:val="center"/>
                </w:tcPr>
                <w:p>
                  <w:pPr>
                    <w:pStyle w:val="26"/>
                    <w:spacing w:line="360" w:lineRule="exact"/>
                    <w:rPr>
                      <w:color w:val="auto"/>
                      <w:szCs w:val="21"/>
                    </w:rPr>
                  </w:pPr>
                  <w:r>
                    <w:rPr>
                      <w:color w:val="auto"/>
                      <w:szCs w:val="21"/>
                    </w:rPr>
                    <w:t>废水</w:t>
                  </w:r>
                </w:p>
              </w:tc>
              <w:tc>
                <w:tcPr>
                  <w:tcW w:w="1069" w:type="dxa"/>
                  <w:vAlign w:val="center"/>
                </w:tcPr>
                <w:p>
                  <w:pPr>
                    <w:pStyle w:val="26"/>
                    <w:spacing w:line="360" w:lineRule="exact"/>
                    <w:rPr>
                      <w:color w:val="auto"/>
                      <w:szCs w:val="21"/>
                    </w:rPr>
                  </w:pPr>
                  <w:r>
                    <w:rPr>
                      <w:color w:val="auto"/>
                      <w:szCs w:val="21"/>
                    </w:rPr>
                    <w:t>隔油池</w:t>
                  </w:r>
                </w:p>
              </w:tc>
              <w:tc>
                <w:tcPr>
                  <w:tcW w:w="5299" w:type="dxa"/>
                  <w:vAlign w:val="center"/>
                </w:tcPr>
                <w:p>
                  <w:pPr>
                    <w:pStyle w:val="26"/>
                    <w:spacing w:line="360" w:lineRule="exact"/>
                    <w:ind w:firstLine="210" w:firstLineChars="100"/>
                    <w:jc w:val="both"/>
                    <w:rPr>
                      <w:color w:val="auto"/>
                      <w:szCs w:val="21"/>
                    </w:rPr>
                  </w:pPr>
                  <w:r>
                    <w:rPr>
                      <w:color w:val="auto"/>
                      <w:szCs w:val="21"/>
                    </w:rPr>
                    <w:t>根据可研，项目拟设置1个1m³的隔油池对厨房废水进行预处理。</w:t>
                  </w:r>
                </w:p>
              </w:tc>
              <w:tc>
                <w:tcPr>
                  <w:tcW w:w="783" w:type="dxa"/>
                  <w:vAlign w:val="center"/>
                </w:tcPr>
                <w:p>
                  <w:pPr>
                    <w:pStyle w:val="26"/>
                    <w:spacing w:line="360" w:lineRule="exact"/>
                    <w:rPr>
                      <w:color w:val="auto"/>
                      <w:szCs w:val="21"/>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continue"/>
                  <w:vAlign w:val="center"/>
                </w:tcPr>
                <w:p>
                  <w:pPr>
                    <w:pStyle w:val="26"/>
                    <w:spacing w:line="360" w:lineRule="exact"/>
                    <w:rPr>
                      <w:color w:val="auto"/>
                      <w:szCs w:val="21"/>
                    </w:rPr>
                  </w:pPr>
                </w:p>
              </w:tc>
              <w:tc>
                <w:tcPr>
                  <w:tcW w:w="1069" w:type="dxa"/>
                  <w:vAlign w:val="center"/>
                </w:tcPr>
                <w:p>
                  <w:pPr>
                    <w:pStyle w:val="26"/>
                    <w:spacing w:line="360" w:lineRule="exact"/>
                    <w:rPr>
                      <w:color w:val="auto"/>
                      <w:szCs w:val="21"/>
                    </w:rPr>
                  </w:pPr>
                  <w:r>
                    <w:rPr>
                      <w:color w:val="auto"/>
                      <w:szCs w:val="21"/>
                    </w:rPr>
                    <w:t>化粪池</w:t>
                  </w:r>
                </w:p>
              </w:tc>
              <w:tc>
                <w:tcPr>
                  <w:tcW w:w="5299" w:type="dxa"/>
                  <w:vAlign w:val="center"/>
                </w:tcPr>
                <w:p>
                  <w:pPr>
                    <w:pStyle w:val="26"/>
                    <w:spacing w:line="360" w:lineRule="exact"/>
                    <w:ind w:firstLine="210" w:firstLineChars="100"/>
                    <w:jc w:val="both"/>
                    <w:rPr>
                      <w:color w:val="auto"/>
                      <w:szCs w:val="21"/>
                    </w:rPr>
                  </w:pPr>
                  <w:r>
                    <w:rPr>
                      <w:color w:val="auto"/>
                      <w:szCs w:val="21"/>
                    </w:rPr>
                    <w:t>根据可研，项目拟设置了1个5m³的化粪池对生活污水进行处理。</w:t>
                  </w:r>
                </w:p>
              </w:tc>
              <w:tc>
                <w:tcPr>
                  <w:tcW w:w="783" w:type="dxa"/>
                  <w:vAlign w:val="center"/>
                </w:tcPr>
                <w:p>
                  <w:pPr>
                    <w:pStyle w:val="26"/>
                    <w:spacing w:line="360" w:lineRule="exact"/>
                    <w:rPr>
                      <w:color w:val="auto"/>
                      <w:szCs w:val="21"/>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continue"/>
                  <w:vAlign w:val="center"/>
                </w:tcPr>
                <w:p>
                  <w:pPr>
                    <w:pStyle w:val="26"/>
                    <w:spacing w:line="360" w:lineRule="exact"/>
                    <w:rPr>
                      <w:color w:val="auto"/>
                      <w:szCs w:val="21"/>
                    </w:rPr>
                  </w:pPr>
                </w:p>
              </w:tc>
              <w:tc>
                <w:tcPr>
                  <w:tcW w:w="1069" w:type="dxa"/>
                  <w:vAlign w:val="center"/>
                </w:tcPr>
                <w:p>
                  <w:pPr>
                    <w:pStyle w:val="26"/>
                    <w:spacing w:line="360" w:lineRule="exact"/>
                    <w:rPr>
                      <w:color w:val="auto"/>
                      <w:szCs w:val="21"/>
                    </w:rPr>
                  </w:pPr>
                  <w:r>
                    <w:rPr>
                      <w:color w:val="auto"/>
                      <w:szCs w:val="21"/>
                    </w:rPr>
                    <w:t>初期雨水收集池</w:t>
                  </w:r>
                </w:p>
              </w:tc>
              <w:tc>
                <w:tcPr>
                  <w:tcW w:w="5299" w:type="dxa"/>
                  <w:vAlign w:val="center"/>
                </w:tcPr>
                <w:p>
                  <w:pPr>
                    <w:pStyle w:val="26"/>
                    <w:spacing w:line="360" w:lineRule="exact"/>
                    <w:ind w:firstLine="210" w:firstLineChars="100"/>
                    <w:jc w:val="both"/>
                    <w:rPr>
                      <w:color w:val="auto"/>
                      <w:szCs w:val="21"/>
                    </w:rPr>
                  </w:pPr>
                  <w:r>
                    <w:rPr>
                      <w:color w:val="auto"/>
                      <w:szCs w:val="21"/>
                    </w:rPr>
                    <w:t>根据可研，目前项目无初期雨水收集设施，初期雨水直接进入雨水管网，因此拟设置1个有效容积为6m³的初期雨水收集池对初期雨水进行收集处理。</w:t>
                  </w:r>
                </w:p>
              </w:tc>
              <w:tc>
                <w:tcPr>
                  <w:tcW w:w="783" w:type="dxa"/>
                  <w:vAlign w:val="center"/>
                </w:tcPr>
                <w:p>
                  <w:pPr>
                    <w:pStyle w:val="26"/>
                    <w:spacing w:line="360" w:lineRule="exact"/>
                    <w:rPr>
                      <w:color w:val="auto"/>
                      <w:szCs w:val="21"/>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continue"/>
                  <w:vAlign w:val="center"/>
                </w:tcPr>
                <w:p>
                  <w:pPr>
                    <w:pStyle w:val="26"/>
                    <w:spacing w:line="360" w:lineRule="exact"/>
                    <w:rPr>
                      <w:color w:val="auto"/>
                      <w:szCs w:val="21"/>
                    </w:rPr>
                  </w:pPr>
                </w:p>
              </w:tc>
              <w:tc>
                <w:tcPr>
                  <w:tcW w:w="1069" w:type="dxa"/>
                  <w:vAlign w:val="center"/>
                </w:tcPr>
                <w:p>
                  <w:pPr>
                    <w:pStyle w:val="26"/>
                    <w:spacing w:line="360" w:lineRule="exact"/>
                    <w:rPr>
                      <w:color w:val="auto"/>
                      <w:szCs w:val="21"/>
                    </w:rPr>
                  </w:pPr>
                  <w:r>
                    <w:rPr>
                      <w:color w:val="auto"/>
                      <w:szCs w:val="21"/>
                    </w:rPr>
                    <w:t>调节池</w:t>
                  </w:r>
                </w:p>
              </w:tc>
              <w:tc>
                <w:tcPr>
                  <w:tcW w:w="5299" w:type="dxa"/>
                  <w:vAlign w:val="center"/>
                </w:tcPr>
                <w:p>
                  <w:pPr>
                    <w:pStyle w:val="26"/>
                    <w:spacing w:line="360" w:lineRule="exact"/>
                    <w:ind w:firstLine="210" w:firstLineChars="100"/>
                    <w:jc w:val="both"/>
                    <w:rPr>
                      <w:color w:val="auto"/>
                      <w:szCs w:val="21"/>
                    </w:rPr>
                  </w:pPr>
                  <w:r>
                    <w:rPr>
                      <w:color w:val="auto"/>
                      <w:szCs w:val="21"/>
                    </w:rPr>
                    <w:t>项目废水包括：遗体清洗废水、生活污水、灵车清洗废水和初期雨水；各废水在排放过程中，随着生产状况的变化而变化，存在水质的不均匀和水量的不稳定情况，为了使处理工艺正常工作，不受废水高峰流量或高峰浓度变化的影响，要求废水在进行处理前有一个较为稳定的水量和均匀的水质。因此拟设置1个8m³的调节池，对各工序产生的废水进行收集、调节，使其流量稳定进入一体化污水处理设施进行处理。</w:t>
                  </w:r>
                </w:p>
              </w:tc>
              <w:tc>
                <w:tcPr>
                  <w:tcW w:w="783" w:type="dxa"/>
                  <w:vAlign w:val="center"/>
                </w:tcPr>
                <w:p>
                  <w:pPr>
                    <w:pStyle w:val="26"/>
                    <w:spacing w:line="360" w:lineRule="exact"/>
                    <w:rPr>
                      <w:color w:val="auto"/>
                      <w:szCs w:val="21"/>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continue"/>
                  <w:vAlign w:val="center"/>
                </w:tcPr>
                <w:p>
                  <w:pPr>
                    <w:pStyle w:val="26"/>
                    <w:spacing w:line="360" w:lineRule="exact"/>
                    <w:rPr>
                      <w:color w:val="auto"/>
                      <w:szCs w:val="21"/>
                    </w:rPr>
                  </w:pPr>
                </w:p>
              </w:tc>
              <w:tc>
                <w:tcPr>
                  <w:tcW w:w="1069" w:type="dxa"/>
                  <w:vAlign w:val="center"/>
                </w:tcPr>
                <w:p>
                  <w:pPr>
                    <w:pStyle w:val="26"/>
                    <w:spacing w:line="360" w:lineRule="exact"/>
                    <w:rPr>
                      <w:color w:val="auto"/>
                      <w:szCs w:val="21"/>
                    </w:rPr>
                  </w:pPr>
                  <w:r>
                    <w:rPr>
                      <w:color w:val="auto"/>
                      <w:szCs w:val="21"/>
                    </w:rPr>
                    <w:t>一体化污水处理设施</w:t>
                  </w:r>
                </w:p>
              </w:tc>
              <w:tc>
                <w:tcPr>
                  <w:tcW w:w="5299" w:type="dxa"/>
                  <w:vAlign w:val="center"/>
                </w:tcPr>
                <w:p>
                  <w:pPr>
                    <w:pStyle w:val="26"/>
                    <w:spacing w:line="360" w:lineRule="exact"/>
                    <w:ind w:firstLine="210" w:firstLineChars="100"/>
                    <w:jc w:val="both"/>
                    <w:rPr>
                      <w:color w:val="auto"/>
                      <w:szCs w:val="21"/>
                    </w:rPr>
                  </w:pPr>
                  <w:r>
                    <w:rPr>
                      <w:color w:val="auto"/>
                      <w:szCs w:val="21"/>
                    </w:rPr>
                    <w:t>根据可研，为使项目区产生的废水稳定达到《城市污水再生利用城市杂用水水质》（GB/T18920-2020）城市绿化标准要求，项目拟设置1个处理能力为20m³/d的一体化污水处理设施对综合废水进行处理，该设备拟采用生物接触氧化处理工艺。</w:t>
                  </w:r>
                </w:p>
              </w:tc>
              <w:tc>
                <w:tcPr>
                  <w:tcW w:w="783" w:type="dxa"/>
                  <w:vAlign w:val="center"/>
                </w:tcPr>
                <w:p>
                  <w:pPr>
                    <w:pStyle w:val="26"/>
                    <w:spacing w:line="360" w:lineRule="exact"/>
                    <w:rPr>
                      <w:color w:val="auto"/>
                      <w:szCs w:val="21"/>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continue"/>
                  <w:vAlign w:val="center"/>
                </w:tcPr>
                <w:p>
                  <w:pPr>
                    <w:pStyle w:val="26"/>
                    <w:spacing w:line="360" w:lineRule="exact"/>
                    <w:rPr>
                      <w:color w:val="auto"/>
                      <w:szCs w:val="21"/>
                    </w:rPr>
                  </w:pPr>
                </w:p>
              </w:tc>
              <w:tc>
                <w:tcPr>
                  <w:tcW w:w="1069" w:type="dxa"/>
                  <w:vAlign w:val="center"/>
                </w:tcPr>
                <w:p>
                  <w:pPr>
                    <w:pStyle w:val="26"/>
                    <w:spacing w:line="360" w:lineRule="exact"/>
                    <w:rPr>
                      <w:color w:val="auto"/>
                      <w:szCs w:val="21"/>
                    </w:rPr>
                  </w:pPr>
                  <w:r>
                    <w:rPr>
                      <w:color w:val="auto"/>
                      <w:szCs w:val="21"/>
                    </w:rPr>
                    <w:t>回用水池</w:t>
                  </w:r>
                </w:p>
              </w:tc>
              <w:tc>
                <w:tcPr>
                  <w:tcW w:w="5299" w:type="dxa"/>
                  <w:vAlign w:val="center"/>
                </w:tcPr>
                <w:p>
                  <w:pPr>
                    <w:pStyle w:val="26"/>
                    <w:spacing w:line="360" w:lineRule="exact"/>
                    <w:ind w:firstLine="210" w:firstLineChars="100"/>
                    <w:jc w:val="both"/>
                    <w:rPr>
                      <w:color w:val="auto"/>
                      <w:szCs w:val="21"/>
                    </w:rPr>
                  </w:pPr>
                  <w:r>
                    <w:rPr>
                      <w:color w:val="auto"/>
                      <w:szCs w:val="21"/>
                    </w:rPr>
                    <w:t>根据可研，项目拟设置1个10m³的回用水池，项目废水经调节池收集、一体化污水处理设施处理后，进入回用水池，全部回用于绿化，不外排。</w:t>
                  </w:r>
                </w:p>
              </w:tc>
              <w:tc>
                <w:tcPr>
                  <w:tcW w:w="783" w:type="dxa"/>
                  <w:vAlign w:val="center"/>
                </w:tcPr>
                <w:p>
                  <w:pPr>
                    <w:pStyle w:val="26"/>
                    <w:spacing w:line="360" w:lineRule="exact"/>
                    <w:rPr>
                      <w:color w:val="auto"/>
                      <w:szCs w:val="21"/>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restart"/>
                  <w:vAlign w:val="center"/>
                </w:tcPr>
                <w:p>
                  <w:pPr>
                    <w:pStyle w:val="26"/>
                    <w:spacing w:line="360" w:lineRule="exact"/>
                    <w:rPr>
                      <w:color w:val="auto"/>
                      <w:szCs w:val="21"/>
                    </w:rPr>
                  </w:pPr>
                  <w:r>
                    <w:rPr>
                      <w:color w:val="auto"/>
                      <w:szCs w:val="21"/>
                    </w:rPr>
                    <w:t>地下水防渗</w:t>
                  </w:r>
                </w:p>
              </w:tc>
              <w:tc>
                <w:tcPr>
                  <w:tcW w:w="1069" w:type="dxa"/>
                  <w:vAlign w:val="center"/>
                </w:tcPr>
                <w:p>
                  <w:pPr>
                    <w:pStyle w:val="26"/>
                    <w:spacing w:line="360" w:lineRule="exact"/>
                    <w:rPr>
                      <w:color w:val="auto"/>
                      <w:szCs w:val="21"/>
                    </w:rPr>
                  </w:pPr>
                  <w:r>
                    <w:rPr>
                      <w:color w:val="auto"/>
                      <w:szCs w:val="21"/>
                    </w:rPr>
                    <w:t>重点防渗区</w:t>
                  </w:r>
                </w:p>
              </w:tc>
              <w:tc>
                <w:tcPr>
                  <w:tcW w:w="5299" w:type="dxa"/>
                  <w:vAlign w:val="center"/>
                </w:tcPr>
                <w:p>
                  <w:pPr>
                    <w:pStyle w:val="26"/>
                    <w:spacing w:line="360" w:lineRule="exact"/>
                    <w:ind w:firstLine="210" w:firstLineChars="100"/>
                    <w:jc w:val="both"/>
                    <w:rPr>
                      <w:color w:val="auto"/>
                      <w:szCs w:val="21"/>
                    </w:rPr>
                  </w:pPr>
                  <w:r>
                    <w:rPr>
                      <w:color w:val="auto"/>
                      <w:szCs w:val="21"/>
                    </w:rPr>
                    <w:t>危险废物贮存间地面及裙墙、调节池池内应采用不低于2mm后的HDPE膜或其他人工防渗材料进行防渗，使其渗透系数≤10</w:t>
                  </w:r>
                  <w:r>
                    <w:rPr>
                      <w:color w:val="auto"/>
                      <w:szCs w:val="21"/>
                      <w:vertAlign w:val="superscript"/>
                    </w:rPr>
                    <w:t>-10</w:t>
                  </w:r>
                  <w:r>
                    <w:rPr>
                      <w:color w:val="auto"/>
                      <w:szCs w:val="21"/>
                    </w:rPr>
                    <w:t>cm/s；一体化污水处理设施采用一体成型钢结构设施，确保废水无渗漏。</w:t>
                  </w:r>
                </w:p>
              </w:tc>
              <w:tc>
                <w:tcPr>
                  <w:tcW w:w="783" w:type="dxa"/>
                  <w:vAlign w:val="center"/>
                </w:tcPr>
                <w:p>
                  <w:pPr>
                    <w:pStyle w:val="26"/>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continue"/>
                  <w:vAlign w:val="center"/>
                </w:tcPr>
                <w:p>
                  <w:pPr>
                    <w:pStyle w:val="26"/>
                    <w:spacing w:line="360" w:lineRule="exact"/>
                    <w:rPr>
                      <w:color w:val="auto"/>
                      <w:szCs w:val="21"/>
                    </w:rPr>
                  </w:pPr>
                </w:p>
              </w:tc>
              <w:tc>
                <w:tcPr>
                  <w:tcW w:w="1069" w:type="dxa"/>
                  <w:vAlign w:val="center"/>
                </w:tcPr>
                <w:p>
                  <w:pPr>
                    <w:pStyle w:val="26"/>
                    <w:spacing w:line="360" w:lineRule="exact"/>
                    <w:rPr>
                      <w:color w:val="auto"/>
                      <w:szCs w:val="21"/>
                    </w:rPr>
                  </w:pPr>
                  <w:r>
                    <w:rPr>
                      <w:color w:val="auto"/>
                      <w:szCs w:val="21"/>
                    </w:rPr>
                    <w:t>一般防渗区</w:t>
                  </w:r>
                </w:p>
              </w:tc>
              <w:tc>
                <w:tcPr>
                  <w:tcW w:w="5299" w:type="dxa"/>
                  <w:vAlign w:val="center"/>
                </w:tcPr>
                <w:p>
                  <w:pPr>
                    <w:pStyle w:val="26"/>
                    <w:spacing w:line="360" w:lineRule="exact"/>
                    <w:ind w:firstLine="210" w:firstLineChars="100"/>
                    <w:jc w:val="both"/>
                    <w:rPr>
                      <w:color w:val="auto"/>
                      <w:szCs w:val="21"/>
                    </w:rPr>
                  </w:pPr>
                  <w:r>
                    <w:rPr>
                      <w:color w:val="auto"/>
                      <w:szCs w:val="21"/>
                    </w:rPr>
                    <w:t>火化车间及捡灰间、悼念厅及守灵厅，应采用混凝土进行硬化，使其渗透系数≤1.0×10</w:t>
                  </w:r>
                  <w:r>
                    <w:rPr>
                      <w:color w:val="auto"/>
                      <w:szCs w:val="21"/>
                      <w:vertAlign w:val="superscript"/>
                    </w:rPr>
                    <w:t>-7</w:t>
                  </w:r>
                  <w:r>
                    <w:rPr>
                      <w:color w:val="auto"/>
                      <w:szCs w:val="21"/>
                    </w:rPr>
                    <w:t>cm/s。</w:t>
                  </w:r>
                </w:p>
              </w:tc>
              <w:tc>
                <w:tcPr>
                  <w:tcW w:w="783" w:type="dxa"/>
                  <w:vAlign w:val="center"/>
                </w:tcPr>
                <w:p>
                  <w:pPr>
                    <w:pStyle w:val="26"/>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Align w:val="center"/>
                </w:tcPr>
                <w:p>
                  <w:pPr>
                    <w:pStyle w:val="26"/>
                    <w:spacing w:line="360" w:lineRule="exact"/>
                    <w:rPr>
                      <w:color w:val="auto"/>
                      <w:szCs w:val="21"/>
                    </w:rPr>
                  </w:pPr>
                  <w:r>
                    <w:rPr>
                      <w:color w:val="auto"/>
                      <w:szCs w:val="21"/>
                    </w:rPr>
                    <w:t>噪声</w:t>
                  </w:r>
                </w:p>
              </w:tc>
              <w:tc>
                <w:tcPr>
                  <w:tcW w:w="1069" w:type="dxa"/>
                  <w:vAlign w:val="center"/>
                </w:tcPr>
                <w:p>
                  <w:pPr>
                    <w:pStyle w:val="26"/>
                    <w:spacing w:line="360" w:lineRule="exact"/>
                    <w:rPr>
                      <w:color w:val="auto"/>
                      <w:szCs w:val="21"/>
                    </w:rPr>
                  </w:pPr>
                  <w:r>
                    <w:rPr>
                      <w:color w:val="auto"/>
                      <w:szCs w:val="21"/>
                    </w:rPr>
                    <w:t>设备噪声</w:t>
                  </w:r>
                </w:p>
              </w:tc>
              <w:tc>
                <w:tcPr>
                  <w:tcW w:w="5299" w:type="dxa"/>
                  <w:vAlign w:val="center"/>
                </w:tcPr>
                <w:p>
                  <w:pPr>
                    <w:pStyle w:val="26"/>
                    <w:spacing w:line="360" w:lineRule="exact"/>
                    <w:ind w:firstLine="210" w:firstLineChars="100"/>
                    <w:jc w:val="both"/>
                    <w:rPr>
                      <w:color w:val="auto"/>
                      <w:szCs w:val="21"/>
                    </w:rPr>
                  </w:pPr>
                  <w:r>
                    <w:rPr>
                      <w:color w:val="auto"/>
                      <w:szCs w:val="21"/>
                    </w:rPr>
                    <w:t>设备基础加装减震垫、消声器等。</w:t>
                  </w:r>
                </w:p>
              </w:tc>
              <w:tc>
                <w:tcPr>
                  <w:tcW w:w="783" w:type="dxa"/>
                  <w:vAlign w:val="center"/>
                </w:tcPr>
                <w:p>
                  <w:pPr>
                    <w:pStyle w:val="26"/>
                    <w:spacing w:line="360" w:lineRule="exact"/>
                    <w:rPr>
                      <w:color w:val="auto"/>
                      <w:szCs w:val="21"/>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restart"/>
                  <w:vAlign w:val="center"/>
                </w:tcPr>
                <w:p>
                  <w:pPr>
                    <w:pStyle w:val="26"/>
                    <w:spacing w:line="360" w:lineRule="exact"/>
                    <w:rPr>
                      <w:color w:val="auto"/>
                      <w:szCs w:val="21"/>
                    </w:rPr>
                  </w:pPr>
                  <w:r>
                    <w:rPr>
                      <w:color w:val="auto"/>
                      <w:szCs w:val="21"/>
                    </w:rPr>
                    <w:t>固废</w:t>
                  </w:r>
                </w:p>
              </w:tc>
              <w:tc>
                <w:tcPr>
                  <w:tcW w:w="1069" w:type="dxa"/>
                  <w:vAlign w:val="center"/>
                </w:tcPr>
                <w:p>
                  <w:pPr>
                    <w:pStyle w:val="26"/>
                    <w:spacing w:line="360" w:lineRule="exact"/>
                    <w:rPr>
                      <w:color w:val="auto"/>
                      <w:szCs w:val="21"/>
                    </w:rPr>
                  </w:pPr>
                  <w:r>
                    <w:rPr>
                      <w:color w:val="auto"/>
                      <w:szCs w:val="21"/>
                    </w:rPr>
                    <w:t>危险废物贮存间</w:t>
                  </w:r>
                </w:p>
              </w:tc>
              <w:tc>
                <w:tcPr>
                  <w:tcW w:w="5299" w:type="dxa"/>
                  <w:vAlign w:val="center"/>
                </w:tcPr>
                <w:p>
                  <w:pPr>
                    <w:pStyle w:val="26"/>
                    <w:spacing w:line="360" w:lineRule="exact"/>
                    <w:ind w:firstLine="210" w:firstLineChars="100"/>
                    <w:jc w:val="both"/>
                    <w:rPr>
                      <w:color w:val="auto"/>
                      <w:szCs w:val="21"/>
                    </w:rPr>
                  </w:pPr>
                  <w:r>
                    <w:rPr>
                      <w:color w:val="auto"/>
                      <w:szCs w:val="21"/>
                    </w:rPr>
                    <w:t>根据可研，拟针对项目产生的各类危险废物；项目拟建设1个10m²的危险废物贮存间对其进行分类暂存后，分别委托有资质的单位进行处置。</w:t>
                  </w:r>
                </w:p>
              </w:tc>
              <w:tc>
                <w:tcPr>
                  <w:tcW w:w="783" w:type="dxa"/>
                  <w:vAlign w:val="center"/>
                </w:tcPr>
                <w:p>
                  <w:pPr>
                    <w:pStyle w:val="26"/>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continue"/>
                  <w:vAlign w:val="center"/>
                </w:tcPr>
                <w:p>
                  <w:pPr>
                    <w:pStyle w:val="26"/>
                    <w:spacing w:line="360" w:lineRule="exact"/>
                    <w:rPr>
                      <w:color w:val="auto"/>
                      <w:szCs w:val="21"/>
                    </w:rPr>
                  </w:pPr>
                </w:p>
              </w:tc>
              <w:tc>
                <w:tcPr>
                  <w:tcW w:w="1069" w:type="dxa"/>
                  <w:vAlign w:val="center"/>
                </w:tcPr>
                <w:p>
                  <w:pPr>
                    <w:pStyle w:val="26"/>
                    <w:spacing w:line="360" w:lineRule="exact"/>
                    <w:rPr>
                      <w:color w:val="auto"/>
                      <w:szCs w:val="21"/>
                    </w:rPr>
                  </w:pPr>
                  <w:r>
                    <w:rPr>
                      <w:color w:val="auto"/>
                      <w:szCs w:val="21"/>
                    </w:rPr>
                    <w:t>垃圾桶</w:t>
                  </w:r>
                </w:p>
              </w:tc>
              <w:tc>
                <w:tcPr>
                  <w:tcW w:w="5299" w:type="dxa"/>
                  <w:vAlign w:val="center"/>
                </w:tcPr>
                <w:p>
                  <w:pPr>
                    <w:pStyle w:val="26"/>
                    <w:spacing w:line="360" w:lineRule="exact"/>
                    <w:ind w:firstLine="210" w:firstLineChars="100"/>
                    <w:jc w:val="both"/>
                    <w:rPr>
                      <w:color w:val="auto"/>
                      <w:szCs w:val="21"/>
                    </w:rPr>
                  </w:pPr>
                  <w:r>
                    <w:rPr>
                      <w:color w:val="auto"/>
                      <w:szCs w:val="21"/>
                    </w:rPr>
                    <w:t>根据可研，项目区拟设置了生活垃圾桶对生活垃圾进行收集。</w:t>
                  </w:r>
                </w:p>
              </w:tc>
              <w:tc>
                <w:tcPr>
                  <w:tcW w:w="783" w:type="dxa"/>
                  <w:vAlign w:val="center"/>
                </w:tcPr>
                <w:p>
                  <w:pPr>
                    <w:pStyle w:val="26"/>
                    <w:spacing w:line="360" w:lineRule="exact"/>
                    <w:rPr>
                      <w:color w:val="auto"/>
                      <w:szCs w:val="21"/>
                    </w:rPr>
                  </w:pPr>
                  <w:r>
                    <w:rPr>
                      <w:color w:val="auto"/>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restart"/>
                  <w:vAlign w:val="center"/>
                </w:tcPr>
                <w:p>
                  <w:pPr>
                    <w:pStyle w:val="26"/>
                    <w:spacing w:line="360" w:lineRule="exact"/>
                    <w:rPr>
                      <w:color w:val="auto"/>
                      <w:szCs w:val="21"/>
                    </w:rPr>
                  </w:pPr>
                  <w:r>
                    <w:rPr>
                      <w:color w:val="auto"/>
                      <w:szCs w:val="21"/>
                    </w:rPr>
                    <w:t>其他</w:t>
                  </w:r>
                </w:p>
              </w:tc>
              <w:tc>
                <w:tcPr>
                  <w:tcW w:w="1069" w:type="dxa"/>
                  <w:vAlign w:val="center"/>
                </w:tcPr>
                <w:p>
                  <w:pPr>
                    <w:pStyle w:val="26"/>
                    <w:spacing w:line="360" w:lineRule="exact"/>
                    <w:rPr>
                      <w:color w:val="auto"/>
                      <w:szCs w:val="21"/>
                    </w:rPr>
                  </w:pPr>
                  <w:r>
                    <w:rPr>
                      <w:color w:val="auto"/>
                      <w:szCs w:val="21"/>
                    </w:rPr>
                    <w:t>绿化</w:t>
                  </w:r>
                </w:p>
              </w:tc>
              <w:tc>
                <w:tcPr>
                  <w:tcW w:w="5299" w:type="dxa"/>
                  <w:vAlign w:val="center"/>
                </w:tcPr>
                <w:p>
                  <w:pPr>
                    <w:pStyle w:val="26"/>
                    <w:spacing w:line="360" w:lineRule="exact"/>
                    <w:ind w:firstLine="210" w:firstLineChars="100"/>
                    <w:jc w:val="both"/>
                    <w:rPr>
                      <w:color w:val="auto"/>
                      <w:szCs w:val="21"/>
                    </w:rPr>
                  </w:pPr>
                  <w:r>
                    <w:rPr>
                      <w:color w:val="auto"/>
                      <w:szCs w:val="21"/>
                    </w:rPr>
                    <w:t>根据可研，项目区的绿化率不低于40%，则绿化面积约为13155m²。</w:t>
                  </w:r>
                </w:p>
              </w:tc>
              <w:tc>
                <w:tcPr>
                  <w:tcW w:w="783" w:type="dxa"/>
                  <w:vAlign w:val="center"/>
                </w:tcPr>
                <w:p>
                  <w:pPr>
                    <w:pStyle w:val="26"/>
                    <w:spacing w:line="360" w:lineRule="exact"/>
                    <w:rPr>
                      <w:color w:val="auto"/>
                      <w:szCs w:val="21"/>
                    </w:rPr>
                  </w:pPr>
                  <w:r>
                    <w:rPr>
                      <w:color w:val="auto"/>
                      <w:szCs w:val="21"/>
                    </w:rPr>
                    <w:t>可研提出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3" w:type="dxa"/>
                  <w:vMerge w:val="continue"/>
                  <w:vAlign w:val="center"/>
                </w:tcPr>
                <w:p>
                  <w:pPr>
                    <w:pStyle w:val="26"/>
                    <w:spacing w:line="360" w:lineRule="exact"/>
                    <w:rPr>
                      <w:color w:val="auto"/>
                      <w:szCs w:val="21"/>
                      <w:highlight w:val="yellow"/>
                    </w:rPr>
                  </w:pPr>
                </w:p>
              </w:tc>
              <w:tc>
                <w:tcPr>
                  <w:tcW w:w="721" w:type="dxa"/>
                  <w:vMerge w:val="continue"/>
                  <w:vAlign w:val="center"/>
                </w:tcPr>
                <w:p>
                  <w:pPr>
                    <w:pStyle w:val="26"/>
                    <w:spacing w:line="360" w:lineRule="exact"/>
                    <w:rPr>
                      <w:color w:val="auto"/>
                      <w:szCs w:val="21"/>
                    </w:rPr>
                  </w:pPr>
                </w:p>
              </w:tc>
              <w:tc>
                <w:tcPr>
                  <w:tcW w:w="1069" w:type="dxa"/>
                  <w:vAlign w:val="center"/>
                </w:tcPr>
                <w:p>
                  <w:pPr>
                    <w:pStyle w:val="26"/>
                    <w:spacing w:line="360" w:lineRule="exact"/>
                    <w:rPr>
                      <w:color w:val="auto"/>
                      <w:szCs w:val="21"/>
                    </w:rPr>
                  </w:pPr>
                  <w:r>
                    <w:rPr>
                      <w:color w:val="auto"/>
                      <w:szCs w:val="21"/>
                    </w:rPr>
                    <w:t>标识牌</w:t>
                  </w:r>
                </w:p>
              </w:tc>
              <w:tc>
                <w:tcPr>
                  <w:tcW w:w="5299" w:type="dxa"/>
                  <w:vAlign w:val="center"/>
                </w:tcPr>
                <w:p>
                  <w:pPr>
                    <w:pStyle w:val="26"/>
                    <w:spacing w:line="360" w:lineRule="exact"/>
                    <w:ind w:firstLine="210" w:firstLineChars="100"/>
                    <w:jc w:val="both"/>
                    <w:rPr>
                      <w:color w:val="auto"/>
                      <w:szCs w:val="21"/>
                    </w:rPr>
                  </w:pPr>
                  <w:r>
                    <w:rPr>
                      <w:color w:val="auto"/>
                      <w:szCs w:val="21"/>
                    </w:rPr>
                    <w:t>建设单位按照危险废物管理的规范要求，设置危险废物识别标志、环境保护图形标志。</w:t>
                  </w:r>
                </w:p>
              </w:tc>
              <w:tc>
                <w:tcPr>
                  <w:tcW w:w="783" w:type="dxa"/>
                  <w:vAlign w:val="center"/>
                </w:tcPr>
                <w:p>
                  <w:pPr>
                    <w:pStyle w:val="26"/>
                    <w:spacing w:line="360" w:lineRule="exact"/>
                    <w:rPr>
                      <w:color w:val="auto"/>
                      <w:szCs w:val="21"/>
                    </w:rPr>
                  </w:pPr>
                  <w:r>
                    <w:rPr>
                      <w:color w:val="auto"/>
                      <w:szCs w:val="21"/>
                    </w:rPr>
                    <w:t>环评提出</w:t>
                  </w:r>
                </w:p>
              </w:tc>
            </w:tr>
          </w:tbl>
          <w:p>
            <w:pPr>
              <w:autoSpaceDE w:val="0"/>
              <w:autoSpaceDN w:val="0"/>
              <w:spacing w:beforeLines="50" w:line="360" w:lineRule="auto"/>
              <w:ind w:firstLine="241" w:firstLineChars="100"/>
              <w:rPr>
                <w:rFonts w:ascii="Times New Roman" w:hAnsi="Times New Roman" w:cs="Times New Roman"/>
                <w:b/>
                <w:sz w:val="24"/>
                <w:szCs w:val="24"/>
              </w:rPr>
            </w:pPr>
            <w:bookmarkStart w:id="0" w:name="_Toc493693536"/>
            <w:bookmarkStart w:id="1" w:name="_Toc433544969"/>
            <w:r>
              <w:rPr>
                <w:rFonts w:ascii="Times New Roman" w:hAnsi="Times New Roman" w:cs="Times New Roman"/>
                <w:b/>
                <w:sz w:val="24"/>
                <w:szCs w:val="24"/>
              </w:rPr>
              <w:t>2.2 总平面布置</w:t>
            </w:r>
            <w:bookmarkEnd w:id="0"/>
            <w:bookmarkEnd w:id="1"/>
            <w:r>
              <w:rPr>
                <w:rFonts w:ascii="Times New Roman" w:hAnsi="Times New Roman" w:cs="Times New Roman"/>
                <w:b/>
                <w:sz w:val="24"/>
                <w:szCs w:val="24"/>
              </w:rPr>
              <w:t>及其合理性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可研，该项目从西至东分别布置综合服务楼、公厕、悼念厅及守灵厅、火化车间及捡灰间、骨灰堂和化宝间。火化机尾气处理系统位于火化车间及捡灰间旁，遗物焚烧炉尾气处理系统位于化宝间旁；隔油池和化粪池位于项目区公厕旁，初期雨水收集池。调节池、一体化污水处理设施及回用水池位于项目区北侧。危险废物贮存间位于项目区西北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项目在厂区平面布置详见附图2 项目区平面布置示意图。</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2.3 主要产品及产能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根据可研，该项目为殡仪馆建设项目，遗体实际火化量约为2060具/年。</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2.4 主要生产单元、主要工艺、生产设施及设施参数</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根据可研，项目主要生产单元、主要工艺、生产设施及设施参数如下表所示。</w:t>
            </w: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p>
            <w:pPr>
              <w:pStyle w:val="28"/>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sz w:val="21"/>
                <w:szCs w:val="21"/>
              </w:rPr>
            </w:pPr>
            <w:r>
              <w:rPr>
                <w:rFonts w:hAnsi="Times New Roman" w:eastAsiaTheme="minorEastAsia"/>
                <w:bCs/>
                <w:snapToGrid w:val="0"/>
                <w:sz w:val="21"/>
                <w:szCs w:val="21"/>
              </w:rPr>
              <w:t>表2.4-1 主要生产单元、主要工艺、生产设施及设施参数表</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1134"/>
              <w:gridCol w:w="2976"/>
              <w:gridCol w:w="2694"/>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主要生产单元</w:t>
                  </w:r>
                </w:p>
              </w:tc>
              <w:tc>
                <w:tcPr>
                  <w:tcW w:w="113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主要工艺</w:t>
                  </w: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生产设施</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设施参数</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主体工程</w:t>
                  </w:r>
                </w:p>
              </w:tc>
              <w:tc>
                <w:tcPr>
                  <w:tcW w:w="1134"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悼念厅及守灵厅</w:t>
                  </w: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水晶棺</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3台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三门一体太平柜</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4组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大厅全自动瞻仰台</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小厅瞻仰台</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多功能淋浴整容化妆台</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消毒柜</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器械手推车</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器械工具柜</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火化车间</w:t>
                  </w: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智能监测环保节能拣灰火化机</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45min/具</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4套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电动液压升降车</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柴油储罐</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2t/个</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877"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134" w:type="dxa"/>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化宝间</w:t>
                  </w:r>
                </w:p>
              </w:tc>
              <w:tc>
                <w:tcPr>
                  <w:tcW w:w="2976" w:type="dxa"/>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智能监测环保遗物焚烧炉</w:t>
                  </w:r>
                </w:p>
              </w:tc>
              <w:tc>
                <w:tcPr>
                  <w:tcW w:w="2694" w:type="dxa"/>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卧式</w:t>
                  </w:r>
                </w:p>
              </w:tc>
              <w:tc>
                <w:tcPr>
                  <w:tcW w:w="924" w:type="dxa"/>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储运工程</w:t>
                  </w:r>
                </w:p>
              </w:tc>
              <w:tc>
                <w:tcPr>
                  <w:tcW w:w="1134"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遗体运输</w:t>
                  </w: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殡仪车</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14辆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推尸车</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6辆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14" w:hRule="atLeast"/>
                <w:jc w:val="center"/>
              </w:trPr>
              <w:tc>
                <w:tcPr>
                  <w:tcW w:w="877"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环保工程</w:t>
                  </w:r>
                </w:p>
              </w:tc>
              <w:tc>
                <w:tcPr>
                  <w:tcW w:w="1134"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废气处理</w:t>
                  </w: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火化机尾气处理装置</w:t>
                  </w:r>
                </w:p>
              </w:tc>
              <w:tc>
                <w:tcPr>
                  <w:tcW w:w="2694" w:type="dxa"/>
                  <w:vMerge w:val="restart"/>
                  <w:vAlign w:val="center"/>
                </w:tcPr>
                <w:p>
                  <w:pPr>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3套设备均采用全干法双脉冲处理工艺，装置内置高效降温器+初级除尘器+脱酸脱硫二噁英喷射装置+布袋除尘器+活性炭吸附器。</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遗物焚烧炉尾气处理装置</w:t>
                  </w:r>
                </w:p>
              </w:tc>
              <w:tc>
                <w:tcPr>
                  <w:tcW w:w="269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排气筒</w:t>
                  </w:r>
                </w:p>
              </w:tc>
              <w:tc>
                <w:tcPr>
                  <w:tcW w:w="2694" w:type="dxa"/>
                  <w:vAlign w:val="center"/>
                </w:tcPr>
                <w:p>
                  <w:pPr>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1根12m、Ф0.48m（DA001）和1根12m、Ф0.30m（DA002）。</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7"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13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废水处理</w:t>
                  </w:r>
                </w:p>
              </w:tc>
              <w:tc>
                <w:tcPr>
                  <w:tcW w:w="2976"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一体化污水处理设施</w:t>
                  </w:r>
                </w:p>
              </w:tc>
              <w:tc>
                <w:tcPr>
                  <w:tcW w:w="269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cs="Times New Roman"/>
                    </w:rPr>
                    <w:t>处理能力为20m³/d</w:t>
                  </w:r>
                </w:p>
              </w:tc>
              <w:tc>
                <w:tcPr>
                  <w:tcW w:w="924"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1套</w:t>
                  </w:r>
                </w:p>
              </w:tc>
            </w:tr>
          </w:tbl>
          <w:p>
            <w:pPr>
              <w:spacing w:beforeLines="5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项目拟设置的智能监测环保节能拣灰火化机为较为先进的二次燃烧式火化机，其设备参数如下表所示。</w:t>
            </w:r>
          </w:p>
          <w:p>
            <w:pPr>
              <w:pStyle w:val="36"/>
              <w:spacing w:line="360" w:lineRule="exact"/>
              <w:rPr>
                <w:szCs w:val="21"/>
              </w:rPr>
            </w:pPr>
            <w:r>
              <w:rPr>
                <w:szCs w:val="21"/>
              </w:rPr>
              <w:t>表2.4-2 智能监测环保节能拣灰火化机设备参数一览表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49"/>
              <w:gridCol w:w="2152"/>
              <w:gridCol w:w="2152"/>
              <w:gridCol w:w="21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49"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使用燃料</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0-30#轻柴油</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火化炉表面温升</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＜30℃，局部＜60℃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49"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耗油量</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约6-12L/具</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保温性能</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350℃-900℃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49"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火化时间</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约45min/具</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除尘方式</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全干法双脉冲处理工艺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49"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主炉膛工作压力</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-5Pa-10Pa</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排烟方式</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下排式烟道，引射式烟囱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49"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主炉膛最大负压</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＞-500Pa</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烟气浓度</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≤林格曼I级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49"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主炉膛工作温度</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700℃-900℃</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出口烟气含氧量</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≥8%（干烟气）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49"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再燃炉膛温度</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＞850℃</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总功率</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≤18kW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49"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再燃室烟气停留时间</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＞2s</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工作电压</w:t>
                  </w:r>
                </w:p>
              </w:tc>
              <w:tc>
                <w:tcPr>
                  <w:tcW w:w="2152"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220V±5%</w:t>
                  </w:r>
                </w:p>
              </w:tc>
            </w:tr>
          </w:tbl>
          <w:p>
            <w:pPr>
              <w:autoSpaceDE w:val="0"/>
              <w:autoSpaceDN w:val="0"/>
              <w:spacing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2.5 原辅料用量</w:t>
            </w:r>
          </w:p>
          <w:p>
            <w:pPr>
              <w:spacing w:line="360" w:lineRule="auto"/>
              <w:ind w:firstLine="480" w:firstLineChars="200"/>
              <w:rPr>
                <w:rFonts w:ascii="Times New Roman" w:hAnsi="Times New Roman" w:cs="Times New Roman"/>
                <w:bCs/>
                <w:sz w:val="24"/>
                <w:szCs w:val="24"/>
              </w:rPr>
            </w:pPr>
            <w:bookmarkStart w:id="2" w:name="_Toc493693537"/>
            <w:r>
              <w:rPr>
                <w:rFonts w:ascii="Times New Roman" w:hAnsi="Times New Roman" w:cs="Times New Roman"/>
                <w:bCs/>
                <w:sz w:val="24"/>
                <w:szCs w:val="24"/>
              </w:rPr>
              <w:t>根据可研，该项目主要原辅材料为消毒药品、柴油等。具体如下表所示。</w:t>
            </w:r>
          </w:p>
          <w:p>
            <w:pPr>
              <w:pStyle w:val="36"/>
              <w:spacing w:line="360" w:lineRule="exact"/>
              <w:rPr>
                <w:szCs w:val="21"/>
              </w:rPr>
            </w:pPr>
            <w:r>
              <w:rPr>
                <w:szCs w:val="21"/>
              </w:rPr>
              <w:t>表2.5-1 主要原辅材料及用量一览表</w:t>
            </w:r>
          </w:p>
          <w:tbl>
            <w:tblPr>
              <w:tblStyle w:val="16"/>
              <w:tblW w:w="860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269"/>
              <w:gridCol w:w="1276"/>
              <w:gridCol w:w="2126"/>
              <w:gridCol w:w="16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01"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序号</w:t>
                  </w:r>
                </w:p>
              </w:tc>
              <w:tc>
                <w:tcPr>
                  <w:tcW w:w="2269" w:type="dxa"/>
                  <w:vAlign w:val="center"/>
                </w:tcPr>
                <w:p>
                  <w:pPr>
                    <w:spacing w:line="360" w:lineRule="exact"/>
                    <w:jc w:val="center"/>
                    <w:rPr>
                      <w:rFonts w:ascii="Times New Roman" w:hAnsi="Times New Roman" w:cs="Times New Roman"/>
                    </w:rPr>
                  </w:pPr>
                  <w:r>
                    <w:rPr>
                      <w:rFonts w:ascii="Times New Roman" w:hAnsi="Times New Roman" w:cs="Times New Roman"/>
                    </w:rPr>
                    <w:t>原料名称</w:t>
                  </w:r>
                </w:p>
              </w:tc>
              <w:tc>
                <w:tcPr>
                  <w:tcW w:w="1276" w:type="dxa"/>
                  <w:vAlign w:val="center"/>
                </w:tcPr>
                <w:p>
                  <w:pPr>
                    <w:spacing w:line="360" w:lineRule="exact"/>
                    <w:jc w:val="center"/>
                    <w:rPr>
                      <w:rFonts w:ascii="Times New Roman" w:hAnsi="Times New Roman" w:cs="Times New Roman"/>
                    </w:rPr>
                  </w:pPr>
                  <w:r>
                    <w:rPr>
                      <w:rFonts w:ascii="Times New Roman" w:hAnsi="Times New Roman" w:cs="Times New Roman"/>
                    </w:rPr>
                    <w:t>单位</w:t>
                  </w:r>
                </w:p>
              </w:tc>
              <w:tc>
                <w:tcPr>
                  <w:tcW w:w="2126" w:type="dxa"/>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耗量</w:t>
                  </w:r>
                </w:p>
              </w:tc>
              <w:tc>
                <w:tcPr>
                  <w:tcW w:w="1633" w:type="dxa"/>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01"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w:t>
                  </w:r>
                </w:p>
              </w:tc>
              <w:tc>
                <w:tcPr>
                  <w:tcW w:w="2269" w:type="dxa"/>
                  <w:vAlign w:val="center"/>
                </w:tcPr>
                <w:p>
                  <w:pPr>
                    <w:spacing w:line="360" w:lineRule="exact"/>
                    <w:jc w:val="center"/>
                    <w:rPr>
                      <w:rFonts w:ascii="Times New Roman" w:hAnsi="Times New Roman" w:cs="Times New Roman"/>
                    </w:rPr>
                  </w:pPr>
                  <w:r>
                    <w:rPr>
                      <w:rFonts w:ascii="Times New Roman" w:hAnsi="Times New Roman" w:cs="Times New Roman"/>
                    </w:rPr>
                    <w:t>柴油</w:t>
                  </w:r>
                </w:p>
              </w:tc>
              <w:tc>
                <w:tcPr>
                  <w:tcW w:w="1276" w:type="dxa"/>
                  <w:vAlign w:val="center"/>
                </w:tcPr>
                <w:p>
                  <w:pPr>
                    <w:spacing w:line="360" w:lineRule="exact"/>
                    <w:jc w:val="center"/>
                    <w:rPr>
                      <w:rFonts w:ascii="Times New Roman" w:hAnsi="Times New Roman" w:cs="Times New Roman"/>
                    </w:rPr>
                  </w:pPr>
                  <w:r>
                    <w:rPr>
                      <w:rFonts w:ascii="Times New Roman" w:hAnsi="Times New Roman" w:cs="Times New Roman"/>
                    </w:rPr>
                    <w:t>t/a</w:t>
                  </w:r>
                </w:p>
              </w:tc>
              <w:tc>
                <w:tcPr>
                  <w:tcW w:w="2126" w:type="dxa"/>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20.79t/a</w:t>
                  </w:r>
                </w:p>
              </w:tc>
              <w:tc>
                <w:tcPr>
                  <w:tcW w:w="1633" w:type="dxa"/>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燃料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01"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w:t>
                  </w:r>
                </w:p>
              </w:tc>
              <w:tc>
                <w:tcPr>
                  <w:tcW w:w="2269" w:type="dxa"/>
                  <w:vAlign w:val="center"/>
                </w:tcPr>
                <w:p>
                  <w:pPr>
                    <w:spacing w:line="360" w:lineRule="exact"/>
                    <w:jc w:val="center"/>
                    <w:rPr>
                      <w:rFonts w:ascii="Times New Roman" w:hAnsi="Times New Roman" w:cs="Times New Roman"/>
                    </w:rPr>
                  </w:pPr>
                  <w:r>
                    <w:rPr>
                      <w:rFonts w:ascii="Times New Roman" w:hAnsi="Times New Roman" w:cs="Times New Roman"/>
                    </w:rPr>
                    <w:t>酒精等消毒剂</w:t>
                  </w:r>
                </w:p>
              </w:tc>
              <w:tc>
                <w:tcPr>
                  <w:tcW w:w="1276" w:type="dxa"/>
                  <w:vAlign w:val="center"/>
                </w:tcPr>
                <w:p>
                  <w:pPr>
                    <w:spacing w:line="360" w:lineRule="exact"/>
                    <w:jc w:val="center"/>
                    <w:rPr>
                      <w:rFonts w:ascii="Times New Roman" w:hAnsi="Times New Roman" w:cs="Times New Roman"/>
                    </w:rPr>
                  </w:pPr>
                  <w:r>
                    <w:rPr>
                      <w:rFonts w:ascii="Times New Roman" w:hAnsi="Times New Roman" w:cs="Times New Roman"/>
                    </w:rPr>
                    <w:t>t/a</w:t>
                  </w:r>
                </w:p>
              </w:tc>
              <w:tc>
                <w:tcPr>
                  <w:tcW w:w="2126" w:type="dxa"/>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2t/a</w:t>
                  </w:r>
                </w:p>
              </w:tc>
              <w:tc>
                <w:tcPr>
                  <w:tcW w:w="1633" w:type="dxa"/>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消毒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01"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3</w:t>
                  </w:r>
                </w:p>
              </w:tc>
              <w:tc>
                <w:tcPr>
                  <w:tcW w:w="2269" w:type="dxa"/>
                  <w:vAlign w:val="center"/>
                </w:tcPr>
                <w:p>
                  <w:pPr>
                    <w:spacing w:line="360" w:lineRule="exact"/>
                    <w:jc w:val="center"/>
                    <w:rPr>
                      <w:rFonts w:ascii="Times New Roman" w:hAnsi="Times New Roman" w:cs="Times New Roman"/>
                    </w:rPr>
                  </w:pPr>
                  <w:r>
                    <w:rPr>
                      <w:rFonts w:ascii="Times New Roman" w:hAnsi="Times New Roman" w:cs="Times New Roman"/>
                    </w:rPr>
                    <w:t>活性炭</w:t>
                  </w:r>
                </w:p>
              </w:tc>
              <w:tc>
                <w:tcPr>
                  <w:tcW w:w="1276" w:type="dxa"/>
                  <w:vAlign w:val="center"/>
                </w:tcPr>
                <w:p>
                  <w:pPr>
                    <w:spacing w:line="360" w:lineRule="exact"/>
                    <w:jc w:val="center"/>
                    <w:rPr>
                      <w:rFonts w:ascii="Times New Roman" w:hAnsi="Times New Roman" w:cs="Times New Roman"/>
                    </w:rPr>
                  </w:pPr>
                  <w:r>
                    <w:rPr>
                      <w:rFonts w:ascii="Times New Roman" w:hAnsi="Times New Roman" w:cs="Times New Roman"/>
                    </w:rPr>
                    <w:t>t/a</w:t>
                  </w:r>
                </w:p>
              </w:tc>
              <w:tc>
                <w:tcPr>
                  <w:tcW w:w="2126" w:type="dxa"/>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2.3t/a</w:t>
                  </w:r>
                </w:p>
              </w:tc>
              <w:tc>
                <w:tcPr>
                  <w:tcW w:w="1633" w:type="dxa"/>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废气处理</w:t>
                  </w:r>
                </w:p>
              </w:tc>
            </w:tr>
          </w:tbl>
          <w:p>
            <w:pPr>
              <w:autoSpaceDE w:val="0"/>
              <w:autoSpaceDN w:val="0"/>
              <w:spacing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2.6 水平衡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工程内容及产污环节可知，该项目用水环节包括：遗体清洗用水、生活用水、灵车清洗用水和绿化用水，而废水类型主要包括遗体清洗废水、生活污水、灵车清洗废水和初期雨水。具体产排情况核算如下：</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①遗体清洗用水产排核算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可研，项目不需对拟火化的没具遗体进行清洗，仅对特殊情况下的遗体进行清洗，每年遗体清洗量约为350具（约1具/d），平均遗体清洗用水量为0.1m³/具，则用水量为0.1m³/d（35m³/a）；废水率为100%，则遗体清洗废水产生量为0.1m³/d（35m³/a）；遗体清洗废水中可能含有大量的病原细菌、病毒和化学药物，有传染性。遗体清洗废水进入1个8m³的调节池进行收集、调节后，统一进入1个处理能力为20m³/d的一体化污水处理设施进行处理，处理后回用于项目区绿化，不外排。</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②生活用水产排核算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项目生活污水包括员工生活污水和治丧人员生活污水。具体如下：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Times New Roman" w:hAnsi="Times New Roman"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员工生活污水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可研，该项目拟设置员工24人，仅在项目区吃饭，不在项目区住宿。根据《云南省地方标准用水定额》（DB53/T168-2019），用水量取40L/d·人，则生活用水量0.96m³/d，合计为336m³/a；废水率按80%计，则废水量为0.77m³/d，合计为268.8m³/a；其中食堂废水约为0.38m³/d，合计为134.4m³/a。</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治丧人员生活污水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根据可研，治丧人员来往人员变化较大，以50人/d计算，用水量按15L/（人·d），治丧人员用水量为0.75m³/d（262.5m³/a），排污系数以95%计算，则治丧人员生活污水产生量为0.71m³/d（249.4m³/a）。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综上，项目区生活污水产生量约为1.48m³/d（518.2m³/a）。厨房废水首先进入1个1m³的隔油池进行预处理后再和其他生活污水一起进入5m³的化粪池处理，经化粪池处理后的生活污水进入1个8m³的调节池进行收集、调节，再统一进入1个处理能力为20m³/d的一体化污水处理设施进行处理，处理后回用于项目区绿化，不外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③灵车清洗用水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可研，项目拟对清洗灵车进行专门清洗，根据《云南省地方标准用水定额》（DB53/T168-2019），洗车清洁服务用水量按0.04m³/（辆·次）计，项目按每出一次车清洗一次的方式进行清洗，该项目年最大火化遗体2060具（6具/d），则灵车清洗用水为0.24t/d（84m³/a），废水率为100%，灵车清洗废水为0.24t/d（84m³/a）。灵车清洗废水进入1个8m³的调节池进行收集、调节后，统一进入1个处理能力为20m³/d的一体化污水处理设施进行处理，处理后回用于项目区绿化，不外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④绿化用水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根据可研，项目区绿化面积约为13155m²，根据《云南省地方标准用水定额》（DB53/T168-2019）标准，用水定额为3.0L/m²，非雨天约3天浇灌1侧，进行绿化用水量为13.16m³/d，年绿化用水量为2775.7m³/a（以非雨天211d计）。</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⑤初期雨水产排核算</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项目区初期雨水产生量按下述公式进行计算：</w:t>
            </w:r>
          </w:p>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Qm=F·Hm·Ψ÷1000</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式中：Qm：最大径流量（m³）；</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 xml:space="preserve">      F：汇水面积（m²）；</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 xml:space="preserve">      Hm：降雨量（mm）；</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 xml:space="preserve">      Ψ：径流系数，取0.6；</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汇水面积取雨水直接落到地面上的占地面积，该项目占地为32886.67m²，生产区域可能受污染区的占地面积约4469.6m²，考虑到项目区场地的硬化程度，径流系数取0.6。该区30年一遇最大日降雨量153.3mm，经计算项目区最大日雨水量为411.1m³，初期雨水主要产生于暴雨前15min，经计算，项目初期雨水产生量约为4.3m³/次。初期雨水先进入1个有效容积为6m³的初期雨水收集池收集后，进入1个8m³的调节池进行收集、调节后，统一进入1个处理能力为20m³/d的一体化污水处理设施进行处理，处理后回用于项目区绿化，不外排。</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综上，该项目用排水情况详见下表。</w:t>
            </w:r>
          </w:p>
          <w:p>
            <w:pPr>
              <w:pStyle w:val="36"/>
              <w:rPr>
                <w:szCs w:val="21"/>
              </w:rPr>
            </w:pPr>
            <w:r>
              <w:rPr>
                <w:szCs w:val="21"/>
              </w:rPr>
              <w:t>表2.6-4  项目供排水情况一览表</w:t>
            </w:r>
          </w:p>
          <w:tbl>
            <w:tblPr>
              <w:tblStyle w:val="16"/>
              <w:tblW w:w="8595" w:type="dxa"/>
              <w:jc w:val="center"/>
              <w:tblInd w:w="0" w:type="dxa"/>
              <w:tblLayout w:type="fixed"/>
              <w:tblCellMar>
                <w:top w:w="0" w:type="dxa"/>
                <w:left w:w="108" w:type="dxa"/>
                <w:bottom w:w="0" w:type="dxa"/>
                <w:right w:w="108" w:type="dxa"/>
              </w:tblCellMar>
            </w:tblPr>
            <w:tblGrid>
              <w:gridCol w:w="1395"/>
              <w:gridCol w:w="1313"/>
              <w:gridCol w:w="1403"/>
              <w:gridCol w:w="1258"/>
              <w:gridCol w:w="1077"/>
              <w:gridCol w:w="1081"/>
              <w:gridCol w:w="1068"/>
            </w:tblGrid>
            <w:tr>
              <w:tblPrEx>
                <w:tblLayout w:type="fixed"/>
                <w:tblCellMar>
                  <w:top w:w="0" w:type="dxa"/>
                  <w:left w:w="108" w:type="dxa"/>
                  <w:bottom w:w="0" w:type="dxa"/>
                  <w:right w:w="108" w:type="dxa"/>
                </w:tblCellMar>
              </w:tblPrEx>
              <w:trPr>
                <w:trHeight w:val="67" w:hRule="atLeast"/>
                <w:jc w:val="center"/>
              </w:trPr>
              <w:tc>
                <w:tcPr>
                  <w:tcW w:w="1395"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用水单元</w:t>
                  </w:r>
                </w:p>
              </w:tc>
              <w:tc>
                <w:tcPr>
                  <w:tcW w:w="131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规模</w:t>
                  </w:r>
                </w:p>
              </w:tc>
              <w:tc>
                <w:tcPr>
                  <w:tcW w:w="140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用水定额</w:t>
                  </w:r>
                </w:p>
              </w:tc>
              <w:tc>
                <w:tcPr>
                  <w:tcW w:w="2335" w:type="dxa"/>
                  <w:gridSpan w:val="2"/>
                  <w:tcBorders>
                    <w:top w:val="single" w:color="auto" w:sz="8" w:space="0"/>
                    <w:left w:val="nil"/>
                    <w:bottom w:val="single" w:color="auto"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用水量</w:t>
                  </w:r>
                </w:p>
              </w:tc>
              <w:tc>
                <w:tcPr>
                  <w:tcW w:w="2149" w:type="dxa"/>
                  <w:gridSpan w:val="2"/>
                  <w:tcBorders>
                    <w:top w:val="single" w:color="auto" w:sz="8" w:space="0"/>
                    <w:left w:val="nil"/>
                    <w:bottom w:val="single" w:color="auto"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废水量</w:t>
                  </w:r>
                </w:p>
              </w:tc>
            </w:tr>
            <w:tr>
              <w:tblPrEx>
                <w:tblLayout w:type="fixed"/>
                <w:tblCellMar>
                  <w:top w:w="0" w:type="dxa"/>
                  <w:left w:w="108" w:type="dxa"/>
                  <w:bottom w:w="0" w:type="dxa"/>
                  <w:right w:w="108" w:type="dxa"/>
                </w:tblCellMar>
              </w:tblPrEx>
              <w:trPr>
                <w:trHeight w:val="285" w:hRule="atLeast"/>
                <w:jc w:val="center"/>
              </w:trPr>
              <w:tc>
                <w:tcPr>
                  <w:tcW w:w="1395" w:type="dxa"/>
                  <w:vMerge w:val="continue"/>
                  <w:tcBorders>
                    <w:top w:val="single" w:color="auto" w:sz="8" w:space="0"/>
                    <w:left w:val="single" w:color="auto" w:sz="8" w:space="0"/>
                    <w:bottom w:val="single" w:color="000000" w:sz="8" w:space="0"/>
                    <w:right w:val="single" w:color="000000" w:sz="8" w:space="0"/>
                  </w:tcBorders>
                  <w:vAlign w:val="center"/>
                </w:tcPr>
                <w:p>
                  <w:pPr>
                    <w:pStyle w:val="53"/>
                    <w:spacing w:line="360" w:lineRule="atLeast"/>
                    <w:jc w:val="center"/>
                    <w:rPr>
                      <w:bCs/>
                      <w:snapToGrid w:val="0"/>
                      <w:color w:val="auto"/>
                      <w:kern w:val="32"/>
                      <w:sz w:val="21"/>
                      <w:szCs w:val="21"/>
                      <w:lang w:val="zh-CN"/>
                    </w:rPr>
                  </w:pPr>
                </w:p>
              </w:tc>
              <w:tc>
                <w:tcPr>
                  <w:tcW w:w="1313" w:type="dxa"/>
                  <w:vMerge w:val="continue"/>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p>
              </w:tc>
              <w:tc>
                <w:tcPr>
                  <w:tcW w:w="1403" w:type="dxa"/>
                  <w:vMerge w:val="continue"/>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p>
              </w:tc>
              <w:tc>
                <w:tcPr>
                  <w:tcW w:w="125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m³/d</w:t>
                  </w:r>
                </w:p>
              </w:tc>
              <w:tc>
                <w:tcPr>
                  <w:tcW w:w="1077"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m³/a</w:t>
                  </w:r>
                </w:p>
              </w:tc>
              <w:tc>
                <w:tcPr>
                  <w:tcW w:w="1081"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m³/d</w:t>
                  </w:r>
                </w:p>
              </w:tc>
              <w:tc>
                <w:tcPr>
                  <w:tcW w:w="106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m³/a</w:t>
                  </w:r>
                </w:p>
              </w:tc>
            </w:tr>
            <w:tr>
              <w:tblPrEx>
                <w:tblLayout w:type="fixed"/>
                <w:tblCellMar>
                  <w:top w:w="0" w:type="dxa"/>
                  <w:left w:w="108" w:type="dxa"/>
                  <w:bottom w:w="0" w:type="dxa"/>
                  <w:right w:w="108" w:type="dxa"/>
                </w:tblCellMar>
              </w:tblPrEx>
              <w:trPr>
                <w:trHeight w:val="285" w:hRule="atLeast"/>
                <w:jc w:val="center"/>
              </w:trPr>
              <w:tc>
                <w:tcPr>
                  <w:tcW w:w="1395" w:type="dxa"/>
                  <w:tcBorders>
                    <w:top w:val="single" w:color="auto" w:sz="8" w:space="0"/>
                    <w:left w:val="single" w:color="auto" w:sz="8" w:space="0"/>
                    <w:bottom w:val="single" w:color="000000" w:sz="8" w:space="0"/>
                    <w:right w:val="single" w:color="000000"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遗体清洗</w:t>
                  </w:r>
                </w:p>
              </w:tc>
              <w:tc>
                <w:tcPr>
                  <w:tcW w:w="131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350具</w:t>
                  </w:r>
                </w:p>
              </w:tc>
              <w:tc>
                <w:tcPr>
                  <w:tcW w:w="140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0.1m³/具</w:t>
                  </w:r>
                </w:p>
              </w:tc>
              <w:tc>
                <w:tcPr>
                  <w:tcW w:w="125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w:t>
                  </w:r>
                </w:p>
              </w:tc>
              <w:tc>
                <w:tcPr>
                  <w:tcW w:w="1077"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35</w:t>
                  </w:r>
                </w:p>
              </w:tc>
              <w:tc>
                <w:tcPr>
                  <w:tcW w:w="1081"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w:t>
                  </w:r>
                </w:p>
              </w:tc>
              <w:tc>
                <w:tcPr>
                  <w:tcW w:w="106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35</w:t>
                  </w:r>
                </w:p>
              </w:tc>
            </w:tr>
            <w:tr>
              <w:tblPrEx>
                <w:tblLayout w:type="fixed"/>
                <w:tblCellMar>
                  <w:top w:w="0" w:type="dxa"/>
                  <w:left w:w="108" w:type="dxa"/>
                  <w:bottom w:w="0" w:type="dxa"/>
                  <w:right w:w="108" w:type="dxa"/>
                </w:tblCellMar>
              </w:tblPrEx>
              <w:trPr>
                <w:trHeight w:val="285" w:hRule="atLeast"/>
                <w:jc w:val="center"/>
              </w:trPr>
              <w:tc>
                <w:tcPr>
                  <w:tcW w:w="1395" w:type="dxa"/>
                  <w:vMerge w:val="restart"/>
                  <w:tcBorders>
                    <w:top w:val="single" w:color="auto" w:sz="8" w:space="0"/>
                    <w:left w:val="single" w:color="auto" w:sz="8" w:space="0"/>
                    <w:right w:val="single" w:color="000000"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生活用水</w:t>
                  </w:r>
                </w:p>
              </w:tc>
              <w:tc>
                <w:tcPr>
                  <w:tcW w:w="131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24人</w:t>
                  </w:r>
                </w:p>
              </w:tc>
              <w:tc>
                <w:tcPr>
                  <w:tcW w:w="140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40L/d·人</w:t>
                  </w:r>
                </w:p>
              </w:tc>
              <w:tc>
                <w:tcPr>
                  <w:tcW w:w="125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0.96</w:t>
                  </w:r>
                </w:p>
              </w:tc>
              <w:tc>
                <w:tcPr>
                  <w:tcW w:w="1077"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336</w:t>
                  </w:r>
                </w:p>
              </w:tc>
              <w:tc>
                <w:tcPr>
                  <w:tcW w:w="1081"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0.77</w:t>
                  </w:r>
                </w:p>
              </w:tc>
              <w:tc>
                <w:tcPr>
                  <w:tcW w:w="106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268.8</w:t>
                  </w:r>
                </w:p>
              </w:tc>
            </w:tr>
            <w:tr>
              <w:tblPrEx>
                <w:tblLayout w:type="fixed"/>
                <w:tblCellMar>
                  <w:top w:w="0" w:type="dxa"/>
                  <w:left w:w="108" w:type="dxa"/>
                  <w:bottom w:w="0" w:type="dxa"/>
                  <w:right w:w="108" w:type="dxa"/>
                </w:tblCellMar>
              </w:tblPrEx>
              <w:trPr>
                <w:trHeight w:val="56" w:hRule="atLeast"/>
                <w:jc w:val="center"/>
              </w:trPr>
              <w:tc>
                <w:tcPr>
                  <w:tcW w:w="1395" w:type="dxa"/>
                  <w:vMerge w:val="continue"/>
                  <w:tcBorders>
                    <w:left w:val="single" w:color="auto" w:sz="8" w:space="0"/>
                    <w:right w:val="single" w:color="000000" w:sz="8" w:space="0"/>
                  </w:tcBorders>
                  <w:vAlign w:val="center"/>
                </w:tcPr>
                <w:p>
                  <w:pPr>
                    <w:pStyle w:val="53"/>
                    <w:spacing w:line="360" w:lineRule="atLeast"/>
                    <w:jc w:val="center"/>
                    <w:rPr>
                      <w:bCs/>
                      <w:snapToGrid w:val="0"/>
                      <w:color w:val="auto"/>
                      <w:kern w:val="32"/>
                      <w:sz w:val="21"/>
                      <w:szCs w:val="21"/>
                      <w:lang w:val="zh-CN"/>
                    </w:rPr>
                  </w:pPr>
                </w:p>
              </w:tc>
              <w:tc>
                <w:tcPr>
                  <w:tcW w:w="1313" w:type="dxa"/>
                  <w:tcBorders>
                    <w:top w:val="single" w:color="auto" w:sz="8" w:space="0"/>
                    <w:left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50人/d</w:t>
                  </w:r>
                </w:p>
              </w:tc>
              <w:tc>
                <w:tcPr>
                  <w:tcW w:w="1403" w:type="dxa"/>
                  <w:tcBorders>
                    <w:top w:val="single" w:color="auto" w:sz="8" w:space="0"/>
                    <w:left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15L/（人·d）</w:t>
                  </w:r>
                </w:p>
              </w:tc>
              <w:tc>
                <w:tcPr>
                  <w:tcW w:w="1258" w:type="dxa"/>
                  <w:tcBorders>
                    <w:top w:val="nil"/>
                    <w:left w:val="nil"/>
                    <w:bottom w:val="single" w:color="auto" w:sz="4"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0.75</w:t>
                  </w:r>
                </w:p>
              </w:tc>
              <w:tc>
                <w:tcPr>
                  <w:tcW w:w="1077" w:type="dxa"/>
                  <w:tcBorders>
                    <w:top w:val="nil"/>
                    <w:left w:val="nil"/>
                    <w:bottom w:val="single" w:color="auto" w:sz="4"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262.5</w:t>
                  </w:r>
                </w:p>
              </w:tc>
              <w:tc>
                <w:tcPr>
                  <w:tcW w:w="1081" w:type="dxa"/>
                  <w:tcBorders>
                    <w:top w:val="nil"/>
                    <w:left w:val="nil"/>
                    <w:bottom w:val="single" w:color="auto" w:sz="4"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0.71</w:t>
                  </w:r>
                </w:p>
              </w:tc>
              <w:tc>
                <w:tcPr>
                  <w:tcW w:w="1068" w:type="dxa"/>
                  <w:tcBorders>
                    <w:top w:val="nil"/>
                    <w:left w:val="nil"/>
                    <w:bottom w:val="single" w:color="auto" w:sz="4"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249.4</w:t>
                  </w:r>
                </w:p>
              </w:tc>
            </w:tr>
            <w:tr>
              <w:tblPrEx>
                <w:tblLayout w:type="fixed"/>
                <w:tblCellMar>
                  <w:top w:w="0" w:type="dxa"/>
                  <w:left w:w="108" w:type="dxa"/>
                  <w:bottom w:w="0" w:type="dxa"/>
                  <w:right w:w="108" w:type="dxa"/>
                </w:tblCellMar>
              </w:tblPrEx>
              <w:trPr>
                <w:trHeight w:val="285" w:hRule="atLeast"/>
                <w:jc w:val="center"/>
              </w:trPr>
              <w:tc>
                <w:tcPr>
                  <w:tcW w:w="1395" w:type="dxa"/>
                  <w:tcBorders>
                    <w:top w:val="single" w:color="auto" w:sz="8" w:space="0"/>
                    <w:left w:val="single" w:color="auto" w:sz="8" w:space="0"/>
                    <w:bottom w:val="single" w:color="000000" w:sz="8" w:space="0"/>
                    <w:right w:val="single" w:color="000000"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灵车清洗</w:t>
                  </w:r>
                </w:p>
              </w:tc>
              <w:tc>
                <w:tcPr>
                  <w:tcW w:w="131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6辆·次/d</w:t>
                  </w:r>
                </w:p>
              </w:tc>
              <w:tc>
                <w:tcPr>
                  <w:tcW w:w="140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0.04m³/（辆·次）计</w:t>
                  </w:r>
                </w:p>
              </w:tc>
              <w:tc>
                <w:tcPr>
                  <w:tcW w:w="125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0.24</w:t>
                  </w:r>
                </w:p>
              </w:tc>
              <w:tc>
                <w:tcPr>
                  <w:tcW w:w="1077"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84</w:t>
                  </w:r>
                </w:p>
              </w:tc>
              <w:tc>
                <w:tcPr>
                  <w:tcW w:w="1081"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0.24</w:t>
                  </w:r>
                </w:p>
              </w:tc>
              <w:tc>
                <w:tcPr>
                  <w:tcW w:w="106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84</w:t>
                  </w:r>
                </w:p>
              </w:tc>
            </w:tr>
            <w:tr>
              <w:tblPrEx>
                <w:tblLayout w:type="fixed"/>
                <w:tblCellMar>
                  <w:top w:w="0" w:type="dxa"/>
                  <w:left w:w="108" w:type="dxa"/>
                  <w:bottom w:w="0" w:type="dxa"/>
                  <w:right w:w="108" w:type="dxa"/>
                </w:tblCellMar>
              </w:tblPrEx>
              <w:trPr>
                <w:trHeight w:val="285" w:hRule="atLeast"/>
                <w:jc w:val="center"/>
              </w:trPr>
              <w:tc>
                <w:tcPr>
                  <w:tcW w:w="1395" w:type="dxa"/>
                  <w:tcBorders>
                    <w:top w:val="single" w:color="auto" w:sz="8" w:space="0"/>
                    <w:left w:val="single" w:color="auto" w:sz="8" w:space="0"/>
                    <w:bottom w:val="single" w:color="000000" w:sz="8" w:space="0"/>
                    <w:right w:val="single" w:color="000000"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绿化用水</w:t>
                  </w:r>
                </w:p>
              </w:tc>
              <w:tc>
                <w:tcPr>
                  <w:tcW w:w="131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13155m²</w:t>
                  </w:r>
                </w:p>
              </w:tc>
              <w:tc>
                <w:tcPr>
                  <w:tcW w:w="140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3.0L/m²</w:t>
                  </w:r>
                </w:p>
              </w:tc>
              <w:tc>
                <w:tcPr>
                  <w:tcW w:w="125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13.16</w:t>
                  </w:r>
                </w:p>
              </w:tc>
              <w:tc>
                <w:tcPr>
                  <w:tcW w:w="1077"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2775.7</w:t>
                  </w:r>
                </w:p>
              </w:tc>
              <w:tc>
                <w:tcPr>
                  <w:tcW w:w="1081"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06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Layout w:type="fixed"/>
                <w:tblCellMar>
                  <w:top w:w="0" w:type="dxa"/>
                  <w:left w:w="108" w:type="dxa"/>
                  <w:bottom w:w="0" w:type="dxa"/>
                  <w:right w:w="108" w:type="dxa"/>
                </w:tblCellMar>
              </w:tblPrEx>
              <w:trPr>
                <w:trHeight w:val="56" w:hRule="atLeast"/>
                <w:jc w:val="center"/>
              </w:trPr>
              <w:tc>
                <w:tcPr>
                  <w:tcW w:w="1395"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初期雨水</w:t>
                  </w:r>
                </w:p>
              </w:tc>
              <w:tc>
                <w:tcPr>
                  <w:tcW w:w="2716" w:type="dxa"/>
                  <w:gridSpan w:val="2"/>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可能受污染区2205m²</w:t>
                  </w:r>
                </w:p>
              </w:tc>
              <w:tc>
                <w:tcPr>
                  <w:tcW w:w="125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077"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081"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4.3m³/次</w:t>
                  </w:r>
                </w:p>
              </w:tc>
              <w:tc>
                <w:tcPr>
                  <w:tcW w:w="106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w:t>
                  </w:r>
                </w:p>
              </w:tc>
            </w:tr>
            <w:tr>
              <w:tblPrEx>
                <w:tblLayout w:type="fixed"/>
                <w:tblCellMar>
                  <w:top w:w="0" w:type="dxa"/>
                  <w:left w:w="108" w:type="dxa"/>
                  <w:bottom w:w="0" w:type="dxa"/>
                  <w:right w:w="108" w:type="dxa"/>
                </w:tblCellMar>
              </w:tblPrEx>
              <w:trPr>
                <w:trHeight w:val="330" w:hRule="atLeast"/>
                <w:jc w:val="center"/>
              </w:trPr>
              <w:tc>
                <w:tcPr>
                  <w:tcW w:w="1395"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合计</w:t>
                  </w:r>
                </w:p>
              </w:tc>
              <w:tc>
                <w:tcPr>
                  <w:tcW w:w="1313"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403"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25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15.21</w:t>
                  </w:r>
                </w:p>
              </w:tc>
              <w:tc>
                <w:tcPr>
                  <w:tcW w:w="1077"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3493.2</w:t>
                  </w:r>
                </w:p>
              </w:tc>
              <w:tc>
                <w:tcPr>
                  <w:tcW w:w="1081" w:type="dxa"/>
                  <w:tcBorders>
                    <w:top w:val="single" w:color="auto" w:sz="8" w:space="0"/>
                    <w:left w:val="nil"/>
                    <w:bottom w:val="single" w:color="auto" w:sz="8" w:space="0"/>
                    <w:right w:val="single" w:color="auto" w:sz="4"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1.82</w:t>
                  </w:r>
                </w:p>
              </w:tc>
              <w:tc>
                <w:tcPr>
                  <w:tcW w:w="1068"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637.2</w:t>
                  </w:r>
                </w:p>
              </w:tc>
            </w:tr>
          </w:tbl>
          <w:p>
            <w:pPr>
              <w:spacing w:beforeLines="5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1 \* GB2 </w:instrText>
            </w:r>
            <w:r>
              <w:rPr>
                <w:rFonts w:ascii="Times New Roman" w:hAnsi="Times New Roman" w:cs="Times New Roman"/>
                <w:bCs/>
                <w:sz w:val="24"/>
                <w:szCs w:val="24"/>
              </w:rPr>
              <w:fldChar w:fldCharType="separate"/>
            </w:r>
            <w:r>
              <w:rPr>
                <w:rFonts w:ascii="Times New Roman" w:hAnsi="Times New Roman" w:cs="Times New Roman"/>
                <w:bCs/>
                <w:sz w:val="24"/>
                <w:szCs w:val="24"/>
              </w:rPr>
              <w:t>⑴</w:t>
            </w:r>
            <w:r>
              <w:rPr>
                <w:rFonts w:ascii="Times New Roman" w:hAnsi="Times New Roman" w:cs="Times New Roman"/>
                <w:bCs/>
                <w:sz w:val="24"/>
                <w:szCs w:val="24"/>
              </w:rPr>
              <w:fldChar w:fldCharType="end"/>
            </w:r>
            <w:r>
              <w:rPr>
                <w:rFonts w:ascii="Times New Roman" w:hAnsi="Times New Roman" w:cs="Times New Roman"/>
                <w:bCs/>
                <w:sz w:val="24"/>
                <w:szCs w:val="24"/>
              </w:rPr>
              <w:t>非雨天水平衡如下图所示。</w:t>
            </w:r>
          </w:p>
          <w:p>
            <w:pPr>
              <w:pStyle w:val="34"/>
              <w:ind w:firstLine="0" w:firstLineChars="0"/>
              <w:jc w:val="center"/>
              <w:rPr>
                <w:rFonts w:eastAsiaTheme="minorEastAsia"/>
                <w:szCs w:val="24"/>
              </w:rPr>
            </w:pPr>
            <w:r>
              <w:object>
                <v:shape id="_x0000_i1025" o:spt="75" type="#_x0000_t75" style="height:324pt;width:415.2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36"/>
              <w:rPr>
                <w:szCs w:val="21"/>
              </w:rPr>
            </w:pPr>
            <w:r>
              <w:rPr>
                <w:szCs w:val="21"/>
              </w:rPr>
              <w:t>图2.6-1 项目非雨天水平衡水平衡图 m³/d</w:t>
            </w:r>
          </w:p>
          <w:p>
            <w:pPr>
              <w:spacing w:beforeLines="5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2 \* GB2 </w:instrText>
            </w:r>
            <w:r>
              <w:rPr>
                <w:rFonts w:ascii="Times New Roman" w:hAnsi="Times New Roman" w:cs="Times New Roman"/>
                <w:bCs/>
                <w:sz w:val="24"/>
                <w:szCs w:val="24"/>
              </w:rPr>
              <w:fldChar w:fldCharType="separate"/>
            </w:r>
            <w:r>
              <w:rPr>
                <w:rFonts w:ascii="Times New Roman" w:hAnsi="Times New Roman" w:cs="Times New Roman"/>
                <w:bCs/>
                <w:sz w:val="24"/>
                <w:szCs w:val="24"/>
              </w:rPr>
              <w:t>⑵</w:t>
            </w:r>
            <w:r>
              <w:rPr>
                <w:rFonts w:ascii="Times New Roman" w:hAnsi="Times New Roman" w:cs="Times New Roman"/>
                <w:bCs/>
                <w:sz w:val="24"/>
                <w:szCs w:val="24"/>
              </w:rPr>
              <w:fldChar w:fldCharType="end"/>
            </w:r>
            <w:r>
              <w:rPr>
                <w:rFonts w:ascii="Times New Roman" w:hAnsi="Times New Roman" w:cs="Times New Roman"/>
                <w:bCs/>
                <w:sz w:val="24"/>
                <w:szCs w:val="24"/>
              </w:rPr>
              <w:t>雨天水平衡如下图所示。</w:t>
            </w:r>
          </w:p>
          <w:p>
            <w:pPr>
              <w:jc w:val="center"/>
              <w:rPr>
                <w:rFonts w:ascii="Times New Roman" w:hAnsi="Times New Roman" w:cs="Times New Roman"/>
                <w:b/>
                <w:bCs/>
                <w:kern w:val="0"/>
              </w:rPr>
            </w:pPr>
            <w:r>
              <w:rPr>
                <w:rFonts w:ascii="Times New Roman" w:hAnsi="Times New Roman" w:cs="Times New Roman"/>
              </w:rPr>
              <w:object>
                <v:shape id="_x0000_i1026" o:spt="75" type="#_x0000_t75" style="height:373.8pt;width:415.2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pStyle w:val="36"/>
              <w:rPr>
                <w:szCs w:val="21"/>
              </w:rPr>
            </w:pPr>
            <w:r>
              <w:rPr>
                <w:szCs w:val="21"/>
              </w:rPr>
              <w:t>图2.6-2 项目雨天水平衡图 m³/d</w:t>
            </w:r>
          </w:p>
          <w:p>
            <w:pPr>
              <w:autoSpaceDE w:val="0"/>
              <w:autoSpaceDN w:val="0"/>
              <w:spacing w:beforeLines="50"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2.7 劳动定员及工作制度</w:t>
            </w:r>
            <w:bookmarkEnd w:id="2"/>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2.7.1 劳动定员</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根据可研，该项目拟设置员工24人，在项目区吃饭，不在项目区住宿。</w:t>
            </w:r>
          </w:p>
          <w:p>
            <w:pPr>
              <w:autoSpaceDE w:val="0"/>
              <w:autoSpaceDN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2.7.2 工作制度</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根据项目特点，该项目平均年工作350d，实行每天3班制，每班8h。而根据项目实际情况，每天约火化量为6具，火化时间为45min/具，则火化机的实际工作时间约为4.5h/d。</w:t>
            </w:r>
          </w:p>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Cs/>
                <w:sz w:val="24"/>
                <w:szCs w:val="24"/>
              </w:rPr>
              <w:t xml:space="preserve">  </w:t>
            </w:r>
            <w:r>
              <w:rPr>
                <w:rFonts w:ascii="Times New Roman" w:hAnsi="Times New Roman" w:cs="Times New Roman"/>
                <w:b/>
                <w:sz w:val="24"/>
                <w:szCs w:val="24"/>
              </w:rPr>
              <w:t>2.8 项目建设进度</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项目根据各项手续的办理情况，拟定建设时间为2022年10月-2024年3月，建设期为18个月。</w:t>
            </w:r>
          </w:p>
          <w:p>
            <w:pPr>
              <w:spacing w:line="360" w:lineRule="auto"/>
              <w:ind w:firstLine="480" w:firstLineChars="200"/>
              <w:rPr>
                <w:rFonts w:ascii="Times New Roman" w:hAnsi="Times New Roman" w:cs="Times New Roman"/>
                <w:bCs/>
                <w:sz w:val="24"/>
                <w:szCs w:val="24"/>
              </w:rPr>
            </w:pPr>
          </w:p>
          <w:p>
            <w:pPr>
              <w:spacing w:line="360" w:lineRule="auto"/>
              <w:ind w:firstLine="480" w:firstLineChars="200"/>
              <w:rPr>
                <w:rFonts w:ascii="Times New Roman" w:hAnsi="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工艺流程和产排污环节</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2.9 工艺流程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2.9.1 施工期工艺</w:t>
            </w:r>
          </w:p>
          <w:p>
            <w:pPr>
              <w:spacing w:line="360" w:lineRule="auto"/>
              <w:ind w:firstLine="480" w:firstLineChars="200"/>
              <w:rPr>
                <w:rFonts w:ascii="Times New Roman" w:hAnsi="Times New Roman" w:cs="Times New Roman"/>
                <w:bCs/>
                <w:sz w:val="24"/>
                <w:szCs w:val="24"/>
                <w:highlight w:val="yellow"/>
              </w:rPr>
            </w:pPr>
            <w:r>
              <w:rPr>
                <w:rFonts w:ascii="Times New Roman" w:hAnsi="Times New Roman" w:cs="Times New Roman"/>
                <w:bCs/>
                <w:sz w:val="24"/>
                <w:szCs w:val="24"/>
              </w:rPr>
              <w:t>该项目施工期工艺流程及产污节点如下图所示：</w:t>
            </w:r>
          </w:p>
          <w:p>
            <w:pPr>
              <w:spacing w:line="360" w:lineRule="auto"/>
              <w:jc w:val="center"/>
              <w:rPr>
                <w:rFonts w:ascii="Times New Roman" w:hAnsi="Times New Roman" w:cs="Times New Roman"/>
                <w:bCs/>
                <w:sz w:val="24"/>
                <w:szCs w:val="24"/>
                <w:highlight w:val="yellow"/>
              </w:rPr>
            </w:pPr>
            <w:r>
              <w:rPr>
                <w:rFonts w:ascii="Times New Roman" w:hAnsi="Times New Roman" w:cs="Times New Roman"/>
              </w:rPr>
              <w:object>
                <v:shape id="_x0000_i1027" o:spt="75" type="#_x0000_t75" style="height:142.8pt;width:415.8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eastAsia="宋体" w:cs="Times New Roman"/>
                <w:b/>
                <w:szCs w:val="24"/>
              </w:rPr>
            </w:pPr>
            <w:r>
              <w:rPr>
                <w:rFonts w:ascii="Times New Roman" w:hAnsi="Times New Roman" w:eastAsia="宋体" w:cs="Times New Roman"/>
                <w:b/>
                <w:szCs w:val="24"/>
              </w:rPr>
              <w:t>图2.9.1-1  施工阶段程序及污染流程图</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2.9.2 运营期生产工艺</w:t>
            </w:r>
          </w:p>
          <w:p>
            <w:pPr>
              <w:spacing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（1）工艺流程图示</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根据可研，项目工艺流程及产污节点如下图所示：</w:t>
            </w:r>
          </w:p>
          <w:p>
            <w:pPr>
              <w:jc w:val="center"/>
              <w:rPr>
                <w:rFonts w:ascii="Times New Roman" w:hAnsi="Times New Roman" w:eastAsia="宋体" w:cs="Times New Roman"/>
                <w:b/>
                <w:szCs w:val="24"/>
              </w:rPr>
            </w:pPr>
            <w:r>
              <w:rPr>
                <w:rFonts w:ascii="Times New Roman" w:hAnsi="Times New Roman" w:cs="Times New Roman"/>
              </w:rPr>
              <w:object>
                <v:shape id="_x0000_i1028" o:spt="75" type="#_x0000_t75" style="height:354pt;width:415.8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eastAsia="宋体" w:cs="Times New Roman"/>
                <w:b/>
                <w:szCs w:val="24"/>
              </w:rPr>
            </w:pPr>
            <w:r>
              <w:rPr>
                <w:rFonts w:ascii="Times New Roman" w:hAnsi="Times New Roman" w:eastAsia="宋体" w:cs="Times New Roman"/>
                <w:b/>
                <w:szCs w:val="24"/>
              </w:rPr>
              <w:t>图2.9.2-2  项目运营期流程及产污环节图</w:t>
            </w:r>
          </w:p>
          <w:p>
            <w:pPr>
              <w:spacing w:beforeLines="50" w:line="360" w:lineRule="auto"/>
              <w:ind w:firstLine="361" w:firstLineChars="150"/>
              <w:rPr>
                <w:rFonts w:ascii="Times New Roman" w:hAnsi="Times New Roman" w:cs="Times New Roman"/>
                <w:b/>
                <w:bCs/>
                <w:sz w:val="24"/>
                <w:szCs w:val="24"/>
              </w:rPr>
            </w:pPr>
            <w:r>
              <w:rPr>
                <w:rFonts w:ascii="Times New Roman" w:hAnsi="Times New Roman" w:cs="Times New Roman"/>
                <w:b/>
                <w:bCs/>
                <w:sz w:val="24"/>
                <w:szCs w:val="24"/>
              </w:rPr>
              <w:t>（2）工艺流程简述</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①遗体处置（沐浴、化妆、穿衣等）</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首先将遗体接回殡仪馆内，然后在悼念厅及守灵厅中的遗体处置功能区域进行遗体处理，正常情况下遗体处理为沐浴、化妆和穿衣；若因特殊原因，逝者死因可疑，需进一步了解的，则需要解剖处理。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遗体处置过程产生的污染物主要为遗体清洗废水和固体废物，其中固体废物包括感染性和病理性医疗废物，以及废弃衣物等固体废物。</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②遗体停放</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正常情况下，进入项目区的遗体经殡葬服务相关处置后，立即进行火化，但存在各种不能及时火化的情况，悼念厅及守灵厅内拟设置3台水晶棺和4组三门一体太平柜对暂未火化的遗体进行暂存停放。</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③遗体告别仪</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通过前期处置后的遗体，在悼念厅及守灵厅进行告别仪式，该过程主要为家属和逝者告别。</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④火化</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告别后的遗体被推车，推入火化机进行火化，火化机采用柴油作为燃料，将遗体在燃烧室里燃烧氧化分解处理。</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火化过程会产生废气；根据可研，项目拟设置2套火化机尾气处理装置对其进行处理后通过1根Φ0.48m、高12m的排气筒（DA001）外排。</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⑤骨灰验装</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火化完成后，采用骨灰盒装好后，又其亲人领取于公墓安葬。</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⑥遗物焚烧</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项目化宝间内拟设置1套卧式智能监测环保遗物焚烧炉对逝者遗物进行焚烧。</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遗物焚烧过程会产生废气；根据可研，项目拟设置1套遗物焚烧炉尾气处理装置对其进行处理后通过1根Φ0.30m、高12m的排气筒（DA002）外排。</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2.10 产排污环节</w:t>
            </w:r>
          </w:p>
          <w:p>
            <w:pPr>
              <w:spacing w:line="360" w:lineRule="auto"/>
              <w:ind w:firstLine="482" w:firstLineChars="200"/>
              <w:rPr>
                <w:rFonts w:ascii="Times New Roman" w:hAnsi="Times New Roman" w:cs="Times New Roman"/>
                <w:sz w:val="24"/>
                <w:szCs w:val="24"/>
              </w:rPr>
            </w:pPr>
            <w:r>
              <w:rPr>
                <w:rFonts w:ascii="Times New Roman" w:hAnsi="Times New Roman" w:cs="Times New Roman"/>
                <w:b/>
                <w:sz w:val="24"/>
                <w:szCs w:val="24"/>
              </w:rPr>
              <w:t>2.10.1 施工期产污环节</w:t>
            </w:r>
          </w:p>
          <w:p>
            <w:pPr>
              <w:spacing w:line="360" w:lineRule="auto"/>
              <w:ind w:firstLine="480" w:firstLineChars="200"/>
              <w:rPr>
                <w:rFonts w:ascii="Times New Roman" w:hAnsi="Times New Roman" w:cs="Times New Roman"/>
                <w:bCs/>
              </w:rPr>
            </w:pPr>
            <w:r>
              <w:rPr>
                <w:rFonts w:ascii="Times New Roman" w:hAnsi="Times New Roman" w:cs="Times New Roman"/>
                <w:bCs/>
                <w:sz w:val="24"/>
                <w:szCs w:val="24"/>
              </w:rPr>
              <w:t>施工期包括原有建筑拆除、场地平整，生产车间建设、办公及生活设施改造，环保设施建设等。主要为施工废气、施工废水、施工噪声、施工固废等。</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2.10.2 运营期产污环节</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该项目运营期产污环节具体如下。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（1）运营期废气</w:t>
            </w:r>
          </w:p>
          <w:p>
            <w:pPr>
              <w:pStyle w:val="34"/>
              <w:ind w:firstLine="480"/>
              <w:rPr>
                <w:rFonts w:eastAsiaTheme="minorEastAsia"/>
                <w:szCs w:val="24"/>
              </w:rPr>
            </w:pPr>
            <w:r>
              <w:rPr>
                <w:rFonts w:eastAsiaTheme="minorEastAsia"/>
                <w:szCs w:val="24"/>
              </w:rPr>
              <w:t>根据项目建设内容及生产工艺，该项目产生的废气主要为火化废气、遗物焚烧废气以及厨房油烟。</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（2）运营期废水</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sz w:val="24"/>
                <w:szCs w:val="24"/>
              </w:rPr>
              <w:t>根据项目工程内容及产污环节可知，该项目用水环节包括：遗体清洗用水、生活用水、灵车清洗用水和绿化用水，而废水类型主要包括遗体清洗废水、生活污水、灵车清洗废水和初期雨水。</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（3）运营期噪声</w:t>
            </w:r>
          </w:p>
          <w:p>
            <w:pPr>
              <w:spacing w:line="360" w:lineRule="auto"/>
              <w:ind w:firstLine="360" w:firstLineChars="150"/>
              <w:rPr>
                <w:rFonts w:ascii="Times New Roman" w:hAnsi="Times New Roman" w:cs="Times New Roman"/>
                <w:sz w:val="24"/>
              </w:rPr>
            </w:pPr>
            <w:r>
              <w:rPr>
                <w:rFonts w:ascii="Times New Roman" w:hAnsi="Times New Roman" w:cs="Times New Roman"/>
                <w:sz w:val="24"/>
                <w:szCs w:val="24"/>
              </w:rPr>
              <w:t>根据项目工程内容及产污环节可知，</w:t>
            </w:r>
            <w:r>
              <w:rPr>
                <w:rFonts w:ascii="Times New Roman" w:hAnsi="Times New Roman" w:cs="Times New Roman"/>
                <w:sz w:val="24"/>
              </w:rPr>
              <w:t>项目区不得进行燃放鞭炮，项目噪声污染源主要为设备噪声。</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（4）运营期固体废物</w:t>
            </w:r>
          </w:p>
          <w:p>
            <w:pPr>
              <w:pStyle w:val="34"/>
              <w:ind w:firstLine="480"/>
              <w:rPr>
                <w:rFonts w:eastAsiaTheme="minorEastAsia"/>
                <w:szCs w:val="24"/>
              </w:rPr>
            </w:pPr>
            <w:r>
              <w:rPr>
                <w:rFonts w:eastAsiaTheme="minorEastAsia"/>
                <w:szCs w:val="24"/>
              </w:rPr>
              <w:t>根据项目工程内容及产污环节可知，该项目产生的固体废物包括：遗体处置产生的固体废物、脱酸脱硫固废、除尘固废、废活性炭、遗物祭品焚烧灰渣、污水处理系统污泥、设备维修产生的废机油及废弃沾油抹布、生活固废。</w:t>
            </w: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与项目有关的原有环境污染问题</w:t>
            </w:r>
          </w:p>
        </w:tc>
        <w:tc>
          <w:tcPr>
            <w:tcW w:w="8831" w:type="dxa"/>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根据《固定资产投资统计报表制度（2021）》中 指标解释：“如有的单位原有基础很小，经过建设后新增的固定资产价值超过该企业、事业、行政单位原有固定资产价值（原值）三倍以上的，也应作为新建。”，根据调查，老殡仪馆项目总投资约300万，拆除重建后固定资产投资为2499.60万元，新殡仪馆的固定资产为原资产的8.33倍，因此该项目属于新建项目。根据《建设项目环境影响报告表编制技术指南（污染影响类）（试行）》的要求，该项目为新建项目不需对老殡仪馆进行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根据项目特点，老殡仪馆为东川区唯一的殡葬服务机构，该项目是对老殡仪馆厂址内进行拆除重建，存在建设过程需提供殡葬服务这一特殊情况，针对该情况，建设单位拟采取以下措施处置措施。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①由建设单位昆明市东川区民政局与周边县、市民政局做好沟通协调工作，在建设期将部分遗体运至东川区周边县、市殡仪馆进行火化。</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②过度期间，建设单位拟在殡仪馆东南方向陵园公墓西南角空地内建设过渡火化临时建筑，并将老殡仪馆内设备搬迁安装至过渡火化间，以满足建设期间必要时最基本的火化要求。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环评认为上述方案基本可行，但也存在过渡火化间的使用可能造成环境污染，因此环评提出建设单位应采取下列补救措施。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①督促施工单位尽量调整施工方案，确保老殡仪馆和新殡仪馆的衔接，减少过渡火化间使用周期。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②过渡火化间火化机的使用，必须配套使用废气处理设施。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③尽量协调周边县、市殡仪馆，尽可能在过渡期将更多的遗体运输至合法殡仪馆进行火化处理。</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三、区域环境质量现状、环境保护目标及评价标准</w:t>
      </w:r>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3.1 环境质量现状</w:t>
            </w:r>
          </w:p>
          <w:p>
            <w:pPr>
              <w:pStyle w:val="34"/>
              <w:ind w:firstLine="482"/>
              <w:rPr>
                <w:rFonts w:eastAsiaTheme="minorEastAsia"/>
                <w:b/>
                <w:szCs w:val="24"/>
              </w:rPr>
            </w:pPr>
            <w:r>
              <w:rPr>
                <w:rFonts w:eastAsiaTheme="minorEastAsia"/>
                <w:b/>
                <w:szCs w:val="24"/>
              </w:rPr>
              <w:t>3.1.1 环境空气质量现状</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（1）常规因子环境质量现状</w:t>
            </w:r>
          </w:p>
          <w:p>
            <w:pPr>
              <w:pStyle w:val="34"/>
              <w:ind w:firstLine="480"/>
              <w:rPr>
                <w:szCs w:val="24"/>
              </w:rPr>
            </w:pPr>
            <w:r>
              <w:rPr>
                <w:szCs w:val="24"/>
              </w:rPr>
              <w:t>根据《建设项目环境影响报告表编制技术指南》（污染影响类）（试行）的要求，常规污染物可采用国家、地方环境空气质量监测网数据或生态环境主管部门公开发布的质量数据。</w:t>
            </w:r>
          </w:p>
          <w:p>
            <w:pPr>
              <w:pStyle w:val="34"/>
              <w:ind w:firstLine="480"/>
              <w:rPr>
                <w:szCs w:val="24"/>
              </w:rPr>
            </w:pPr>
            <w:r>
              <w:rPr>
                <w:szCs w:val="24"/>
              </w:rPr>
              <w:t>该项目属于东川区行政区划范围内；根据昆明市东川区人民政府办公室发布的发布的《东川区城市环境空气质量周报》，监测数据源自东川区空气自动站2020年3月23日-2020年3月29日的监测结果，如下表所示。</w:t>
            </w:r>
          </w:p>
          <w:p>
            <w:pPr>
              <w:jc w:val="center"/>
              <w:rPr>
                <w:rFonts w:ascii="Times New Roman" w:hAnsi="Times New Roman" w:cs="Times New Roman"/>
                <w:b/>
                <w:szCs w:val="24"/>
              </w:rPr>
            </w:pPr>
            <w:r>
              <w:rPr>
                <w:rFonts w:ascii="Times New Roman" w:hAnsi="Times New Roman" w:cs="Times New Roman"/>
                <w:b/>
                <w:szCs w:val="24"/>
              </w:rPr>
              <w:t>表3.1.1-1 东川区空气自动站2020年3月23日-29日环境空气检测结果一览表 ug/m³</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411"/>
              <w:gridCol w:w="1081"/>
              <w:gridCol w:w="1134"/>
              <w:gridCol w:w="1134"/>
              <w:gridCol w:w="1134"/>
              <w:gridCol w:w="993"/>
              <w:gridCol w:w="992"/>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Align w:val="center"/>
                </w:tcPr>
                <w:p>
                  <w:pPr>
                    <w:pStyle w:val="26"/>
                    <w:spacing w:line="360" w:lineRule="exact"/>
                    <w:ind w:left="11"/>
                    <w:rPr>
                      <w:rFonts w:eastAsiaTheme="minorEastAsia"/>
                      <w:color w:val="auto"/>
                      <w:szCs w:val="21"/>
                      <w:lang w:val="en-US"/>
                    </w:rPr>
                  </w:pPr>
                  <w:r>
                    <w:rPr>
                      <w:rFonts w:eastAsiaTheme="minorEastAsia"/>
                      <w:color w:val="auto"/>
                      <w:szCs w:val="21"/>
                    </w:rPr>
                    <w:t>站点</w:t>
                  </w:r>
                </w:p>
              </w:tc>
              <w:tc>
                <w:tcPr>
                  <w:tcW w:w="1492" w:type="dxa"/>
                  <w:gridSpan w:val="2"/>
                  <w:vAlign w:val="center"/>
                </w:tcPr>
                <w:p>
                  <w:pPr>
                    <w:pStyle w:val="26"/>
                    <w:spacing w:line="360" w:lineRule="exact"/>
                    <w:ind w:left="11"/>
                    <w:rPr>
                      <w:rFonts w:eastAsiaTheme="minorEastAsia"/>
                      <w:color w:val="auto"/>
                      <w:szCs w:val="21"/>
                      <w:lang w:val="en-US"/>
                    </w:rPr>
                  </w:pPr>
                  <w:r>
                    <w:rPr>
                      <w:rFonts w:eastAsiaTheme="minorEastAsia"/>
                      <w:color w:val="auto"/>
                      <w:szCs w:val="21"/>
                    </w:rPr>
                    <w:t>监测时间</w:t>
                  </w:r>
                </w:p>
              </w:tc>
              <w:tc>
                <w:tcPr>
                  <w:tcW w:w="1134"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SO</w:t>
                  </w:r>
                  <w:r>
                    <w:rPr>
                      <w:rFonts w:eastAsiaTheme="minorEastAsia"/>
                      <w:color w:val="auto"/>
                      <w:szCs w:val="21"/>
                      <w:vertAlign w:val="subscript"/>
                      <w:lang w:val="en-US"/>
                    </w:rPr>
                    <w:t>2</w:t>
                  </w:r>
                </w:p>
              </w:tc>
              <w:tc>
                <w:tcPr>
                  <w:tcW w:w="1134" w:type="dxa"/>
                  <w:vAlign w:val="center"/>
                </w:tcPr>
                <w:p>
                  <w:pPr>
                    <w:pStyle w:val="26"/>
                    <w:spacing w:line="360" w:lineRule="exact"/>
                    <w:ind w:left="11"/>
                    <w:rPr>
                      <w:rFonts w:eastAsiaTheme="minorEastAsia"/>
                      <w:color w:val="auto"/>
                      <w:szCs w:val="21"/>
                      <w:vertAlign w:val="subscript"/>
                      <w:lang w:val="en-US"/>
                    </w:rPr>
                  </w:pPr>
                  <w:r>
                    <w:rPr>
                      <w:rFonts w:eastAsiaTheme="minorEastAsia"/>
                      <w:color w:val="auto"/>
                      <w:szCs w:val="21"/>
                      <w:lang w:val="en-US"/>
                    </w:rPr>
                    <w:t>NO</w:t>
                  </w:r>
                  <w:r>
                    <w:rPr>
                      <w:rFonts w:eastAsiaTheme="minorEastAsia"/>
                      <w:color w:val="auto"/>
                      <w:szCs w:val="21"/>
                      <w:vertAlign w:val="subscript"/>
                      <w:lang w:val="en-US"/>
                    </w:rPr>
                    <w:t>2</w:t>
                  </w:r>
                </w:p>
              </w:tc>
              <w:tc>
                <w:tcPr>
                  <w:tcW w:w="1134"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CO</w:t>
                  </w:r>
                </w:p>
                <w:p>
                  <w:pPr>
                    <w:pStyle w:val="26"/>
                    <w:spacing w:line="360" w:lineRule="exact"/>
                    <w:ind w:left="11"/>
                    <w:rPr>
                      <w:rFonts w:eastAsiaTheme="minorEastAsia"/>
                      <w:color w:val="auto"/>
                      <w:szCs w:val="21"/>
                      <w:lang w:val="en-US"/>
                    </w:rPr>
                  </w:pPr>
                  <w:r>
                    <w:rPr>
                      <w:rFonts w:eastAsiaTheme="minorEastAsia"/>
                      <w:color w:val="auto"/>
                      <w:szCs w:val="21"/>
                      <w:lang w:val="en-US"/>
                    </w:rPr>
                    <w:t>（mg/m³）</w:t>
                  </w:r>
                </w:p>
              </w:tc>
              <w:tc>
                <w:tcPr>
                  <w:tcW w:w="993"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O</w:t>
                  </w:r>
                  <w:r>
                    <w:rPr>
                      <w:rFonts w:eastAsiaTheme="minorEastAsia"/>
                      <w:color w:val="auto"/>
                      <w:szCs w:val="21"/>
                      <w:vertAlign w:val="subscript"/>
                      <w:lang w:val="en-US"/>
                    </w:rPr>
                    <w:t>3</w:t>
                  </w:r>
                  <w:r>
                    <w:rPr>
                      <w:rFonts w:eastAsiaTheme="minorEastAsia"/>
                      <w:color w:val="auto"/>
                      <w:szCs w:val="21"/>
                      <w:lang w:val="en-US"/>
                    </w:rPr>
                    <w:t>-8h</w:t>
                  </w:r>
                </w:p>
              </w:tc>
              <w:tc>
                <w:tcPr>
                  <w:tcW w:w="992" w:type="dxa"/>
                  <w:vAlign w:val="center"/>
                </w:tcPr>
                <w:p>
                  <w:pPr>
                    <w:pStyle w:val="26"/>
                    <w:spacing w:line="360" w:lineRule="exact"/>
                    <w:ind w:left="11"/>
                    <w:rPr>
                      <w:rFonts w:eastAsiaTheme="minorEastAsia"/>
                      <w:color w:val="auto"/>
                      <w:szCs w:val="21"/>
                      <w:vertAlign w:val="subscript"/>
                      <w:lang w:val="en-US"/>
                    </w:rPr>
                  </w:pPr>
                  <w:r>
                    <w:rPr>
                      <w:rFonts w:eastAsiaTheme="minorEastAsia"/>
                      <w:color w:val="auto"/>
                      <w:szCs w:val="21"/>
                      <w:lang w:val="en-US"/>
                    </w:rPr>
                    <w:t>PM</w:t>
                  </w:r>
                  <w:r>
                    <w:rPr>
                      <w:rFonts w:eastAsiaTheme="minorEastAsia"/>
                      <w:color w:val="auto"/>
                      <w:szCs w:val="21"/>
                      <w:vertAlign w:val="subscript"/>
                      <w:lang w:val="en-US"/>
                    </w:rPr>
                    <w:t>10</w:t>
                  </w:r>
                </w:p>
              </w:tc>
              <w:tc>
                <w:tcPr>
                  <w:tcW w:w="1066"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PM</w:t>
                  </w:r>
                  <w:r>
                    <w:rPr>
                      <w:rFonts w:eastAsiaTheme="minorEastAsia"/>
                      <w:color w:val="auto"/>
                      <w:szCs w:val="21"/>
                      <w:vertAlign w:val="subscript"/>
                      <w:lang w:val="en-US"/>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restart"/>
                  <w:vAlign w:val="center"/>
                </w:tcPr>
                <w:p>
                  <w:pPr>
                    <w:pStyle w:val="26"/>
                    <w:spacing w:line="360" w:lineRule="exact"/>
                    <w:ind w:left="11"/>
                    <w:rPr>
                      <w:rFonts w:eastAsiaTheme="minorEastAsia"/>
                      <w:color w:val="auto"/>
                      <w:szCs w:val="21"/>
                      <w:lang w:val="en-US"/>
                    </w:rPr>
                  </w:pPr>
                  <w:r>
                    <w:rPr>
                      <w:rFonts w:eastAsiaTheme="minorEastAsia"/>
                      <w:color w:val="auto"/>
                      <w:szCs w:val="21"/>
                    </w:rPr>
                    <w:t>东川区空气自动站</w:t>
                  </w:r>
                </w:p>
              </w:tc>
              <w:tc>
                <w:tcPr>
                  <w:tcW w:w="411" w:type="dxa"/>
                  <w:vMerge w:val="restart"/>
                  <w:vAlign w:val="center"/>
                </w:tcPr>
                <w:p>
                  <w:pPr>
                    <w:pStyle w:val="26"/>
                    <w:spacing w:line="360" w:lineRule="exact"/>
                    <w:ind w:left="11"/>
                    <w:rPr>
                      <w:rFonts w:eastAsiaTheme="minorEastAsia"/>
                      <w:color w:val="auto"/>
                      <w:szCs w:val="21"/>
                      <w:lang w:val="en-US"/>
                    </w:rPr>
                  </w:pPr>
                  <w:r>
                    <w:rPr>
                      <w:rFonts w:eastAsiaTheme="minorEastAsia"/>
                      <w:color w:val="auto"/>
                      <w:szCs w:val="21"/>
                    </w:rPr>
                    <w:t>日均值</w:t>
                  </w:r>
                </w:p>
              </w:tc>
              <w:tc>
                <w:tcPr>
                  <w:tcW w:w="1081"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2020.3.23</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9</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0.7</w:t>
                  </w:r>
                </w:p>
              </w:tc>
              <w:tc>
                <w:tcPr>
                  <w:tcW w:w="99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109</w:t>
                  </w:r>
                </w:p>
              </w:tc>
              <w:tc>
                <w:tcPr>
                  <w:tcW w:w="99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53</w:t>
                  </w:r>
                </w:p>
              </w:tc>
              <w:tc>
                <w:tcPr>
                  <w:tcW w:w="1066"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6"/>
                    <w:spacing w:line="360" w:lineRule="exact"/>
                    <w:ind w:left="11"/>
                    <w:rPr>
                      <w:rFonts w:eastAsiaTheme="minorEastAsia"/>
                      <w:color w:val="auto"/>
                      <w:szCs w:val="21"/>
                      <w:lang w:val="en-US"/>
                    </w:rPr>
                  </w:pPr>
                </w:p>
              </w:tc>
              <w:tc>
                <w:tcPr>
                  <w:tcW w:w="411" w:type="dxa"/>
                  <w:vMerge w:val="continue"/>
                  <w:vAlign w:val="center"/>
                </w:tcPr>
                <w:p>
                  <w:pPr>
                    <w:pStyle w:val="26"/>
                    <w:spacing w:line="360" w:lineRule="exact"/>
                    <w:ind w:left="11"/>
                    <w:rPr>
                      <w:rFonts w:eastAsiaTheme="minorEastAsia"/>
                      <w:color w:val="auto"/>
                      <w:szCs w:val="21"/>
                      <w:lang w:val="en-US"/>
                    </w:rPr>
                  </w:pPr>
                </w:p>
              </w:tc>
              <w:tc>
                <w:tcPr>
                  <w:tcW w:w="1081"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2020.3.24</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9</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0.7</w:t>
                  </w:r>
                </w:p>
              </w:tc>
              <w:tc>
                <w:tcPr>
                  <w:tcW w:w="99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109</w:t>
                  </w:r>
                </w:p>
              </w:tc>
              <w:tc>
                <w:tcPr>
                  <w:tcW w:w="99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47</w:t>
                  </w:r>
                </w:p>
              </w:tc>
              <w:tc>
                <w:tcPr>
                  <w:tcW w:w="1066"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6"/>
                    <w:spacing w:line="360" w:lineRule="exact"/>
                    <w:ind w:left="11"/>
                    <w:rPr>
                      <w:rFonts w:eastAsiaTheme="minorEastAsia"/>
                      <w:color w:val="auto"/>
                      <w:szCs w:val="21"/>
                      <w:lang w:val="en-US"/>
                    </w:rPr>
                  </w:pPr>
                </w:p>
              </w:tc>
              <w:tc>
                <w:tcPr>
                  <w:tcW w:w="411" w:type="dxa"/>
                  <w:vMerge w:val="continue"/>
                  <w:vAlign w:val="center"/>
                </w:tcPr>
                <w:p>
                  <w:pPr>
                    <w:pStyle w:val="26"/>
                    <w:spacing w:line="360" w:lineRule="exact"/>
                    <w:ind w:left="11"/>
                    <w:rPr>
                      <w:rFonts w:eastAsiaTheme="minorEastAsia"/>
                      <w:color w:val="auto"/>
                      <w:szCs w:val="21"/>
                      <w:lang w:val="en-US"/>
                    </w:rPr>
                  </w:pPr>
                </w:p>
              </w:tc>
              <w:tc>
                <w:tcPr>
                  <w:tcW w:w="1081"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2020.3.25</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7</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6</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0.6</w:t>
                  </w:r>
                </w:p>
              </w:tc>
              <w:tc>
                <w:tcPr>
                  <w:tcW w:w="99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118</w:t>
                  </w:r>
                </w:p>
              </w:tc>
              <w:tc>
                <w:tcPr>
                  <w:tcW w:w="99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38</w:t>
                  </w:r>
                </w:p>
              </w:tc>
              <w:tc>
                <w:tcPr>
                  <w:tcW w:w="1066"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6"/>
                    <w:spacing w:line="360" w:lineRule="exact"/>
                    <w:ind w:left="11"/>
                    <w:rPr>
                      <w:rFonts w:eastAsiaTheme="minorEastAsia"/>
                      <w:color w:val="auto"/>
                      <w:szCs w:val="21"/>
                      <w:lang w:val="en-US"/>
                    </w:rPr>
                  </w:pPr>
                </w:p>
              </w:tc>
              <w:tc>
                <w:tcPr>
                  <w:tcW w:w="411" w:type="dxa"/>
                  <w:vMerge w:val="continue"/>
                  <w:vAlign w:val="center"/>
                </w:tcPr>
                <w:p>
                  <w:pPr>
                    <w:pStyle w:val="26"/>
                    <w:spacing w:line="360" w:lineRule="exact"/>
                    <w:ind w:left="11"/>
                    <w:rPr>
                      <w:rFonts w:eastAsiaTheme="minorEastAsia"/>
                      <w:color w:val="auto"/>
                      <w:szCs w:val="21"/>
                      <w:lang w:val="en-US"/>
                    </w:rPr>
                  </w:pPr>
                </w:p>
              </w:tc>
              <w:tc>
                <w:tcPr>
                  <w:tcW w:w="1081"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2020.3.26</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6</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5</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0.6</w:t>
                  </w:r>
                </w:p>
              </w:tc>
              <w:tc>
                <w:tcPr>
                  <w:tcW w:w="99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101</w:t>
                  </w:r>
                </w:p>
              </w:tc>
              <w:tc>
                <w:tcPr>
                  <w:tcW w:w="99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25</w:t>
                  </w:r>
                </w:p>
              </w:tc>
              <w:tc>
                <w:tcPr>
                  <w:tcW w:w="1066"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6"/>
                    <w:spacing w:line="360" w:lineRule="exact"/>
                    <w:ind w:left="11"/>
                    <w:rPr>
                      <w:rFonts w:eastAsiaTheme="minorEastAsia"/>
                      <w:color w:val="auto"/>
                      <w:szCs w:val="21"/>
                      <w:lang w:val="en-US"/>
                    </w:rPr>
                  </w:pPr>
                </w:p>
              </w:tc>
              <w:tc>
                <w:tcPr>
                  <w:tcW w:w="411" w:type="dxa"/>
                  <w:vMerge w:val="continue"/>
                  <w:vAlign w:val="center"/>
                </w:tcPr>
                <w:p>
                  <w:pPr>
                    <w:pStyle w:val="26"/>
                    <w:spacing w:line="360" w:lineRule="exact"/>
                    <w:ind w:left="11"/>
                    <w:rPr>
                      <w:rFonts w:eastAsiaTheme="minorEastAsia"/>
                      <w:color w:val="auto"/>
                      <w:szCs w:val="21"/>
                      <w:lang w:val="en-US"/>
                    </w:rPr>
                  </w:pPr>
                </w:p>
              </w:tc>
              <w:tc>
                <w:tcPr>
                  <w:tcW w:w="1081"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2020.3.27</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7</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8</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0.7</w:t>
                  </w:r>
                </w:p>
              </w:tc>
              <w:tc>
                <w:tcPr>
                  <w:tcW w:w="99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113</w:t>
                  </w:r>
                </w:p>
              </w:tc>
              <w:tc>
                <w:tcPr>
                  <w:tcW w:w="99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39</w:t>
                  </w:r>
                </w:p>
              </w:tc>
              <w:tc>
                <w:tcPr>
                  <w:tcW w:w="1066"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6"/>
                    <w:spacing w:line="360" w:lineRule="exact"/>
                    <w:ind w:left="11"/>
                    <w:rPr>
                      <w:rFonts w:eastAsiaTheme="minorEastAsia"/>
                      <w:color w:val="auto"/>
                      <w:szCs w:val="21"/>
                      <w:lang w:val="en-US"/>
                    </w:rPr>
                  </w:pPr>
                </w:p>
              </w:tc>
              <w:tc>
                <w:tcPr>
                  <w:tcW w:w="411" w:type="dxa"/>
                  <w:vMerge w:val="continue"/>
                  <w:vAlign w:val="center"/>
                </w:tcPr>
                <w:p>
                  <w:pPr>
                    <w:pStyle w:val="26"/>
                    <w:spacing w:line="360" w:lineRule="exact"/>
                    <w:ind w:left="11"/>
                    <w:rPr>
                      <w:rFonts w:eastAsiaTheme="minorEastAsia"/>
                      <w:color w:val="auto"/>
                      <w:szCs w:val="21"/>
                      <w:lang w:val="en-US"/>
                    </w:rPr>
                  </w:pPr>
                </w:p>
              </w:tc>
              <w:tc>
                <w:tcPr>
                  <w:tcW w:w="1081"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2020.3.28</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47</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11</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0.7</w:t>
                  </w:r>
                </w:p>
              </w:tc>
              <w:tc>
                <w:tcPr>
                  <w:tcW w:w="99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102</w:t>
                  </w:r>
                </w:p>
              </w:tc>
              <w:tc>
                <w:tcPr>
                  <w:tcW w:w="99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56</w:t>
                  </w:r>
                </w:p>
              </w:tc>
              <w:tc>
                <w:tcPr>
                  <w:tcW w:w="1066"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60" w:type="dxa"/>
                  <w:vMerge w:val="continue"/>
                  <w:vAlign w:val="center"/>
                </w:tcPr>
                <w:p>
                  <w:pPr>
                    <w:pStyle w:val="26"/>
                    <w:spacing w:line="360" w:lineRule="exact"/>
                    <w:ind w:left="11"/>
                    <w:rPr>
                      <w:rFonts w:eastAsiaTheme="minorEastAsia"/>
                      <w:color w:val="auto"/>
                      <w:szCs w:val="21"/>
                      <w:lang w:val="en-US"/>
                    </w:rPr>
                  </w:pPr>
                </w:p>
              </w:tc>
              <w:tc>
                <w:tcPr>
                  <w:tcW w:w="411" w:type="dxa"/>
                  <w:vMerge w:val="continue"/>
                  <w:vAlign w:val="center"/>
                </w:tcPr>
                <w:p>
                  <w:pPr>
                    <w:pStyle w:val="26"/>
                    <w:spacing w:line="360" w:lineRule="exact"/>
                    <w:ind w:left="11"/>
                    <w:rPr>
                      <w:rFonts w:eastAsiaTheme="minorEastAsia"/>
                      <w:color w:val="auto"/>
                      <w:szCs w:val="21"/>
                      <w:lang w:val="en-US"/>
                    </w:rPr>
                  </w:pPr>
                </w:p>
              </w:tc>
              <w:tc>
                <w:tcPr>
                  <w:tcW w:w="1081" w:type="dxa"/>
                  <w:vAlign w:val="center"/>
                </w:tcPr>
                <w:p>
                  <w:pPr>
                    <w:pStyle w:val="26"/>
                    <w:spacing w:line="360" w:lineRule="exact"/>
                    <w:ind w:left="11"/>
                    <w:rPr>
                      <w:rFonts w:eastAsiaTheme="minorEastAsia"/>
                      <w:color w:val="auto"/>
                      <w:szCs w:val="21"/>
                      <w:lang w:val="en-US"/>
                    </w:rPr>
                  </w:pPr>
                  <w:r>
                    <w:rPr>
                      <w:rFonts w:eastAsiaTheme="minorEastAsia"/>
                      <w:color w:val="auto"/>
                      <w:szCs w:val="21"/>
                      <w:lang w:val="en-US"/>
                    </w:rPr>
                    <w:t>2020.3.29</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19</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8</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0.6</w:t>
                  </w:r>
                </w:p>
              </w:tc>
              <w:tc>
                <w:tcPr>
                  <w:tcW w:w="99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104</w:t>
                  </w:r>
                </w:p>
              </w:tc>
              <w:tc>
                <w:tcPr>
                  <w:tcW w:w="99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58</w:t>
                  </w:r>
                </w:p>
              </w:tc>
              <w:tc>
                <w:tcPr>
                  <w:tcW w:w="1066"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52" w:type="dxa"/>
                  <w:gridSpan w:val="3"/>
                  <w:vAlign w:val="center"/>
                </w:tcPr>
                <w:p>
                  <w:pPr>
                    <w:pStyle w:val="26"/>
                    <w:spacing w:line="360" w:lineRule="exact"/>
                    <w:ind w:left="11"/>
                    <w:rPr>
                      <w:rFonts w:eastAsiaTheme="minorEastAsia"/>
                      <w:color w:val="auto"/>
                      <w:szCs w:val="21"/>
                      <w:lang w:val="en-US"/>
                    </w:rPr>
                  </w:pPr>
                  <w:r>
                    <w:rPr>
                      <w:rFonts w:eastAsiaTheme="minorEastAsia"/>
                      <w:color w:val="auto"/>
                      <w:szCs w:val="21"/>
                    </w:rPr>
                    <w:t>标准值</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150</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80</w:t>
                  </w:r>
                </w:p>
              </w:tc>
              <w:tc>
                <w:tcPr>
                  <w:tcW w:w="1134"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4</w:t>
                  </w:r>
                </w:p>
              </w:tc>
              <w:tc>
                <w:tcPr>
                  <w:tcW w:w="993"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160</w:t>
                  </w:r>
                </w:p>
              </w:tc>
              <w:tc>
                <w:tcPr>
                  <w:tcW w:w="992"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150</w:t>
                  </w:r>
                </w:p>
              </w:tc>
              <w:tc>
                <w:tcPr>
                  <w:tcW w:w="1066" w:type="dxa"/>
                  <w:vAlign w:val="center"/>
                </w:tcPr>
                <w:p>
                  <w:pPr>
                    <w:pStyle w:val="26"/>
                    <w:spacing w:line="360" w:lineRule="exact"/>
                    <w:rPr>
                      <w:rFonts w:eastAsiaTheme="minorEastAsia"/>
                      <w:color w:val="auto"/>
                      <w:szCs w:val="21"/>
                      <w:lang w:val="en-US"/>
                    </w:rPr>
                  </w:pPr>
                  <w:r>
                    <w:rPr>
                      <w:rFonts w:eastAsiaTheme="minorEastAsia"/>
                      <w:color w:val="auto"/>
                      <w:szCs w:val="21"/>
                      <w:lang w:val="en-US"/>
                    </w:rPr>
                    <w:t>75</w:t>
                  </w:r>
                </w:p>
              </w:tc>
            </w:tr>
          </w:tbl>
          <w:p>
            <w:pPr>
              <w:pStyle w:val="34"/>
              <w:spacing w:beforeLines="50"/>
              <w:ind w:firstLine="480"/>
              <w:rPr>
                <w:rFonts w:eastAsiaTheme="minorEastAsia"/>
                <w:szCs w:val="24"/>
              </w:rPr>
            </w:pPr>
            <w:r>
              <w:rPr>
                <w:rFonts w:eastAsiaTheme="minorEastAsia"/>
                <w:szCs w:val="24"/>
              </w:rPr>
              <w:t>由上表可知，根据东川区空气自动站2020年3月23日-29日连续7天的监测结果，东川区环境空气质量可达到《环境空气质量标准》（GB3095-2012）二级标准。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（2）特征因子环境质量现状</w:t>
            </w:r>
          </w:p>
          <w:p>
            <w:pPr>
              <w:pStyle w:val="34"/>
              <w:ind w:firstLine="480"/>
              <w:rPr>
                <w:rFonts w:eastAsiaTheme="minorEastAsia"/>
                <w:szCs w:val="24"/>
              </w:rPr>
            </w:pPr>
            <w:r>
              <w:rPr>
                <w:szCs w:val="24"/>
              </w:rPr>
              <w:t>该项目为殡仪馆建设项目，其主要废气为火化机烟气，根据理论分析，项目产生的主要污染物为烟尘、SO</w:t>
            </w:r>
            <w:r>
              <w:rPr>
                <w:szCs w:val="24"/>
                <w:vertAlign w:val="subscript"/>
              </w:rPr>
              <w:t>2</w:t>
            </w:r>
            <w:r>
              <w:rPr>
                <w:szCs w:val="24"/>
              </w:rPr>
              <w:t>、NOx、CO、HCl、汞和二噁英。该污染因子中常规因子包括</w:t>
            </w:r>
            <w:r>
              <w:rPr>
                <w:rFonts w:eastAsiaTheme="minorEastAsia"/>
                <w:szCs w:val="21"/>
              </w:rPr>
              <w:t>PM</w:t>
            </w:r>
            <w:r>
              <w:rPr>
                <w:rFonts w:eastAsiaTheme="minorEastAsia"/>
                <w:szCs w:val="21"/>
                <w:vertAlign w:val="subscript"/>
              </w:rPr>
              <w:t>10</w:t>
            </w:r>
            <w:r>
              <w:rPr>
                <w:szCs w:val="24"/>
              </w:rPr>
              <w:t>、</w:t>
            </w:r>
            <w:r>
              <w:rPr>
                <w:rFonts w:eastAsiaTheme="minorEastAsia"/>
                <w:szCs w:val="21"/>
              </w:rPr>
              <w:t>PM</w:t>
            </w:r>
            <w:r>
              <w:rPr>
                <w:rFonts w:eastAsiaTheme="minorEastAsia"/>
                <w:szCs w:val="21"/>
                <w:vertAlign w:val="subscript"/>
              </w:rPr>
              <w:t>2.5</w:t>
            </w:r>
            <w:r>
              <w:rPr>
                <w:szCs w:val="24"/>
              </w:rPr>
              <w:t>、SO</w:t>
            </w:r>
            <w:r>
              <w:rPr>
                <w:szCs w:val="24"/>
                <w:vertAlign w:val="subscript"/>
              </w:rPr>
              <w:t>2</w:t>
            </w:r>
            <w:r>
              <w:rPr>
                <w:szCs w:val="24"/>
              </w:rPr>
              <w:t>、NO</w:t>
            </w:r>
            <w:r>
              <w:rPr>
                <w:szCs w:val="24"/>
                <w:vertAlign w:val="subscript"/>
              </w:rPr>
              <w:t>2</w:t>
            </w:r>
            <w:r>
              <w:rPr>
                <w:szCs w:val="24"/>
              </w:rPr>
              <w:t>和CO；特征因子包括TSP、HCl、汞和二噁英。</w:t>
            </w:r>
            <w:r>
              <w:rPr>
                <w:rFonts w:eastAsiaTheme="minorEastAsia"/>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年的现有监测数据”进行现状评价；项目排放的特征污染物中</w:t>
            </w:r>
            <w:r>
              <w:rPr>
                <w:szCs w:val="24"/>
              </w:rPr>
              <w:t>HCl和二噁英无相应的浓度限值</w:t>
            </w:r>
            <w:r>
              <w:rPr>
                <w:rFonts w:eastAsiaTheme="minorEastAsia"/>
                <w:szCs w:val="24"/>
              </w:rPr>
              <w:t>、</w:t>
            </w:r>
            <w:r>
              <w:rPr>
                <w:szCs w:val="24"/>
              </w:rPr>
              <w:t>汞仅只有参考浓度限值而无标准限值，只有TSP有</w:t>
            </w:r>
            <w:r>
              <w:rPr>
                <w:rFonts w:eastAsiaTheme="minorEastAsia"/>
                <w:szCs w:val="24"/>
              </w:rPr>
              <w:t>国家环境空气质量标准限值要求。</w:t>
            </w:r>
          </w:p>
          <w:p>
            <w:pPr>
              <w:pStyle w:val="34"/>
              <w:ind w:firstLine="480"/>
              <w:rPr>
                <w:rFonts w:eastAsiaTheme="minorEastAsia"/>
                <w:szCs w:val="24"/>
              </w:rPr>
            </w:pPr>
            <w:r>
              <w:rPr>
                <w:rFonts w:eastAsiaTheme="minorEastAsia"/>
                <w:szCs w:val="24"/>
              </w:rPr>
              <w:t>根据调查，滇川固废研发利用（云南）有限公司委托云南加莱希安全检测有限公司于2022年6 月21日至6月22日对滇川固废研发利用（云南）有限公司厂界上风向总悬浮物颗粒物（TSP）环境空气质量现状进行了监测，该监测点位于项目区西北侧908m处，满足引用条件，因此环评引用其对区域TSP进行现状评价。具体监测结果如下表所示。</w:t>
            </w:r>
          </w:p>
          <w:p>
            <w:pPr>
              <w:jc w:val="center"/>
              <w:rPr>
                <w:rFonts w:ascii="Times New Roman" w:hAnsi="Times New Roman" w:cs="Times New Roman"/>
                <w:b/>
                <w:szCs w:val="24"/>
              </w:rPr>
            </w:pPr>
            <w:r>
              <w:rPr>
                <w:rFonts w:ascii="Times New Roman" w:hAnsi="Times New Roman" w:cs="Times New Roman"/>
                <w:b/>
                <w:szCs w:val="24"/>
              </w:rPr>
              <w:t>表3.1.1-2 引用TSP的监测数据一览表</w:t>
            </w:r>
          </w:p>
          <w:tbl>
            <w:tblPr>
              <w:tblStyle w:val="16"/>
              <w:tblW w:w="86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1"/>
              <w:gridCol w:w="1701"/>
              <w:gridCol w:w="2835"/>
              <w:gridCol w:w="2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11"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检测点位</w:t>
                  </w:r>
                </w:p>
              </w:tc>
              <w:tc>
                <w:tcPr>
                  <w:tcW w:w="1701"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采样日期</w:t>
                  </w:r>
                </w:p>
              </w:tc>
              <w:tc>
                <w:tcPr>
                  <w:tcW w:w="2835"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时间</w:t>
                  </w:r>
                </w:p>
              </w:tc>
              <w:tc>
                <w:tcPr>
                  <w:tcW w:w="2058"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11" w:type="dxa"/>
                  <w:vMerge w:val="restart"/>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项目西北侧908m处</w:t>
                  </w:r>
                </w:p>
              </w:tc>
              <w:tc>
                <w:tcPr>
                  <w:tcW w:w="1701" w:type="dxa"/>
                  <w:vMerge w:val="restart"/>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2022/06/21</w:t>
                  </w:r>
                </w:p>
              </w:tc>
              <w:tc>
                <w:tcPr>
                  <w:tcW w:w="2835"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12:00-13:00</w:t>
                  </w:r>
                </w:p>
              </w:tc>
              <w:tc>
                <w:tcPr>
                  <w:tcW w:w="2058"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11" w:type="dxa"/>
                  <w:vMerge w:val="continue"/>
                  <w:tcMar>
                    <w:top w:w="15" w:type="dxa"/>
                    <w:left w:w="15" w:type="dxa"/>
                    <w:bottom w:w="15" w:type="dxa"/>
                    <w:right w:w="15" w:type="dxa"/>
                  </w:tcMar>
                  <w:vAlign w:val="center"/>
                </w:tcPr>
                <w:p>
                  <w:pPr>
                    <w:pStyle w:val="26"/>
                    <w:spacing w:line="360" w:lineRule="exact"/>
                    <w:rPr>
                      <w:rFonts w:eastAsiaTheme="minorEastAsia"/>
                      <w:color w:val="auto"/>
                      <w:szCs w:val="21"/>
                      <w:lang w:val="en-US"/>
                    </w:rPr>
                  </w:pPr>
                </w:p>
              </w:tc>
              <w:tc>
                <w:tcPr>
                  <w:tcW w:w="1701" w:type="dxa"/>
                  <w:vMerge w:val="continue"/>
                  <w:tcMar>
                    <w:top w:w="15" w:type="dxa"/>
                    <w:left w:w="15" w:type="dxa"/>
                    <w:bottom w:w="15" w:type="dxa"/>
                    <w:right w:w="15" w:type="dxa"/>
                  </w:tcMar>
                  <w:vAlign w:val="center"/>
                </w:tcPr>
                <w:p>
                  <w:pPr>
                    <w:pStyle w:val="26"/>
                    <w:spacing w:line="360" w:lineRule="exact"/>
                    <w:rPr>
                      <w:rFonts w:eastAsiaTheme="minorEastAsia"/>
                      <w:color w:val="auto"/>
                      <w:szCs w:val="21"/>
                      <w:lang w:val="en-US"/>
                    </w:rPr>
                  </w:pPr>
                </w:p>
              </w:tc>
              <w:tc>
                <w:tcPr>
                  <w:tcW w:w="2835"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14:00-15:00</w:t>
                  </w:r>
                </w:p>
              </w:tc>
              <w:tc>
                <w:tcPr>
                  <w:tcW w:w="2058"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11" w:type="dxa"/>
                  <w:vMerge w:val="continue"/>
                  <w:tcMar>
                    <w:top w:w="15" w:type="dxa"/>
                    <w:left w:w="15" w:type="dxa"/>
                    <w:bottom w:w="15" w:type="dxa"/>
                    <w:right w:w="15" w:type="dxa"/>
                  </w:tcMar>
                  <w:vAlign w:val="center"/>
                </w:tcPr>
                <w:p>
                  <w:pPr>
                    <w:pStyle w:val="26"/>
                    <w:spacing w:line="360" w:lineRule="exact"/>
                    <w:rPr>
                      <w:rFonts w:eastAsiaTheme="minorEastAsia"/>
                      <w:color w:val="auto"/>
                      <w:szCs w:val="21"/>
                      <w:lang w:val="en-US"/>
                    </w:rPr>
                  </w:pPr>
                </w:p>
              </w:tc>
              <w:tc>
                <w:tcPr>
                  <w:tcW w:w="1701" w:type="dxa"/>
                  <w:vMerge w:val="continue"/>
                  <w:tcMar>
                    <w:top w:w="15" w:type="dxa"/>
                    <w:left w:w="15" w:type="dxa"/>
                    <w:bottom w:w="15" w:type="dxa"/>
                    <w:right w:w="15" w:type="dxa"/>
                  </w:tcMar>
                  <w:vAlign w:val="center"/>
                </w:tcPr>
                <w:p>
                  <w:pPr>
                    <w:pStyle w:val="26"/>
                    <w:spacing w:line="360" w:lineRule="exact"/>
                    <w:rPr>
                      <w:rFonts w:eastAsiaTheme="minorEastAsia"/>
                      <w:color w:val="auto"/>
                      <w:szCs w:val="21"/>
                      <w:lang w:val="en-US"/>
                    </w:rPr>
                  </w:pPr>
                </w:p>
              </w:tc>
              <w:tc>
                <w:tcPr>
                  <w:tcW w:w="2835"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16:00-17:00</w:t>
                  </w:r>
                </w:p>
              </w:tc>
              <w:tc>
                <w:tcPr>
                  <w:tcW w:w="2058"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11" w:type="dxa"/>
                  <w:vMerge w:val="continue"/>
                  <w:tcMar>
                    <w:top w:w="15" w:type="dxa"/>
                    <w:left w:w="15" w:type="dxa"/>
                    <w:bottom w:w="15" w:type="dxa"/>
                    <w:right w:w="15" w:type="dxa"/>
                  </w:tcMar>
                  <w:vAlign w:val="center"/>
                </w:tcPr>
                <w:p>
                  <w:pPr>
                    <w:pStyle w:val="26"/>
                    <w:spacing w:line="360" w:lineRule="exact"/>
                    <w:rPr>
                      <w:rFonts w:eastAsiaTheme="minorEastAsia"/>
                      <w:color w:val="auto"/>
                      <w:szCs w:val="21"/>
                      <w:lang w:val="en-US"/>
                    </w:rPr>
                  </w:pPr>
                </w:p>
              </w:tc>
              <w:tc>
                <w:tcPr>
                  <w:tcW w:w="1701" w:type="dxa"/>
                  <w:vMerge w:val="restart"/>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2022/06/22</w:t>
                  </w:r>
                </w:p>
              </w:tc>
              <w:tc>
                <w:tcPr>
                  <w:tcW w:w="2835"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10:00-11:00</w:t>
                  </w:r>
                </w:p>
              </w:tc>
              <w:tc>
                <w:tcPr>
                  <w:tcW w:w="2058"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11" w:type="dxa"/>
                  <w:vMerge w:val="continue"/>
                  <w:tcMar>
                    <w:top w:w="15" w:type="dxa"/>
                    <w:left w:w="15" w:type="dxa"/>
                    <w:bottom w:w="15" w:type="dxa"/>
                    <w:right w:w="15" w:type="dxa"/>
                  </w:tcMar>
                  <w:vAlign w:val="center"/>
                </w:tcPr>
                <w:p>
                  <w:pPr>
                    <w:pStyle w:val="26"/>
                    <w:spacing w:line="360" w:lineRule="exact"/>
                    <w:rPr>
                      <w:rFonts w:eastAsiaTheme="minorEastAsia"/>
                      <w:color w:val="auto"/>
                      <w:szCs w:val="21"/>
                      <w:lang w:val="en-US"/>
                    </w:rPr>
                  </w:pPr>
                </w:p>
              </w:tc>
              <w:tc>
                <w:tcPr>
                  <w:tcW w:w="1701" w:type="dxa"/>
                  <w:vMerge w:val="continue"/>
                  <w:tcMar>
                    <w:top w:w="15" w:type="dxa"/>
                    <w:left w:w="15" w:type="dxa"/>
                    <w:bottom w:w="15" w:type="dxa"/>
                    <w:right w:w="15" w:type="dxa"/>
                  </w:tcMar>
                  <w:vAlign w:val="center"/>
                </w:tcPr>
                <w:p>
                  <w:pPr>
                    <w:pStyle w:val="26"/>
                    <w:spacing w:line="360" w:lineRule="exact"/>
                    <w:rPr>
                      <w:rFonts w:eastAsiaTheme="minorEastAsia"/>
                      <w:color w:val="auto"/>
                      <w:szCs w:val="21"/>
                      <w:lang w:val="en-US"/>
                    </w:rPr>
                  </w:pPr>
                </w:p>
              </w:tc>
              <w:tc>
                <w:tcPr>
                  <w:tcW w:w="2835"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12:00-13:00</w:t>
                  </w:r>
                </w:p>
              </w:tc>
              <w:tc>
                <w:tcPr>
                  <w:tcW w:w="2058"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0.018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11" w:type="dxa"/>
                  <w:vMerge w:val="continue"/>
                  <w:tcBorders>
                    <w:bottom w:val="single" w:color="auto" w:sz="4" w:space="0"/>
                  </w:tcBorders>
                  <w:tcMar>
                    <w:top w:w="15" w:type="dxa"/>
                    <w:left w:w="15" w:type="dxa"/>
                    <w:bottom w:w="15" w:type="dxa"/>
                    <w:right w:w="15" w:type="dxa"/>
                  </w:tcMar>
                  <w:vAlign w:val="center"/>
                </w:tcPr>
                <w:p>
                  <w:pPr>
                    <w:pStyle w:val="26"/>
                    <w:spacing w:line="360" w:lineRule="exact"/>
                    <w:rPr>
                      <w:rFonts w:eastAsiaTheme="minorEastAsia"/>
                      <w:color w:val="auto"/>
                      <w:szCs w:val="21"/>
                      <w:lang w:val="en-US"/>
                    </w:rPr>
                  </w:pPr>
                </w:p>
              </w:tc>
              <w:tc>
                <w:tcPr>
                  <w:tcW w:w="1701" w:type="dxa"/>
                  <w:vMerge w:val="continue"/>
                  <w:tcMar>
                    <w:top w:w="15" w:type="dxa"/>
                    <w:left w:w="15" w:type="dxa"/>
                    <w:bottom w:w="15" w:type="dxa"/>
                    <w:right w:w="15" w:type="dxa"/>
                  </w:tcMar>
                  <w:vAlign w:val="center"/>
                </w:tcPr>
                <w:p>
                  <w:pPr>
                    <w:pStyle w:val="26"/>
                    <w:spacing w:line="360" w:lineRule="exact"/>
                    <w:rPr>
                      <w:rFonts w:eastAsiaTheme="minorEastAsia"/>
                      <w:color w:val="auto"/>
                      <w:szCs w:val="21"/>
                      <w:lang w:val="en-US"/>
                    </w:rPr>
                  </w:pPr>
                </w:p>
              </w:tc>
              <w:tc>
                <w:tcPr>
                  <w:tcW w:w="2835"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14:00-15:00</w:t>
                  </w:r>
                </w:p>
              </w:tc>
              <w:tc>
                <w:tcPr>
                  <w:tcW w:w="2058"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0.028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47" w:type="dxa"/>
                  <w:gridSpan w:val="3"/>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标准值</w:t>
                  </w:r>
                </w:p>
              </w:tc>
              <w:tc>
                <w:tcPr>
                  <w:tcW w:w="2058" w:type="dxa"/>
                  <w:tcMar>
                    <w:top w:w="15" w:type="dxa"/>
                    <w:left w:w="15" w:type="dxa"/>
                    <w:bottom w:w="15" w:type="dxa"/>
                    <w:right w:w="15" w:type="dxa"/>
                  </w:tcMar>
                  <w:vAlign w:val="center"/>
                </w:tcPr>
                <w:p>
                  <w:pPr>
                    <w:pStyle w:val="26"/>
                    <w:spacing w:line="360" w:lineRule="exact"/>
                    <w:rPr>
                      <w:rFonts w:eastAsiaTheme="minorEastAsia"/>
                      <w:color w:val="auto"/>
                      <w:szCs w:val="21"/>
                      <w:lang w:val="en-US"/>
                    </w:rPr>
                  </w:pPr>
                  <w:r>
                    <w:rPr>
                      <w:rFonts w:eastAsiaTheme="minorEastAsia"/>
                      <w:color w:val="auto"/>
                      <w:szCs w:val="21"/>
                      <w:lang w:val="en-US"/>
                    </w:rPr>
                    <w:t>0.3</w:t>
                  </w:r>
                </w:p>
              </w:tc>
            </w:tr>
          </w:tbl>
          <w:p>
            <w:pPr>
              <w:pStyle w:val="34"/>
              <w:spacing w:beforeLines="50"/>
              <w:ind w:firstLine="480"/>
              <w:rPr>
                <w:rFonts w:eastAsiaTheme="minorEastAsia"/>
                <w:szCs w:val="24"/>
              </w:rPr>
            </w:pPr>
            <w:r>
              <w:rPr>
                <w:rFonts w:eastAsiaTheme="minorEastAsia"/>
                <w:szCs w:val="24"/>
              </w:rPr>
              <w:t>由上表可知，项目区域TSP可达到《环境空气质量标准》（GB3095-2012）二级标准。</w:t>
            </w:r>
          </w:p>
          <w:p>
            <w:pPr>
              <w:pStyle w:val="34"/>
              <w:ind w:firstLine="482"/>
              <w:rPr>
                <w:rFonts w:eastAsiaTheme="minorEastAsia"/>
                <w:b/>
                <w:szCs w:val="24"/>
              </w:rPr>
            </w:pPr>
            <w:r>
              <w:rPr>
                <w:rFonts w:eastAsiaTheme="minorEastAsia"/>
                <w:b/>
                <w:szCs w:val="24"/>
              </w:rPr>
              <w:t>3.1.2 地表水环境质量现状</w:t>
            </w:r>
          </w:p>
          <w:p>
            <w:pPr>
              <w:pStyle w:val="34"/>
              <w:ind w:firstLine="480"/>
              <w:rPr>
                <w:szCs w:val="24"/>
              </w:rPr>
            </w:pPr>
            <w:r>
              <w:rPr>
                <w:szCs w:val="24"/>
              </w:rPr>
              <w:t>该项目区属于大桥河和小江的汇水范围，大桥河位于项目区西侧302m，小江位于项目区西南侧758m。大桥河是小江的一级支流，根据云南省水利厅发布的《云南省水功能区划》（2014版），小江（清水海-入金沙江口段）到2030年的水质目标为III类水体。</w:t>
            </w:r>
          </w:p>
          <w:p>
            <w:pPr>
              <w:pStyle w:val="34"/>
              <w:ind w:firstLine="480"/>
              <w:rPr>
                <w:szCs w:val="24"/>
              </w:rPr>
            </w:pPr>
            <w:r>
              <w:rPr>
                <w:szCs w:val="24"/>
              </w:rPr>
              <w:t>环评按照《建设项目环境影响报告表编制技术指南》（污染影响类）的要求，引用所在流域控制单元内地方控制断面（小江板河口断面）2021年全年平均监测数据对地表水现状进行分析。如下表所示。</w:t>
            </w:r>
          </w:p>
          <w:p>
            <w:pPr>
              <w:pStyle w:val="28"/>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表3.1.2-1 小江板河口断面2021年12月水质检测结果一览表   单位：mg/L</w:t>
            </w:r>
          </w:p>
          <w:tbl>
            <w:tblPr>
              <w:tblStyle w:val="16"/>
              <w:tblW w:w="8605" w:type="dxa"/>
              <w:jc w:val="center"/>
              <w:tblInd w:w="0" w:type="dxa"/>
              <w:tblLayout w:type="fixed"/>
              <w:tblCellMar>
                <w:top w:w="0" w:type="dxa"/>
                <w:left w:w="108" w:type="dxa"/>
                <w:bottom w:w="0" w:type="dxa"/>
                <w:right w:w="108" w:type="dxa"/>
              </w:tblCellMar>
            </w:tblPr>
            <w:tblGrid>
              <w:gridCol w:w="881"/>
              <w:gridCol w:w="2292"/>
              <w:gridCol w:w="2242"/>
              <w:gridCol w:w="1700"/>
              <w:gridCol w:w="1490"/>
            </w:tblGrid>
            <w:tr>
              <w:tblPrEx>
                <w:tblLayout w:type="fixed"/>
                <w:tblCellMar>
                  <w:top w:w="0" w:type="dxa"/>
                  <w:left w:w="108" w:type="dxa"/>
                  <w:bottom w:w="0" w:type="dxa"/>
                  <w:right w:w="108" w:type="dxa"/>
                </w:tblCellMar>
              </w:tblPrEx>
              <w:trPr>
                <w:trHeight w:val="148"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序号</w:t>
                  </w:r>
                </w:p>
              </w:tc>
              <w:tc>
                <w:tcPr>
                  <w:tcW w:w="2292" w:type="dxa"/>
                  <w:tcBorders>
                    <w:top w:val="single" w:color="auto" w:sz="4" w:space="0"/>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监测项目</w:t>
                  </w:r>
                </w:p>
              </w:tc>
              <w:tc>
                <w:tcPr>
                  <w:tcW w:w="2242" w:type="dxa"/>
                  <w:tcBorders>
                    <w:top w:val="single" w:color="auto" w:sz="4" w:space="0"/>
                    <w:left w:val="nil"/>
                    <w:bottom w:val="single" w:color="auto" w:sz="4" w:space="0"/>
                    <w:right w:val="single" w:color="auto" w:sz="4" w:space="0"/>
                  </w:tcBorders>
                  <w:vAlign w:val="center"/>
                </w:tcPr>
                <w:p>
                  <w:pPr>
                    <w:pStyle w:val="26"/>
                    <w:spacing w:line="360" w:lineRule="exact"/>
                    <w:rPr>
                      <w:color w:val="auto"/>
                      <w:szCs w:val="21"/>
                    </w:rPr>
                  </w:pPr>
                  <w:r>
                    <w:rPr>
                      <w:color w:val="auto"/>
                      <w:szCs w:val="24"/>
                    </w:rPr>
                    <w:t>板河口</w:t>
                  </w:r>
                </w:p>
              </w:tc>
              <w:tc>
                <w:tcPr>
                  <w:tcW w:w="1700" w:type="dxa"/>
                  <w:tcBorders>
                    <w:top w:val="single" w:color="auto" w:sz="4" w:space="0"/>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标准值</w:t>
                  </w:r>
                </w:p>
              </w:tc>
              <w:tc>
                <w:tcPr>
                  <w:tcW w:w="1490" w:type="dxa"/>
                  <w:tcBorders>
                    <w:top w:val="single" w:color="auto" w:sz="4" w:space="0"/>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达标情况</w:t>
                  </w:r>
                </w:p>
              </w:tc>
            </w:tr>
            <w:tr>
              <w:tblPrEx>
                <w:tblLayout w:type="fixed"/>
                <w:tblCellMar>
                  <w:top w:w="0" w:type="dxa"/>
                  <w:left w:w="108" w:type="dxa"/>
                  <w:bottom w:w="0" w:type="dxa"/>
                  <w:right w:w="108" w:type="dxa"/>
                </w:tblCellMar>
              </w:tblPrEx>
              <w:trPr>
                <w:trHeight w:val="300" w:hRule="atLeast"/>
                <w:jc w:val="center"/>
              </w:trPr>
              <w:tc>
                <w:tcPr>
                  <w:tcW w:w="881" w:type="dxa"/>
                  <w:tcBorders>
                    <w:top w:val="nil"/>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1</w:t>
                  </w:r>
                </w:p>
              </w:tc>
              <w:tc>
                <w:tcPr>
                  <w:tcW w:w="229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pH（无量纲）</w:t>
                  </w:r>
                </w:p>
              </w:tc>
              <w:tc>
                <w:tcPr>
                  <w:tcW w:w="224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8.16-8.52</w:t>
                  </w:r>
                </w:p>
              </w:tc>
              <w:tc>
                <w:tcPr>
                  <w:tcW w:w="170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6-9</w:t>
                  </w:r>
                </w:p>
              </w:tc>
              <w:tc>
                <w:tcPr>
                  <w:tcW w:w="149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881" w:type="dxa"/>
                  <w:tcBorders>
                    <w:top w:val="nil"/>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2</w:t>
                  </w:r>
                </w:p>
              </w:tc>
              <w:tc>
                <w:tcPr>
                  <w:tcW w:w="229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CODcr</w:t>
                  </w:r>
                </w:p>
              </w:tc>
              <w:tc>
                <w:tcPr>
                  <w:tcW w:w="224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9.5</w:t>
                  </w:r>
                </w:p>
              </w:tc>
              <w:tc>
                <w:tcPr>
                  <w:tcW w:w="170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≤20</w:t>
                  </w:r>
                </w:p>
              </w:tc>
              <w:tc>
                <w:tcPr>
                  <w:tcW w:w="149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881" w:type="dxa"/>
                  <w:tcBorders>
                    <w:top w:val="nil"/>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3</w:t>
                  </w:r>
                </w:p>
              </w:tc>
              <w:tc>
                <w:tcPr>
                  <w:tcW w:w="229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BOD</w:t>
                  </w:r>
                  <w:r>
                    <w:rPr>
                      <w:color w:val="auto"/>
                      <w:szCs w:val="21"/>
                      <w:vertAlign w:val="subscript"/>
                    </w:rPr>
                    <w:t>5</w:t>
                  </w:r>
                </w:p>
              </w:tc>
              <w:tc>
                <w:tcPr>
                  <w:tcW w:w="224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2</w:t>
                  </w:r>
                </w:p>
              </w:tc>
              <w:tc>
                <w:tcPr>
                  <w:tcW w:w="170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≤4</w:t>
                  </w:r>
                </w:p>
              </w:tc>
              <w:tc>
                <w:tcPr>
                  <w:tcW w:w="149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881" w:type="dxa"/>
                  <w:tcBorders>
                    <w:top w:val="nil"/>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5</w:t>
                  </w:r>
                </w:p>
              </w:tc>
              <w:tc>
                <w:tcPr>
                  <w:tcW w:w="229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NH</w:t>
                  </w:r>
                  <w:r>
                    <w:rPr>
                      <w:color w:val="auto"/>
                      <w:szCs w:val="21"/>
                      <w:vertAlign w:val="subscript"/>
                    </w:rPr>
                    <w:t>3</w:t>
                  </w:r>
                  <w:r>
                    <w:rPr>
                      <w:color w:val="auto"/>
                      <w:szCs w:val="21"/>
                    </w:rPr>
                    <w:t>-N</w:t>
                  </w:r>
                </w:p>
              </w:tc>
              <w:tc>
                <w:tcPr>
                  <w:tcW w:w="224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0.24</w:t>
                  </w:r>
                </w:p>
              </w:tc>
              <w:tc>
                <w:tcPr>
                  <w:tcW w:w="170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≤1.0</w:t>
                  </w:r>
                </w:p>
              </w:tc>
              <w:tc>
                <w:tcPr>
                  <w:tcW w:w="149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881" w:type="dxa"/>
                  <w:tcBorders>
                    <w:top w:val="nil"/>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6</w:t>
                  </w:r>
                </w:p>
              </w:tc>
              <w:tc>
                <w:tcPr>
                  <w:tcW w:w="229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TP</w:t>
                  </w:r>
                </w:p>
              </w:tc>
              <w:tc>
                <w:tcPr>
                  <w:tcW w:w="224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0.12</w:t>
                  </w:r>
                </w:p>
              </w:tc>
              <w:tc>
                <w:tcPr>
                  <w:tcW w:w="170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≤0.2</w:t>
                  </w:r>
                </w:p>
              </w:tc>
              <w:tc>
                <w:tcPr>
                  <w:tcW w:w="149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881" w:type="dxa"/>
                  <w:tcBorders>
                    <w:top w:val="nil"/>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7</w:t>
                  </w:r>
                </w:p>
              </w:tc>
              <w:tc>
                <w:tcPr>
                  <w:tcW w:w="229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挥发酚</w:t>
                  </w:r>
                </w:p>
              </w:tc>
              <w:tc>
                <w:tcPr>
                  <w:tcW w:w="224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0.0003L</w:t>
                  </w:r>
                </w:p>
              </w:tc>
              <w:tc>
                <w:tcPr>
                  <w:tcW w:w="170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≤0.005</w:t>
                  </w:r>
                </w:p>
              </w:tc>
              <w:tc>
                <w:tcPr>
                  <w:tcW w:w="149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881" w:type="dxa"/>
                  <w:tcBorders>
                    <w:top w:val="nil"/>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8</w:t>
                  </w:r>
                </w:p>
              </w:tc>
              <w:tc>
                <w:tcPr>
                  <w:tcW w:w="229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石油类</w:t>
                  </w:r>
                </w:p>
              </w:tc>
              <w:tc>
                <w:tcPr>
                  <w:tcW w:w="224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0.01L</w:t>
                  </w:r>
                </w:p>
              </w:tc>
              <w:tc>
                <w:tcPr>
                  <w:tcW w:w="170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≤0.05</w:t>
                  </w:r>
                </w:p>
              </w:tc>
              <w:tc>
                <w:tcPr>
                  <w:tcW w:w="149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881" w:type="dxa"/>
                  <w:tcBorders>
                    <w:top w:val="nil"/>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9</w:t>
                  </w:r>
                </w:p>
              </w:tc>
              <w:tc>
                <w:tcPr>
                  <w:tcW w:w="229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阴离子表面活性剂</w:t>
                  </w:r>
                </w:p>
              </w:tc>
              <w:tc>
                <w:tcPr>
                  <w:tcW w:w="2242"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0.05L</w:t>
                  </w:r>
                </w:p>
              </w:tc>
              <w:tc>
                <w:tcPr>
                  <w:tcW w:w="170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≤0.2</w:t>
                  </w:r>
                </w:p>
              </w:tc>
              <w:tc>
                <w:tcPr>
                  <w:tcW w:w="1490" w:type="dxa"/>
                  <w:tcBorders>
                    <w:top w:val="nil"/>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达标</w:t>
                  </w:r>
                </w:p>
              </w:tc>
            </w:tr>
            <w:tr>
              <w:tblPrEx>
                <w:tblLayout w:type="fixed"/>
                <w:tblCellMar>
                  <w:top w:w="0" w:type="dxa"/>
                  <w:left w:w="108" w:type="dxa"/>
                  <w:bottom w:w="0" w:type="dxa"/>
                  <w:right w:w="108" w:type="dxa"/>
                </w:tblCellMar>
              </w:tblPrEx>
              <w:trPr>
                <w:trHeight w:val="30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10</w:t>
                  </w:r>
                </w:p>
              </w:tc>
              <w:tc>
                <w:tcPr>
                  <w:tcW w:w="2292" w:type="dxa"/>
                  <w:tcBorders>
                    <w:top w:val="single" w:color="auto" w:sz="4" w:space="0"/>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粪大肠菌群</w:t>
                  </w:r>
                </w:p>
              </w:tc>
              <w:tc>
                <w:tcPr>
                  <w:tcW w:w="2242" w:type="dxa"/>
                  <w:tcBorders>
                    <w:top w:val="single" w:color="auto" w:sz="4" w:space="0"/>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2050</w:t>
                  </w:r>
                </w:p>
              </w:tc>
              <w:tc>
                <w:tcPr>
                  <w:tcW w:w="1700" w:type="dxa"/>
                  <w:tcBorders>
                    <w:top w:val="single" w:color="auto" w:sz="4" w:space="0"/>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20000个/L</w:t>
                  </w:r>
                </w:p>
              </w:tc>
              <w:tc>
                <w:tcPr>
                  <w:tcW w:w="1490" w:type="dxa"/>
                  <w:tcBorders>
                    <w:top w:val="single" w:color="auto" w:sz="4" w:space="0"/>
                    <w:left w:val="nil"/>
                    <w:bottom w:val="single" w:color="auto" w:sz="4" w:space="0"/>
                    <w:right w:val="single" w:color="auto" w:sz="4" w:space="0"/>
                  </w:tcBorders>
                  <w:vAlign w:val="center"/>
                </w:tcPr>
                <w:p>
                  <w:pPr>
                    <w:pStyle w:val="26"/>
                    <w:spacing w:line="360" w:lineRule="exact"/>
                    <w:rPr>
                      <w:color w:val="auto"/>
                      <w:szCs w:val="21"/>
                    </w:rPr>
                  </w:pPr>
                  <w:r>
                    <w:rPr>
                      <w:color w:val="auto"/>
                      <w:szCs w:val="21"/>
                    </w:rPr>
                    <w:t>达标</w:t>
                  </w:r>
                </w:p>
              </w:tc>
            </w:tr>
          </w:tbl>
          <w:p>
            <w:pPr>
              <w:pStyle w:val="34"/>
              <w:spacing w:beforeLines="50"/>
              <w:ind w:firstLine="480"/>
              <w:rPr>
                <w:rFonts w:eastAsiaTheme="minorEastAsia"/>
                <w:szCs w:val="24"/>
              </w:rPr>
            </w:pPr>
            <w:r>
              <w:rPr>
                <w:rFonts w:eastAsiaTheme="minorEastAsia"/>
                <w:szCs w:val="24"/>
              </w:rPr>
              <w:t>由上表可知，小江板河口断面上述监测指标可达到《地表水环境质量标准》（GB3838-2002）III类标准限值要求。</w:t>
            </w:r>
          </w:p>
          <w:p>
            <w:pPr>
              <w:pStyle w:val="34"/>
              <w:ind w:firstLine="482"/>
              <w:rPr>
                <w:rFonts w:eastAsiaTheme="minorEastAsia"/>
                <w:b/>
                <w:szCs w:val="24"/>
              </w:rPr>
            </w:pPr>
            <w:r>
              <w:rPr>
                <w:rFonts w:eastAsiaTheme="minorEastAsia"/>
                <w:b/>
                <w:szCs w:val="24"/>
              </w:rPr>
              <w:t>3.1.3 声环境质量现状</w:t>
            </w:r>
          </w:p>
          <w:p>
            <w:pPr>
              <w:pStyle w:val="34"/>
              <w:ind w:firstLine="480"/>
              <w:rPr>
                <w:rFonts w:eastAsiaTheme="minorEastAsia"/>
                <w:szCs w:val="24"/>
              </w:rPr>
            </w:pPr>
            <w:r>
              <w:rPr>
                <w:rFonts w:eastAsiaTheme="minorEastAsia"/>
                <w:szCs w:val="24"/>
              </w:rPr>
              <w:t>该项目位于东川区碧谷街道（北郊板河口老殡仪馆原址），根据《建设项目环境影响报告表编制技术指南》（污染影响类）的要求，厂界外周边50 米范围内存在声环境保护目标的建设项目，应监测保护目标声环境质量现状并评价达标情况。各点位应监测昼夜间噪声，监测时间不少于1 天。</w:t>
            </w:r>
          </w:p>
          <w:p>
            <w:pPr>
              <w:pStyle w:val="34"/>
              <w:ind w:firstLine="480"/>
              <w:rPr>
                <w:rFonts w:eastAsiaTheme="minorEastAsia"/>
                <w:szCs w:val="24"/>
              </w:rPr>
            </w:pPr>
            <w:r>
              <w:rPr>
                <w:rFonts w:eastAsiaTheme="minorEastAsia"/>
                <w:szCs w:val="24"/>
              </w:rPr>
              <w:t>根据调查，项目声环境保护目标主要为项目区东侧8m的居民散户；建设单位委托</w:t>
            </w:r>
            <w:r>
              <w:rPr>
                <w:szCs w:val="24"/>
              </w:rPr>
              <w:t>云南天博环境检测有限公司</w:t>
            </w:r>
            <w:r>
              <w:rPr>
                <w:rFonts w:eastAsiaTheme="minorEastAsia"/>
                <w:szCs w:val="24"/>
              </w:rPr>
              <w:t>于</w:t>
            </w:r>
            <w:r>
              <w:rPr>
                <w:szCs w:val="21"/>
              </w:rPr>
              <w:t>2022年03月25日至26日</w:t>
            </w:r>
            <w:r>
              <w:rPr>
                <w:rFonts w:eastAsiaTheme="minorEastAsia"/>
                <w:szCs w:val="24"/>
              </w:rPr>
              <w:t>对东侧8m的居民散户的环境噪声进行检测，其检测结果如下表所示。</w:t>
            </w:r>
          </w:p>
          <w:p>
            <w:pPr>
              <w:pStyle w:val="28"/>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表3.1.3-2  噪声监测结果表   单位：dB（A）</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984"/>
              <w:gridCol w:w="2697"/>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3853" w:type="dxa"/>
                  <w:gridSpan w:val="2"/>
                  <w:vAlign w:val="center"/>
                </w:tcPr>
                <w:p>
                  <w:pPr>
                    <w:pStyle w:val="26"/>
                    <w:spacing w:line="360" w:lineRule="exact"/>
                    <w:rPr>
                      <w:color w:val="auto"/>
                      <w:szCs w:val="21"/>
                    </w:rPr>
                  </w:pPr>
                  <w:r>
                    <w:rPr>
                      <w:color w:val="auto"/>
                      <w:szCs w:val="21"/>
                    </w:rPr>
                    <w:t>监测时间</w:t>
                  </w:r>
                </w:p>
              </w:tc>
              <w:tc>
                <w:tcPr>
                  <w:tcW w:w="2697" w:type="dxa"/>
                  <w:vAlign w:val="center"/>
                </w:tcPr>
                <w:p>
                  <w:pPr>
                    <w:pStyle w:val="26"/>
                    <w:spacing w:line="360" w:lineRule="exact"/>
                    <w:rPr>
                      <w:color w:val="auto"/>
                      <w:szCs w:val="21"/>
                    </w:rPr>
                  </w:pPr>
                  <w:r>
                    <w:rPr>
                      <w:color w:val="auto"/>
                      <w:szCs w:val="21"/>
                    </w:rPr>
                    <w:t>东侧8m的居民散户</w:t>
                  </w:r>
                </w:p>
              </w:tc>
              <w:tc>
                <w:tcPr>
                  <w:tcW w:w="2055" w:type="dxa"/>
                  <w:vAlign w:val="center"/>
                </w:tcPr>
                <w:p>
                  <w:pPr>
                    <w:pStyle w:val="26"/>
                    <w:spacing w:line="360" w:lineRule="exact"/>
                    <w:rPr>
                      <w:color w:val="auto"/>
                      <w:szCs w:val="21"/>
                    </w:rPr>
                  </w:pPr>
                  <w:r>
                    <w:rPr>
                      <w:color w:val="auto"/>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restart"/>
                  <w:vAlign w:val="center"/>
                </w:tcPr>
                <w:p>
                  <w:pPr>
                    <w:pStyle w:val="26"/>
                    <w:spacing w:line="360" w:lineRule="exact"/>
                    <w:rPr>
                      <w:color w:val="auto"/>
                      <w:szCs w:val="21"/>
                    </w:rPr>
                  </w:pPr>
                  <w:r>
                    <w:rPr>
                      <w:color w:val="auto"/>
                      <w:szCs w:val="21"/>
                    </w:rPr>
                    <w:t>2022/3/25</w:t>
                  </w:r>
                </w:p>
              </w:tc>
              <w:tc>
                <w:tcPr>
                  <w:tcW w:w="1984" w:type="dxa"/>
                  <w:vAlign w:val="center"/>
                </w:tcPr>
                <w:p>
                  <w:pPr>
                    <w:pStyle w:val="26"/>
                    <w:spacing w:line="360" w:lineRule="exact"/>
                    <w:rPr>
                      <w:color w:val="auto"/>
                      <w:szCs w:val="21"/>
                    </w:rPr>
                  </w:pPr>
                  <w:r>
                    <w:rPr>
                      <w:color w:val="auto"/>
                      <w:szCs w:val="21"/>
                    </w:rPr>
                    <w:t>昼</w:t>
                  </w:r>
                </w:p>
              </w:tc>
              <w:tc>
                <w:tcPr>
                  <w:tcW w:w="2697" w:type="dxa"/>
                  <w:vAlign w:val="center"/>
                </w:tcPr>
                <w:p>
                  <w:pPr>
                    <w:pStyle w:val="26"/>
                    <w:spacing w:line="360" w:lineRule="exact"/>
                    <w:rPr>
                      <w:color w:val="auto"/>
                      <w:szCs w:val="21"/>
                    </w:rPr>
                  </w:pPr>
                  <w:r>
                    <w:rPr>
                      <w:color w:val="auto"/>
                      <w:szCs w:val="21"/>
                    </w:rPr>
                    <w:t>52.5</w:t>
                  </w:r>
                </w:p>
              </w:tc>
              <w:tc>
                <w:tcPr>
                  <w:tcW w:w="2055" w:type="dxa"/>
                  <w:vAlign w:val="center"/>
                </w:tcPr>
                <w:p>
                  <w:pPr>
                    <w:pStyle w:val="26"/>
                    <w:spacing w:line="360" w:lineRule="exact"/>
                    <w:rPr>
                      <w:color w:val="auto"/>
                      <w:szCs w:val="21"/>
                    </w:rPr>
                  </w:pPr>
                  <w:r>
                    <w:rPr>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continue"/>
                  <w:vAlign w:val="center"/>
                </w:tcPr>
                <w:p>
                  <w:pPr>
                    <w:pStyle w:val="26"/>
                    <w:spacing w:line="360" w:lineRule="exact"/>
                    <w:rPr>
                      <w:color w:val="auto"/>
                      <w:szCs w:val="21"/>
                    </w:rPr>
                  </w:pPr>
                </w:p>
              </w:tc>
              <w:tc>
                <w:tcPr>
                  <w:tcW w:w="1984" w:type="dxa"/>
                  <w:vAlign w:val="center"/>
                </w:tcPr>
                <w:p>
                  <w:pPr>
                    <w:pStyle w:val="26"/>
                    <w:spacing w:line="360" w:lineRule="exact"/>
                    <w:rPr>
                      <w:color w:val="auto"/>
                      <w:szCs w:val="21"/>
                    </w:rPr>
                  </w:pPr>
                  <w:r>
                    <w:rPr>
                      <w:color w:val="auto"/>
                      <w:szCs w:val="21"/>
                    </w:rPr>
                    <w:t>夜</w:t>
                  </w:r>
                </w:p>
              </w:tc>
              <w:tc>
                <w:tcPr>
                  <w:tcW w:w="2697" w:type="dxa"/>
                  <w:vAlign w:val="center"/>
                </w:tcPr>
                <w:p>
                  <w:pPr>
                    <w:pStyle w:val="26"/>
                    <w:spacing w:line="360" w:lineRule="exact"/>
                    <w:rPr>
                      <w:color w:val="auto"/>
                      <w:szCs w:val="21"/>
                    </w:rPr>
                  </w:pPr>
                  <w:r>
                    <w:rPr>
                      <w:color w:val="auto"/>
                      <w:szCs w:val="21"/>
                    </w:rPr>
                    <w:t>46.6</w:t>
                  </w:r>
                </w:p>
              </w:tc>
              <w:tc>
                <w:tcPr>
                  <w:tcW w:w="2055" w:type="dxa"/>
                  <w:vAlign w:val="center"/>
                </w:tcPr>
                <w:p>
                  <w:pPr>
                    <w:pStyle w:val="26"/>
                    <w:spacing w:line="360" w:lineRule="exact"/>
                    <w:rPr>
                      <w:color w:val="auto"/>
                      <w:szCs w:val="21"/>
                    </w:rPr>
                  </w:pPr>
                  <w:r>
                    <w:rPr>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restart"/>
                  <w:vAlign w:val="center"/>
                </w:tcPr>
                <w:p>
                  <w:pPr>
                    <w:pStyle w:val="26"/>
                    <w:spacing w:line="360" w:lineRule="exact"/>
                    <w:rPr>
                      <w:color w:val="auto"/>
                      <w:szCs w:val="21"/>
                    </w:rPr>
                  </w:pPr>
                  <w:r>
                    <w:rPr>
                      <w:color w:val="auto"/>
                      <w:szCs w:val="21"/>
                    </w:rPr>
                    <w:t>2022/3/26</w:t>
                  </w:r>
                </w:p>
              </w:tc>
              <w:tc>
                <w:tcPr>
                  <w:tcW w:w="1984" w:type="dxa"/>
                  <w:vAlign w:val="center"/>
                </w:tcPr>
                <w:p>
                  <w:pPr>
                    <w:pStyle w:val="26"/>
                    <w:spacing w:line="360" w:lineRule="exact"/>
                    <w:rPr>
                      <w:color w:val="auto"/>
                      <w:szCs w:val="21"/>
                    </w:rPr>
                  </w:pPr>
                  <w:r>
                    <w:rPr>
                      <w:color w:val="auto"/>
                      <w:szCs w:val="21"/>
                    </w:rPr>
                    <w:t>昼</w:t>
                  </w:r>
                </w:p>
              </w:tc>
              <w:tc>
                <w:tcPr>
                  <w:tcW w:w="2697" w:type="dxa"/>
                  <w:vAlign w:val="center"/>
                </w:tcPr>
                <w:p>
                  <w:pPr>
                    <w:pStyle w:val="26"/>
                    <w:spacing w:line="360" w:lineRule="exact"/>
                    <w:rPr>
                      <w:color w:val="auto"/>
                      <w:szCs w:val="21"/>
                    </w:rPr>
                  </w:pPr>
                  <w:r>
                    <w:rPr>
                      <w:color w:val="auto"/>
                      <w:szCs w:val="21"/>
                    </w:rPr>
                    <w:t>53.4</w:t>
                  </w:r>
                </w:p>
              </w:tc>
              <w:tc>
                <w:tcPr>
                  <w:tcW w:w="2055" w:type="dxa"/>
                  <w:vAlign w:val="center"/>
                </w:tcPr>
                <w:p>
                  <w:pPr>
                    <w:pStyle w:val="26"/>
                    <w:spacing w:line="360" w:lineRule="exact"/>
                    <w:rPr>
                      <w:color w:val="auto"/>
                      <w:szCs w:val="21"/>
                    </w:rPr>
                  </w:pPr>
                  <w:r>
                    <w:rPr>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9" w:type="dxa"/>
                  <w:vMerge w:val="continue"/>
                  <w:vAlign w:val="center"/>
                </w:tcPr>
                <w:p>
                  <w:pPr>
                    <w:pStyle w:val="26"/>
                    <w:spacing w:line="360" w:lineRule="exact"/>
                    <w:rPr>
                      <w:color w:val="auto"/>
                      <w:szCs w:val="21"/>
                    </w:rPr>
                  </w:pPr>
                </w:p>
              </w:tc>
              <w:tc>
                <w:tcPr>
                  <w:tcW w:w="1984" w:type="dxa"/>
                  <w:vAlign w:val="center"/>
                </w:tcPr>
                <w:p>
                  <w:pPr>
                    <w:pStyle w:val="26"/>
                    <w:spacing w:line="360" w:lineRule="exact"/>
                    <w:rPr>
                      <w:color w:val="auto"/>
                      <w:szCs w:val="21"/>
                    </w:rPr>
                  </w:pPr>
                  <w:r>
                    <w:rPr>
                      <w:color w:val="auto"/>
                      <w:szCs w:val="21"/>
                    </w:rPr>
                    <w:t>夜</w:t>
                  </w:r>
                </w:p>
              </w:tc>
              <w:tc>
                <w:tcPr>
                  <w:tcW w:w="2697" w:type="dxa"/>
                  <w:vAlign w:val="center"/>
                </w:tcPr>
                <w:p>
                  <w:pPr>
                    <w:pStyle w:val="26"/>
                    <w:spacing w:line="360" w:lineRule="exact"/>
                    <w:rPr>
                      <w:color w:val="auto"/>
                      <w:szCs w:val="21"/>
                    </w:rPr>
                  </w:pPr>
                  <w:r>
                    <w:rPr>
                      <w:color w:val="auto"/>
                      <w:szCs w:val="21"/>
                    </w:rPr>
                    <w:t>48.4</w:t>
                  </w:r>
                </w:p>
              </w:tc>
              <w:tc>
                <w:tcPr>
                  <w:tcW w:w="2055" w:type="dxa"/>
                  <w:vAlign w:val="center"/>
                </w:tcPr>
                <w:p>
                  <w:pPr>
                    <w:pStyle w:val="26"/>
                    <w:spacing w:line="360" w:lineRule="exact"/>
                    <w:rPr>
                      <w:color w:val="auto"/>
                      <w:szCs w:val="21"/>
                    </w:rPr>
                  </w:pPr>
                  <w:r>
                    <w:rPr>
                      <w:color w:val="auto"/>
                      <w:szCs w:val="21"/>
                    </w:rPr>
                    <w:t>≤50</w:t>
                  </w:r>
                </w:p>
              </w:tc>
            </w:tr>
          </w:tbl>
          <w:p>
            <w:pPr>
              <w:pStyle w:val="34"/>
              <w:spacing w:beforeLines="50"/>
              <w:ind w:firstLine="480"/>
              <w:rPr>
                <w:rFonts w:eastAsiaTheme="minorEastAsia"/>
                <w:szCs w:val="24"/>
              </w:rPr>
            </w:pPr>
            <w:r>
              <w:rPr>
                <w:rFonts w:eastAsiaTheme="minorEastAsia"/>
                <w:szCs w:val="24"/>
              </w:rPr>
              <w:t>从监测结果看，项目区东侧8m的居民散户声环境质量现状可达到《声环境质量标准》（GB3096-2008）2类标准。</w:t>
            </w:r>
          </w:p>
          <w:p>
            <w:pPr>
              <w:pStyle w:val="34"/>
              <w:ind w:firstLine="482"/>
              <w:rPr>
                <w:rFonts w:eastAsiaTheme="minorEastAsia"/>
                <w:b/>
                <w:szCs w:val="24"/>
              </w:rPr>
            </w:pPr>
            <w:bookmarkStart w:id="3" w:name="_Toc248077256"/>
            <w:r>
              <w:rPr>
                <w:rFonts w:eastAsiaTheme="minorEastAsia"/>
                <w:b/>
                <w:szCs w:val="24"/>
              </w:rPr>
              <w:t>3.1.4 生态环境质量现状</w:t>
            </w:r>
            <w:bookmarkEnd w:id="3"/>
          </w:p>
          <w:p>
            <w:pPr>
              <w:pStyle w:val="34"/>
              <w:ind w:firstLine="480"/>
              <w:rPr>
                <w:rFonts w:eastAsiaTheme="minorEastAsia"/>
                <w:szCs w:val="24"/>
              </w:rPr>
            </w:pPr>
            <w:r>
              <w:rPr>
                <w:rFonts w:eastAsiaTheme="minorEastAsia"/>
                <w:szCs w:val="24"/>
              </w:rPr>
              <w:t>该项目位于东川区碧谷街道（北郊板河口老殡仪馆原址），根据调查，厂区范围主要为人工生态系统，随着原有厂区多年的运营，该区域的天然植被已较少，总体来说该区域地表植被种类较少，生物多样性较差，生态环境自身调控能力较低。项目区及周边200m范围内未发现珍稀濒危和国家重点保护野生动植物，无国家重点保护的鸟类、两栖类、爬行类、哺乳类动物种类分布。</w:t>
            </w:r>
          </w:p>
          <w:p>
            <w:pPr>
              <w:pStyle w:val="34"/>
              <w:ind w:firstLine="482"/>
              <w:rPr>
                <w:rFonts w:eastAsiaTheme="minorEastAsia"/>
                <w:b/>
                <w:szCs w:val="24"/>
              </w:rPr>
            </w:pPr>
            <w:r>
              <w:rPr>
                <w:rFonts w:eastAsiaTheme="minorEastAsia"/>
                <w:b/>
                <w:szCs w:val="24"/>
              </w:rPr>
              <w:t>3.1.5 地下水、土壤环境</w:t>
            </w:r>
          </w:p>
          <w:p>
            <w:pPr>
              <w:pStyle w:val="34"/>
              <w:ind w:firstLine="480"/>
              <w:rPr>
                <w:rFonts w:eastAsiaTheme="minorEastAsia"/>
                <w:szCs w:val="24"/>
              </w:rPr>
            </w:pPr>
            <w:r>
              <w:rPr>
                <w:rFonts w:eastAsiaTheme="minorEastAsia"/>
                <w:szCs w:val="24"/>
              </w:rPr>
              <w:t>该项目为殡仪馆项目，基本上不存在地下水、土壤环境污染途径，且厂界外500m范围内不涉及集中式饮用水水源和热水、矿泉水、温泉等特殊地下水资源，项目不开展地下水和土壤环境质量现状调查。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环境保护目标</w:t>
            </w:r>
          </w:p>
        </w:tc>
        <w:tc>
          <w:tcPr>
            <w:tcW w:w="8831" w:type="dxa"/>
            <w:vAlign w:val="center"/>
          </w:tcPr>
          <w:p>
            <w:pPr>
              <w:pStyle w:val="34"/>
              <w:spacing w:beforeLines="50"/>
              <w:ind w:firstLine="480"/>
              <w:rPr>
                <w:rFonts w:eastAsiaTheme="minorEastAsia"/>
                <w:szCs w:val="24"/>
              </w:rPr>
            </w:pPr>
            <w:r>
              <w:rPr>
                <w:rFonts w:eastAsiaTheme="minorEastAsia"/>
                <w:szCs w:val="24"/>
              </w:rPr>
              <w:t>根据《建设项目环境影响报告表编制技术指南》（污染影响类）（试行）的要求，编制报告表的建设项目环境保护目标类别包括大气环境、声环境、地下水环境和生态环境。该改建项目设置的环境保护目标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3.2 环境保护目标</w:t>
            </w:r>
          </w:p>
          <w:p>
            <w:pPr>
              <w:pStyle w:val="34"/>
              <w:ind w:firstLine="482"/>
              <w:rPr>
                <w:rFonts w:eastAsiaTheme="minorEastAsia"/>
                <w:b/>
                <w:szCs w:val="24"/>
              </w:rPr>
            </w:pPr>
            <w:r>
              <w:rPr>
                <w:rFonts w:eastAsiaTheme="minorEastAsia"/>
                <w:b/>
                <w:szCs w:val="24"/>
              </w:rPr>
              <w:t>3.2.1 大气环境保护目标</w:t>
            </w:r>
          </w:p>
          <w:p>
            <w:pPr>
              <w:pStyle w:val="34"/>
              <w:ind w:firstLine="480"/>
              <w:rPr>
                <w:rFonts w:eastAsiaTheme="minorEastAsia"/>
                <w:szCs w:val="24"/>
              </w:rPr>
            </w:pPr>
            <w:r>
              <w:rPr>
                <w:rFonts w:eastAsiaTheme="minorEastAsia"/>
                <w:szCs w:val="24"/>
              </w:rPr>
              <w:t>根据《建设项目环境影响报告表编制技术指南》（污染影响类）（试行）的要求，该项目需进行大气专项评价，根据《环境影响评价技术导则-大气环境》（HJ2.2-2018）中对于大气环境保护目标的要求，环境空气保护目标指评价范围内按GB 3095规定划分为一类区的自然保护区、风景名胜区和其他需要特殊保护的区域，二类区中的居住区、文化区和农村地区中人群较集中的区域。</w:t>
            </w:r>
          </w:p>
          <w:p>
            <w:pPr>
              <w:pStyle w:val="34"/>
              <w:ind w:firstLine="480"/>
              <w:rPr>
                <w:rFonts w:eastAsiaTheme="minorEastAsia"/>
                <w:szCs w:val="24"/>
              </w:rPr>
            </w:pPr>
            <w:r>
              <w:rPr>
                <w:rFonts w:eastAsiaTheme="minorEastAsia"/>
                <w:szCs w:val="24"/>
              </w:rPr>
              <w:t>该项目评价等级为二级，评价范围为以项目为中心，边长取5km范围，根据调查，该项目主要大气环境保护目标如下表所示。</w:t>
            </w:r>
          </w:p>
          <w:p>
            <w:pPr>
              <w:pStyle w:val="28"/>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表3.2.1-1 环境空气保护目标</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58"/>
              <w:gridCol w:w="1418"/>
              <w:gridCol w:w="1419"/>
              <w:gridCol w:w="709"/>
              <w:gridCol w:w="1417"/>
              <w:gridCol w:w="708"/>
              <w:gridCol w:w="865"/>
              <w:gridCol w:w="9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8" w:type="dxa"/>
                  <w:vMerge w:val="restart"/>
                  <w:vAlign w:val="center"/>
                </w:tcPr>
                <w:p>
                  <w:pPr>
                    <w:pStyle w:val="26"/>
                    <w:spacing w:line="360" w:lineRule="exact"/>
                    <w:rPr>
                      <w:color w:val="auto"/>
                      <w:kern w:val="0"/>
                      <w:szCs w:val="21"/>
                    </w:rPr>
                  </w:pPr>
                  <w:r>
                    <w:rPr>
                      <w:color w:val="auto"/>
                      <w:kern w:val="0"/>
                      <w:szCs w:val="21"/>
                    </w:rPr>
                    <w:t>名称</w:t>
                  </w:r>
                </w:p>
              </w:tc>
              <w:tc>
                <w:tcPr>
                  <w:tcW w:w="2837" w:type="dxa"/>
                  <w:gridSpan w:val="2"/>
                  <w:vAlign w:val="center"/>
                </w:tcPr>
                <w:p>
                  <w:pPr>
                    <w:pStyle w:val="26"/>
                    <w:spacing w:line="360" w:lineRule="exact"/>
                    <w:rPr>
                      <w:color w:val="auto"/>
                      <w:kern w:val="0"/>
                      <w:szCs w:val="21"/>
                    </w:rPr>
                  </w:pPr>
                  <w:r>
                    <w:rPr>
                      <w:color w:val="auto"/>
                      <w:kern w:val="0"/>
                      <w:szCs w:val="21"/>
                    </w:rPr>
                    <w:t>坐标/m</w:t>
                  </w:r>
                </w:p>
              </w:tc>
              <w:tc>
                <w:tcPr>
                  <w:tcW w:w="709" w:type="dxa"/>
                  <w:vMerge w:val="restart"/>
                  <w:vAlign w:val="center"/>
                </w:tcPr>
                <w:p>
                  <w:pPr>
                    <w:pStyle w:val="26"/>
                    <w:spacing w:line="360" w:lineRule="exact"/>
                    <w:rPr>
                      <w:color w:val="auto"/>
                      <w:kern w:val="0"/>
                      <w:szCs w:val="21"/>
                    </w:rPr>
                  </w:pPr>
                  <w:r>
                    <w:rPr>
                      <w:color w:val="auto"/>
                      <w:kern w:val="0"/>
                      <w:szCs w:val="21"/>
                    </w:rPr>
                    <w:t>保护对象</w:t>
                  </w:r>
                </w:p>
              </w:tc>
              <w:tc>
                <w:tcPr>
                  <w:tcW w:w="1417" w:type="dxa"/>
                  <w:vMerge w:val="restart"/>
                  <w:vAlign w:val="center"/>
                </w:tcPr>
                <w:p>
                  <w:pPr>
                    <w:pStyle w:val="26"/>
                    <w:spacing w:line="360" w:lineRule="exact"/>
                    <w:rPr>
                      <w:color w:val="auto"/>
                      <w:kern w:val="0"/>
                      <w:szCs w:val="21"/>
                    </w:rPr>
                  </w:pPr>
                  <w:r>
                    <w:rPr>
                      <w:color w:val="auto"/>
                      <w:kern w:val="0"/>
                      <w:szCs w:val="21"/>
                    </w:rPr>
                    <w:t>保护内容</w:t>
                  </w:r>
                </w:p>
              </w:tc>
              <w:tc>
                <w:tcPr>
                  <w:tcW w:w="708" w:type="dxa"/>
                  <w:vMerge w:val="restart"/>
                  <w:vAlign w:val="center"/>
                </w:tcPr>
                <w:p>
                  <w:pPr>
                    <w:pStyle w:val="26"/>
                    <w:spacing w:line="360" w:lineRule="exact"/>
                    <w:rPr>
                      <w:color w:val="auto"/>
                      <w:kern w:val="0"/>
                      <w:szCs w:val="21"/>
                    </w:rPr>
                  </w:pPr>
                  <w:r>
                    <w:rPr>
                      <w:color w:val="auto"/>
                      <w:kern w:val="0"/>
                      <w:szCs w:val="21"/>
                    </w:rPr>
                    <w:t>环境功能区</w:t>
                  </w:r>
                </w:p>
              </w:tc>
              <w:tc>
                <w:tcPr>
                  <w:tcW w:w="865" w:type="dxa"/>
                  <w:vMerge w:val="restart"/>
                  <w:vAlign w:val="center"/>
                </w:tcPr>
                <w:p>
                  <w:pPr>
                    <w:pStyle w:val="26"/>
                    <w:spacing w:line="360" w:lineRule="exact"/>
                    <w:rPr>
                      <w:color w:val="auto"/>
                      <w:kern w:val="0"/>
                      <w:szCs w:val="21"/>
                    </w:rPr>
                  </w:pPr>
                  <w:r>
                    <w:rPr>
                      <w:color w:val="auto"/>
                      <w:kern w:val="0"/>
                      <w:szCs w:val="21"/>
                    </w:rPr>
                    <w:t>相对厂址方位</w:t>
                  </w:r>
                </w:p>
              </w:tc>
              <w:tc>
                <w:tcPr>
                  <w:tcW w:w="911" w:type="dxa"/>
                  <w:vMerge w:val="restart"/>
                  <w:vAlign w:val="center"/>
                </w:tcPr>
                <w:p>
                  <w:pPr>
                    <w:pStyle w:val="26"/>
                    <w:spacing w:line="360" w:lineRule="exact"/>
                    <w:rPr>
                      <w:color w:val="auto"/>
                      <w:kern w:val="0"/>
                      <w:szCs w:val="21"/>
                    </w:rPr>
                  </w:pPr>
                  <w:r>
                    <w:rPr>
                      <w:color w:val="auto"/>
                      <w:kern w:val="0"/>
                      <w:szCs w:val="21"/>
                    </w:rPr>
                    <w:t>相对厂界距离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8" w:type="dxa"/>
                  <w:vMerge w:val="continue"/>
                  <w:vAlign w:val="center"/>
                </w:tcPr>
                <w:p>
                  <w:pPr>
                    <w:pStyle w:val="26"/>
                    <w:spacing w:line="360" w:lineRule="exact"/>
                    <w:rPr>
                      <w:color w:val="auto"/>
                      <w:kern w:val="0"/>
                      <w:szCs w:val="21"/>
                    </w:rPr>
                  </w:pPr>
                </w:p>
              </w:tc>
              <w:tc>
                <w:tcPr>
                  <w:tcW w:w="1418" w:type="dxa"/>
                  <w:vAlign w:val="center"/>
                </w:tcPr>
                <w:p>
                  <w:pPr>
                    <w:pStyle w:val="26"/>
                    <w:spacing w:line="360" w:lineRule="exact"/>
                    <w:rPr>
                      <w:color w:val="auto"/>
                      <w:kern w:val="0"/>
                      <w:szCs w:val="21"/>
                    </w:rPr>
                  </w:pPr>
                  <w:r>
                    <w:rPr>
                      <w:color w:val="auto"/>
                      <w:kern w:val="0"/>
                      <w:szCs w:val="21"/>
                    </w:rPr>
                    <w:t>X</w:t>
                  </w:r>
                </w:p>
              </w:tc>
              <w:tc>
                <w:tcPr>
                  <w:tcW w:w="1419" w:type="dxa"/>
                  <w:vAlign w:val="center"/>
                </w:tcPr>
                <w:p>
                  <w:pPr>
                    <w:pStyle w:val="26"/>
                    <w:spacing w:line="360" w:lineRule="exact"/>
                    <w:rPr>
                      <w:color w:val="auto"/>
                      <w:kern w:val="0"/>
                      <w:szCs w:val="21"/>
                    </w:rPr>
                  </w:pPr>
                  <w:r>
                    <w:rPr>
                      <w:color w:val="auto"/>
                      <w:kern w:val="0"/>
                      <w:szCs w:val="21"/>
                    </w:rPr>
                    <w:t>Y</w:t>
                  </w:r>
                </w:p>
              </w:tc>
              <w:tc>
                <w:tcPr>
                  <w:tcW w:w="709" w:type="dxa"/>
                  <w:vMerge w:val="continue"/>
                  <w:vAlign w:val="center"/>
                </w:tcPr>
                <w:p>
                  <w:pPr>
                    <w:pStyle w:val="26"/>
                    <w:spacing w:line="360" w:lineRule="exact"/>
                    <w:rPr>
                      <w:color w:val="auto"/>
                      <w:kern w:val="0"/>
                      <w:szCs w:val="21"/>
                    </w:rPr>
                  </w:pPr>
                </w:p>
              </w:tc>
              <w:tc>
                <w:tcPr>
                  <w:tcW w:w="1417" w:type="dxa"/>
                  <w:vMerge w:val="continue"/>
                  <w:vAlign w:val="center"/>
                </w:tcPr>
                <w:p>
                  <w:pPr>
                    <w:pStyle w:val="26"/>
                    <w:spacing w:line="360" w:lineRule="exact"/>
                    <w:rPr>
                      <w:color w:val="auto"/>
                      <w:kern w:val="0"/>
                      <w:szCs w:val="21"/>
                    </w:rPr>
                  </w:pPr>
                </w:p>
              </w:tc>
              <w:tc>
                <w:tcPr>
                  <w:tcW w:w="708" w:type="dxa"/>
                  <w:vMerge w:val="continue"/>
                  <w:vAlign w:val="center"/>
                </w:tcPr>
                <w:p>
                  <w:pPr>
                    <w:pStyle w:val="26"/>
                    <w:spacing w:line="360" w:lineRule="exact"/>
                    <w:rPr>
                      <w:color w:val="auto"/>
                      <w:kern w:val="0"/>
                      <w:szCs w:val="21"/>
                    </w:rPr>
                  </w:pPr>
                </w:p>
              </w:tc>
              <w:tc>
                <w:tcPr>
                  <w:tcW w:w="865" w:type="dxa"/>
                  <w:vMerge w:val="continue"/>
                  <w:vAlign w:val="center"/>
                </w:tcPr>
                <w:p>
                  <w:pPr>
                    <w:pStyle w:val="26"/>
                    <w:spacing w:line="360" w:lineRule="exact"/>
                    <w:rPr>
                      <w:color w:val="auto"/>
                      <w:kern w:val="0"/>
                      <w:szCs w:val="21"/>
                    </w:rPr>
                  </w:pPr>
                </w:p>
              </w:tc>
              <w:tc>
                <w:tcPr>
                  <w:tcW w:w="911" w:type="dxa"/>
                  <w:vMerge w:val="continue"/>
                  <w:vAlign w:val="center"/>
                </w:tcPr>
                <w:p>
                  <w:pPr>
                    <w:pStyle w:val="26"/>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8" w:type="dxa"/>
                  <w:vMerge w:val="restart"/>
                  <w:vAlign w:val="center"/>
                </w:tcPr>
                <w:p>
                  <w:pPr>
                    <w:pStyle w:val="26"/>
                    <w:spacing w:line="360" w:lineRule="exact"/>
                    <w:rPr>
                      <w:color w:val="auto"/>
                      <w:kern w:val="0"/>
                      <w:szCs w:val="21"/>
                    </w:rPr>
                  </w:pPr>
                  <w:r>
                    <w:rPr>
                      <w:color w:val="auto"/>
                      <w:kern w:val="0"/>
                      <w:szCs w:val="21"/>
                    </w:rPr>
                    <w:t>散户居民</w:t>
                  </w:r>
                </w:p>
              </w:tc>
              <w:tc>
                <w:tcPr>
                  <w:tcW w:w="1418" w:type="dxa"/>
                  <w:vAlign w:val="center"/>
                </w:tcPr>
                <w:p>
                  <w:pPr>
                    <w:pStyle w:val="26"/>
                    <w:spacing w:line="360" w:lineRule="exact"/>
                    <w:rPr>
                      <w:color w:val="auto"/>
                      <w:kern w:val="0"/>
                      <w:szCs w:val="21"/>
                    </w:rPr>
                  </w:pPr>
                  <w:r>
                    <w:rPr>
                      <w:color w:val="auto"/>
                      <w:kern w:val="0"/>
                      <w:szCs w:val="21"/>
                    </w:rPr>
                    <w:t>103.150946°</w:t>
                  </w:r>
                </w:p>
              </w:tc>
              <w:tc>
                <w:tcPr>
                  <w:tcW w:w="1419" w:type="dxa"/>
                  <w:vAlign w:val="center"/>
                </w:tcPr>
                <w:p>
                  <w:pPr>
                    <w:pStyle w:val="26"/>
                    <w:spacing w:line="360" w:lineRule="exact"/>
                    <w:rPr>
                      <w:color w:val="auto"/>
                      <w:kern w:val="0"/>
                      <w:szCs w:val="21"/>
                    </w:rPr>
                  </w:pPr>
                  <w:r>
                    <w:rPr>
                      <w:color w:val="auto"/>
                      <w:kern w:val="0"/>
                      <w:szCs w:val="21"/>
                    </w:rPr>
                    <w:t>26.132768°</w:t>
                  </w:r>
                </w:p>
              </w:tc>
              <w:tc>
                <w:tcPr>
                  <w:tcW w:w="709" w:type="dxa"/>
                  <w:vMerge w:val="restart"/>
                  <w:vAlign w:val="center"/>
                </w:tcPr>
                <w:p>
                  <w:pPr>
                    <w:pStyle w:val="26"/>
                    <w:spacing w:line="360" w:lineRule="exact"/>
                    <w:rPr>
                      <w:color w:val="auto"/>
                      <w:kern w:val="0"/>
                      <w:szCs w:val="21"/>
                    </w:rPr>
                  </w:pPr>
                  <w:r>
                    <w:rPr>
                      <w:color w:val="auto"/>
                      <w:kern w:val="0"/>
                      <w:szCs w:val="21"/>
                    </w:rPr>
                    <w:t>居民区</w:t>
                  </w:r>
                </w:p>
              </w:tc>
              <w:tc>
                <w:tcPr>
                  <w:tcW w:w="1417" w:type="dxa"/>
                  <w:vAlign w:val="center"/>
                </w:tcPr>
                <w:p>
                  <w:pPr>
                    <w:pStyle w:val="26"/>
                    <w:spacing w:line="360" w:lineRule="exact"/>
                    <w:rPr>
                      <w:color w:val="auto"/>
                      <w:kern w:val="0"/>
                      <w:szCs w:val="21"/>
                    </w:rPr>
                  </w:pPr>
                  <w:r>
                    <w:rPr>
                      <w:color w:val="auto"/>
                      <w:kern w:val="0"/>
                      <w:szCs w:val="21"/>
                    </w:rPr>
                    <w:t>1户/4人</w:t>
                  </w:r>
                </w:p>
              </w:tc>
              <w:tc>
                <w:tcPr>
                  <w:tcW w:w="708" w:type="dxa"/>
                  <w:vMerge w:val="restart"/>
                  <w:vAlign w:val="center"/>
                </w:tcPr>
                <w:p>
                  <w:pPr>
                    <w:pStyle w:val="26"/>
                    <w:spacing w:line="360" w:lineRule="exact"/>
                    <w:rPr>
                      <w:color w:val="auto"/>
                      <w:kern w:val="0"/>
                      <w:szCs w:val="21"/>
                    </w:rPr>
                  </w:pPr>
                  <w:r>
                    <w:rPr>
                      <w:color w:val="auto"/>
                      <w:kern w:val="0"/>
                      <w:szCs w:val="21"/>
                    </w:rPr>
                    <w:t>二类区</w:t>
                  </w:r>
                </w:p>
              </w:tc>
              <w:tc>
                <w:tcPr>
                  <w:tcW w:w="865" w:type="dxa"/>
                  <w:vAlign w:val="center"/>
                </w:tcPr>
                <w:p>
                  <w:pPr>
                    <w:pStyle w:val="26"/>
                    <w:spacing w:line="360" w:lineRule="exact"/>
                    <w:rPr>
                      <w:color w:val="auto"/>
                      <w:kern w:val="0"/>
                      <w:szCs w:val="21"/>
                    </w:rPr>
                  </w:pPr>
                  <w:r>
                    <w:rPr>
                      <w:color w:val="auto"/>
                      <w:kern w:val="0"/>
                      <w:szCs w:val="21"/>
                    </w:rPr>
                    <w:t>东侧</w:t>
                  </w:r>
                </w:p>
              </w:tc>
              <w:tc>
                <w:tcPr>
                  <w:tcW w:w="911" w:type="dxa"/>
                  <w:vAlign w:val="center"/>
                </w:tcPr>
                <w:p>
                  <w:pPr>
                    <w:pStyle w:val="26"/>
                    <w:spacing w:line="360" w:lineRule="exact"/>
                    <w:rPr>
                      <w:color w:val="auto"/>
                      <w:kern w:val="0"/>
                      <w:szCs w:val="21"/>
                    </w:rPr>
                  </w:pPr>
                  <w:r>
                    <w:rPr>
                      <w:color w:val="auto"/>
                      <w:kern w:val="0"/>
                      <w:szCs w:val="21"/>
                    </w:rPr>
                    <w:t>8m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8" w:type="dxa"/>
                  <w:vMerge w:val="continue"/>
                  <w:tcBorders>
                    <w:bottom w:val="single" w:color="auto" w:sz="4" w:space="0"/>
                  </w:tcBorders>
                  <w:vAlign w:val="center"/>
                </w:tcPr>
                <w:p>
                  <w:pPr>
                    <w:pStyle w:val="26"/>
                    <w:spacing w:line="360" w:lineRule="exact"/>
                    <w:rPr>
                      <w:color w:val="auto"/>
                      <w:kern w:val="0"/>
                      <w:szCs w:val="21"/>
                    </w:rPr>
                  </w:pPr>
                </w:p>
              </w:tc>
              <w:tc>
                <w:tcPr>
                  <w:tcW w:w="1418" w:type="dxa"/>
                  <w:tcBorders>
                    <w:bottom w:val="single" w:color="auto" w:sz="4" w:space="0"/>
                  </w:tcBorders>
                  <w:vAlign w:val="center"/>
                </w:tcPr>
                <w:p>
                  <w:pPr>
                    <w:pStyle w:val="26"/>
                    <w:spacing w:line="360" w:lineRule="exact"/>
                    <w:rPr>
                      <w:color w:val="auto"/>
                      <w:kern w:val="0"/>
                      <w:szCs w:val="21"/>
                    </w:rPr>
                  </w:pPr>
                  <w:r>
                    <w:rPr>
                      <w:color w:val="auto"/>
                      <w:kern w:val="0"/>
                      <w:szCs w:val="21"/>
                    </w:rPr>
                    <w:t>103.150002°</w:t>
                  </w:r>
                </w:p>
              </w:tc>
              <w:tc>
                <w:tcPr>
                  <w:tcW w:w="1419" w:type="dxa"/>
                  <w:tcBorders>
                    <w:bottom w:val="single" w:color="auto" w:sz="4" w:space="0"/>
                  </w:tcBorders>
                  <w:vAlign w:val="center"/>
                </w:tcPr>
                <w:p>
                  <w:pPr>
                    <w:pStyle w:val="26"/>
                    <w:spacing w:line="360" w:lineRule="exact"/>
                    <w:rPr>
                      <w:color w:val="auto"/>
                      <w:kern w:val="0"/>
                      <w:szCs w:val="21"/>
                    </w:rPr>
                  </w:pPr>
                  <w:r>
                    <w:rPr>
                      <w:color w:val="auto"/>
                      <w:kern w:val="0"/>
                      <w:szCs w:val="21"/>
                    </w:rPr>
                    <w:t>26.130354°</w:t>
                  </w:r>
                </w:p>
              </w:tc>
              <w:tc>
                <w:tcPr>
                  <w:tcW w:w="709" w:type="dxa"/>
                  <w:vMerge w:val="continue"/>
                  <w:vAlign w:val="center"/>
                </w:tcPr>
                <w:p>
                  <w:pPr>
                    <w:pStyle w:val="26"/>
                    <w:spacing w:line="360" w:lineRule="exact"/>
                    <w:rPr>
                      <w:color w:val="auto"/>
                      <w:kern w:val="0"/>
                      <w:szCs w:val="21"/>
                    </w:rPr>
                  </w:pPr>
                </w:p>
              </w:tc>
              <w:tc>
                <w:tcPr>
                  <w:tcW w:w="1417" w:type="dxa"/>
                  <w:tcBorders>
                    <w:bottom w:val="single" w:color="auto" w:sz="4" w:space="0"/>
                  </w:tcBorders>
                  <w:vAlign w:val="center"/>
                </w:tcPr>
                <w:p>
                  <w:pPr>
                    <w:pStyle w:val="26"/>
                    <w:spacing w:line="360" w:lineRule="exact"/>
                    <w:rPr>
                      <w:color w:val="auto"/>
                      <w:kern w:val="0"/>
                      <w:szCs w:val="21"/>
                    </w:rPr>
                  </w:pPr>
                  <w:r>
                    <w:rPr>
                      <w:color w:val="auto"/>
                      <w:kern w:val="0"/>
                      <w:szCs w:val="21"/>
                    </w:rPr>
                    <w:t>1户/3人</w:t>
                  </w:r>
                </w:p>
              </w:tc>
              <w:tc>
                <w:tcPr>
                  <w:tcW w:w="708" w:type="dxa"/>
                  <w:vMerge w:val="continue"/>
                  <w:vAlign w:val="center"/>
                </w:tcPr>
                <w:p>
                  <w:pPr>
                    <w:pStyle w:val="26"/>
                    <w:spacing w:line="360" w:lineRule="exact"/>
                    <w:rPr>
                      <w:color w:val="auto"/>
                      <w:kern w:val="0"/>
                      <w:szCs w:val="21"/>
                    </w:rPr>
                  </w:pPr>
                </w:p>
              </w:tc>
              <w:tc>
                <w:tcPr>
                  <w:tcW w:w="865" w:type="dxa"/>
                  <w:tcBorders>
                    <w:bottom w:val="single" w:color="auto" w:sz="4" w:space="0"/>
                  </w:tcBorders>
                  <w:vAlign w:val="center"/>
                </w:tcPr>
                <w:p>
                  <w:pPr>
                    <w:pStyle w:val="26"/>
                    <w:spacing w:line="360" w:lineRule="exact"/>
                    <w:rPr>
                      <w:color w:val="auto"/>
                      <w:kern w:val="0"/>
                      <w:szCs w:val="21"/>
                    </w:rPr>
                  </w:pPr>
                  <w:r>
                    <w:rPr>
                      <w:color w:val="auto"/>
                      <w:kern w:val="0"/>
                      <w:szCs w:val="21"/>
                    </w:rPr>
                    <w:t>南侧</w:t>
                  </w:r>
                </w:p>
              </w:tc>
              <w:tc>
                <w:tcPr>
                  <w:tcW w:w="911" w:type="dxa"/>
                  <w:tcBorders>
                    <w:bottom w:val="single" w:color="auto" w:sz="4" w:space="0"/>
                  </w:tcBorders>
                  <w:vAlign w:val="center"/>
                </w:tcPr>
                <w:p>
                  <w:pPr>
                    <w:pStyle w:val="26"/>
                    <w:spacing w:line="360" w:lineRule="exact"/>
                    <w:rPr>
                      <w:color w:val="auto"/>
                      <w:kern w:val="0"/>
                      <w:szCs w:val="21"/>
                    </w:rPr>
                  </w:pPr>
                  <w:r>
                    <w:rPr>
                      <w:color w:val="auto"/>
                      <w:kern w:val="0"/>
                      <w:szCs w:val="21"/>
                    </w:rPr>
                    <w:t>132m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8" w:type="dxa"/>
                  <w:tcBorders>
                    <w:bottom w:val="single" w:color="auto" w:sz="4" w:space="0"/>
                  </w:tcBorders>
                  <w:vAlign w:val="center"/>
                </w:tcPr>
                <w:p>
                  <w:pPr>
                    <w:pStyle w:val="26"/>
                    <w:spacing w:line="360" w:lineRule="exact"/>
                    <w:rPr>
                      <w:color w:val="auto"/>
                      <w:kern w:val="0"/>
                      <w:szCs w:val="21"/>
                    </w:rPr>
                  </w:pPr>
                  <w:r>
                    <w:rPr>
                      <w:color w:val="auto"/>
                      <w:kern w:val="0"/>
                      <w:szCs w:val="21"/>
                    </w:rPr>
                    <w:t>龙潭</w:t>
                  </w:r>
                </w:p>
              </w:tc>
              <w:tc>
                <w:tcPr>
                  <w:tcW w:w="1418" w:type="dxa"/>
                  <w:tcBorders>
                    <w:bottom w:val="single" w:color="auto" w:sz="4" w:space="0"/>
                  </w:tcBorders>
                  <w:vAlign w:val="center"/>
                </w:tcPr>
                <w:p>
                  <w:pPr>
                    <w:pStyle w:val="26"/>
                    <w:spacing w:line="360" w:lineRule="exact"/>
                    <w:rPr>
                      <w:color w:val="auto"/>
                      <w:kern w:val="0"/>
                      <w:szCs w:val="21"/>
                    </w:rPr>
                  </w:pPr>
                  <w:r>
                    <w:rPr>
                      <w:color w:val="auto"/>
                      <w:kern w:val="0"/>
                      <w:szCs w:val="21"/>
                    </w:rPr>
                    <w:t>103.156606°</w:t>
                  </w:r>
                </w:p>
              </w:tc>
              <w:tc>
                <w:tcPr>
                  <w:tcW w:w="1419" w:type="dxa"/>
                  <w:tcBorders>
                    <w:bottom w:val="single" w:color="auto" w:sz="4" w:space="0"/>
                  </w:tcBorders>
                  <w:vAlign w:val="center"/>
                </w:tcPr>
                <w:p>
                  <w:pPr>
                    <w:pStyle w:val="26"/>
                    <w:spacing w:line="360" w:lineRule="exact"/>
                    <w:rPr>
                      <w:color w:val="auto"/>
                      <w:kern w:val="0"/>
                      <w:szCs w:val="21"/>
                    </w:rPr>
                  </w:pPr>
                  <w:r>
                    <w:rPr>
                      <w:color w:val="auto"/>
                      <w:kern w:val="0"/>
                      <w:szCs w:val="21"/>
                    </w:rPr>
                    <w:t>26.122396°</w:t>
                  </w:r>
                </w:p>
              </w:tc>
              <w:tc>
                <w:tcPr>
                  <w:tcW w:w="709" w:type="dxa"/>
                  <w:vMerge w:val="continue"/>
                  <w:vAlign w:val="center"/>
                </w:tcPr>
                <w:p>
                  <w:pPr>
                    <w:pStyle w:val="26"/>
                    <w:spacing w:line="360" w:lineRule="exact"/>
                    <w:rPr>
                      <w:color w:val="auto"/>
                      <w:kern w:val="0"/>
                      <w:szCs w:val="21"/>
                    </w:rPr>
                  </w:pPr>
                </w:p>
              </w:tc>
              <w:tc>
                <w:tcPr>
                  <w:tcW w:w="1417" w:type="dxa"/>
                  <w:tcBorders>
                    <w:bottom w:val="single" w:color="auto" w:sz="4" w:space="0"/>
                  </w:tcBorders>
                  <w:vAlign w:val="center"/>
                </w:tcPr>
                <w:p>
                  <w:pPr>
                    <w:pStyle w:val="26"/>
                    <w:spacing w:line="360" w:lineRule="exact"/>
                    <w:rPr>
                      <w:color w:val="auto"/>
                      <w:kern w:val="0"/>
                      <w:szCs w:val="21"/>
                    </w:rPr>
                  </w:pPr>
                  <w:r>
                    <w:rPr>
                      <w:color w:val="auto"/>
                      <w:kern w:val="0"/>
                      <w:szCs w:val="21"/>
                    </w:rPr>
                    <w:t>38户/141人</w:t>
                  </w:r>
                </w:p>
              </w:tc>
              <w:tc>
                <w:tcPr>
                  <w:tcW w:w="708" w:type="dxa"/>
                  <w:vMerge w:val="continue"/>
                  <w:vAlign w:val="center"/>
                </w:tcPr>
                <w:p>
                  <w:pPr>
                    <w:pStyle w:val="26"/>
                    <w:spacing w:line="360" w:lineRule="exact"/>
                    <w:rPr>
                      <w:color w:val="auto"/>
                      <w:kern w:val="0"/>
                      <w:szCs w:val="21"/>
                    </w:rPr>
                  </w:pPr>
                </w:p>
              </w:tc>
              <w:tc>
                <w:tcPr>
                  <w:tcW w:w="865" w:type="dxa"/>
                  <w:tcBorders>
                    <w:bottom w:val="single" w:color="auto" w:sz="4" w:space="0"/>
                  </w:tcBorders>
                  <w:vAlign w:val="center"/>
                </w:tcPr>
                <w:p>
                  <w:pPr>
                    <w:pStyle w:val="26"/>
                    <w:spacing w:line="360" w:lineRule="exact"/>
                    <w:rPr>
                      <w:color w:val="auto"/>
                      <w:kern w:val="0"/>
                      <w:szCs w:val="21"/>
                    </w:rPr>
                  </w:pPr>
                  <w:r>
                    <w:rPr>
                      <w:color w:val="auto"/>
                      <w:kern w:val="0"/>
                      <w:szCs w:val="21"/>
                    </w:rPr>
                    <w:t>东南侧</w:t>
                  </w:r>
                </w:p>
              </w:tc>
              <w:tc>
                <w:tcPr>
                  <w:tcW w:w="911" w:type="dxa"/>
                  <w:tcBorders>
                    <w:bottom w:val="single" w:color="auto" w:sz="4" w:space="0"/>
                  </w:tcBorders>
                  <w:vAlign w:val="center"/>
                </w:tcPr>
                <w:p>
                  <w:pPr>
                    <w:pStyle w:val="26"/>
                    <w:spacing w:line="360" w:lineRule="exact"/>
                    <w:rPr>
                      <w:color w:val="auto"/>
                      <w:kern w:val="0"/>
                      <w:szCs w:val="21"/>
                    </w:rPr>
                  </w:pPr>
                  <w:r>
                    <w:rPr>
                      <w:color w:val="auto"/>
                      <w:kern w:val="0"/>
                      <w:szCs w:val="21"/>
                    </w:rPr>
                    <w:t>1472m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8" w:type="dxa"/>
                  <w:tcBorders>
                    <w:bottom w:val="single" w:color="auto" w:sz="4" w:space="0"/>
                  </w:tcBorders>
                  <w:vAlign w:val="center"/>
                </w:tcPr>
                <w:p>
                  <w:pPr>
                    <w:pStyle w:val="26"/>
                    <w:spacing w:line="360" w:lineRule="exact"/>
                    <w:rPr>
                      <w:color w:val="auto"/>
                      <w:kern w:val="0"/>
                      <w:szCs w:val="21"/>
                    </w:rPr>
                  </w:pPr>
                  <w:r>
                    <w:rPr>
                      <w:color w:val="auto"/>
                      <w:kern w:val="0"/>
                      <w:szCs w:val="21"/>
                    </w:rPr>
                    <w:t>石夹地村</w:t>
                  </w:r>
                </w:p>
              </w:tc>
              <w:tc>
                <w:tcPr>
                  <w:tcW w:w="1418" w:type="dxa"/>
                  <w:tcBorders>
                    <w:bottom w:val="single" w:color="auto" w:sz="4" w:space="0"/>
                  </w:tcBorders>
                  <w:vAlign w:val="center"/>
                </w:tcPr>
                <w:p>
                  <w:pPr>
                    <w:pStyle w:val="26"/>
                    <w:spacing w:line="360" w:lineRule="exact"/>
                    <w:rPr>
                      <w:color w:val="auto"/>
                      <w:kern w:val="0"/>
                      <w:szCs w:val="21"/>
                    </w:rPr>
                  </w:pPr>
                  <w:r>
                    <w:rPr>
                      <w:color w:val="auto"/>
                      <w:kern w:val="0"/>
                      <w:szCs w:val="21"/>
                    </w:rPr>
                    <w:t>103.157930°</w:t>
                  </w:r>
                </w:p>
              </w:tc>
              <w:tc>
                <w:tcPr>
                  <w:tcW w:w="1419" w:type="dxa"/>
                  <w:tcBorders>
                    <w:bottom w:val="single" w:color="auto" w:sz="4" w:space="0"/>
                  </w:tcBorders>
                  <w:vAlign w:val="center"/>
                </w:tcPr>
                <w:p>
                  <w:pPr>
                    <w:pStyle w:val="26"/>
                    <w:spacing w:line="360" w:lineRule="exact"/>
                    <w:rPr>
                      <w:color w:val="auto"/>
                      <w:kern w:val="0"/>
                      <w:szCs w:val="21"/>
                    </w:rPr>
                  </w:pPr>
                  <w:r>
                    <w:rPr>
                      <w:color w:val="auto"/>
                      <w:kern w:val="0"/>
                      <w:szCs w:val="21"/>
                    </w:rPr>
                    <w:t>26.125789°</w:t>
                  </w:r>
                </w:p>
              </w:tc>
              <w:tc>
                <w:tcPr>
                  <w:tcW w:w="709" w:type="dxa"/>
                  <w:vMerge w:val="continue"/>
                  <w:vAlign w:val="center"/>
                </w:tcPr>
                <w:p>
                  <w:pPr>
                    <w:pStyle w:val="26"/>
                    <w:spacing w:line="360" w:lineRule="exact"/>
                    <w:rPr>
                      <w:color w:val="auto"/>
                      <w:kern w:val="0"/>
                      <w:szCs w:val="21"/>
                    </w:rPr>
                  </w:pPr>
                </w:p>
              </w:tc>
              <w:tc>
                <w:tcPr>
                  <w:tcW w:w="1417" w:type="dxa"/>
                  <w:tcBorders>
                    <w:bottom w:val="single" w:color="auto" w:sz="4" w:space="0"/>
                  </w:tcBorders>
                  <w:vAlign w:val="center"/>
                </w:tcPr>
                <w:p>
                  <w:pPr>
                    <w:pStyle w:val="26"/>
                    <w:spacing w:line="360" w:lineRule="exact"/>
                    <w:rPr>
                      <w:color w:val="auto"/>
                      <w:kern w:val="0"/>
                      <w:szCs w:val="21"/>
                    </w:rPr>
                  </w:pPr>
                  <w:r>
                    <w:rPr>
                      <w:color w:val="auto"/>
                      <w:kern w:val="0"/>
                      <w:szCs w:val="21"/>
                    </w:rPr>
                    <w:t>72户/219人</w:t>
                  </w:r>
                </w:p>
              </w:tc>
              <w:tc>
                <w:tcPr>
                  <w:tcW w:w="708" w:type="dxa"/>
                  <w:vMerge w:val="continue"/>
                  <w:vAlign w:val="center"/>
                </w:tcPr>
                <w:p>
                  <w:pPr>
                    <w:pStyle w:val="26"/>
                    <w:spacing w:line="360" w:lineRule="exact"/>
                    <w:rPr>
                      <w:color w:val="auto"/>
                      <w:kern w:val="0"/>
                      <w:szCs w:val="21"/>
                    </w:rPr>
                  </w:pPr>
                </w:p>
              </w:tc>
              <w:tc>
                <w:tcPr>
                  <w:tcW w:w="865" w:type="dxa"/>
                  <w:tcBorders>
                    <w:bottom w:val="single" w:color="auto" w:sz="4" w:space="0"/>
                  </w:tcBorders>
                  <w:vAlign w:val="center"/>
                </w:tcPr>
                <w:p>
                  <w:pPr>
                    <w:pStyle w:val="26"/>
                    <w:spacing w:line="360" w:lineRule="exact"/>
                    <w:rPr>
                      <w:color w:val="auto"/>
                      <w:kern w:val="0"/>
                      <w:szCs w:val="21"/>
                    </w:rPr>
                  </w:pPr>
                  <w:r>
                    <w:rPr>
                      <w:color w:val="auto"/>
                      <w:kern w:val="0"/>
                      <w:szCs w:val="21"/>
                    </w:rPr>
                    <w:t>东南侧</w:t>
                  </w:r>
                </w:p>
              </w:tc>
              <w:tc>
                <w:tcPr>
                  <w:tcW w:w="911" w:type="dxa"/>
                  <w:tcBorders>
                    <w:bottom w:val="single" w:color="auto" w:sz="4" w:space="0"/>
                  </w:tcBorders>
                  <w:vAlign w:val="center"/>
                </w:tcPr>
                <w:p>
                  <w:pPr>
                    <w:pStyle w:val="26"/>
                    <w:spacing w:line="360" w:lineRule="exact"/>
                    <w:rPr>
                      <w:color w:val="auto"/>
                      <w:kern w:val="0"/>
                      <w:szCs w:val="21"/>
                    </w:rPr>
                  </w:pPr>
                  <w:r>
                    <w:rPr>
                      <w:color w:val="auto"/>
                      <w:kern w:val="0"/>
                      <w:szCs w:val="21"/>
                    </w:rPr>
                    <w:t>804m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8" w:type="dxa"/>
                  <w:tcBorders>
                    <w:bottom w:val="single" w:color="auto" w:sz="4" w:space="0"/>
                  </w:tcBorders>
                  <w:vAlign w:val="center"/>
                </w:tcPr>
                <w:p>
                  <w:pPr>
                    <w:pStyle w:val="26"/>
                    <w:spacing w:line="360" w:lineRule="exact"/>
                    <w:rPr>
                      <w:color w:val="auto"/>
                      <w:kern w:val="0"/>
                      <w:szCs w:val="21"/>
                    </w:rPr>
                  </w:pPr>
                  <w:r>
                    <w:rPr>
                      <w:color w:val="auto"/>
                      <w:kern w:val="0"/>
                      <w:szCs w:val="21"/>
                    </w:rPr>
                    <w:t>大龙潭村</w:t>
                  </w:r>
                </w:p>
              </w:tc>
              <w:tc>
                <w:tcPr>
                  <w:tcW w:w="1418" w:type="dxa"/>
                  <w:tcBorders>
                    <w:bottom w:val="single" w:color="auto" w:sz="4" w:space="0"/>
                  </w:tcBorders>
                  <w:vAlign w:val="center"/>
                </w:tcPr>
                <w:p>
                  <w:pPr>
                    <w:pStyle w:val="26"/>
                    <w:spacing w:line="360" w:lineRule="exact"/>
                    <w:rPr>
                      <w:color w:val="auto"/>
                      <w:kern w:val="0"/>
                      <w:szCs w:val="21"/>
                    </w:rPr>
                  </w:pPr>
                  <w:r>
                    <w:rPr>
                      <w:color w:val="auto"/>
                      <w:kern w:val="0"/>
                      <w:szCs w:val="21"/>
                    </w:rPr>
                    <w:t>103.164239°</w:t>
                  </w:r>
                </w:p>
              </w:tc>
              <w:tc>
                <w:tcPr>
                  <w:tcW w:w="1419" w:type="dxa"/>
                  <w:tcBorders>
                    <w:bottom w:val="single" w:color="auto" w:sz="4" w:space="0"/>
                  </w:tcBorders>
                  <w:vAlign w:val="center"/>
                </w:tcPr>
                <w:p>
                  <w:pPr>
                    <w:pStyle w:val="26"/>
                    <w:spacing w:line="360" w:lineRule="exact"/>
                    <w:rPr>
                      <w:color w:val="auto"/>
                      <w:kern w:val="0"/>
                      <w:szCs w:val="21"/>
                    </w:rPr>
                  </w:pPr>
                  <w:r>
                    <w:rPr>
                      <w:color w:val="auto"/>
                      <w:kern w:val="0"/>
                      <w:szCs w:val="21"/>
                    </w:rPr>
                    <w:t>26.132998°</w:t>
                  </w:r>
                </w:p>
              </w:tc>
              <w:tc>
                <w:tcPr>
                  <w:tcW w:w="709" w:type="dxa"/>
                  <w:vMerge w:val="continue"/>
                  <w:vAlign w:val="center"/>
                </w:tcPr>
                <w:p>
                  <w:pPr>
                    <w:pStyle w:val="26"/>
                    <w:spacing w:line="360" w:lineRule="exact"/>
                    <w:rPr>
                      <w:color w:val="auto"/>
                      <w:kern w:val="0"/>
                      <w:szCs w:val="21"/>
                    </w:rPr>
                  </w:pPr>
                </w:p>
              </w:tc>
              <w:tc>
                <w:tcPr>
                  <w:tcW w:w="1417" w:type="dxa"/>
                  <w:tcBorders>
                    <w:bottom w:val="single" w:color="auto" w:sz="4" w:space="0"/>
                  </w:tcBorders>
                  <w:vAlign w:val="center"/>
                </w:tcPr>
                <w:p>
                  <w:pPr>
                    <w:pStyle w:val="26"/>
                    <w:spacing w:line="360" w:lineRule="exact"/>
                    <w:rPr>
                      <w:color w:val="auto"/>
                      <w:kern w:val="0"/>
                      <w:szCs w:val="21"/>
                    </w:rPr>
                  </w:pPr>
                  <w:r>
                    <w:rPr>
                      <w:color w:val="auto"/>
                      <w:kern w:val="0"/>
                      <w:szCs w:val="21"/>
                    </w:rPr>
                    <w:t>46户/153人</w:t>
                  </w:r>
                </w:p>
              </w:tc>
              <w:tc>
                <w:tcPr>
                  <w:tcW w:w="708" w:type="dxa"/>
                  <w:vMerge w:val="continue"/>
                  <w:vAlign w:val="center"/>
                </w:tcPr>
                <w:p>
                  <w:pPr>
                    <w:pStyle w:val="26"/>
                    <w:spacing w:line="360" w:lineRule="exact"/>
                    <w:rPr>
                      <w:color w:val="auto"/>
                      <w:kern w:val="0"/>
                      <w:szCs w:val="21"/>
                    </w:rPr>
                  </w:pPr>
                </w:p>
              </w:tc>
              <w:tc>
                <w:tcPr>
                  <w:tcW w:w="865" w:type="dxa"/>
                  <w:tcBorders>
                    <w:bottom w:val="single" w:color="auto" w:sz="4" w:space="0"/>
                  </w:tcBorders>
                  <w:vAlign w:val="center"/>
                </w:tcPr>
                <w:p>
                  <w:pPr>
                    <w:pStyle w:val="26"/>
                    <w:spacing w:line="360" w:lineRule="exact"/>
                    <w:rPr>
                      <w:color w:val="auto"/>
                      <w:kern w:val="0"/>
                      <w:szCs w:val="21"/>
                    </w:rPr>
                  </w:pPr>
                  <w:r>
                    <w:rPr>
                      <w:color w:val="auto"/>
                      <w:kern w:val="0"/>
                      <w:szCs w:val="21"/>
                    </w:rPr>
                    <w:t>东侧</w:t>
                  </w:r>
                </w:p>
              </w:tc>
              <w:tc>
                <w:tcPr>
                  <w:tcW w:w="911" w:type="dxa"/>
                  <w:tcBorders>
                    <w:bottom w:val="single" w:color="auto" w:sz="4" w:space="0"/>
                  </w:tcBorders>
                  <w:vAlign w:val="center"/>
                </w:tcPr>
                <w:p>
                  <w:pPr>
                    <w:pStyle w:val="26"/>
                    <w:spacing w:line="360" w:lineRule="exact"/>
                    <w:rPr>
                      <w:color w:val="auto"/>
                      <w:kern w:val="0"/>
                      <w:szCs w:val="21"/>
                    </w:rPr>
                  </w:pPr>
                  <w:r>
                    <w:rPr>
                      <w:color w:val="auto"/>
                      <w:kern w:val="0"/>
                      <w:szCs w:val="21"/>
                    </w:rPr>
                    <w:t>1076m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8"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小龙潭村</w:t>
                  </w:r>
                </w:p>
              </w:tc>
              <w:tc>
                <w:tcPr>
                  <w:tcW w:w="1418"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103.157909°</w:t>
                  </w:r>
                </w:p>
              </w:tc>
              <w:tc>
                <w:tcPr>
                  <w:tcW w:w="1419"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26.138492°</w:t>
                  </w:r>
                </w:p>
              </w:tc>
              <w:tc>
                <w:tcPr>
                  <w:tcW w:w="709" w:type="dxa"/>
                  <w:vMerge w:val="continue"/>
                  <w:vAlign w:val="center"/>
                </w:tcPr>
                <w:p>
                  <w:pPr>
                    <w:pStyle w:val="26"/>
                    <w:spacing w:line="360" w:lineRule="exact"/>
                    <w:rPr>
                      <w:color w:val="auto"/>
                      <w:kern w:val="0"/>
                      <w:szCs w:val="21"/>
                    </w:rPr>
                  </w:pPr>
                </w:p>
              </w:tc>
              <w:tc>
                <w:tcPr>
                  <w:tcW w:w="1417"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30户/98人</w:t>
                  </w:r>
                </w:p>
              </w:tc>
              <w:tc>
                <w:tcPr>
                  <w:tcW w:w="708" w:type="dxa"/>
                  <w:vMerge w:val="continue"/>
                  <w:vAlign w:val="center"/>
                </w:tcPr>
                <w:p>
                  <w:pPr>
                    <w:pStyle w:val="26"/>
                    <w:spacing w:line="360" w:lineRule="exact"/>
                    <w:rPr>
                      <w:color w:val="auto"/>
                      <w:kern w:val="0"/>
                      <w:szCs w:val="21"/>
                    </w:rPr>
                  </w:pPr>
                </w:p>
              </w:tc>
              <w:tc>
                <w:tcPr>
                  <w:tcW w:w="865"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东北侧</w:t>
                  </w:r>
                </w:p>
              </w:tc>
              <w:tc>
                <w:tcPr>
                  <w:tcW w:w="911"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875m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8"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仓房</w:t>
                  </w:r>
                </w:p>
              </w:tc>
              <w:tc>
                <w:tcPr>
                  <w:tcW w:w="1418"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103.159857°</w:t>
                  </w:r>
                </w:p>
              </w:tc>
              <w:tc>
                <w:tcPr>
                  <w:tcW w:w="1419"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26.151407°</w:t>
                  </w:r>
                </w:p>
              </w:tc>
              <w:tc>
                <w:tcPr>
                  <w:tcW w:w="709" w:type="dxa"/>
                  <w:vMerge w:val="continue"/>
                  <w:vAlign w:val="center"/>
                </w:tcPr>
                <w:p>
                  <w:pPr>
                    <w:pStyle w:val="26"/>
                    <w:spacing w:line="360" w:lineRule="exact"/>
                    <w:rPr>
                      <w:color w:val="auto"/>
                      <w:kern w:val="0"/>
                      <w:szCs w:val="21"/>
                    </w:rPr>
                  </w:pPr>
                </w:p>
              </w:tc>
              <w:tc>
                <w:tcPr>
                  <w:tcW w:w="1417"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32户/92人</w:t>
                  </w:r>
                </w:p>
              </w:tc>
              <w:tc>
                <w:tcPr>
                  <w:tcW w:w="708" w:type="dxa"/>
                  <w:vMerge w:val="continue"/>
                  <w:vAlign w:val="center"/>
                </w:tcPr>
                <w:p>
                  <w:pPr>
                    <w:pStyle w:val="26"/>
                    <w:spacing w:line="360" w:lineRule="exact"/>
                    <w:rPr>
                      <w:color w:val="auto"/>
                      <w:kern w:val="0"/>
                      <w:szCs w:val="21"/>
                    </w:rPr>
                  </w:pPr>
                </w:p>
              </w:tc>
              <w:tc>
                <w:tcPr>
                  <w:tcW w:w="865"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东北侧</w:t>
                  </w:r>
                </w:p>
              </w:tc>
              <w:tc>
                <w:tcPr>
                  <w:tcW w:w="911"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2058m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158"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野牛村</w:t>
                  </w:r>
                </w:p>
              </w:tc>
              <w:tc>
                <w:tcPr>
                  <w:tcW w:w="1418"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103.147444°</w:t>
                  </w:r>
                </w:p>
              </w:tc>
              <w:tc>
                <w:tcPr>
                  <w:tcW w:w="1419"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26.147863°</w:t>
                  </w:r>
                </w:p>
              </w:tc>
              <w:tc>
                <w:tcPr>
                  <w:tcW w:w="709" w:type="dxa"/>
                  <w:vMerge w:val="continue"/>
                  <w:vAlign w:val="center"/>
                </w:tcPr>
                <w:p>
                  <w:pPr>
                    <w:pStyle w:val="26"/>
                    <w:spacing w:line="360" w:lineRule="exact"/>
                    <w:rPr>
                      <w:color w:val="auto"/>
                      <w:kern w:val="0"/>
                      <w:szCs w:val="21"/>
                    </w:rPr>
                  </w:pPr>
                </w:p>
              </w:tc>
              <w:tc>
                <w:tcPr>
                  <w:tcW w:w="1417"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56户/149人</w:t>
                  </w:r>
                </w:p>
              </w:tc>
              <w:tc>
                <w:tcPr>
                  <w:tcW w:w="708" w:type="dxa"/>
                  <w:vMerge w:val="continue"/>
                  <w:vAlign w:val="center"/>
                </w:tcPr>
                <w:p>
                  <w:pPr>
                    <w:pStyle w:val="26"/>
                    <w:spacing w:line="360" w:lineRule="exact"/>
                    <w:rPr>
                      <w:color w:val="auto"/>
                      <w:kern w:val="0"/>
                      <w:szCs w:val="21"/>
                    </w:rPr>
                  </w:pPr>
                </w:p>
              </w:tc>
              <w:tc>
                <w:tcPr>
                  <w:tcW w:w="865"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北侧</w:t>
                  </w:r>
                </w:p>
              </w:tc>
              <w:tc>
                <w:tcPr>
                  <w:tcW w:w="911" w:type="dxa"/>
                  <w:tcBorders>
                    <w:top w:val="single" w:color="auto" w:sz="4" w:space="0"/>
                    <w:bottom w:val="single" w:color="auto" w:sz="4" w:space="0"/>
                  </w:tcBorders>
                  <w:vAlign w:val="center"/>
                </w:tcPr>
                <w:p>
                  <w:pPr>
                    <w:pStyle w:val="26"/>
                    <w:spacing w:line="360" w:lineRule="exact"/>
                    <w:rPr>
                      <w:color w:val="auto"/>
                      <w:kern w:val="0"/>
                      <w:szCs w:val="21"/>
                    </w:rPr>
                  </w:pPr>
                  <w:r>
                    <w:rPr>
                      <w:color w:val="auto"/>
                      <w:kern w:val="0"/>
                      <w:szCs w:val="21"/>
                    </w:rPr>
                    <w:t>1536m</w:t>
                  </w:r>
                </w:p>
              </w:tc>
            </w:tr>
          </w:tbl>
          <w:p>
            <w:pPr>
              <w:pStyle w:val="34"/>
              <w:spacing w:beforeLines="50"/>
              <w:ind w:firstLine="482"/>
              <w:rPr>
                <w:rFonts w:eastAsiaTheme="minorEastAsia"/>
                <w:b/>
                <w:szCs w:val="24"/>
              </w:rPr>
            </w:pPr>
            <w:r>
              <w:rPr>
                <w:rFonts w:eastAsiaTheme="minorEastAsia"/>
                <w:b/>
                <w:szCs w:val="24"/>
              </w:rPr>
              <w:t>3.2.2 地表水环境保护目标</w:t>
            </w:r>
          </w:p>
          <w:p>
            <w:pPr>
              <w:pStyle w:val="34"/>
              <w:ind w:firstLine="480"/>
              <w:rPr>
                <w:rFonts w:eastAsiaTheme="minorEastAsia"/>
                <w:szCs w:val="24"/>
              </w:rPr>
            </w:pPr>
            <w:r>
              <w:rPr>
                <w:rFonts w:eastAsiaTheme="minorEastAsia"/>
                <w:szCs w:val="24"/>
              </w:rPr>
              <w:t>根据《建设项目环境影响报告表编制技术指南》（污染影响类）（试行）的要求，未要求设施地表水环境保护目标；但项目所在区域属于大桥河和小江的汇水范围，因此拟将大桥河和小江列入该项目水环境保护目标。具体如下表所示。</w:t>
            </w:r>
          </w:p>
          <w:p>
            <w:pPr>
              <w:pStyle w:val="34"/>
              <w:ind w:firstLine="480"/>
              <w:rPr>
                <w:rFonts w:eastAsiaTheme="minorEastAsia"/>
                <w:szCs w:val="24"/>
              </w:rPr>
            </w:pPr>
          </w:p>
          <w:p>
            <w:pPr>
              <w:pStyle w:val="34"/>
              <w:ind w:firstLine="480"/>
              <w:rPr>
                <w:rFonts w:eastAsiaTheme="minorEastAsia"/>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r>
              <w:rPr>
                <w:rFonts w:ascii="Times New Roman" w:hAnsi="Times New Roman" w:cs="Times New Roman"/>
                <w:b/>
                <w:szCs w:val="24"/>
              </w:rPr>
              <w:t>表3.2.2-1  地表水环境保护目标及保护级别一览表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47"/>
              <w:gridCol w:w="2835"/>
              <w:gridCol w:w="1418"/>
              <w:gridCol w:w="85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类别</w:t>
                  </w:r>
                </w:p>
              </w:tc>
              <w:tc>
                <w:tcPr>
                  <w:tcW w:w="847"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保护目标</w:t>
                  </w:r>
                </w:p>
              </w:tc>
              <w:tc>
                <w:tcPr>
                  <w:tcW w:w="2835"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坐标</w:t>
                  </w:r>
                </w:p>
              </w:tc>
              <w:tc>
                <w:tcPr>
                  <w:tcW w:w="1418"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与项目区的方位及距离</w:t>
                  </w:r>
                </w:p>
              </w:tc>
              <w:tc>
                <w:tcPr>
                  <w:tcW w:w="850"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高差</w:t>
                  </w:r>
                </w:p>
              </w:tc>
              <w:tc>
                <w:tcPr>
                  <w:tcW w:w="1775"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880" w:type="dxa"/>
                  <w:vMerge w:val="restart"/>
                  <w:tcBorders>
                    <w:top w:val="single" w:color="auto" w:sz="4" w:space="0"/>
                    <w:left w:val="single" w:color="auto" w:sz="4" w:space="0"/>
                    <w:right w:val="single" w:color="auto" w:sz="4" w:space="0"/>
                  </w:tcBorders>
                  <w:vAlign w:val="center"/>
                </w:tcPr>
                <w:p>
                  <w:pPr>
                    <w:pStyle w:val="26"/>
                    <w:spacing w:line="360" w:lineRule="exact"/>
                    <w:rPr>
                      <w:color w:val="auto"/>
                      <w:szCs w:val="21"/>
                    </w:rPr>
                  </w:pPr>
                  <w:r>
                    <w:rPr>
                      <w:color w:val="auto"/>
                      <w:szCs w:val="21"/>
                    </w:rPr>
                    <w:t>地表水</w:t>
                  </w:r>
                </w:p>
              </w:tc>
              <w:tc>
                <w:tcPr>
                  <w:tcW w:w="847"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大桥河</w:t>
                  </w:r>
                </w:p>
              </w:tc>
              <w:tc>
                <w:tcPr>
                  <w:tcW w:w="2835" w:type="dxa"/>
                  <w:vMerge w:val="restart"/>
                  <w:tcBorders>
                    <w:top w:val="single" w:color="auto" w:sz="4" w:space="0"/>
                    <w:left w:val="single" w:color="auto" w:sz="4" w:space="0"/>
                    <w:right w:val="single" w:color="auto" w:sz="4" w:space="0"/>
                  </w:tcBorders>
                  <w:vAlign w:val="center"/>
                </w:tcPr>
                <w:p>
                  <w:pPr>
                    <w:pStyle w:val="26"/>
                    <w:spacing w:line="360" w:lineRule="exact"/>
                    <w:ind w:firstLine="210" w:firstLineChars="100"/>
                    <w:jc w:val="left"/>
                    <w:rPr>
                      <w:color w:val="auto"/>
                      <w:szCs w:val="21"/>
                    </w:rPr>
                  </w:pPr>
                  <w:r>
                    <w:rPr>
                      <w:color w:val="auto"/>
                      <w:szCs w:val="21"/>
                    </w:rPr>
                    <w:t>起点：东经103.14339°，北纬26.126776°</w:t>
                  </w:r>
                </w:p>
                <w:p>
                  <w:pPr>
                    <w:pStyle w:val="26"/>
                    <w:spacing w:line="360" w:lineRule="exact"/>
                    <w:ind w:firstLine="210" w:firstLineChars="100"/>
                    <w:jc w:val="left"/>
                    <w:rPr>
                      <w:color w:val="auto"/>
                      <w:szCs w:val="21"/>
                    </w:rPr>
                  </w:pPr>
                  <w:r>
                    <w:rPr>
                      <w:color w:val="auto"/>
                      <w:szCs w:val="21"/>
                    </w:rPr>
                    <w:t>终点：东经103.137116°，北纬26.134908°</w:t>
                  </w:r>
                </w:p>
              </w:tc>
              <w:tc>
                <w:tcPr>
                  <w:tcW w:w="1418"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4"/>
                    </w:rPr>
                    <w:t>西侧302m</w:t>
                  </w:r>
                </w:p>
              </w:tc>
              <w:tc>
                <w:tcPr>
                  <w:tcW w:w="850"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10m</w:t>
                  </w:r>
                </w:p>
              </w:tc>
              <w:tc>
                <w:tcPr>
                  <w:tcW w:w="1775" w:type="dxa"/>
                  <w:vMerge w:val="restart"/>
                  <w:tcBorders>
                    <w:top w:val="single" w:color="auto" w:sz="4" w:space="0"/>
                    <w:left w:val="single" w:color="auto" w:sz="4" w:space="0"/>
                    <w:right w:val="single" w:color="auto" w:sz="4" w:space="0"/>
                  </w:tcBorders>
                  <w:vAlign w:val="center"/>
                </w:tcPr>
                <w:p>
                  <w:pPr>
                    <w:pStyle w:val="26"/>
                    <w:spacing w:line="360" w:lineRule="exact"/>
                    <w:ind w:firstLine="210" w:firstLineChars="100"/>
                    <w:jc w:val="left"/>
                    <w:rPr>
                      <w:color w:val="auto"/>
                      <w:szCs w:val="21"/>
                    </w:rPr>
                  </w:pPr>
                  <w:r>
                    <w:rPr>
                      <w:color w:val="auto"/>
                      <w:szCs w:val="21"/>
                    </w:rPr>
                    <w:t>《地表水环境质量标准》（GB3838-2002）III类标准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80" w:type="dxa"/>
                  <w:vMerge w:val="continue"/>
                  <w:tcBorders>
                    <w:left w:val="single" w:color="auto" w:sz="4" w:space="0"/>
                    <w:right w:val="single" w:color="auto" w:sz="4" w:space="0"/>
                  </w:tcBorders>
                  <w:vAlign w:val="center"/>
                </w:tcPr>
                <w:p>
                  <w:pPr>
                    <w:pStyle w:val="26"/>
                    <w:spacing w:line="360" w:lineRule="exact"/>
                    <w:rPr>
                      <w:color w:val="auto"/>
                      <w:szCs w:val="21"/>
                    </w:rPr>
                  </w:pPr>
                </w:p>
              </w:tc>
              <w:tc>
                <w:tcPr>
                  <w:tcW w:w="847" w:type="dxa"/>
                  <w:tcBorders>
                    <w:top w:val="single" w:color="auto" w:sz="4" w:space="0"/>
                    <w:left w:val="single" w:color="auto" w:sz="4" w:space="0"/>
                    <w:right w:val="single" w:color="auto" w:sz="4" w:space="0"/>
                  </w:tcBorders>
                  <w:vAlign w:val="center"/>
                </w:tcPr>
                <w:p>
                  <w:pPr>
                    <w:pStyle w:val="26"/>
                    <w:spacing w:line="360" w:lineRule="exact"/>
                    <w:rPr>
                      <w:color w:val="auto"/>
                      <w:szCs w:val="21"/>
                    </w:rPr>
                  </w:pPr>
                  <w:r>
                    <w:rPr>
                      <w:bCs w:val="0"/>
                      <w:color w:val="auto"/>
                      <w:szCs w:val="24"/>
                    </w:rPr>
                    <w:t>小江</w:t>
                  </w:r>
                </w:p>
              </w:tc>
              <w:tc>
                <w:tcPr>
                  <w:tcW w:w="2835" w:type="dxa"/>
                  <w:vMerge w:val="continue"/>
                  <w:tcBorders>
                    <w:left w:val="single" w:color="auto" w:sz="4" w:space="0"/>
                    <w:right w:val="single" w:color="auto" w:sz="4" w:space="0"/>
                  </w:tcBorders>
                  <w:vAlign w:val="center"/>
                </w:tcPr>
                <w:p>
                  <w:pPr>
                    <w:pStyle w:val="26"/>
                    <w:spacing w:line="360" w:lineRule="exact"/>
                    <w:ind w:firstLine="210" w:firstLineChars="100"/>
                    <w:jc w:val="left"/>
                    <w:rPr>
                      <w:color w:val="auto"/>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bCs w:val="0"/>
                      <w:color w:val="auto"/>
                      <w:szCs w:val="24"/>
                    </w:rPr>
                    <w:t>西南侧758m</w:t>
                  </w:r>
                </w:p>
              </w:tc>
              <w:tc>
                <w:tcPr>
                  <w:tcW w:w="850" w:type="dxa"/>
                  <w:tcBorders>
                    <w:top w:val="single" w:color="auto" w:sz="4" w:space="0"/>
                    <w:left w:val="single" w:color="auto" w:sz="4" w:space="0"/>
                    <w:bottom w:val="single" w:color="auto" w:sz="4" w:space="0"/>
                    <w:right w:val="single" w:color="auto" w:sz="4" w:space="0"/>
                  </w:tcBorders>
                  <w:vAlign w:val="center"/>
                </w:tcPr>
                <w:p>
                  <w:pPr>
                    <w:pStyle w:val="26"/>
                    <w:spacing w:line="360" w:lineRule="exact"/>
                    <w:rPr>
                      <w:color w:val="auto"/>
                      <w:szCs w:val="21"/>
                    </w:rPr>
                  </w:pPr>
                  <w:r>
                    <w:rPr>
                      <w:color w:val="auto"/>
                      <w:szCs w:val="21"/>
                    </w:rPr>
                    <w:t>17m</w:t>
                  </w:r>
                </w:p>
              </w:tc>
              <w:tc>
                <w:tcPr>
                  <w:tcW w:w="1775" w:type="dxa"/>
                  <w:vMerge w:val="continue"/>
                  <w:tcBorders>
                    <w:left w:val="single" w:color="auto" w:sz="4" w:space="0"/>
                    <w:right w:val="single" w:color="auto" w:sz="4" w:space="0"/>
                  </w:tcBorders>
                  <w:vAlign w:val="center"/>
                </w:tcPr>
                <w:p>
                  <w:pPr>
                    <w:pStyle w:val="26"/>
                    <w:spacing w:line="360" w:lineRule="exact"/>
                    <w:ind w:firstLine="210" w:firstLineChars="100"/>
                    <w:jc w:val="left"/>
                    <w:rPr>
                      <w:color w:val="auto"/>
                      <w:szCs w:val="21"/>
                    </w:rPr>
                  </w:pPr>
                </w:p>
              </w:tc>
            </w:tr>
          </w:tbl>
          <w:p>
            <w:pPr>
              <w:pStyle w:val="34"/>
              <w:spacing w:beforeLines="50"/>
              <w:ind w:firstLine="482"/>
              <w:rPr>
                <w:rFonts w:eastAsiaTheme="minorEastAsia"/>
                <w:b/>
                <w:szCs w:val="24"/>
              </w:rPr>
            </w:pPr>
            <w:r>
              <w:rPr>
                <w:rFonts w:eastAsiaTheme="minorEastAsia"/>
                <w:b/>
                <w:szCs w:val="24"/>
              </w:rPr>
              <w:t>3.2.3 地下水环境保护目标</w:t>
            </w:r>
          </w:p>
          <w:p>
            <w:pPr>
              <w:pStyle w:val="34"/>
              <w:ind w:firstLine="480"/>
              <w:rPr>
                <w:rFonts w:eastAsiaTheme="minorEastAsia"/>
                <w:szCs w:val="24"/>
              </w:rPr>
            </w:pPr>
            <w:r>
              <w:rPr>
                <w:rFonts w:eastAsiaTheme="minorEastAsia"/>
                <w:szCs w:val="24"/>
              </w:rPr>
              <w:t>根据《建设项目环境影响报告表编制技术指南》（污染影响类）（试行）的要求，地表水环境保护目标为厂界外500m范围内的地下水集中式饮用水水源和热水、矿泉水、温泉等特殊地下水资源。根据调查，该项目位于东川区碧谷街道（北郊板河口老殡仪馆原址），该项目选址不涉及到地下水集中式饮用水水源和热水、矿泉水、温泉等特殊地下水资源。</w:t>
            </w:r>
          </w:p>
          <w:p>
            <w:pPr>
              <w:pStyle w:val="34"/>
              <w:ind w:firstLine="482"/>
              <w:rPr>
                <w:rFonts w:eastAsiaTheme="minorEastAsia"/>
                <w:b/>
                <w:szCs w:val="24"/>
              </w:rPr>
            </w:pPr>
            <w:r>
              <w:rPr>
                <w:rFonts w:eastAsiaTheme="minorEastAsia"/>
                <w:b/>
                <w:szCs w:val="24"/>
              </w:rPr>
              <w:t>3.2.4 声环境环境保护目标</w:t>
            </w:r>
          </w:p>
          <w:p>
            <w:pPr>
              <w:pStyle w:val="34"/>
              <w:ind w:firstLine="480"/>
              <w:rPr>
                <w:rFonts w:eastAsiaTheme="minorEastAsia"/>
                <w:szCs w:val="24"/>
              </w:rPr>
            </w:pPr>
            <w:r>
              <w:rPr>
                <w:rFonts w:eastAsiaTheme="minorEastAsia"/>
                <w:szCs w:val="24"/>
              </w:rPr>
              <w:t>根据《建设项目环境影响报告表编制技术指南》（污染影响类）（试行）的要求，该项目声环境评价范围为50m，根据调查，声环境保护目标如下表所示。</w:t>
            </w:r>
          </w:p>
          <w:p>
            <w:pPr>
              <w:pStyle w:val="28"/>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表3.2.4-1 声环境保护目标及保护级别一览表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37"/>
              <w:gridCol w:w="2268"/>
              <w:gridCol w:w="1572"/>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995" w:type="dxa"/>
                  <w:vAlign w:val="center"/>
                </w:tcPr>
                <w:p>
                  <w:pPr>
                    <w:pStyle w:val="26"/>
                    <w:spacing w:line="360" w:lineRule="exact"/>
                    <w:rPr>
                      <w:bCs w:val="0"/>
                      <w:color w:val="auto"/>
                      <w:szCs w:val="24"/>
                    </w:rPr>
                  </w:pPr>
                  <w:r>
                    <w:rPr>
                      <w:bCs w:val="0"/>
                      <w:color w:val="auto"/>
                      <w:szCs w:val="24"/>
                    </w:rPr>
                    <w:t>类别</w:t>
                  </w:r>
                </w:p>
              </w:tc>
              <w:tc>
                <w:tcPr>
                  <w:tcW w:w="1137" w:type="dxa"/>
                  <w:vAlign w:val="center"/>
                </w:tcPr>
                <w:p>
                  <w:pPr>
                    <w:pStyle w:val="26"/>
                    <w:spacing w:line="360" w:lineRule="exact"/>
                    <w:rPr>
                      <w:bCs w:val="0"/>
                      <w:color w:val="auto"/>
                      <w:szCs w:val="24"/>
                    </w:rPr>
                  </w:pPr>
                  <w:r>
                    <w:rPr>
                      <w:bCs w:val="0"/>
                      <w:color w:val="auto"/>
                      <w:szCs w:val="24"/>
                    </w:rPr>
                    <w:t>保护目标</w:t>
                  </w:r>
                </w:p>
              </w:tc>
              <w:tc>
                <w:tcPr>
                  <w:tcW w:w="2268" w:type="dxa"/>
                  <w:vAlign w:val="center"/>
                </w:tcPr>
                <w:p>
                  <w:pPr>
                    <w:pStyle w:val="26"/>
                    <w:spacing w:line="360" w:lineRule="exact"/>
                    <w:rPr>
                      <w:bCs w:val="0"/>
                      <w:color w:val="auto"/>
                      <w:szCs w:val="24"/>
                    </w:rPr>
                  </w:pPr>
                  <w:r>
                    <w:rPr>
                      <w:bCs w:val="0"/>
                      <w:color w:val="auto"/>
                      <w:szCs w:val="24"/>
                    </w:rPr>
                    <w:t>与项目区的方位及距离</w:t>
                  </w:r>
                </w:p>
              </w:tc>
              <w:tc>
                <w:tcPr>
                  <w:tcW w:w="1572" w:type="dxa"/>
                  <w:vAlign w:val="center"/>
                </w:tcPr>
                <w:p>
                  <w:pPr>
                    <w:pStyle w:val="26"/>
                    <w:spacing w:line="360" w:lineRule="exact"/>
                    <w:rPr>
                      <w:bCs w:val="0"/>
                      <w:color w:val="auto"/>
                      <w:szCs w:val="24"/>
                    </w:rPr>
                  </w:pPr>
                  <w:r>
                    <w:rPr>
                      <w:bCs w:val="0"/>
                      <w:color w:val="auto"/>
                      <w:szCs w:val="24"/>
                    </w:rPr>
                    <w:t>受影响人数</w:t>
                  </w:r>
                </w:p>
              </w:tc>
              <w:tc>
                <w:tcPr>
                  <w:tcW w:w="2633" w:type="dxa"/>
                  <w:vAlign w:val="center"/>
                </w:tcPr>
                <w:p>
                  <w:pPr>
                    <w:pStyle w:val="26"/>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5" w:type="dxa"/>
                  <w:vAlign w:val="center"/>
                </w:tcPr>
                <w:p>
                  <w:pPr>
                    <w:pStyle w:val="26"/>
                    <w:spacing w:line="360" w:lineRule="exact"/>
                    <w:rPr>
                      <w:bCs w:val="0"/>
                      <w:color w:val="auto"/>
                      <w:szCs w:val="24"/>
                    </w:rPr>
                  </w:pPr>
                  <w:r>
                    <w:rPr>
                      <w:bCs w:val="0"/>
                      <w:color w:val="auto"/>
                      <w:szCs w:val="24"/>
                    </w:rPr>
                    <w:t>声环境</w:t>
                  </w:r>
                </w:p>
              </w:tc>
              <w:tc>
                <w:tcPr>
                  <w:tcW w:w="1137" w:type="dxa"/>
                  <w:vAlign w:val="center"/>
                </w:tcPr>
                <w:p>
                  <w:pPr>
                    <w:pStyle w:val="26"/>
                    <w:spacing w:line="360" w:lineRule="exact"/>
                    <w:rPr>
                      <w:bCs w:val="0"/>
                      <w:color w:val="auto"/>
                      <w:szCs w:val="24"/>
                    </w:rPr>
                  </w:pPr>
                  <w:r>
                    <w:rPr>
                      <w:color w:val="auto"/>
                      <w:kern w:val="0"/>
                      <w:szCs w:val="21"/>
                    </w:rPr>
                    <w:t>散户居民</w:t>
                  </w:r>
                </w:p>
              </w:tc>
              <w:tc>
                <w:tcPr>
                  <w:tcW w:w="2268" w:type="dxa"/>
                  <w:vAlign w:val="center"/>
                </w:tcPr>
                <w:p>
                  <w:pPr>
                    <w:pStyle w:val="26"/>
                    <w:spacing w:line="360" w:lineRule="exact"/>
                    <w:rPr>
                      <w:color w:val="auto"/>
                      <w:kern w:val="0"/>
                      <w:szCs w:val="21"/>
                    </w:rPr>
                  </w:pPr>
                  <w:r>
                    <w:rPr>
                      <w:color w:val="auto"/>
                      <w:kern w:val="0"/>
                      <w:szCs w:val="21"/>
                    </w:rPr>
                    <w:t>东侧8m</w:t>
                  </w:r>
                </w:p>
              </w:tc>
              <w:tc>
                <w:tcPr>
                  <w:tcW w:w="1572" w:type="dxa"/>
                  <w:vAlign w:val="center"/>
                </w:tcPr>
                <w:p>
                  <w:pPr>
                    <w:pStyle w:val="26"/>
                    <w:spacing w:line="360" w:lineRule="exact"/>
                    <w:rPr>
                      <w:color w:val="auto"/>
                      <w:kern w:val="0"/>
                      <w:szCs w:val="21"/>
                    </w:rPr>
                  </w:pPr>
                  <w:r>
                    <w:rPr>
                      <w:color w:val="auto"/>
                      <w:kern w:val="0"/>
                      <w:szCs w:val="21"/>
                    </w:rPr>
                    <w:t>1户/4人</w:t>
                  </w:r>
                </w:p>
              </w:tc>
              <w:tc>
                <w:tcPr>
                  <w:tcW w:w="2633" w:type="dxa"/>
                  <w:vAlign w:val="center"/>
                </w:tcPr>
                <w:p>
                  <w:pPr>
                    <w:pStyle w:val="26"/>
                    <w:spacing w:line="360" w:lineRule="exact"/>
                    <w:ind w:firstLine="210" w:firstLineChars="100"/>
                    <w:jc w:val="left"/>
                    <w:rPr>
                      <w:color w:val="auto"/>
                      <w:szCs w:val="21"/>
                    </w:rPr>
                  </w:pPr>
                  <w:r>
                    <w:rPr>
                      <w:color w:val="auto"/>
                      <w:szCs w:val="21"/>
                    </w:rPr>
                    <w:t>《声环境质量标准》（GB3096-2008）2类标准</w:t>
                  </w:r>
                </w:p>
              </w:tc>
            </w:tr>
          </w:tbl>
          <w:p>
            <w:pPr>
              <w:pStyle w:val="34"/>
              <w:spacing w:beforeLines="50"/>
              <w:ind w:firstLine="482"/>
              <w:rPr>
                <w:rFonts w:eastAsiaTheme="minorEastAsia"/>
                <w:b/>
                <w:szCs w:val="24"/>
              </w:rPr>
            </w:pPr>
            <w:r>
              <w:rPr>
                <w:rFonts w:eastAsiaTheme="minorEastAsia"/>
                <w:b/>
                <w:szCs w:val="24"/>
              </w:rPr>
              <w:t>3.2.5 生态环境保护目标</w:t>
            </w:r>
          </w:p>
          <w:p>
            <w:pPr>
              <w:pStyle w:val="34"/>
              <w:ind w:firstLine="480"/>
              <w:rPr>
                <w:rFonts w:eastAsiaTheme="minorEastAsia"/>
                <w:szCs w:val="24"/>
              </w:rPr>
            </w:pPr>
            <w:r>
              <w:rPr>
                <w:rFonts w:eastAsiaTheme="minorEastAsia"/>
                <w:szCs w:val="24"/>
              </w:rPr>
              <w:t>根据《建设项目环境影响报告表编制技术指南》（污染影响类）（试行）的要求，生态环境保护目标主要为在产业园区外建设项目新增用地范围内的生态环境保护目标。该项目位于东川区碧谷街道（北郊板河口老殡仪馆原址），本环评拟定生态环境评价范围为200m，该项目的主要生态环境保护目标如下。</w:t>
            </w:r>
          </w:p>
          <w:p>
            <w:pPr>
              <w:pStyle w:val="28"/>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sz w:val="21"/>
                <w:szCs w:val="21"/>
              </w:rPr>
            </w:pPr>
            <w:r>
              <w:rPr>
                <w:rFonts w:hAnsi="Times New Roman" w:eastAsia="宋体"/>
                <w:bCs/>
                <w:snapToGrid w:val="0"/>
                <w:sz w:val="21"/>
                <w:szCs w:val="21"/>
              </w:rPr>
              <w:t>表3.2.5-1  生态环境保护目标一览表</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6"/>
              <w:gridCol w:w="2664"/>
              <w:gridCol w:w="1843"/>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6" w:type="dxa"/>
                  <w:vAlign w:val="center"/>
                </w:tcPr>
                <w:p>
                  <w:pPr>
                    <w:pStyle w:val="26"/>
                    <w:spacing w:line="360" w:lineRule="exact"/>
                    <w:rPr>
                      <w:color w:val="auto"/>
                      <w:szCs w:val="21"/>
                    </w:rPr>
                  </w:pPr>
                  <w:r>
                    <w:rPr>
                      <w:color w:val="auto"/>
                      <w:szCs w:val="21"/>
                    </w:rPr>
                    <w:t>类别</w:t>
                  </w:r>
                </w:p>
              </w:tc>
              <w:tc>
                <w:tcPr>
                  <w:tcW w:w="2664" w:type="dxa"/>
                  <w:vAlign w:val="center"/>
                </w:tcPr>
                <w:p>
                  <w:pPr>
                    <w:pStyle w:val="26"/>
                    <w:spacing w:line="360" w:lineRule="exact"/>
                    <w:rPr>
                      <w:color w:val="auto"/>
                      <w:szCs w:val="21"/>
                    </w:rPr>
                  </w:pPr>
                  <w:r>
                    <w:rPr>
                      <w:color w:val="auto"/>
                      <w:szCs w:val="21"/>
                    </w:rPr>
                    <w:t>与项目区的方位及距离</w:t>
                  </w:r>
                </w:p>
              </w:tc>
              <w:tc>
                <w:tcPr>
                  <w:tcW w:w="1843" w:type="dxa"/>
                  <w:vAlign w:val="center"/>
                </w:tcPr>
                <w:p>
                  <w:pPr>
                    <w:pStyle w:val="26"/>
                    <w:spacing w:line="360" w:lineRule="exact"/>
                    <w:rPr>
                      <w:color w:val="auto"/>
                      <w:szCs w:val="21"/>
                    </w:rPr>
                  </w:pPr>
                  <w:r>
                    <w:rPr>
                      <w:color w:val="auto"/>
                      <w:szCs w:val="21"/>
                    </w:rPr>
                    <w:t>生态保护目标</w:t>
                  </w:r>
                </w:p>
              </w:tc>
              <w:tc>
                <w:tcPr>
                  <w:tcW w:w="3192" w:type="dxa"/>
                  <w:vAlign w:val="center"/>
                </w:tcPr>
                <w:p>
                  <w:pPr>
                    <w:pStyle w:val="26"/>
                    <w:spacing w:line="360" w:lineRule="exact"/>
                    <w:rPr>
                      <w:color w:val="auto"/>
                      <w:szCs w:val="21"/>
                    </w:rPr>
                  </w:pPr>
                  <w:r>
                    <w:rPr>
                      <w:color w:val="auto"/>
                      <w:szCs w:val="21"/>
                    </w:rPr>
                    <w:t>保护级别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6" w:type="dxa"/>
                  <w:vAlign w:val="center"/>
                </w:tcPr>
                <w:p>
                  <w:pPr>
                    <w:pStyle w:val="26"/>
                    <w:spacing w:line="360" w:lineRule="exact"/>
                    <w:rPr>
                      <w:color w:val="auto"/>
                      <w:szCs w:val="21"/>
                    </w:rPr>
                  </w:pPr>
                  <w:r>
                    <w:rPr>
                      <w:color w:val="auto"/>
                      <w:szCs w:val="21"/>
                    </w:rPr>
                    <w:t>生态环境</w:t>
                  </w:r>
                </w:p>
              </w:tc>
              <w:tc>
                <w:tcPr>
                  <w:tcW w:w="2664" w:type="dxa"/>
                  <w:vAlign w:val="center"/>
                </w:tcPr>
                <w:p>
                  <w:pPr>
                    <w:pStyle w:val="26"/>
                    <w:spacing w:line="360" w:lineRule="exact"/>
                    <w:ind w:firstLine="210" w:firstLineChars="100"/>
                    <w:jc w:val="left"/>
                    <w:rPr>
                      <w:color w:val="auto"/>
                      <w:szCs w:val="21"/>
                    </w:rPr>
                  </w:pPr>
                  <w:r>
                    <w:rPr>
                      <w:color w:val="auto"/>
                      <w:szCs w:val="21"/>
                    </w:rPr>
                    <w:t>项目区边界200m范围</w:t>
                  </w:r>
                </w:p>
              </w:tc>
              <w:tc>
                <w:tcPr>
                  <w:tcW w:w="1843" w:type="dxa"/>
                  <w:vAlign w:val="center"/>
                </w:tcPr>
                <w:p>
                  <w:pPr>
                    <w:pStyle w:val="26"/>
                    <w:spacing w:line="360" w:lineRule="exact"/>
                    <w:ind w:firstLine="210" w:firstLineChars="100"/>
                    <w:jc w:val="left"/>
                    <w:rPr>
                      <w:color w:val="auto"/>
                      <w:szCs w:val="21"/>
                    </w:rPr>
                  </w:pPr>
                  <w:r>
                    <w:rPr>
                      <w:color w:val="auto"/>
                      <w:szCs w:val="21"/>
                    </w:rPr>
                    <w:t>土地利用、植被、植物、动物。</w:t>
                  </w:r>
                </w:p>
              </w:tc>
              <w:tc>
                <w:tcPr>
                  <w:tcW w:w="3192" w:type="dxa"/>
                  <w:vAlign w:val="center"/>
                </w:tcPr>
                <w:p>
                  <w:pPr>
                    <w:pStyle w:val="26"/>
                    <w:spacing w:line="360" w:lineRule="exact"/>
                    <w:ind w:firstLine="210" w:firstLineChars="100"/>
                    <w:jc w:val="left"/>
                    <w:rPr>
                      <w:color w:val="auto"/>
                      <w:szCs w:val="21"/>
                    </w:rPr>
                  </w:pPr>
                  <w:r>
                    <w:rPr>
                      <w:color w:val="auto"/>
                      <w:szCs w:val="21"/>
                    </w:rPr>
                    <w:t>不得随意破坏、降低当地生态环境质量，使水土流失在可以接受的范围内。</w:t>
                  </w:r>
                </w:p>
              </w:tc>
            </w:tr>
          </w:tbl>
          <w:p>
            <w:pPr>
              <w:pStyle w:val="34"/>
              <w:ind w:firstLine="480"/>
              <w:rPr>
                <w:rFonts w:eastAsiaTheme="minorEastAsia"/>
                <w:szCs w:val="24"/>
              </w:rPr>
            </w:pPr>
            <w:r>
              <w:rPr>
                <w:rFonts w:eastAsiaTheme="minorEastAsia"/>
                <w:szCs w:val="24"/>
              </w:rPr>
              <w:t xml:space="preserve">  </w:t>
            </w:r>
          </w:p>
          <w:p>
            <w:pPr>
              <w:pStyle w:val="34"/>
              <w:ind w:firstLine="480"/>
              <w:rPr>
                <w:rFonts w:eastAsiaTheme="minorEastAsia"/>
                <w:szCs w:val="24"/>
              </w:rPr>
            </w:pPr>
            <w:r>
              <w:rPr>
                <w:rFonts w:eastAsiaTheme="minorEastAsia"/>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污染物排放控制标准</w:t>
            </w:r>
          </w:p>
        </w:tc>
        <w:tc>
          <w:tcPr>
            <w:tcW w:w="8831" w:type="dxa"/>
            <w:vAlign w:val="center"/>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3.4 污染物排放控制标准</w:t>
            </w:r>
          </w:p>
          <w:p>
            <w:pPr>
              <w:pStyle w:val="34"/>
              <w:ind w:firstLine="482"/>
              <w:rPr>
                <w:rFonts w:eastAsiaTheme="minorEastAsia"/>
                <w:b/>
                <w:szCs w:val="24"/>
              </w:rPr>
            </w:pPr>
            <w:r>
              <w:rPr>
                <w:rFonts w:eastAsiaTheme="minorEastAsia"/>
                <w:b/>
                <w:szCs w:val="24"/>
              </w:rPr>
              <w:t>3.3.1 废气排放标准</w:t>
            </w:r>
          </w:p>
          <w:p>
            <w:pPr>
              <w:pStyle w:val="34"/>
              <w:ind w:firstLine="361" w:firstLineChars="150"/>
              <w:rPr>
                <w:rFonts w:eastAsiaTheme="minorEastAsia"/>
                <w:b/>
              </w:rPr>
            </w:pPr>
            <w:r>
              <w:rPr>
                <w:rFonts w:eastAsiaTheme="minorEastAsia"/>
                <w:b/>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施工期扬尘执行《大气污染物综合排放标准》（GB16297-1996）中表2无组织排放监控浓度限值，周界外浓度最高点≤1.0mg/m³。</w:t>
            </w:r>
          </w:p>
          <w:p>
            <w:pPr>
              <w:pStyle w:val="34"/>
              <w:ind w:firstLine="361" w:firstLineChars="150"/>
              <w:rPr>
                <w:rFonts w:eastAsiaTheme="minorEastAsia"/>
                <w:b/>
              </w:rPr>
            </w:pPr>
            <w:r>
              <w:rPr>
                <w:rFonts w:eastAsiaTheme="minorEastAsia"/>
                <w:b/>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该项目产生的废气主要为火化废气、遗物焚烧废气以及厨房油烟。执行标准如下。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①火化废气、遗物焚烧废气执行标准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该项目为殡仪馆建设项目，项目火化废气、遗物焚烧废气执行《火葬场大气污染物排放标准》（GB13801-2015）标准，其中火化废气执行该标准中的表2标准限值，遗物焚烧废气执行该标准中的表3 标准限值，标准值如下表所示。</w:t>
            </w:r>
          </w:p>
          <w:p>
            <w:pPr>
              <w:pStyle w:val="36"/>
              <w:rPr>
                <w:szCs w:val="21"/>
              </w:rPr>
            </w:pPr>
            <w:r>
              <w:rPr>
                <w:szCs w:val="21"/>
              </w:rPr>
              <w:t>表3.4.1-1  火化、遗物焚烧大气污染物排放限值 mg/m³（二噁英、烟气黑度除外）</w:t>
            </w:r>
          </w:p>
          <w:tbl>
            <w:tblPr>
              <w:tblStyle w:val="16"/>
              <w:tblW w:w="860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88"/>
              <w:gridCol w:w="3435"/>
              <w:gridCol w:w="1709"/>
              <w:gridCol w:w="14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tcBorders>
                    <w:left w:val="single" w:color="auto" w:sz="4" w:space="0"/>
                  </w:tcBorders>
                  <w:vAlign w:val="center"/>
                </w:tcPr>
                <w:p>
                  <w:pPr>
                    <w:pStyle w:val="26"/>
                    <w:spacing w:line="360" w:lineRule="exact"/>
                    <w:rPr>
                      <w:color w:val="auto"/>
                      <w:szCs w:val="21"/>
                    </w:rPr>
                  </w:pPr>
                  <w:r>
                    <w:rPr>
                      <w:color w:val="auto"/>
                      <w:szCs w:val="21"/>
                    </w:rPr>
                    <w:t>序号</w:t>
                  </w:r>
                </w:p>
              </w:tc>
              <w:tc>
                <w:tcPr>
                  <w:tcW w:w="1288" w:type="dxa"/>
                  <w:tcBorders>
                    <w:left w:val="single" w:color="auto" w:sz="4" w:space="0"/>
                  </w:tcBorders>
                  <w:vAlign w:val="center"/>
                </w:tcPr>
                <w:p>
                  <w:pPr>
                    <w:pStyle w:val="26"/>
                    <w:spacing w:line="360" w:lineRule="exact"/>
                    <w:rPr>
                      <w:color w:val="auto"/>
                      <w:szCs w:val="21"/>
                    </w:rPr>
                  </w:pPr>
                  <w:r>
                    <w:rPr>
                      <w:color w:val="auto"/>
                      <w:szCs w:val="21"/>
                    </w:rPr>
                    <w:t>废气类型</w:t>
                  </w:r>
                </w:p>
              </w:tc>
              <w:tc>
                <w:tcPr>
                  <w:tcW w:w="3435" w:type="dxa"/>
                  <w:vAlign w:val="center"/>
                </w:tcPr>
                <w:p>
                  <w:pPr>
                    <w:pStyle w:val="26"/>
                    <w:spacing w:line="360" w:lineRule="exact"/>
                    <w:rPr>
                      <w:color w:val="auto"/>
                      <w:szCs w:val="21"/>
                    </w:rPr>
                  </w:pPr>
                  <w:r>
                    <w:rPr>
                      <w:color w:val="auto"/>
                      <w:szCs w:val="21"/>
                    </w:rPr>
                    <w:t>控制项目</w:t>
                  </w:r>
                </w:p>
              </w:tc>
              <w:tc>
                <w:tcPr>
                  <w:tcW w:w="1709" w:type="dxa"/>
                  <w:vAlign w:val="center"/>
                </w:tcPr>
                <w:p>
                  <w:pPr>
                    <w:pStyle w:val="26"/>
                    <w:spacing w:line="360" w:lineRule="exact"/>
                    <w:rPr>
                      <w:color w:val="auto"/>
                      <w:szCs w:val="21"/>
                    </w:rPr>
                  </w:pPr>
                  <w:r>
                    <w:rPr>
                      <w:color w:val="auto"/>
                      <w:szCs w:val="21"/>
                    </w:rPr>
                    <w:t>排放限值（mg/m³）</w:t>
                  </w:r>
                </w:p>
              </w:tc>
              <w:tc>
                <w:tcPr>
                  <w:tcW w:w="1491" w:type="dxa"/>
                  <w:tcBorders>
                    <w:right w:val="single" w:color="auto" w:sz="4" w:space="0"/>
                  </w:tcBorders>
                  <w:vAlign w:val="center"/>
                </w:tcPr>
                <w:p>
                  <w:pPr>
                    <w:pStyle w:val="26"/>
                    <w:spacing w:line="360" w:lineRule="exact"/>
                    <w:rPr>
                      <w:color w:val="auto"/>
                      <w:szCs w:val="21"/>
                    </w:rPr>
                  </w:pPr>
                  <w:r>
                    <w:rPr>
                      <w:color w:val="auto"/>
                      <w:szCs w:val="21"/>
                    </w:rPr>
                    <w:t>污染物排放监控位置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restart"/>
                  <w:tcBorders>
                    <w:left w:val="single" w:color="auto" w:sz="4" w:space="0"/>
                  </w:tcBorders>
                  <w:vAlign w:val="center"/>
                </w:tcPr>
                <w:p>
                  <w:pPr>
                    <w:pStyle w:val="26"/>
                    <w:spacing w:line="360" w:lineRule="exact"/>
                    <w:rPr>
                      <w:color w:val="auto"/>
                      <w:szCs w:val="21"/>
                    </w:rPr>
                  </w:pPr>
                  <w:r>
                    <w:rPr>
                      <w:color w:val="auto"/>
                      <w:szCs w:val="21"/>
                    </w:rPr>
                    <w:t>1</w:t>
                  </w:r>
                </w:p>
              </w:tc>
              <w:tc>
                <w:tcPr>
                  <w:tcW w:w="1288" w:type="dxa"/>
                  <w:vMerge w:val="restart"/>
                  <w:tcBorders>
                    <w:left w:val="single" w:color="auto" w:sz="4" w:space="0"/>
                  </w:tcBorders>
                  <w:vAlign w:val="center"/>
                </w:tcPr>
                <w:p>
                  <w:pPr>
                    <w:pStyle w:val="26"/>
                    <w:spacing w:line="360" w:lineRule="exact"/>
                    <w:rPr>
                      <w:color w:val="auto"/>
                      <w:szCs w:val="21"/>
                    </w:rPr>
                  </w:pPr>
                  <w:r>
                    <w:rPr>
                      <w:color w:val="auto"/>
                      <w:szCs w:val="21"/>
                    </w:rPr>
                    <w:t>火化废气标准限值</w:t>
                  </w:r>
                </w:p>
              </w:tc>
              <w:tc>
                <w:tcPr>
                  <w:tcW w:w="3435" w:type="dxa"/>
                  <w:vAlign w:val="center"/>
                </w:tcPr>
                <w:p>
                  <w:pPr>
                    <w:pStyle w:val="26"/>
                    <w:spacing w:line="360" w:lineRule="exact"/>
                    <w:rPr>
                      <w:color w:val="auto"/>
                      <w:szCs w:val="21"/>
                    </w:rPr>
                  </w:pPr>
                  <w:r>
                    <w:rPr>
                      <w:color w:val="auto"/>
                      <w:szCs w:val="21"/>
                    </w:rPr>
                    <w:t>烟尘</w:t>
                  </w:r>
                </w:p>
              </w:tc>
              <w:tc>
                <w:tcPr>
                  <w:tcW w:w="1709" w:type="dxa"/>
                  <w:vAlign w:val="center"/>
                </w:tcPr>
                <w:p>
                  <w:pPr>
                    <w:pStyle w:val="26"/>
                    <w:spacing w:line="360" w:lineRule="exact"/>
                    <w:rPr>
                      <w:color w:val="auto"/>
                      <w:szCs w:val="21"/>
                    </w:rPr>
                  </w:pPr>
                  <w:r>
                    <w:rPr>
                      <w:color w:val="auto"/>
                      <w:szCs w:val="21"/>
                    </w:rPr>
                    <w:t>30</w:t>
                  </w:r>
                </w:p>
              </w:tc>
              <w:tc>
                <w:tcPr>
                  <w:tcW w:w="1491" w:type="dxa"/>
                  <w:vMerge w:val="restart"/>
                  <w:tcBorders>
                    <w:right w:val="single" w:color="auto" w:sz="4" w:space="0"/>
                  </w:tcBorders>
                  <w:vAlign w:val="center"/>
                </w:tcPr>
                <w:p>
                  <w:pPr>
                    <w:pStyle w:val="26"/>
                    <w:spacing w:line="360" w:lineRule="exact"/>
                    <w:rPr>
                      <w:color w:val="auto"/>
                      <w:szCs w:val="21"/>
                    </w:rPr>
                  </w:pPr>
                  <w:r>
                    <w:rPr>
                      <w:color w:val="auto"/>
                      <w:szCs w:val="21"/>
                    </w:rPr>
                    <w:t>烟囱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二氧化硫</w:t>
                  </w:r>
                </w:p>
              </w:tc>
              <w:tc>
                <w:tcPr>
                  <w:tcW w:w="1709" w:type="dxa"/>
                  <w:vAlign w:val="center"/>
                </w:tcPr>
                <w:p>
                  <w:pPr>
                    <w:pStyle w:val="26"/>
                    <w:spacing w:line="360" w:lineRule="exact"/>
                    <w:rPr>
                      <w:color w:val="auto"/>
                      <w:szCs w:val="21"/>
                    </w:rPr>
                  </w:pPr>
                  <w:r>
                    <w:rPr>
                      <w:color w:val="auto"/>
                      <w:szCs w:val="21"/>
                    </w:rPr>
                    <w:t>30</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氮氧化物（以NO</w:t>
                  </w:r>
                  <w:r>
                    <w:rPr>
                      <w:color w:val="auto"/>
                      <w:szCs w:val="21"/>
                      <w:vertAlign w:val="subscript"/>
                    </w:rPr>
                    <w:t>2</w:t>
                  </w:r>
                  <w:r>
                    <w:rPr>
                      <w:color w:val="auto"/>
                      <w:szCs w:val="21"/>
                    </w:rPr>
                    <w:t>计）</w:t>
                  </w:r>
                </w:p>
              </w:tc>
              <w:tc>
                <w:tcPr>
                  <w:tcW w:w="1709" w:type="dxa"/>
                  <w:vAlign w:val="center"/>
                </w:tcPr>
                <w:p>
                  <w:pPr>
                    <w:pStyle w:val="26"/>
                    <w:spacing w:line="360" w:lineRule="exact"/>
                    <w:rPr>
                      <w:color w:val="auto"/>
                      <w:szCs w:val="21"/>
                    </w:rPr>
                  </w:pPr>
                  <w:r>
                    <w:rPr>
                      <w:color w:val="auto"/>
                      <w:szCs w:val="21"/>
                    </w:rPr>
                    <w:t>200</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一氧化碳</w:t>
                  </w:r>
                </w:p>
              </w:tc>
              <w:tc>
                <w:tcPr>
                  <w:tcW w:w="1709" w:type="dxa"/>
                  <w:vAlign w:val="center"/>
                </w:tcPr>
                <w:p>
                  <w:pPr>
                    <w:pStyle w:val="26"/>
                    <w:spacing w:line="360" w:lineRule="exact"/>
                    <w:rPr>
                      <w:color w:val="auto"/>
                      <w:szCs w:val="21"/>
                    </w:rPr>
                  </w:pPr>
                  <w:r>
                    <w:rPr>
                      <w:color w:val="auto"/>
                      <w:szCs w:val="21"/>
                    </w:rPr>
                    <w:t>150</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氯化氢</w:t>
                  </w:r>
                </w:p>
              </w:tc>
              <w:tc>
                <w:tcPr>
                  <w:tcW w:w="1709" w:type="dxa"/>
                  <w:vAlign w:val="center"/>
                </w:tcPr>
                <w:p>
                  <w:pPr>
                    <w:pStyle w:val="26"/>
                    <w:spacing w:line="360" w:lineRule="exact"/>
                    <w:rPr>
                      <w:color w:val="auto"/>
                      <w:szCs w:val="21"/>
                    </w:rPr>
                  </w:pPr>
                  <w:r>
                    <w:rPr>
                      <w:color w:val="auto"/>
                      <w:szCs w:val="21"/>
                    </w:rPr>
                    <w:t>30</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汞</w:t>
                  </w:r>
                </w:p>
              </w:tc>
              <w:tc>
                <w:tcPr>
                  <w:tcW w:w="1709" w:type="dxa"/>
                  <w:vAlign w:val="center"/>
                </w:tcPr>
                <w:p>
                  <w:pPr>
                    <w:pStyle w:val="26"/>
                    <w:spacing w:line="360" w:lineRule="exact"/>
                    <w:rPr>
                      <w:color w:val="auto"/>
                      <w:szCs w:val="21"/>
                    </w:rPr>
                  </w:pPr>
                  <w:r>
                    <w:rPr>
                      <w:color w:val="auto"/>
                      <w:szCs w:val="21"/>
                    </w:rPr>
                    <w:t>0.1</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lang w:val="en-US"/>
                    </w:rPr>
                  </w:pPr>
                  <w:r>
                    <w:rPr>
                      <w:color w:val="auto"/>
                      <w:szCs w:val="21"/>
                    </w:rPr>
                    <w:t>二噁英</w:t>
                  </w:r>
                  <w:r>
                    <w:rPr>
                      <w:color w:val="auto"/>
                      <w:szCs w:val="21"/>
                      <w:lang w:val="en-US"/>
                    </w:rPr>
                    <w:t>（ng-TEQ/m³）</w:t>
                  </w:r>
                </w:p>
              </w:tc>
              <w:tc>
                <w:tcPr>
                  <w:tcW w:w="1709" w:type="dxa"/>
                  <w:vAlign w:val="center"/>
                </w:tcPr>
                <w:p>
                  <w:pPr>
                    <w:pStyle w:val="26"/>
                    <w:spacing w:line="360" w:lineRule="exact"/>
                    <w:rPr>
                      <w:color w:val="auto"/>
                      <w:szCs w:val="21"/>
                    </w:rPr>
                  </w:pPr>
                  <w:r>
                    <w:rPr>
                      <w:color w:val="auto"/>
                      <w:szCs w:val="21"/>
                    </w:rPr>
                    <w:t>0.5</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烟气黑度（林格曼黑度，级）</w:t>
                  </w:r>
                </w:p>
              </w:tc>
              <w:tc>
                <w:tcPr>
                  <w:tcW w:w="1709" w:type="dxa"/>
                  <w:vAlign w:val="center"/>
                </w:tcPr>
                <w:p>
                  <w:pPr>
                    <w:pStyle w:val="26"/>
                    <w:spacing w:line="360" w:lineRule="exact"/>
                    <w:rPr>
                      <w:color w:val="auto"/>
                      <w:szCs w:val="21"/>
                    </w:rPr>
                  </w:pPr>
                  <w:r>
                    <w:rPr>
                      <w:color w:val="auto"/>
                      <w:szCs w:val="21"/>
                    </w:rPr>
                    <w:t>1</w:t>
                  </w:r>
                </w:p>
              </w:tc>
              <w:tc>
                <w:tcPr>
                  <w:tcW w:w="1491" w:type="dxa"/>
                  <w:tcBorders>
                    <w:right w:val="single" w:color="auto" w:sz="4" w:space="0"/>
                  </w:tcBorders>
                  <w:vAlign w:val="center"/>
                </w:tcPr>
                <w:p>
                  <w:pPr>
                    <w:pStyle w:val="26"/>
                    <w:spacing w:line="360" w:lineRule="exact"/>
                    <w:rPr>
                      <w:color w:val="auto"/>
                      <w:szCs w:val="21"/>
                    </w:rPr>
                  </w:pPr>
                  <w:r>
                    <w:rPr>
                      <w:color w:val="auto"/>
                      <w:szCs w:val="21"/>
                    </w:rPr>
                    <w:t>烟囱排放口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restart"/>
                  <w:tcBorders>
                    <w:left w:val="single" w:color="auto" w:sz="4" w:space="0"/>
                  </w:tcBorders>
                  <w:vAlign w:val="center"/>
                </w:tcPr>
                <w:p>
                  <w:pPr>
                    <w:pStyle w:val="26"/>
                    <w:spacing w:line="360" w:lineRule="exact"/>
                    <w:rPr>
                      <w:color w:val="auto"/>
                      <w:szCs w:val="21"/>
                    </w:rPr>
                  </w:pPr>
                  <w:r>
                    <w:rPr>
                      <w:color w:val="auto"/>
                      <w:szCs w:val="21"/>
                    </w:rPr>
                    <w:t>2</w:t>
                  </w:r>
                </w:p>
              </w:tc>
              <w:tc>
                <w:tcPr>
                  <w:tcW w:w="1288" w:type="dxa"/>
                  <w:vMerge w:val="restart"/>
                  <w:tcBorders>
                    <w:left w:val="single" w:color="auto" w:sz="4" w:space="0"/>
                  </w:tcBorders>
                  <w:vAlign w:val="center"/>
                </w:tcPr>
                <w:p>
                  <w:pPr>
                    <w:pStyle w:val="26"/>
                    <w:spacing w:line="360" w:lineRule="exact"/>
                    <w:rPr>
                      <w:color w:val="auto"/>
                      <w:szCs w:val="21"/>
                    </w:rPr>
                  </w:pPr>
                  <w:r>
                    <w:rPr>
                      <w:color w:val="auto"/>
                      <w:szCs w:val="21"/>
                    </w:rPr>
                    <w:t>遗物焚烧废气标准限值</w:t>
                  </w:r>
                </w:p>
              </w:tc>
              <w:tc>
                <w:tcPr>
                  <w:tcW w:w="3435" w:type="dxa"/>
                  <w:vAlign w:val="center"/>
                </w:tcPr>
                <w:p>
                  <w:pPr>
                    <w:pStyle w:val="26"/>
                    <w:spacing w:line="360" w:lineRule="exact"/>
                    <w:rPr>
                      <w:color w:val="auto"/>
                      <w:szCs w:val="21"/>
                    </w:rPr>
                  </w:pPr>
                  <w:r>
                    <w:rPr>
                      <w:color w:val="auto"/>
                      <w:szCs w:val="21"/>
                    </w:rPr>
                    <w:t>烟尘</w:t>
                  </w:r>
                </w:p>
              </w:tc>
              <w:tc>
                <w:tcPr>
                  <w:tcW w:w="1709" w:type="dxa"/>
                  <w:vAlign w:val="center"/>
                </w:tcPr>
                <w:p>
                  <w:pPr>
                    <w:pStyle w:val="26"/>
                    <w:spacing w:line="360" w:lineRule="exact"/>
                    <w:rPr>
                      <w:color w:val="auto"/>
                      <w:szCs w:val="21"/>
                    </w:rPr>
                  </w:pPr>
                  <w:r>
                    <w:rPr>
                      <w:color w:val="auto"/>
                      <w:szCs w:val="21"/>
                    </w:rPr>
                    <w:t>80</w:t>
                  </w:r>
                </w:p>
              </w:tc>
              <w:tc>
                <w:tcPr>
                  <w:tcW w:w="1491" w:type="dxa"/>
                  <w:vMerge w:val="restart"/>
                  <w:tcBorders>
                    <w:right w:val="single" w:color="auto" w:sz="4" w:space="0"/>
                  </w:tcBorders>
                  <w:vAlign w:val="center"/>
                </w:tcPr>
                <w:p>
                  <w:pPr>
                    <w:pStyle w:val="26"/>
                    <w:spacing w:line="360" w:lineRule="exact"/>
                    <w:rPr>
                      <w:color w:val="auto"/>
                      <w:szCs w:val="21"/>
                    </w:rPr>
                  </w:pPr>
                  <w:r>
                    <w:rPr>
                      <w:color w:val="auto"/>
                      <w:szCs w:val="21"/>
                    </w:rPr>
                    <w:t>烟囱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二氧化硫</w:t>
                  </w:r>
                </w:p>
              </w:tc>
              <w:tc>
                <w:tcPr>
                  <w:tcW w:w="1709" w:type="dxa"/>
                  <w:vAlign w:val="center"/>
                </w:tcPr>
                <w:p>
                  <w:pPr>
                    <w:pStyle w:val="26"/>
                    <w:spacing w:line="360" w:lineRule="exact"/>
                    <w:rPr>
                      <w:color w:val="auto"/>
                      <w:szCs w:val="21"/>
                    </w:rPr>
                  </w:pPr>
                  <w:r>
                    <w:rPr>
                      <w:color w:val="auto"/>
                      <w:szCs w:val="21"/>
                    </w:rPr>
                    <w:t>100</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氮氧化物（以NO</w:t>
                  </w:r>
                  <w:r>
                    <w:rPr>
                      <w:color w:val="auto"/>
                      <w:szCs w:val="21"/>
                      <w:vertAlign w:val="subscript"/>
                    </w:rPr>
                    <w:t>2</w:t>
                  </w:r>
                  <w:r>
                    <w:rPr>
                      <w:color w:val="auto"/>
                      <w:szCs w:val="21"/>
                    </w:rPr>
                    <w:t>计）</w:t>
                  </w:r>
                </w:p>
              </w:tc>
              <w:tc>
                <w:tcPr>
                  <w:tcW w:w="1709" w:type="dxa"/>
                  <w:vAlign w:val="center"/>
                </w:tcPr>
                <w:p>
                  <w:pPr>
                    <w:pStyle w:val="26"/>
                    <w:spacing w:line="360" w:lineRule="exact"/>
                    <w:rPr>
                      <w:color w:val="auto"/>
                      <w:szCs w:val="21"/>
                    </w:rPr>
                  </w:pPr>
                  <w:r>
                    <w:rPr>
                      <w:color w:val="auto"/>
                      <w:szCs w:val="21"/>
                    </w:rPr>
                    <w:t>300</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一氧化碳</w:t>
                  </w:r>
                </w:p>
              </w:tc>
              <w:tc>
                <w:tcPr>
                  <w:tcW w:w="1709" w:type="dxa"/>
                  <w:vAlign w:val="center"/>
                </w:tcPr>
                <w:p>
                  <w:pPr>
                    <w:pStyle w:val="26"/>
                    <w:spacing w:line="360" w:lineRule="exact"/>
                    <w:rPr>
                      <w:color w:val="auto"/>
                      <w:szCs w:val="21"/>
                    </w:rPr>
                  </w:pPr>
                  <w:r>
                    <w:rPr>
                      <w:color w:val="auto"/>
                      <w:szCs w:val="21"/>
                    </w:rPr>
                    <w:t>200</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氯化氢</w:t>
                  </w:r>
                </w:p>
              </w:tc>
              <w:tc>
                <w:tcPr>
                  <w:tcW w:w="1709" w:type="dxa"/>
                  <w:vAlign w:val="center"/>
                </w:tcPr>
                <w:p>
                  <w:pPr>
                    <w:pStyle w:val="26"/>
                    <w:spacing w:line="360" w:lineRule="exact"/>
                    <w:rPr>
                      <w:color w:val="auto"/>
                      <w:szCs w:val="21"/>
                    </w:rPr>
                  </w:pPr>
                  <w:r>
                    <w:rPr>
                      <w:color w:val="auto"/>
                      <w:szCs w:val="21"/>
                    </w:rPr>
                    <w:t>50</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lang w:val="en-US"/>
                    </w:rPr>
                  </w:pPr>
                  <w:r>
                    <w:rPr>
                      <w:color w:val="auto"/>
                      <w:szCs w:val="21"/>
                    </w:rPr>
                    <w:t>二噁英</w:t>
                  </w:r>
                  <w:r>
                    <w:rPr>
                      <w:color w:val="auto"/>
                      <w:szCs w:val="21"/>
                      <w:lang w:val="en-US"/>
                    </w:rPr>
                    <w:t>（ng-TEQ/m³）</w:t>
                  </w:r>
                </w:p>
              </w:tc>
              <w:tc>
                <w:tcPr>
                  <w:tcW w:w="1709" w:type="dxa"/>
                  <w:vAlign w:val="center"/>
                </w:tcPr>
                <w:p>
                  <w:pPr>
                    <w:pStyle w:val="26"/>
                    <w:spacing w:line="360" w:lineRule="exact"/>
                    <w:rPr>
                      <w:color w:val="auto"/>
                      <w:szCs w:val="21"/>
                    </w:rPr>
                  </w:pPr>
                  <w:r>
                    <w:rPr>
                      <w:color w:val="auto"/>
                      <w:szCs w:val="21"/>
                    </w:rPr>
                    <w:t>1.0</w:t>
                  </w:r>
                </w:p>
              </w:tc>
              <w:tc>
                <w:tcPr>
                  <w:tcW w:w="1491" w:type="dxa"/>
                  <w:vMerge w:val="continue"/>
                  <w:tcBorders>
                    <w:right w:val="single" w:color="auto" w:sz="4" w:space="0"/>
                  </w:tcBorders>
                  <w:vAlign w:val="center"/>
                </w:tcPr>
                <w:p>
                  <w:pPr>
                    <w:pStyle w:val="26"/>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2" w:type="dxa"/>
                  <w:vMerge w:val="continue"/>
                  <w:tcBorders>
                    <w:left w:val="single" w:color="auto" w:sz="4" w:space="0"/>
                  </w:tcBorders>
                  <w:vAlign w:val="center"/>
                </w:tcPr>
                <w:p>
                  <w:pPr>
                    <w:pStyle w:val="26"/>
                    <w:spacing w:line="360" w:lineRule="exact"/>
                    <w:rPr>
                      <w:color w:val="auto"/>
                      <w:szCs w:val="21"/>
                    </w:rPr>
                  </w:pPr>
                </w:p>
              </w:tc>
              <w:tc>
                <w:tcPr>
                  <w:tcW w:w="1288" w:type="dxa"/>
                  <w:vMerge w:val="continue"/>
                  <w:tcBorders>
                    <w:left w:val="single" w:color="auto" w:sz="4" w:space="0"/>
                  </w:tcBorders>
                  <w:vAlign w:val="center"/>
                </w:tcPr>
                <w:p>
                  <w:pPr>
                    <w:pStyle w:val="26"/>
                    <w:spacing w:line="360" w:lineRule="exact"/>
                    <w:rPr>
                      <w:color w:val="auto"/>
                      <w:szCs w:val="21"/>
                    </w:rPr>
                  </w:pPr>
                </w:p>
              </w:tc>
              <w:tc>
                <w:tcPr>
                  <w:tcW w:w="3435" w:type="dxa"/>
                  <w:vAlign w:val="center"/>
                </w:tcPr>
                <w:p>
                  <w:pPr>
                    <w:pStyle w:val="26"/>
                    <w:spacing w:line="360" w:lineRule="exact"/>
                    <w:rPr>
                      <w:color w:val="auto"/>
                      <w:szCs w:val="21"/>
                    </w:rPr>
                  </w:pPr>
                  <w:r>
                    <w:rPr>
                      <w:color w:val="auto"/>
                      <w:szCs w:val="21"/>
                    </w:rPr>
                    <w:t>烟气黑度（林格曼黑度，级）</w:t>
                  </w:r>
                </w:p>
              </w:tc>
              <w:tc>
                <w:tcPr>
                  <w:tcW w:w="1709" w:type="dxa"/>
                  <w:vAlign w:val="center"/>
                </w:tcPr>
                <w:p>
                  <w:pPr>
                    <w:pStyle w:val="26"/>
                    <w:spacing w:line="360" w:lineRule="exact"/>
                    <w:rPr>
                      <w:color w:val="auto"/>
                      <w:szCs w:val="21"/>
                    </w:rPr>
                  </w:pPr>
                  <w:r>
                    <w:rPr>
                      <w:color w:val="auto"/>
                      <w:szCs w:val="21"/>
                    </w:rPr>
                    <w:t>1</w:t>
                  </w:r>
                </w:p>
              </w:tc>
              <w:tc>
                <w:tcPr>
                  <w:tcW w:w="1491" w:type="dxa"/>
                  <w:tcBorders>
                    <w:right w:val="single" w:color="auto" w:sz="4" w:space="0"/>
                  </w:tcBorders>
                  <w:vAlign w:val="center"/>
                </w:tcPr>
                <w:p>
                  <w:pPr>
                    <w:pStyle w:val="26"/>
                    <w:spacing w:line="360" w:lineRule="exact"/>
                    <w:rPr>
                      <w:color w:val="auto"/>
                      <w:szCs w:val="21"/>
                    </w:rPr>
                  </w:pPr>
                  <w:r>
                    <w:rPr>
                      <w:color w:val="auto"/>
                      <w:szCs w:val="21"/>
                    </w:rPr>
                    <w:t>烟囱排放口</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排放高度要求：排气筒高度不低于12m，排气筒周围半径200m 距离内有建筑物时，排气筒还应高出最高建筑物3m 以上。</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②厨房油烟执行标准</w:t>
            </w:r>
          </w:p>
          <w:p>
            <w:pPr>
              <w:pStyle w:val="34"/>
              <w:ind w:firstLine="480"/>
            </w:pPr>
            <w:r>
              <w:t>项目设置一间厨房（含一个灶头），厨房油烟参照执行《饮食业油烟排放标准》（GB18483-2001）（试行）小型标准，即，灶头数＜3。标准值如下表所示。</w:t>
            </w:r>
          </w:p>
          <w:p>
            <w:pPr>
              <w:jc w:val="center"/>
              <w:rPr>
                <w:rFonts w:ascii="Times New Roman" w:hAnsi="Times New Roman" w:cs="Times New Roman"/>
                <w:b/>
                <w:szCs w:val="24"/>
              </w:rPr>
            </w:pPr>
            <w:r>
              <w:rPr>
                <w:rFonts w:ascii="Times New Roman" w:hAnsi="Times New Roman" w:cs="Times New Roman"/>
                <w:b/>
                <w:szCs w:val="24"/>
              </w:rPr>
              <w:t>表3.3.1-2 饮食业单位的油烟最高允许排放浓度和油烟净化设施最低去除效率</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54"/>
              <w:gridCol w:w="3062"/>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3" w:type="dxa"/>
                  <w:vAlign w:val="center"/>
                </w:tcPr>
                <w:p>
                  <w:pPr>
                    <w:pStyle w:val="26"/>
                    <w:spacing w:line="360" w:lineRule="exact"/>
                    <w:rPr>
                      <w:color w:val="auto"/>
                      <w:szCs w:val="21"/>
                    </w:rPr>
                  </w:pPr>
                  <w:r>
                    <w:rPr>
                      <w:color w:val="auto"/>
                      <w:szCs w:val="21"/>
                    </w:rPr>
                    <w:t>规模</w:t>
                  </w:r>
                </w:p>
              </w:tc>
              <w:tc>
                <w:tcPr>
                  <w:tcW w:w="1454" w:type="dxa"/>
                  <w:vAlign w:val="center"/>
                </w:tcPr>
                <w:p>
                  <w:pPr>
                    <w:pStyle w:val="26"/>
                    <w:spacing w:line="360" w:lineRule="exact"/>
                    <w:rPr>
                      <w:color w:val="auto"/>
                      <w:szCs w:val="21"/>
                    </w:rPr>
                  </w:pPr>
                  <w:r>
                    <w:rPr>
                      <w:color w:val="auto"/>
                      <w:szCs w:val="21"/>
                    </w:rPr>
                    <w:t>基准灶头数</w:t>
                  </w:r>
                </w:p>
              </w:tc>
              <w:tc>
                <w:tcPr>
                  <w:tcW w:w="3062" w:type="dxa"/>
                  <w:vAlign w:val="center"/>
                </w:tcPr>
                <w:p>
                  <w:pPr>
                    <w:pStyle w:val="26"/>
                    <w:spacing w:line="360" w:lineRule="exact"/>
                    <w:rPr>
                      <w:color w:val="auto"/>
                      <w:szCs w:val="21"/>
                    </w:rPr>
                  </w:pPr>
                  <w:r>
                    <w:rPr>
                      <w:color w:val="auto"/>
                      <w:szCs w:val="21"/>
                    </w:rPr>
                    <w:t>最高允许排放浓度（mg/m³）</w:t>
                  </w:r>
                </w:p>
              </w:tc>
              <w:tc>
                <w:tcPr>
                  <w:tcW w:w="3206" w:type="dxa"/>
                  <w:vAlign w:val="center"/>
                </w:tcPr>
                <w:p>
                  <w:pPr>
                    <w:pStyle w:val="26"/>
                    <w:spacing w:line="360" w:lineRule="exact"/>
                    <w:rPr>
                      <w:color w:val="auto"/>
                      <w:szCs w:val="21"/>
                    </w:rPr>
                  </w:pPr>
                  <w:r>
                    <w:rPr>
                      <w:color w:val="auto"/>
                      <w:szCs w:val="21"/>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3" w:type="dxa"/>
                  <w:vAlign w:val="center"/>
                </w:tcPr>
                <w:p>
                  <w:pPr>
                    <w:pStyle w:val="26"/>
                    <w:spacing w:line="360" w:lineRule="exact"/>
                    <w:rPr>
                      <w:color w:val="auto"/>
                      <w:szCs w:val="21"/>
                    </w:rPr>
                  </w:pPr>
                  <w:r>
                    <w:rPr>
                      <w:color w:val="auto"/>
                      <w:szCs w:val="21"/>
                    </w:rPr>
                    <w:t>小型</w:t>
                  </w:r>
                </w:p>
              </w:tc>
              <w:tc>
                <w:tcPr>
                  <w:tcW w:w="1454" w:type="dxa"/>
                  <w:vAlign w:val="center"/>
                </w:tcPr>
                <w:p>
                  <w:pPr>
                    <w:pStyle w:val="26"/>
                    <w:spacing w:line="360" w:lineRule="exact"/>
                    <w:rPr>
                      <w:color w:val="auto"/>
                      <w:szCs w:val="21"/>
                    </w:rPr>
                  </w:pPr>
                  <w:r>
                    <w:rPr>
                      <w:color w:val="auto"/>
                      <w:szCs w:val="21"/>
                    </w:rPr>
                    <w:t>≥1，＜3</w:t>
                  </w:r>
                </w:p>
              </w:tc>
              <w:tc>
                <w:tcPr>
                  <w:tcW w:w="3062" w:type="dxa"/>
                  <w:vAlign w:val="center"/>
                </w:tcPr>
                <w:p>
                  <w:pPr>
                    <w:pStyle w:val="26"/>
                    <w:spacing w:line="360" w:lineRule="exact"/>
                    <w:rPr>
                      <w:color w:val="auto"/>
                      <w:szCs w:val="21"/>
                    </w:rPr>
                  </w:pPr>
                  <w:r>
                    <w:rPr>
                      <w:color w:val="auto"/>
                      <w:szCs w:val="21"/>
                    </w:rPr>
                    <w:t>2.0</w:t>
                  </w:r>
                </w:p>
              </w:tc>
              <w:tc>
                <w:tcPr>
                  <w:tcW w:w="3206" w:type="dxa"/>
                  <w:vAlign w:val="center"/>
                </w:tcPr>
                <w:p>
                  <w:pPr>
                    <w:pStyle w:val="26"/>
                    <w:spacing w:line="360" w:lineRule="exact"/>
                    <w:rPr>
                      <w:color w:val="auto"/>
                      <w:szCs w:val="21"/>
                    </w:rPr>
                  </w:pPr>
                  <w:r>
                    <w:rPr>
                      <w:color w:val="auto"/>
                      <w:szCs w:val="21"/>
                    </w:rPr>
                    <w:t>60</w:t>
                  </w:r>
                </w:p>
              </w:tc>
            </w:tr>
          </w:tbl>
          <w:p>
            <w:pPr>
              <w:pStyle w:val="34"/>
              <w:spacing w:beforeLines="50"/>
              <w:ind w:firstLine="482"/>
              <w:rPr>
                <w:rFonts w:eastAsiaTheme="minorEastAsia"/>
                <w:b/>
                <w:szCs w:val="24"/>
              </w:rPr>
            </w:pPr>
            <w:r>
              <w:rPr>
                <w:rFonts w:eastAsiaTheme="minorEastAsia"/>
                <w:b/>
                <w:szCs w:val="24"/>
              </w:rPr>
              <w:t>3.3.2 废水排放标准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施工废水和施工生活污水通过施工场地的临时沉淀池沉淀处理后，回用于施工场地洒水降尘，不外排；因此不设排放标准。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eastAsia="宋体" w:cs="Times New Roman"/>
                <w:bCs/>
                <w:snapToGrid w:val="0"/>
                <w:kern w:val="32"/>
                <w:sz w:val="24"/>
                <w:szCs w:val="24"/>
              </w:rPr>
            </w:pPr>
            <w:r>
              <w:rPr>
                <w:rFonts w:ascii="Times New Roman" w:hAnsi="Times New Roman" w:eastAsia="宋体" w:cs="Times New Roman"/>
                <w:bCs/>
                <w:snapToGrid w:val="0"/>
                <w:kern w:val="32"/>
                <w:sz w:val="24"/>
                <w:szCs w:val="24"/>
              </w:rPr>
              <w:t>根据工程分析，项目废水包括：遗体清洗废水、生活污水、灵车清洗废水和初期雨水，项目区域未配套建设市政污水管网，不具备排水条件，因此拟配套设置、隔油池、化粪池、调节池、一体化污水处理设施和回用水池等废水处理设施对综合废水进行处理，处理后回用于项目区绿化，不外排。执行《城市污水再生利用 城市杂用水水质》（GB/T18920-2020）城市绿化标准。标准值如下表所示。</w:t>
            </w:r>
          </w:p>
          <w:p>
            <w:pPr>
              <w:jc w:val="center"/>
              <w:rPr>
                <w:rFonts w:ascii="Times New Roman" w:hAnsi="Times New Roman" w:cs="Times New Roman"/>
                <w:b/>
                <w:szCs w:val="24"/>
              </w:rPr>
            </w:pPr>
            <w:r>
              <w:rPr>
                <w:rFonts w:ascii="Times New Roman" w:hAnsi="Times New Roman" w:cs="Times New Roman"/>
                <w:b/>
                <w:szCs w:val="24"/>
              </w:rPr>
              <w:t>表3.4.2-1  城市污水再生利用 城市杂用水标准</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557"/>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序号</w:t>
                  </w:r>
                </w:p>
              </w:tc>
              <w:tc>
                <w:tcPr>
                  <w:tcW w:w="4557" w:type="dxa"/>
                  <w:vAlign w:val="center"/>
                </w:tcPr>
                <w:p>
                  <w:pPr>
                    <w:pStyle w:val="26"/>
                    <w:spacing w:line="360" w:lineRule="exact"/>
                    <w:rPr>
                      <w:color w:val="auto"/>
                      <w:szCs w:val="21"/>
                    </w:rPr>
                  </w:pPr>
                  <w:r>
                    <w:rPr>
                      <w:color w:val="auto"/>
                      <w:szCs w:val="21"/>
                    </w:rPr>
                    <w:t>项目</w:t>
                  </w:r>
                </w:p>
              </w:tc>
              <w:tc>
                <w:tcPr>
                  <w:tcW w:w="3171" w:type="dxa"/>
                  <w:vAlign w:val="center"/>
                </w:tcPr>
                <w:p>
                  <w:pPr>
                    <w:pStyle w:val="26"/>
                    <w:spacing w:line="360" w:lineRule="exact"/>
                    <w:rPr>
                      <w:color w:val="auto"/>
                      <w:szCs w:val="21"/>
                    </w:rPr>
                  </w:pPr>
                  <w:r>
                    <w:rPr>
                      <w:color w:val="auto"/>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1</w:t>
                  </w:r>
                </w:p>
              </w:tc>
              <w:tc>
                <w:tcPr>
                  <w:tcW w:w="4557" w:type="dxa"/>
                  <w:vAlign w:val="center"/>
                </w:tcPr>
                <w:p>
                  <w:pPr>
                    <w:pStyle w:val="26"/>
                    <w:spacing w:line="360" w:lineRule="exact"/>
                    <w:rPr>
                      <w:color w:val="auto"/>
                      <w:szCs w:val="21"/>
                    </w:rPr>
                  </w:pPr>
                  <w:r>
                    <w:rPr>
                      <w:color w:val="auto"/>
                      <w:szCs w:val="21"/>
                    </w:rPr>
                    <w:t>pH</w:t>
                  </w:r>
                </w:p>
              </w:tc>
              <w:tc>
                <w:tcPr>
                  <w:tcW w:w="3171" w:type="dxa"/>
                  <w:vAlign w:val="center"/>
                </w:tcPr>
                <w:p>
                  <w:pPr>
                    <w:pStyle w:val="26"/>
                    <w:spacing w:line="360" w:lineRule="exact"/>
                    <w:rPr>
                      <w:color w:val="auto"/>
                      <w:szCs w:val="21"/>
                    </w:rPr>
                  </w:pPr>
                  <w:r>
                    <w:rPr>
                      <w:color w:val="auto"/>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2</w:t>
                  </w:r>
                </w:p>
              </w:tc>
              <w:tc>
                <w:tcPr>
                  <w:tcW w:w="4557" w:type="dxa"/>
                  <w:vAlign w:val="center"/>
                </w:tcPr>
                <w:p>
                  <w:pPr>
                    <w:pStyle w:val="26"/>
                    <w:spacing w:line="360" w:lineRule="exact"/>
                    <w:rPr>
                      <w:color w:val="auto"/>
                      <w:szCs w:val="21"/>
                    </w:rPr>
                  </w:pPr>
                  <w:r>
                    <w:rPr>
                      <w:color w:val="auto"/>
                      <w:szCs w:val="21"/>
                    </w:rPr>
                    <w:t>色（度）≤</w:t>
                  </w:r>
                </w:p>
              </w:tc>
              <w:tc>
                <w:tcPr>
                  <w:tcW w:w="3171" w:type="dxa"/>
                  <w:vAlign w:val="center"/>
                </w:tcPr>
                <w:p>
                  <w:pPr>
                    <w:pStyle w:val="26"/>
                    <w:spacing w:line="360" w:lineRule="exact"/>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3</w:t>
                  </w:r>
                </w:p>
              </w:tc>
              <w:tc>
                <w:tcPr>
                  <w:tcW w:w="4557" w:type="dxa"/>
                  <w:vAlign w:val="center"/>
                </w:tcPr>
                <w:p>
                  <w:pPr>
                    <w:pStyle w:val="26"/>
                    <w:spacing w:line="360" w:lineRule="exact"/>
                    <w:rPr>
                      <w:color w:val="auto"/>
                      <w:szCs w:val="21"/>
                    </w:rPr>
                  </w:pPr>
                  <w:r>
                    <w:rPr>
                      <w:color w:val="auto"/>
                      <w:szCs w:val="21"/>
                    </w:rPr>
                    <w:t>嗅</w:t>
                  </w:r>
                </w:p>
              </w:tc>
              <w:tc>
                <w:tcPr>
                  <w:tcW w:w="3171" w:type="dxa"/>
                  <w:vAlign w:val="center"/>
                </w:tcPr>
                <w:p>
                  <w:pPr>
                    <w:pStyle w:val="26"/>
                    <w:spacing w:line="360" w:lineRule="exact"/>
                    <w:rPr>
                      <w:color w:val="auto"/>
                      <w:szCs w:val="21"/>
                    </w:rPr>
                  </w:pPr>
                  <w:r>
                    <w:rPr>
                      <w:color w:val="auto"/>
                      <w:szCs w:val="21"/>
                    </w:rPr>
                    <w:t>无不快感觉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4</w:t>
                  </w:r>
                </w:p>
              </w:tc>
              <w:tc>
                <w:tcPr>
                  <w:tcW w:w="4557" w:type="dxa"/>
                  <w:vAlign w:val="center"/>
                </w:tcPr>
                <w:p>
                  <w:pPr>
                    <w:pStyle w:val="26"/>
                    <w:spacing w:line="360" w:lineRule="exact"/>
                    <w:rPr>
                      <w:color w:val="auto"/>
                      <w:szCs w:val="21"/>
                    </w:rPr>
                  </w:pPr>
                  <w:r>
                    <w:rPr>
                      <w:color w:val="auto"/>
                      <w:szCs w:val="21"/>
                    </w:rPr>
                    <w:t>浊度（NTU）≤</w:t>
                  </w:r>
                </w:p>
              </w:tc>
              <w:tc>
                <w:tcPr>
                  <w:tcW w:w="3171" w:type="dxa"/>
                  <w:vAlign w:val="center"/>
                </w:tcPr>
                <w:p>
                  <w:pPr>
                    <w:pStyle w:val="26"/>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5</w:t>
                  </w:r>
                </w:p>
              </w:tc>
              <w:tc>
                <w:tcPr>
                  <w:tcW w:w="4557" w:type="dxa"/>
                  <w:vAlign w:val="center"/>
                </w:tcPr>
                <w:p>
                  <w:pPr>
                    <w:pStyle w:val="26"/>
                    <w:spacing w:line="360" w:lineRule="exact"/>
                    <w:rPr>
                      <w:color w:val="auto"/>
                      <w:szCs w:val="21"/>
                    </w:rPr>
                  </w:pPr>
                  <w:r>
                    <w:rPr>
                      <w:color w:val="auto"/>
                      <w:szCs w:val="21"/>
                    </w:rPr>
                    <w:t>溶解性总固体（mg/L）≤</w:t>
                  </w:r>
                </w:p>
              </w:tc>
              <w:tc>
                <w:tcPr>
                  <w:tcW w:w="3171" w:type="dxa"/>
                  <w:vAlign w:val="center"/>
                </w:tcPr>
                <w:p>
                  <w:pPr>
                    <w:pStyle w:val="26"/>
                    <w:spacing w:line="360" w:lineRule="exact"/>
                    <w:rPr>
                      <w:color w:val="auto"/>
                      <w:szCs w:val="21"/>
                    </w:rPr>
                  </w:pPr>
                  <w:r>
                    <w:rPr>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6</w:t>
                  </w:r>
                </w:p>
              </w:tc>
              <w:tc>
                <w:tcPr>
                  <w:tcW w:w="4557" w:type="dxa"/>
                  <w:vAlign w:val="center"/>
                </w:tcPr>
                <w:p>
                  <w:pPr>
                    <w:pStyle w:val="26"/>
                    <w:spacing w:line="360" w:lineRule="exact"/>
                    <w:rPr>
                      <w:color w:val="auto"/>
                      <w:szCs w:val="21"/>
                    </w:rPr>
                  </w:pPr>
                  <w:r>
                    <w:rPr>
                      <w:color w:val="auto"/>
                      <w:szCs w:val="21"/>
                    </w:rPr>
                    <w:t>五日生化需氧量BOD5（mg/L）≤</w:t>
                  </w:r>
                </w:p>
              </w:tc>
              <w:tc>
                <w:tcPr>
                  <w:tcW w:w="3171" w:type="dxa"/>
                  <w:vAlign w:val="center"/>
                </w:tcPr>
                <w:p>
                  <w:pPr>
                    <w:pStyle w:val="26"/>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7</w:t>
                  </w:r>
                </w:p>
              </w:tc>
              <w:tc>
                <w:tcPr>
                  <w:tcW w:w="4557" w:type="dxa"/>
                  <w:vAlign w:val="center"/>
                </w:tcPr>
                <w:p>
                  <w:pPr>
                    <w:pStyle w:val="26"/>
                    <w:spacing w:line="360" w:lineRule="exact"/>
                    <w:rPr>
                      <w:color w:val="auto"/>
                      <w:szCs w:val="21"/>
                    </w:rPr>
                  </w:pPr>
                  <w:r>
                    <w:rPr>
                      <w:color w:val="auto"/>
                      <w:szCs w:val="21"/>
                    </w:rPr>
                    <w:t>氨氮（mg/L）≤</w:t>
                  </w:r>
                </w:p>
              </w:tc>
              <w:tc>
                <w:tcPr>
                  <w:tcW w:w="3171" w:type="dxa"/>
                  <w:vAlign w:val="center"/>
                </w:tcPr>
                <w:p>
                  <w:pPr>
                    <w:pStyle w:val="26"/>
                    <w:spacing w:line="360" w:lineRule="exact"/>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8</w:t>
                  </w:r>
                </w:p>
              </w:tc>
              <w:tc>
                <w:tcPr>
                  <w:tcW w:w="4557" w:type="dxa"/>
                  <w:vAlign w:val="center"/>
                </w:tcPr>
                <w:p>
                  <w:pPr>
                    <w:pStyle w:val="26"/>
                    <w:spacing w:line="360" w:lineRule="exact"/>
                    <w:rPr>
                      <w:color w:val="auto"/>
                      <w:szCs w:val="21"/>
                    </w:rPr>
                  </w:pPr>
                  <w:r>
                    <w:rPr>
                      <w:color w:val="auto"/>
                      <w:szCs w:val="21"/>
                    </w:rPr>
                    <w:t>阴离子表面活性（mg/L）≤</w:t>
                  </w:r>
                </w:p>
              </w:tc>
              <w:tc>
                <w:tcPr>
                  <w:tcW w:w="3171" w:type="dxa"/>
                  <w:vAlign w:val="center"/>
                </w:tcPr>
                <w:p>
                  <w:pPr>
                    <w:pStyle w:val="26"/>
                    <w:spacing w:line="360" w:lineRule="exact"/>
                    <w:rPr>
                      <w:color w:val="auto"/>
                      <w:szCs w:val="21"/>
                    </w:rPr>
                  </w:pPr>
                  <w:r>
                    <w:rPr>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9</w:t>
                  </w:r>
                </w:p>
              </w:tc>
              <w:tc>
                <w:tcPr>
                  <w:tcW w:w="4557" w:type="dxa"/>
                  <w:vAlign w:val="center"/>
                </w:tcPr>
                <w:p>
                  <w:pPr>
                    <w:pStyle w:val="26"/>
                    <w:spacing w:line="360" w:lineRule="exact"/>
                    <w:rPr>
                      <w:color w:val="auto"/>
                      <w:szCs w:val="21"/>
                    </w:rPr>
                  </w:pPr>
                  <w:r>
                    <w:rPr>
                      <w:color w:val="auto"/>
                      <w:szCs w:val="21"/>
                    </w:rPr>
                    <w:t>铁（mg/L）≤</w:t>
                  </w:r>
                </w:p>
              </w:tc>
              <w:tc>
                <w:tcPr>
                  <w:tcW w:w="3171"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10</w:t>
                  </w:r>
                </w:p>
              </w:tc>
              <w:tc>
                <w:tcPr>
                  <w:tcW w:w="4557" w:type="dxa"/>
                  <w:vAlign w:val="center"/>
                </w:tcPr>
                <w:p>
                  <w:pPr>
                    <w:pStyle w:val="26"/>
                    <w:spacing w:line="360" w:lineRule="exact"/>
                    <w:rPr>
                      <w:color w:val="auto"/>
                      <w:szCs w:val="21"/>
                    </w:rPr>
                  </w:pPr>
                  <w:r>
                    <w:rPr>
                      <w:color w:val="auto"/>
                      <w:szCs w:val="21"/>
                    </w:rPr>
                    <w:t>锰（mg/L）≤</w:t>
                  </w:r>
                </w:p>
              </w:tc>
              <w:tc>
                <w:tcPr>
                  <w:tcW w:w="3171"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11</w:t>
                  </w:r>
                </w:p>
              </w:tc>
              <w:tc>
                <w:tcPr>
                  <w:tcW w:w="4557" w:type="dxa"/>
                  <w:vAlign w:val="center"/>
                </w:tcPr>
                <w:p>
                  <w:pPr>
                    <w:pStyle w:val="26"/>
                    <w:spacing w:line="360" w:lineRule="exact"/>
                    <w:rPr>
                      <w:color w:val="auto"/>
                      <w:szCs w:val="21"/>
                    </w:rPr>
                  </w:pPr>
                  <w:r>
                    <w:rPr>
                      <w:color w:val="auto"/>
                      <w:szCs w:val="21"/>
                    </w:rPr>
                    <w:t>溶解氧（mg/L）≥</w:t>
                  </w:r>
                </w:p>
              </w:tc>
              <w:tc>
                <w:tcPr>
                  <w:tcW w:w="3171" w:type="dxa"/>
                  <w:vAlign w:val="center"/>
                </w:tcPr>
                <w:p>
                  <w:pPr>
                    <w:pStyle w:val="26"/>
                    <w:spacing w:line="360" w:lineRule="exact"/>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12</w:t>
                  </w:r>
                </w:p>
              </w:tc>
              <w:tc>
                <w:tcPr>
                  <w:tcW w:w="4557" w:type="dxa"/>
                  <w:vAlign w:val="center"/>
                </w:tcPr>
                <w:p>
                  <w:pPr>
                    <w:pStyle w:val="26"/>
                    <w:spacing w:line="360" w:lineRule="exact"/>
                    <w:rPr>
                      <w:color w:val="auto"/>
                      <w:szCs w:val="21"/>
                    </w:rPr>
                  </w:pPr>
                  <w:r>
                    <w:rPr>
                      <w:color w:val="auto"/>
                      <w:szCs w:val="21"/>
                    </w:rPr>
                    <w:t>总氯（mg/L）≥</w:t>
                  </w:r>
                </w:p>
              </w:tc>
              <w:tc>
                <w:tcPr>
                  <w:tcW w:w="3171" w:type="dxa"/>
                  <w:vAlign w:val="center"/>
                </w:tcPr>
                <w:p>
                  <w:pPr>
                    <w:pStyle w:val="26"/>
                    <w:spacing w:line="360" w:lineRule="exact"/>
                    <w:rPr>
                      <w:color w:val="auto"/>
                      <w:szCs w:val="21"/>
                    </w:rPr>
                  </w:pPr>
                  <w:r>
                    <w:rPr>
                      <w:color w:val="auto"/>
                      <w:szCs w:val="21"/>
                    </w:rPr>
                    <w:t>1.0（出厂），0.2（管网末端）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color w:val="auto"/>
                      <w:szCs w:val="21"/>
                    </w:rPr>
                  </w:pPr>
                  <w:r>
                    <w:rPr>
                      <w:color w:val="auto"/>
                      <w:szCs w:val="21"/>
                    </w:rPr>
                    <w:t>13</w:t>
                  </w:r>
                </w:p>
              </w:tc>
              <w:tc>
                <w:tcPr>
                  <w:tcW w:w="4557" w:type="dxa"/>
                  <w:vAlign w:val="center"/>
                </w:tcPr>
                <w:p>
                  <w:pPr>
                    <w:pStyle w:val="26"/>
                    <w:spacing w:line="360" w:lineRule="exact"/>
                    <w:rPr>
                      <w:color w:val="auto"/>
                      <w:szCs w:val="21"/>
                    </w:rPr>
                  </w:pPr>
                  <w:r>
                    <w:rPr>
                      <w:color w:val="auto"/>
                      <w:szCs w:val="21"/>
                    </w:rPr>
                    <w:t>大肠埃氏菌/（MPN/100mL，或CFU/100mL）</w:t>
                  </w:r>
                </w:p>
              </w:tc>
              <w:tc>
                <w:tcPr>
                  <w:tcW w:w="3171" w:type="dxa"/>
                  <w:vAlign w:val="center"/>
                </w:tcPr>
                <w:p>
                  <w:pPr>
                    <w:pStyle w:val="26"/>
                    <w:spacing w:line="360" w:lineRule="exact"/>
                    <w:rPr>
                      <w:color w:val="auto"/>
                      <w:szCs w:val="21"/>
                    </w:rPr>
                  </w:pPr>
                  <w:r>
                    <w:rPr>
                      <w:color w:val="auto"/>
                      <w:szCs w:val="21"/>
                    </w:rPr>
                    <w:t>无</w:t>
                  </w:r>
                </w:p>
              </w:tc>
            </w:tr>
          </w:tbl>
          <w:p>
            <w:pPr>
              <w:pStyle w:val="34"/>
              <w:spacing w:beforeLines="50"/>
              <w:ind w:firstLine="482"/>
              <w:rPr>
                <w:rFonts w:eastAsiaTheme="minorEastAsia"/>
                <w:b/>
                <w:szCs w:val="24"/>
              </w:rPr>
            </w:pPr>
            <w:r>
              <w:rPr>
                <w:rFonts w:eastAsiaTheme="minorEastAsia"/>
                <w:b/>
                <w:szCs w:val="24"/>
              </w:rPr>
              <w:t>3.3.3 噪声排放标准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施工期噪声排放执行《建筑施工场界噪声环境噪声排放标准》（GB12523-2011）。标准值详见下表。</w:t>
            </w:r>
          </w:p>
          <w:p>
            <w:pPr>
              <w:jc w:val="center"/>
              <w:rPr>
                <w:rFonts w:ascii="Times New Roman" w:hAnsi="Times New Roman" w:cs="Times New Roman"/>
                <w:b/>
                <w:szCs w:val="24"/>
              </w:rPr>
            </w:pPr>
            <w:r>
              <w:rPr>
                <w:rFonts w:ascii="Times New Roman" w:hAnsi="Times New Roman" w:cs="Times New Roman"/>
                <w:b/>
                <w:szCs w:val="24"/>
              </w:rPr>
              <w:t>表3.3.3-1 建筑施工场界噪声标准限值  单位：dB（A）</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26"/>
                    <w:spacing w:line="360" w:lineRule="exact"/>
                    <w:ind w:left="11"/>
                    <w:rPr>
                      <w:rFonts w:eastAsiaTheme="minorEastAsia"/>
                      <w:color w:val="auto"/>
                      <w:szCs w:val="21"/>
                    </w:rPr>
                  </w:pPr>
                  <w:r>
                    <w:rPr>
                      <w:rFonts w:eastAsiaTheme="minorEastAsia"/>
                      <w:color w:val="auto"/>
                      <w:szCs w:val="21"/>
                    </w:rPr>
                    <w:t>控制区域</w:t>
                  </w:r>
                </w:p>
              </w:tc>
              <w:tc>
                <w:tcPr>
                  <w:tcW w:w="5556" w:type="dxa"/>
                  <w:gridSpan w:val="2"/>
                  <w:vAlign w:val="center"/>
                </w:tcPr>
                <w:p>
                  <w:pPr>
                    <w:pStyle w:val="26"/>
                    <w:spacing w:line="360" w:lineRule="exact"/>
                    <w:ind w:left="11"/>
                    <w:rPr>
                      <w:rFonts w:eastAsiaTheme="minorEastAsia"/>
                      <w:color w:val="auto"/>
                      <w:szCs w:val="21"/>
                    </w:rPr>
                  </w:pPr>
                  <w:r>
                    <w:rPr>
                      <w:rFonts w:eastAsiaTheme="minorEastAsia"/>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26"/>
                    <w:spacing w:line="360" w:lineRule="exact"/>
                    <w:ind w:left="11"/>
                    <w:rPr>
                      <w:rFonts w:eastAsiaTheme="minorEastAsia"/>
                      <w:color w:val="auto"/>
                      <w:szCs w:val="21"/>
                    </w:rPr>
                  </w:pPr>
                </w:p>
              </w:tc>
              <w:tc>
                <w:tcPr>
                  <w:tcW w:w="2824" w:type="dxa"/>
                  <w:vAlign w:val="center"/>
                </w:tcPr>
                <w:p>
                  <w:pPr>
                    <w:pStyle w:val="26"/>
                    <w:spacing w:line="360" w:lineRule="exact"/>
                    <w:ind w:left="11"/>
                    <w:rPr>
                      <w:rFonts w:eastAsiaTheme="minorEastAsia"/>
                      <w:color w:val="auto"/>
                      <w:szCs w:val="21"/>
                    </w:rPr>
                  </w:pPr>
                  <w:r>
                    <w:rPr>
                      <w:rFonts w:eastAsiaTheme="minorEastAsia"/>
                      <w:color w:val="auto"/>
                      <w:szCs w:val="21"/>
                    </w:rPr>
                    <w:t>昼间</w:t>
                  </w:r>
                </w:p>
              </w:tc>
              <w:tc>
                <w:tcPr>
                  <w:tcW w:w="2732" w:type="dxa"/>
                  <w:vAlign w:val="center"/>
                </w:tcPr>
                <w:p>
                  <w:pPr>
                    <w:pStyle w:val="26"/>
                    <w:spacing w:line="360" w:lineRule="exact"/>
                    <w:ind w:left="11"/>
                    <w:rPr>
                      <w:rFonts w:eastAsiaTheme="minorEastAsia"/>
                      <w:color w:val="auto"/>
                      <w:szCs w:val="21"/>
                    </w:rPr>
                  </w:pPr>
                  <w:r>
                    <w:rPr>
                      <w:rFonts w:eastAsiaTheme="minorEastAsia"/>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26"/>
                    <w:spacing w:line="360" w:lineRule="exact"/>
                    <w:ind w:left="11"/>
                    <w:rPr>
                      <w:rFonts w:eastAsiaTheme="minorEastAsia"/>
                      <w:color w:val="auto"/>
                      <w:szCs w:val="21"/>
                    </w:rPr>
                  </w:pPr>
                  <w:r>
                    <w:rPr>
                      <w:rFonts w:eastAsiaTheme="minorEastAsia"/>
                      <w:color w:val="auto"/>
                      <w:szCs w:val="21"/>
                    </w:rPr>
                    <w:t>厂界</w:t>
                  </w:r>
                </w:p>
              </w:tc>
              <w:tc>
                <w:tcPr>
                  <w:tcW w:w="2824" w:type="dxa"/>
                  <w:vAlign w:val="center"/>
                </w:tcPr>
                <w:p>
                  <w:pPr>
                    <w:pStyle w:val="26"/>
                    <w:spacing w:line="360" w:lineRule="exact"/>
                    <w:ind w:left="11"/>
                    <w:rPr>
                      <w:rFonts w:eastAsiaTheme="minorEastAsia"/>
                      <w:color w:val="auto"/>
                      <w:szCs w:val="21"/>
                    </w:rPr>
                  </w:pPr>
                  <w:r>
                    <w:rPr>
                      <w:rFonts w:eastAsiaTheme="minorEastAsia"/>
                      <w:color w:val="auto"/>
                      <w:szCs w:val="21"/>
                    </w:rPr>
                    <w:t>70</w:t>
                  </w:r>
                </w:p>
              </w:tc>
              <w:tc>
                <w:tcPr>
                  <w:tcW w:w="2732" w:type="dxa"/>
                  <w:vAlign w:val="center"/>
                </w:tcPr>
                <w:p>
                  <w:pPr>
                    <w:pStyle w:val="26"/>
                    <w:spacing w:line="360" w:lineRule="exact"/>
                    <w:ind w:left="11"/>
                    <w:rPr>
                      <w:rFonts w:eastAsiaTheme="minorEastAsia"/>
                      <w:color w:val="auto"/>
                      <w:szCs w:val="21"/>
                    </w:rPr>
                  </w:pPr>
                  <w:r>
                    <w:rPr>
                      <w:rFonts w:eastAsiaTheme="minorEastAsia"/>
                      <w:color w:val="auto"/>
                      <w:szCs w:val="21"/>
                    </w:rPr>
                    <w:t>55</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项目位于东川区碧谷街道（北郊板河口老殡仪馆原址），该项目噪声执行《工业企业厂界环境噪声排放标准》（GB12348-2008）2类标准。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标准限值详见下表。</w:t>
            </w:r>
          </w:p>
          <w:p>
            <w:pPr>
              <w:jc w:val="center"/>
              <w:rPr>
                <w:rFonts w:ascii="Times New Roman" w:hAnsi="Times New Roman" w:cs="Times New Roman"/>
                <w:b/>
                <w:szCs w:val="24"/>
              </w:rPr>
            </w:pPr>
            <w:r>
              <w:rPr>
                <w:rFonts w:ascii="Times New Roman" w:hAnsi="Times New Roman" w:cs="Times New Roman"/>
                <w:b/>
                <w:szCs w:val="24"/>
              </w:rPr>
              <w:t>表3.3.3-2 《工业企业厂界环境噪声排放标准》  Leq[dB（A）]</w:t>
            </w:r>
          </w:p>
          <w:tbl>
            <w:tblPr>
              <w:tblStyle w:val="16"/>
              <w:tblW w:w="859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3" w:type="dxa"/>
                  <w:vMerge w:val="restart"/>
                  <w:vAlign w:val="center"/>
                </w:tcPr>
                <w:p>
                  <w:pPr>
                    <w:pStyle w:val="26"/>
                    <w:spacing w:line="360" w:lineRule="exact"/>
                    <w:ind w:left="11"/>
                    <w:rPr>
                      <w:rFonts w:eastAsiaTheme="minorEastAsia"/>
                      <w:color w:val="auto"/>
                      <w:szCs w:val="21"/>
                    </w:rPr>
                  </w:pPr>
                  <w:r>
                    <w:rPr>
                      <w:rFonts w:eastAsiaTheme="minorEastAsia"/>
                      <w:color w:val="auto"/>
                      <w:szCs w:val="21"/>
                    </w:rPr>
                    <w:t>声环境功能区类别</w:t>
                  </w:r>
                </w:p>
              </w:tc>
              <w:tc>
                <w:tcPr>
                  <w:tcW w:w="5816" w:type="dxa"/>
                  <w:gridSpan w:val="2"/>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3" w:type="dxa"/>
                  <w:vMerge w:val="continue"/>
                  <w:vAlign w:val="center"/>
                </w:tcPr>
                <w:p>
                  <w:pPr>
                    <w:pStyle w:val="26"/>
                    <w:spacing w:line="360" w:lineRule="exact"/>
                    <w:ind w:left="11"/>
                    <w:rPr>
                      <w:rFonts w:eastAsiaTheme="minorEastAsia"/>
                      <w:color w:val="auto"/>
                      <w:szCs w:val="21"/>
                    </w:rPr>
                  </w:pPr>
                </w:p>
              </w:tc>
              <w:tc>
                <w:tcPr>
                  <w:tcW w:w="2920"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昼间</w:t>
                  </w:r>
                </w:p>
              </w:tc>
              <w:tc>
                <w:tcPr>
                  <w:tcW w:w="2896"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3" w:type="dxa"/>
                  <w:vAlign w:val="center"/>
                </w:tcPr>
                <w:p>
                  <w:pPr>
                    <w:pStyle w:val="26"/>
                    <w:spacing w:line="360" w:lineRule="exact"/>
                    <w:ind w:left="11"/>
                    <w:rPr>
                      <w:rFonts w:eastAsiaTheme="minorEastAsia"/>
                      <w:color w:val="auto"/>
                      <w:szCs w:val="21"/>
                    </w:rPr>
                  </w:pPr>
                  <w:r>
                    <w:rPr>
                      <w:rFonts w:eastAsiaTheme="minorEastAsia"/>
                      <w:color w:val="auto"/>
                      <w:szCs w:val="21"/>
                    </w:rPr>
                    <w:t>2类</w:t>
                  </w:r>
                </w:p>
              </w:tc>
              <w:tc>
                <w:tcPr>
                  <w:tcW w:w="2920"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60</w:t>
                  </w:r>
                </w:p>
              </w:tc>
              <w:tc>
                <w:tcPr>
                  <w:tcW w:w="2896"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50</w:t>
                  </w:r>
                </w:p>
              </w:tc>
            </w:tr>
          </w:tbl>
          <w:p>
            <w:pPr>
              <w:pStyle w:val="34"/>
              <w:spacing w:beforeLines="50"/>
              <w:ind w:firstLine="482"/>
              <w:rPr>
                <w:rFonts w:eastAsiaTheme="minorEastAsia"/>
                <w:b/>
                <w:szCs w:val="24"/>
              </w:rPr>
            </w:pPr>
            <w:r>
              <w:rPr>
                <w:rFonts w:eastAsiaTheme="minorEastAsia"/>
                <w:b/>
                <w:szCs w:val="24"/>
              </w:rPr>
              <w:t>3.3.4 固废执行标准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宋体" w:hAnsi="Times New Roman" w:eastAsia="宋体"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危险废物执行《危险废物贮存污染控制标准》（GB18597-2001）及修改单。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宋体" w:hAnsi="Times New Roman" w:eastAsia="宋体"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一般固体废物处置执行《一般工业固体废物贮存和填埋污染控制标准》（GB18599-2020）。</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③污水处理系统污泥执行标准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医疗机构水污染物排放标准》（GB18466-2005）的定义，太平间等排出的诊疗、生活及粪便污水，属于医疗机构污水；而医疗机构污水混合其他废水后，一律视为医疗机构废水，因此该项目产生的综合废水含遗体清洗等废水应视为医疗机构废水。按照《医疗机构水污染物排放标准》（GB18466-2005）的要求，污泥清掏前应进行监测，达到医疗机构污泥控制标准要求。标准值如下表所示。</w:t>
            </w:r>
          </w:p>
          <w:p>
            <w:pPr>
              <w:jc w:val="center"/>
              <w:rPr>
                <w:rFonts w:ascii="Times New Roman" w:hAnsi="Times New Roman" w:cs="Times New Roman"/>
                <w:b/>
                <w:szCs w:val="24"/>
              </w:rPr>
            </w:pPr>
            <w:r>
              <w:rPr>
                <w:rFonts w:ascii="Times New Roman" w:hAnsi="Times New Roman" w:cs="Times New Roman"/>
                <w:b/>
                <w:szCs w:val="24"/>
              </w:rPr>
              <w:t>表3.4.4-1 医疗机构污泥控制标准</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45"/>
              <w:gridCol w:w="2591"/>
              <w:gridCol w:w="28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45"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医疗机构类别</w:t>
                  </w:r>
                </w:p>
              </w:tc>
              <w:tc>
                <w:tcPr>
                  <w:tcW w:w="2591"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粪大肠菌数/（MPN/g）</w:t>
                  </w:r>
                </w:p>
              </w:tc>
              <w:tc>
                <w:tcPr>
                  <w:tcW w:w="2869"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蛔虫卵死亡率/%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45"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综合医疗机构和其他医疗机构</w:t>
                  </w:r>
                </w:p>
              </w:tc>
              <w:tc>
                <w:tcPr>
                  <w:tcW w:w="2591"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≤100</w:t>
                  </w:r>
                </w:p>
              </w:tc>
              <w:tc>
                <w:tcPr>
                  <w:tcW w:w="2869"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＞95</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总量控制指标</w:t>
            </w:r>
          </w:p>
        </w:tc>
        <w:tc>
          <w:tcPr>
            <w:tcW w:w="8831" w:type="dxa"/>
            <w:vAlign w:val="center"/>
          </w:tcPr>
          <w:p>
            <w:pPr>
              <w:spacing w:beforeLines="50" w:line="360" w:lineRule="auto"/>
              <w:ind w:firstLine="360" w:firstLineChars="150"/>
              <w:rPr>
                <w:rFonts w:ascii="Times New Roman" w:hAnsi="Times New Roman" w:cs="Times New Roman"/>
                <w:b/>
                <w:sz w:val="24"/>
                <w:szCs w:val="24"/>
              </w:rPr>
            </w:pPr>
            <w:r>
              <w:rPr>
                <w:rFonts w:ascii="Times New Roman" w:hAnsi="Times New Roman" w:cs="Times New Roman"/>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（1）废气产排量</w:t>
            </w:r>
          </w:p>
          <w:p>
            <w:pPr>
              <w:pStyle w:val="34"/>
              <w:ind w:firstLine="480"/>
              <w:rPr>
                <w:rFonts w:eastAsiaTheme="minorEastAsia"/>
                <w:szCs w:val="24"/>
              </w:rPr>
            </w:pPr>
            <w:r>
              <w:rPr>
                <w:rFonts w:eastAsiaTheme="minorEastAsia"/>
                <w:szCs w:val="24"/>
              </w:rPr>
              <w:t>该项目产生的废气主要为火化废气、遗物焚烧废气。包括：烟尘、SO</w:t>
            </w:r>
            <w:r>
              <w:rPr>
                <w:rFonts w:eastAsiaTheme="minorEastAsia"/>
                <w:szCs w:val="24"/>
                <w:vertAlign w:val="subscript"/>
              </w:rPr>
              <w:t>2</w:t>
            </w:r>
            <w:r>
              <w:rPr>
                <w:rFonts w:eastAsiaTheme="minorEastAsia"/>
                <w:szCs w:val="24"/>
              </w:rPr>
              <w:t>、NOx、CO、HCl、汞、二噁英，其中烟气产生量为2317.5万m³/a、排放量为2317.5万m³/a；烟尘产生量为0.488t/a、排放量为.0051t/a；SO</w:t>
            </w:r>
            <w:r>
              <w:rPr>
                <w:rFonts w:eastAsiaTheme="minorEastAsia"/>
                <w:szCs w:val="24"/>
                <w:vertAlign w:val="subscript"/>
              </w:rPr>
              <w:t>2</w:t>
            </w:r>
            <w:r>
              <w:rPr>
                <w:rFonts w:eastAsiaTheme="minorEastAsia"/>
                <w:szCs w:val="24"/>
              </w:rPr>
              <w:t>产生量为1.818t/a、排放量为0.3636t/a；NOx产生量为0.296t/a、排放量为0.2956t/a；CO产生量为1.211t/a、排放量为0.7806t/a；HCl产生量为0.085t/a、排放量为0.021t/a；汞产生量为0.001t/a、排放量为0.0002t/a；二噁英产生量为</w:t>
            </w:r>
            <w:r>
              <w:rPr>
                <w:rFonts w:hint="eastAsia" w:eastAsiaTheme="minorEastAsia"/>
                <w:szCs w:val="24"/>
              </w:rPr>
              <w:t>2.27115</w:t>
            </w:r>
            <w:r>
              <w:rPr>
                <w:rFonts w:eastAsiaTheme="minorEastAsia"/>
                <w:szCs w:val="24"/>
              </w:rPr>
              <w:t>×10</w:t>
            </w:r>
            <w:r>
              <w:rPr>
                <w:rFonts w:eastAsiaTheme="minorEastAsia"/>
                <w:szCs w:val="24"/>
                <w:vertAlign w:val="superscript"/>
              </w:rPr>
              <w:t>-</w:t>
            </w:r>
            <w:r>
              <w:rPr>
                <w:rFonts w:hint="eastAsia" w:eastAsiaTheme="minorEastAsia"/>
                <w:szCs w:val="24"/>
                <w:vertAlign w:val="superscript"/>
              </w:rPr>
              <w:t>5</w:t>
            </w:r>
            <w:r>
              <w:rPr>
                <w:rFonts w:hint="eastAsia" w:eastAsiaTheme="minorEastAsia"/>
                <w:szCs w:val="24"/>
              </w:rPr>
              <w:t>kg/a</w:t>
            </w:r>
            <w:r>
              <w:rPr>
                <w:rFonts w:eastAsiaTheme="minorEastAsia"/>
                <w:szCs w:val="24"/>
              </w:rPr>
              <w:t>、</w:t>
            </w:r>
            <w:r>
              <w:rPr>
                <w:rFonts w:hint="eastAsia" w:eastAsiaTheme="minorEastAsia"/>
                <w:szCs w:val="24"/>
              </w:rPr>
              <w:t>排放量为8.2194</w:t>
            </w:r>
            <w:r>
              <w:rPr>
                <w:rFonts w:eastAsiaTheme="minorEastAsia"/>
                <w:szCs w:val="24"/>
              </w:rPr>
              <w:t>×10</w:t>
            </w:r>
            <w:r>
              <w:rPr>
                <w:rFonts w:eastAsiaTheme="minorEastAsia"/>
                <w:szCs w:val="24"/>
                <w:vertAlign w:val="superscript"/>
              </w:rPr>
              <w:t>-</w:t>
            </w:r>
            <w:r>
              <w:rPr>
                <w:rFonts w:hint="eastAsia" w:eastAsiaTheme="minorEastAsia"/>
                <w:szCs w:val="24"/>
                <w:vertAlign w:val="superscript"/>
              </w:rPr>
              <w:t>6</w:t>
            </w:r>
            <w:r>
              <w:rPr>
                <w:rFonts w:hint="eastAsia" w:eastAsiaTheme="minorEastAsia"/>
                <w:szCs w:val="24"/>
              </w:rPr>
              <w:t>kg/a。</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（2）废水产排量</w:t>
            </w:r>
          </w:p>
          <w:p>
            <w:pPr>
              <w:pStyle w:val="34"/>
              <w:ind w:firstLine="480"/>
              <w:rPr>
                <w:rFonts w:eastAsiaTheme="minorEastAsia"/>
                <w:szCs w:val="24"/>
              </w:rPr>
            </w:pPr>
            <w:r>
              <w:rPr>
                <w:rFonts w:eastAsiaTheme="minorEastAsia"/>
                <w:szCs w:val="24"/>
              </w:rPr>
              <w:t>该项目综合废水产生量为为637.2m³/a，其中CODcr产生量为0.18t/a；BOD</w:t>
            </w:r>
            <w:r>
              <w:rPr>
                <w:rFonts w:eastAsiaTheme="minorEastAsia"/>
                <w:szCs w:val="24"/>
                <w:vertAlign w:val="subscript"/>
              </w:rPr>
              <w:t>5</w:t>
            </w:r>
            <w:r>
              <w:rPr>
                <w:rFonts w:eastAsiaTheme="minorEastAsia"/>
                <w:szCs w:val="24"/>
              </w:rPr>
              <w:t>产生量为0.11t/a；SS产生量为0.16t/a；NH</w:t>
            </w:r>
            <w:r>
              <w:rPr>
                <w:rFonts w:eastAsiaTheme="minorEastAsia"/>
                <w:szCs w:val="24"/>
                <w:vertAlign w:val="subscript"/>
              </w:rPr>
              <w:t>3</w:t>
            </w:r>
            <w:r>
              <w:rPr>
                <w:rFonts w:eastAsiaTheme="minorEastAsia"/>
                <w:szCs w:val="24"/>
              </w:rPr>
              <w:t>-N产生量为0.02t/a；总氮产生量为0.02t/a；总磷产生量为0.004t/a；动植物油产生量为0.05t/a；阴离子表面活性剂产生量为0.01t/a；项目区综合废水进入1个8m³的调节池进行收集、调节后，统一进入1个处理能力为20m³/d的一体化污水处理设施进行处理，处理后回用于项目区绿化，不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（3）固体废物</w:t>
            </w:r>
          </w:p>
          <w:p>
            <w:pPr>
              <w:pStyle w:val="34"/>
              <w:ind w:firstLine="480"/>
              <w:rPr>
                <w:rFonts w:eastAsiaTheme="minorEastAsia"/>
                <w:szCs w:val="24"/>
              </w:rPr>
            </w:pPr>
            <w:r>
              <w:rPr>
                <w:rFonts w:eastAsiaTheme="minorEastAsia"/>
                <w:szCs w:val="24"/>
              </w:rPr>
              <w:t>该项目产生的固体废物包括：该项目产生的固体废物包括：遗体处置产生的固体废物、脱酸脱硫固废、除尘固废、废活性炭、遗物祭品焚烧灰渣、污水处理系统污泥、设备维修产生的废机油及废弃沾油抹布、生活固废。其中：一次性手套和废弃化妆棉产生量为0.1t/a，委托有资质的单位进行处置；人体组织按公安机关程序进行鉴定后，同逝者遗体一起火化；脱酸脱硫固废产生量为3.5t/a，委托环卫部门运输至垃圾填埋场填埋处置；除尘固废产生量为0.5t/a，定期委托环卫部门运输至垃圾填埋场填埋处置；废活性炭产生量为0.3t/a，委托有资质的单位进行处置；遗物祭品焚烧灰渣产生量为3.2t/a委托环卫部门运输至垃圾填埋场填埋处置；污水处理系统污泥产生量为0.24t/a，委托有资质的单位进行处置；废机油产生量为5kg/a；委托有资质的单位处置；废弃沾油抹布产生量为2kg/a，委托环卫部门定期清运处置；生活垃圾产生量为8.6t/a，委托环卫部门定期清运处置；餐厨废物产生量为0.9t/a，委托有资质的单位进行处置；隔油池浮油产生量为20kg/a，委托有资质的单位进行清理和处置。</w:t>
            </w:r>
          </w:p>
          <w:p>
            <w:pPr>
              <w:pStyle w:val="34"/>
              <w:ind w:firstLine="480"/>
              <w:rPr>
                <w:rFonts w:eastAsiaTheme="minorEastAsia"/>
                <w:szCs w:val="24"/>
              </w:rPr>
            </w:pPr>
            <w:r>
              <w:rPr>
                <w:rFonts w:hint="eastAsia" w:eastAsiaTheme="minorEastAsia"/>
                <w:szCs w:val="24"/>
              </w:rPr>
              <w:t>根据《昆明市生态环境局关于加强建设项目主要污染物审核及管理的通知》中明确，实施排放总量控制的污染物包括：</w:t>
            </w:r>
            <w:r>
              <w:rPr>
                <w:rFonts w:eastAsiaTheme="minorEastAsia"/>
                <w:szCs w:val="24"/>
              </w:rPr>
              <w:t>CODcr、NH</w:t>
            </w:r>
            <w:r>
              <w:rPr>
                <w:rFonts w:eastAsiaTheme="minorEastAsia"/>
                <w:szCs w:val="24"/>
                <w:vertAlign w:val="subscript"/>
              </w:rPr>
              <w:t>3</w:t>
            </w:r>
            <w:r>
              <w:rPr>
                <w:rFonts w:eastAsiaTheme="minorEastAsia"/>
                <w:szCs w:val="24"/>
              </w:rPr>
              <w:t>-N</w:t>
            </w:r>
            <w:r>
              <w:rPr>
                <w:rFonts w:hint="eastAsia" w:eastAsiaTheme="minorEastAsia"/>
                <w:szCs w:val="24"/>
              </w:rPr>
              <w:t>、</w:t>
            </w:r>
            <w:r>
              <w:rPr>
                <w:rFonts w:eastAsiaTheme="minorEastAsia"/>
                <w:szCs w:val="24"/>
              </w:rPr>
              <w:t>NOx、</w:t>
            </w:r>
            <w:r>
              <w:rPr>
                <w:rFonts w:hint="eastAsia" w:eastAsiaTheme="minorEastAsia"/>
                <w:szCs w:val="24"/>
              </w:rPr>
              <w:t>挥发性有机物和特征污染物。因此该项目环评建议总量控制指标为：</w:t>
            </w:r>
            <w:r>
              <w:rPr>
                <w:rFonts w:eastAsiaTheme="minorEastAsia"/>
                <w:szCs w:val="24"/>
              </w:rPr>
              <w:t>NOx</w:t>
            </w:r>
            <w:r>
              <w:rPr>
                <w:rFonts w:hint="eastAsia" w:eastAsiaTheme="minorEastAsia"/>
                <w:szCs w:val="24"/>
              </w:rPr>
              <w:t>：</w:t>
            </w:r>
            <w:r>
              <w:rPr>
                <w:rFonts w:eastAsiaTheme="minorEastAsia"/>
                <w:szCs w:val="24"/>
              </w:rPr>
              <w:t>0.296t/a</w:t>
            </w:r>
            <w:r>
              <w:rPr>
                <w:rFonts w:hint="eastAsia" w:eastAsiaTheme="minorEastAsia"/>
                <w:szCs w:val="24"/>
              </w:rPr>
              <w:t>、</w:t>
            </w:r>
            <w:r>
              <w:rPr>
                <w:rFonts w:eastAsiaTheme="minorEastAsia"/>
                <w:szCs w:val="24"/>
              </w:rPr>
              <w:t>HCl</w:t>
            </w:r>
            <w:r>
              <w:rPr>
                <w:rFonts w:hint="eastAsia" w:eastAsiaTheme="minorEastAsia"/>
                <w:szCs w:val="24"/>
              </w:rPr>
              <w:t>：</w:t>
            </w:r>
            <w:r>
              <w:rPr>
                <w:rFonts w:eastAsiaTheme="minorEastAsia"/>
                <w:szCs w:val="24"/>
              </w:rPr>
              <w:t>0.021t/a</w:t>
            </w:r>
            <w:r>
              <w:rPr>
                <w:rFonts w:hint="eastAsia" w:eastAsiaTheme="minorEastAsia"/>
                <w:szCs w:val="24"/>
              </w:rPr>
              <w:t>、</w:t>
            </w:r>
            <w:r>
              <w:rPr>
                <w:rFonts w:eastAsiaTheme="minorEastAsia"/>
                <w:szCs w:val="24"/>
              </w:rPr>
              <w:t>汞</w:t>
            </w:r>
            <w:r>
              <w:rPr>
                <w:rFonts w:hint="eastAsia" w:eastAsiaTheme="minorEastAsia"/>
                <w:szCs w:val="24"/>
              </w:rPr>
              <w:t>：</w:t>
            </w:r>
            <w:r>
              <w:rPr>
                <w:rFonts w:eastAsiaTheme="minorEastAsia"/>
                <w:szCs w:val="24"/>
              </w:rPr>
              <w:t>0.0002t/a</w:t>
            </w:r>
            <w:r>
              <w:rPr>
                <w:rFonts w:hint="eastAsia" w:eastAsiaTheme="minorEastAsia"/>
                <w:szCs w:val="24"/>
              </w:rPr>
              <w:t>、</w:t>
            </w:r>
            <w:r>
              <w:rPr>
                <w:rFonts w:eastAsiaTheme="minorEastAsia"/>
                <w:szCs w:val="24"/>
              </w:rPr>
              <w:t>二噁英</w:t>
            </w:r>
            <w:r>
              <w:rPr>
                <w:rFonts w:hint="eastAsia" w:eastAsiaTheme="minorEastAsia"/>
                <w:szCs w:val="24"/>
              </w:rPr>
              <w:t>8.2194</w:t>
            </w:r>
            <w:r>
              <w:rPr>
                <w:rFonts w:eastAsiaTheme="minorEastAsia"/>
                <w:szCs w:val="24"/>
              </w:rPr>
              <w:t>×10</w:t>
            </w:r>
            <w:r>
              <w:rPr>
                <w:rFonts w:eastAsiaTheme="minorEastAsia"/>
                <w:szCs w:val="24"/>
                <w:vertAlign w:val="superscript"/>
              </w:rPr>
              <w:t>-</w:t>
            </w:r>
            <w:r>
              <w:rPr>
                <w:rFonts w:hint="eastAsia" w:eastAsiaTheme="minorEastAsia"/>
                <w:szCs w:val="24"/>
                <w:vertAlign w:val="superscript"/>
              </w:rPr>
              <w:t>6</w:t>
            </w:r>
            <w:r>
              <w:rPr>
                <w:rFonts w:hint="eastAsia" w:eastAsiaTheme="minorEastAsia"/>
                <w:szCs w:val="24"/>
              </w:rPr>
              <w:t>kg/a</w:t>
            </w:r>
            <w:r>
              <w:rPr>
                <w:rFonts w:eastAsiaTheme="minorEastAsia"/>
                <w:szCs w:val="24"/>
              </w:rPr>
              <w:t>。</w:t>
            </w:r>
            <w:r>
              <w:rPr>
                <w:rFonts w:hint="eastAsia" w:eastAsiaTheme="minorEastAsia"/>
                <w:szCs w:val="24"/>
              </w:rPr>
              <w:t>根据调查，老殡仪馆拆除后可腾出污染物总量为</w:t>
            </w:r>
            <w:r>
              <w:rPr>
                <w:rFonts w:eastAsiaTheme="minorEastAsia"/>
                <w:szCs w:val="24"/>
              </w:rPr>
              <w:t>NOx</w:t>
            </w:r>
            <w:r>
              <w:rPr>
                <w:rFonts w:hint="eastAsia" w:eastAsiaTheme="minorEastAsia"/>
                <w:szCs w:val="24"/>
              </w:rPr>
              <w:t>：</w:t>
            </w:r>
            <w:r>
              <w:rPr>
                <w:rFonts w:hint="eastAsia"/>
                <w:szCs w:val="21"/>
              </w:rPr>
              <w:t>0.41</w:t>
            </w:r>
            <w:r>
              <w:rPr>
                <w:rFonts w:eastAsiaTheme="minorEastAsia"/>
                <w:szCs w:val="24"/>
              </w:rPr>
              <w:t>t/a</w:t>
            </w:r>
            <w:r>
              <w:rPr>
                <w:rFonts w:hint="eastAsia" w:eastAsiaTheme="minorEastAsia"/>
                <w:szCs w:val="24"/>
              </w:rPr>
              <w:t>、</w:t>
            </w:r>
            <w:r>
              <w:rPr>
                <w:rFonts w:eastAsiaTheme="minorEastAsia"/>
                <w:szCs w:val="24"/>
              </w:rPr>
              <w:t>HCl</w:t>
            </w:r>
            <w:r>
              <w:rPr>
                <w:rFonts w:hint="eastAsia"/>
                <w:szCs w:val="21"/>
              </w:rPr>
              <w:t>：</w:t>
            </w:r>
            <w:r>
              <w:rPr>
                <w:szCs w:val="21"/>
              </w:rPr>
              <w:t>0.02</w:t>
            </w:r>
            <w:r>
              <w:rPr>
                <w:rFonts w:eastAsiaTheme="minorEastAsia"/>
                <w:szCs w:val="24"/>
              </w:rPr>
              <w:t>t/a</w:t>
            </w:r>
            <w:r>
              <w:rPr>
                <w:rFonts w:hint="eastAsia" w:eastAsiaTheme="minorEastAsia"/>
                <w:szCs w:val="24"/>
              </w:rPr>
              <w:t>、汞：0.0000</w:t>
            </w:r>
            <w:r>
              <w:rPr>
                <w:rFonts w:hint="eastAsia"/>
                <w:szCs w:val="21"/>
              </w:rPr>
              <w:t>143</w:t>
            </w:r>
            <w:r>
              <w:rPr>
                <w:rFonts w:eastAsiaTheme="minorEastAsia"/>
                <w:szCs w:val="24"/>
              </w:rPr>
              <w:t>t/a</w:t>
            </w:r>
            <w:r>
              <w:rPr>
                <w:rFonts w:hint="eastAsia" w:eastAsiaTheme="minorEastAsia"/>
                <w:szCs w:val="24"/>
              </w:rPr>
              <w:t>、二噁英：</w:t>
            </w:r>
            <w:r>
              <w:rPr>
                <w:rFonts w:hint="eastAsia"/>
                <w:szCs w:val="21"/>
              </w:rPr>
              <w:t>2.5</w:t>
            </w:r>
            <w:r>
              <w:rPr>
                <w:rFonts w:eastAsiaTheme="minorEastAsia"/>
                <w:szCs w:val="24"/>
              </w:rPr>
              <w:t>×</w:t>
            </w:r>
            <w:r>
              <w:rPr>
                <w:rFonts w:hint="eastAsia"/>
                <w:szCs w:val="21"/>
              </w:rPr>
              <w:t>10</w:t>
            </w:r>
            <w:r>
              <w:rPr>
                <w:rFonts w:hint="eastAsia"/>
                <w:szCs w:val="21"/>
                <w:vertAlign w:val="superscript"/>
              </w:rPr>
              <w:t>-6</w:t>
            </w:r>
            <w:r>
              <w:rPr>
                <w:rFonts w:hint="eastAsia" w:eastAsiaTheme="minorEastAsia"/>
                <w:szCs w:val="24"/>
              </w:rPr>
              <w:t>kg</w:t>
            </w:r>
            <w:r>
              <w:rPr>
                <w:rFonts w:eastAsiaTheme="minorEastAsia"/>
                <w:szCs w:val="24"/>
              </w:rPr>
              <w:t>/a</w:t>
            </w:r>
            <w:r>
              <w:rPr>
                <w:rFonts w:hint="eastAsia" w:eastAsiaTheme="minorEastAsia"/>
                <w:szCs w:val="24"/>
              </w:rPr>
              <w:t>。则还需申请总量为：</w:t>
            </w:r>
            <w:r>
              <w:rPr>
                <w:rFonts w:eastAsiaTheme="minorEastAsia"/>
                <w:szCs w:val="24"/>
              </w:rPr>
              <w:t>HCl</w:t>
            </w:r>
            <w:r>
              <w:rPr>
                <w:rFonts w:hint="eastAsia" w:eastAsiaTheme="minorEastAsia"/>
                <w:szCs w:val="24"/>
              </w:rPr>
              <w:t>：</w:t>
            </w:r>
            <w:r>
              <w:rPr>
                <w:rFonts w:eastAsiaTheme="minorEastAsia"/>
                <w:szCs w:val="24"/>
              </w:rPr>
              <w:t>0.0</w:t>
            </w:r>
            <w:r>
              <w:rPr>
                <w:rFonts w:hint="eastAsia" w:eastAsiaTheme="minorEastAsia"/>
                <w:szCs w:val="24"/>
              </w:rPr>
              <w:t>01</w:t>
            </w:r>
            <w:r>
              <w:rPr>
                <w:rFonts w:eastAsiaTheme="minorEastAsia"/>
                <w:szCs w:val="24"/>
              </w:rPr>
              <w:t>t/a</w:t>
            </w:r>
            <w:r>
              <w:rPr>
                <w:rFonts w:hint="eastAsia" w:eastAsiaTheme="minorEastAsia"/>
                <w:szCs w:val="24"/>
              </w:rPr>
              <w:t>、汞：0.0001857</w:t>
            </w:r>
            <w:r>
              <w:rPr>
                <w:rFonts w:eastAsiaTheme="minorEastAsia"/>
                <w:szCs w:val="24"/>
              </w:rPr>
              <w:t xml:space="preserve"> t/a</w:t>
            </w:r>
            <w:r>
              <w:rPr>
                <w:rFonts w:hint="eastAsia" w:eastAsiaTheme="minorEastAsia"/>
                <w:szCs w:val="24"/>
              </w:rPr>
              <w:t>、二噁英：5.7194</w:t>
            </w:r>
            <w:r>
              <w:rPr>
                <w:rFonts w:eastAsiaTheme="minorEastAsia"/>
                <w:szCs w:val="24"/>
              </w:rPr>
              <w:t>×</w:t>
            </w:r>
            <w:r>
              <w:rPr>
                <w:rFonts w:hint="eastAsia"/>
                <w:szCs w:val="21"/>
              </w:rPr>
              <w:t>10</w:t>
            </w:r>
            <w:r>
              <w:rPr>
                <w:rFonts w:hint="eastAsia"/>
                <w:szCs w:val="21"/>
                <w:vertAlign w:val="superscript"/>
              </w:rPr>
              <w:t>-6</w:t>
            </w:r>
            <w:r>
              <w:rPr>
                <w:rFonts w:hint="eastAsia" w:eastAsiaTheme="minorEastAsia"/>
                <w:szCs w:val="24"/>
              </w:rPr>
              <w:t>kg</w:t>
            </w:r>
            <w:r>
              <w:rPr>
                <w:rFonts w:eastAsiaTheme="minorEastAsia"/>
                <w:szCs w:val="24"/>
              </w:rPr>
              <w:t>/a</w:t>
            </w:r>
            <w:r>
              <w:rPr>
                <w:rFonts w:hint="eastAsia" w:eastAsiaTheme="minorEastAsia"/>
                <w:szCs w:val="24"/>
              </w:rPr>
              <w:t>。</w:t>
            </w: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四、主要环境影响和保护措施</w:t>
      </w:r>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4.1 施工期环境保护措施</w:t>
            </w:r>
          </w:p>
          <w:p>
            <w:pPr>
              <w:pStyle w:val="34"/>
              <w:ind w:firstLine="482"/>
              <w:rPr>
                <w:rFonts w:eastAsiaTheme="minorEastAsia"/>
                <w:b/>
                <w:szCs w:val="24"/>
              </w:rPr>
            </w:pPr>
            <w:r>
              <w:rPr>
                <w:rFonts w:eastAsiaTheme="minorEastAsia"/>
                <w:b/>
                <w:szCs w:val="24"/>
              </w:rPr>
              <w:t>4.1.1 施工期废气污染防治措施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项目施工期拟采取的扬尘防治措施主要包括：</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ascii="宋体" w:hAnsi="Times New Roman" w:eastAsia="宋体"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ascii="宋体" w:hAnsi="Times New Roman" w:eastAsia="宋体"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尽量避免在大风天气下进行施工作业。根据同类项目工程经验，4级以上大风天气不宜实施土方施工；</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ascii="宋体" w:hAnsi="Times New Roman" w:eastAsia="宋体" w:cs="Times New Roman"/>
                <w:sz w:val="24"/>
                <w:szCs w:val="24"/>
              </w:rPr>
              <w:t>③</w:t>
            </w:r>
            <w:r>
              <w:rPr>
                <w:rFonts w:ascii="Times New Roman" w:hAnsi="Times New Roman" w:cs="Times New Roman"/>
                <w:sz w:val="24"/>
                <w:szCs w:val="24"/>
              </w:rPr>
              <w:fldChar w:fldCharType="end"/>
            </w:r>
            <w:r>
              <w:rPr>
                <w:rFonts w:ascii="Times New Roman" w:hAnsi="Times New Roman" w:cs="Times New Roman"/>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（1）建设单位相关要求</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①</w:t>
            </w:r>
            <w:r>
              <w:rPr>
                <w:rFonts w:ascii="Times New Roman" w:hAnsi="Times New Roman" w:cs="Times New Roman"/>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②</w:t>
            </w:r>
            <w:r>
              <w:rPr>
                <w:rFonts w:ascii="Times New Roman" w:hAnsi="Times New Roman" w:cs="Times New Roman"/>
                <w:sz w:val="24"/>
                <w:szCs w:val="24"/>
              </w:rPr>
              <w:t>督促施工单位按规定做好工地现场PM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监测、视频监控等扬尘信息化监管设备的安装、使用、维护工作，工地现场PM</w:t>
            </w:r>
            <w:r>
              <w:rPr>
                <w:rFonts w:ascii="Times New Roman" w:hAnsi="Times New Roman" w:cs="Times New Roman"/>
                <w:sz w:val="24"/>
                <w:szCs w:val="24"/>
                <w:vertAlign w:val="subscript"/>
              </w:rPr>
              <w:t>10</w:t>
            </w:r>
            <w:r>
              <w:rPr>
                <w:rFonts w:ascii="Times New Roman" w:hAnsi="Times New Roman" w:cs="Times New Roman"/>
                <w:sz w:val="24"/>
                <w:szCs w:val="24"/>
              </w:rPr>
              <w:t>浓度达到规定的临界值时，督促施工单位采取相应的应急措施；</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③</w:t>
            </w:r>
            <w:r>
              <w:rPr>
                <w:rFonts w:ascii="Times New Roman" w:hAnsi="Times New Roman" w:cs="Times New Roman"/>
                <w:sz w:val="24"/>
                <w:szCs w:val="24"/>
              </w:rPr>
              <w:t>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（2）施工单位相关要求</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①</w:t>
            </w:r>
            <w:r>
              <w:rPr>
                <w:rFonts w:ascii="Times New Roman" w:hAnsi="Times New Roman" w:cs="Times New Roman"/>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②</w:t>
            </w:r>
            <w:r>
              <w:rPr>
                <w:rFonts w:ascii="Times New Roman" w:hAnsi="Times New Roman" w:cs="Times New Roman"/>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③</w:t>
            </w:r>
            <w:r>
              <w:rPr>
                <w:rFonts w:ascii="Times New Roman" w:hAnsi="Times New Roman" w:cs="Times New Roman"/>
                <w:sz w:val="24"/>
                <w:szCs w:val="24"/>
              </w:rPr>
              <w:t>按规定做好工地现场PM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监测、视频监控等扬尘信息化监管设备的安装、使用、维护工作，现场PM</w:t>
            </w:r>
            <w:r>
              <w:rPr>
                <w:rFonts w:ascii="Times New Roman" w:hAnsi="Times New Roman" w:cs="Times New Roman"/>
                <w:sz w:val="24"/>
                <w:szCs w:val="24"/>
                <w:vertAlign w:val="subscript"/>
              </w:rPr>
              <w:t>10</w:t>
            </w:r>
            <w:r>
              <w:rPr>
                <w:rFonts w:ascii="Times New Roman" w:hAnsi="Times New Roman" w:cs="Times New Roman"/>
                <w:sz w:val="24"/>
                <w:szCs w:val="24"/>
              </w:rPr>
              <w:t>浓度超过60时，立即采取洒水降尘+喷雾降尘等综合降尘措施，12h平均PM</w:t>
            </w:r>
            <w:r>
              <w:rPr>
                <w:rFonts w:ascii="Times New Roman" w:hAnsi="Times New Roman" w:cs="Times New Roman"/>
                <w:sz w:val="24"/>
                <w:szCs w:val="24"/>
                <w:vertAlign w:val="subscript"/>
              </w:rPr>
              <w:t>10</w:t>
            </w:r>
            <w:r>
              <w:rPr>
                <w:rFonts w:ascii="Times New Roman" w:hAnsi="Times New Roman" w:cs="Times New Roman"/>
                <w:sz w:val="24"/>
                <w:szCs w:val="24"/>
              </w:rPr>
              <w:t>浓度超过100时，必须停工整改、加强综合降尘措施；</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④</w:t>
            </w:r>
            <w:r>
              <w:rPr>
                <w:rFonts w:ascii="Times New Roman" w:hAnsi="Times New Roman" w:cs="Times New Roman"/>
                <w:sz w:val="24"/>
                <w:szCs w:val="24"/>
              </w:rPr>
              <w:t>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⑤</w:t>
            </w:r>
            <w:r>
              <w:rPr>
                <w:rFonts w:ascii="Times New Roman" w:hAnsi="Times New Roman" w:cs="Times New Roman"/>
                <w:sz w:val="24"/>
                <w:szCs w:val="24"/>
              </w:rPr>
              <w:t>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（3）监理单位</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①</w:t>
            </w:r>
            <w:r>
              <w:rPr>
                <w:rFonts w:ascii="Times New Roman" w:hAnsi="Times New Roman" w:cs="Times New Roman"/>
                <w:sz w:val="24"/>
                <w:szCs w:val="24"/>
              </w:rPr>
              <w:t>在监理规划、监理实施细则中建立完善的建筑工地扬尘污染防治监理制度、台帐管理制度并严格按要求开展监理工作；</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②</w:t>
            </w:r>
            <w:r>
              <w:rPr>
                <w:rFonts w:ascii="Times New Roman" w:hAnsi="Times New Roman" w:cs="Times New Roman"/>
                <w:sz w:val="24"/>
                <w:szCs w:val="24"/>
              </w:rPr>
              <w:t>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③</w:t>
            </w:r>
            <w:r>
              <w:rPr>
                <w:rFonts w:ascii="Times New Roman" w:hAnsi="Times New Roman" w:cs="Times New Roman"/>
                <w:sz w:val="24"/>
                <w:szCs w:val="24"/>
              </w:rPr>
              <w:t>监督施工单位做好工地现场PM</w:t>
            </w:r>
            <w:r>
              <w:rPr>
                <w:rFonts w:ascii="Times New Roman" w:hAnsi="Times New Roman" w:cs="Times New Roman"/>
                <w:sz w:val="24"/>
                <w:szCs w:val="24"/>
                <w:vertAlign w:val="subscript"/>
              </w:rPr>
              <w:t>10</w:t>
            </w:r>
            <w:r>
              <w:rPr>
                <w:rFonts w:ascii="Times New Roman" w:hAnsi="Times New Roman" w:cs="Times New Roman"/>
                <w:sz w:val="24"/>
                <w:szCs w:val="24"/>
              </w:rPr>
              <w:t>监测、视频监控等扬尘信息化监管设备的安装、使用、维护工作，现场PM</w:t>
            </w:r>
            <w:r>
              <w:rPr>
                <w:rFonts w:ascii="Times New Roman" w:hAnsi="Times New Roman" w:cs="Times New Roman"/>
                <w:sz w:val="24"/>
                <w:szCs w:val="24"/>
                <w:vertAlign w:val="subscript"/>
              </w:rPr>
              <w:t>10</w:t>
            </w:r>
            <w:r>
              <w:rPr>
                <w:rFonts w:ascii="Times New Roman" w:hAnsi="Times New Roman" w:cs="Times New Roman"/>
                <w:sz w:val="24"/>
                <w:szCs w:val="24"/>
              </w:rPr>
              <w:t>浓度超过临界值时，督促施工单位及时采取应急措施；</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④</w:t>
            </w:r>
            <w:r>
              <w:rPr>
                <w:rFonts w:ascii="Times New Roman" w:hAnsi="Times New Roman" w:cs="Times New Roman"/>
                <w:sz w:val="24"/>
                <w:szCs w:val="24"/>
              </w:rPr>
              <w:t>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⑤</w:t>
            </w:r>
            <w:r>
              <w:rPr>
                <w:rFonts w:ascii="Times New Roman" w:hAnsi="Times New Roman" w:cs="Times New Roman"/>
                <w:sz w:val="24"/>
                <w:szCs w:val="24"/>
              </w:rPr>
              <w:t>对施工单位扬尘污染防治工作不到位的，予以责令整改，拒不整改或整改不到位的及时上报建设单位和项目监督机构。</w:t>
            </w:r>
          </w:p>
          <w:p>
            <w:pPr>
              <w:pStyle w:val="34"/>
              <w:ind w:firstLine="482"/>
              <w:rPr>
                <w:rFonts w:eastAsiaTheme="minorEastAsia"/>
                <w:b/>
                <w:szCs w:val="24"/>
              </w:rPr>
            </w:pPr>
            <w:r>
              <w:rPr>
                <w:rFonts w:eastAsiaTheme="minorEastAsia"/>
                <w:b/>
                <w:szCs w:val="24"/>
              </w:rPr>
              <w:t>4.1.2 施工期废水污染防治措施</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①</w:t>
            </w:r>
            <w:r>
              <w:rPr>
                <w:rFonts w:ascii="Times New Roman" w:hAnsi="Times New Roman" w:cs="Times New Roman"/>
                <w:sz w:val="24"/>
                <w:szCs w:val="24"/>
              </w:rPr>
              <w:t>施工废水通过施工场地的临时沉淀池沉淀处理后，回用于施工场地洒水降尘，不外排。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②施工期施工人员不在项目区食宿，生活污水仅为洗手污水，施工生活污水通过施工场地的临时沉淀池沉淀处理后，回用于施工场地洒水降尘，不外排。</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项目在雨季施工时容易造成局部水土流失，施工场地雨天产生的地表径流与施工期间天气状况有较大的关系，难以定量分析。该部分废水含有泥沙，直接外排会使周围水体的悬浮物含量增加，甚至还会阻塞排水管网。针对施工地表径流，拟采取措施如下：施工期应按在施工场地内设置临时截洪沟，引排施工场地雨天产生的地表径流水，施工场地地表径流经施工废水沉淀池沉淀后回用，可减少径流水对项目区域地表水体水质的污染。</w:t>
            </w:r>
          </w:p>
          <w:p>
            <w:pPr>
              <w:pStyle w:val="34"/>
              <w:ind w:firstLine="482"/>
              <w:rPr>
                <w:rFonts w:eastAsiaTheme="minorEastAsia"/>
                <w:b/>
                <w:szCs w:val="24"/>
              </w:rPr>
            </w:pPr>
            <w:r>
              <w:rPr>
                <w:rFonts w:eastAsiaTheme="minorEastAsia"/>
                <w:b/>
                <w:szCs w:val="24"/>
              </w:rPr>
              <w:t>4.1.3 施工期噪声污染防治措施</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①</w:t>
            </w:r>
            <w:r>
              <w:rPr>
                <w:rFonts w:ascii="Times New Roman" w:hAnsi="Times New Roman" w:cs="Times New Roman"/>
                <w:sz w:val="24"/>
                <w:szCs w:val="24"/>
              </w:rPr>
              <w:t>加强施工期的操作规范；</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②</w:t>
            </w:r>
            <w:r>
              <w:rPr>
                <w:rFonts w:ascii="Times New Roman" w:hAnsi="Times New Roman" w:cs="Times New Roman"/>
                <w:sz w:val="24"/>
                <w:szCs w:val="24"/>
              </w:rPr>
              <w:t>运输车辆进出施工场地时应控制车速，禁止鸣笛，减少车辆在施工场地的停留时间，减小运输噪声对环境的影响；</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③</w:t>
            </w:r>
            <w:r>
              <w:rPr>
                <w:rFonts w:ascii="Times New Roman" w:hAnsi="Times New Roman" w:cs="Times New Roman"/>
                <w:sz w:val="24"/>
                <w:szCs w:val="24"/>
              </w:rPr>
              <w:t>加强与周围居民的沟通，避免扰民事件发生。</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④</w:t>
            </w:r>
            <w:r>
              <w:rPr>
                <w:rFonts w:ascii="Times New Roman" w:hAnsi="Times New Roman" w:cs="Times New Roman"/>
                <w:sz w:val="24"/>
                <w:szCs w:val="24"/>
              </w:rPr>
              <w:t>合理安排施工工序及时间，禁止夜间施工。</w:t>
            </w:r>
          </w:p>
          <w:p>
            <w:pPr>
              <w:pStyle w:val="34"/>
              <w:ind w:firstLine="482"/>
              <w:rPr>
                <w:rFonts w:eastAsiaTheme="minorEastAsia"/>
                <w:b/>
                <w:szCs w:val="24"/>
              </w:rPr>
            </w:pPr>
            <w:r>
              <w:rPr>
                <w:rFonts w:eastAsiaTheme="minorEastAsia"/>
                <w:b/>
                <w:szCs w:val="24"/>
              </w:rPr>
              <w:t>4.1.4 施工期固体废物污染防治措施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项目施工期产生的固体废弃物主要包括建筑垃圾、废土石方和施工人员产生的生活垃圾。主要采取的施工固废防治措施如下：</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①</w:t>
            </w:r>
            <w:r>
              <w:rPr>
                <w:rFonts w:ascii="Times New Roman" w:hAnsi="Times New Roman" w:cs="Times New Roman"/>
                <w:sz w:val="24"/>
                <w:szCs w:val="24"/>
              </w:rPr>
              <w:t>建设垃圾包括混凝土块、废木材、废钢材等，严格按照</w:t>
            </w:r>
            <w:r>
              <w:rPr>
                <w:rFonts w:ascii="Times New Roman" w:hAnsi="Times New Roman" w:cs="Times New Roman"/>
              </w:rPr>
              <w:t>相关部门</w:t>
            </w:r>
            <w:r>
              <w:rPr>
                <w:rFonts w:ascii="Times New Roman" w:hAnsi="Times New Roman" w:cs="Times New Roman"/>
                <w:sz w:val="24"/>
                <w:szCs w:val="24"/>
              </w:rPr>
              <w:t>的要求，对其进行分类收集，其中废钢材收集后外售废品收购站，其他不能回收部分运至管理部门指定地点进行合理处置。</w:t>
            </w:r>
          </w:p>
          <w:p>
            <w:pPr>
              <w:spacing w:line="360" w:lineRule="auto"/>
              <w:ind w:firstLine="480" w:firstLineChars="200"/>
              <w:rPr>
                <w:rFonts w:ascii="Times New Roman" w:hAnsi="Times New Roman" w:cs="Times New Roman"/>
                <w:sz w:val="24"/>
                <w:szCs w:val="24"/>
              </w:rPr>
            </w:pPr>
            <w:r>
              <w:rPr>
                <w:rFonts w:ascii="宋体" w:hAnsi="Times New Roman" w:eastAsia="宋体" w:cs="Times New Roman"/>
                <w:sz w:val="24"/>
                <w:szCs w:val="24"/>
              </w:rPr>
              <w:t>②</w:t>
            </w:r>
            <w:r>
              <w:rPr>
                <w:rFonts w:ascii="Times New Roman" w:hAnsi="Times New Roman" w:cs="Times New Roman"/>
                <w:sz w:val="24"/>
                <w:szCs w:val="24"/>
              </w:rPr>
              <w:t>产生的少量废土石方直接用于场地低洼处平整。</w:t>
            </w:r>
          </w:p>
          <w:p>
            <w:pPr>
              <w:spacing w:line="360" w:lineRule="auto"/>
              <w:ind w:firstLine="480" w:firstLineChars="200"/>
              <w:rPr>
                <w:rFonts w:ascii="Times New Roman" w:hAnsi="Times New Roman" w:cs="Times New Roman"/>
                <w:bCs/>
              </w:rPr>
            </w:pPr>
            <w:r>
              <w:rPr>
                <w:rFonts w:ascii="宋体" w:hAnsi="Times New Roman" w:eastAsia="宋体" w:cs="Times New Roman"/>
                <w:sz w:val="24"/>
                <w:szCs w:val="24"/>
              </w:rPr>
              <w:t>③</w:t>
            </w:r>
            <w:r>
              <w:rPr>
                <w:rFonts w:ascii="Times New Roman" w:hAnsi="Times New Roman" w:cs="Times New Roman"/>
                <w:sz w:val="24"/>
                <w:szCs w:val="24"/>
              </w:rPr>
              <w:t>生活垃圾委托环卫部门清运处置。</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运营期环境影响和保护措施</w:t>
            </w:r>
          </w:p>
        </w:tc>
        <w:tc>
          <w:tcPr>
            <w:tcW w:w="8831" w:type="dxa"/>
            <w:tcBorders>
              <w:bottom w:val="single" w:color="auto" w:sz="4" w:space="0"/>
            </w:tcBorders>
            <w:vAlign w:val="center"/>
          </w:tcPr>
          <w:p>
            <w:pPr>
              <w:autoSpaceDE w:val="0"/>
              <w:autoSpaceDN w:val="0"/>
              <w:spacing w:line="360" w:lineRule="auto"/>
              <w:ind w:firstLine="241" w:firstLineChars="100"/>
              <w:rPr>
                <w:rFonts w:ascii="Times New Roman" w:hAnsi="Times New Roman" w:cs="Times New Roman"/>
                <w:b/>
                <w:sz w:val="24"/>
                <w:szCs w:val="24"/>
              </w:rPr>
            </w:pPr>
            <w:r>
              <w:rPr>
                <w:rFonts w:ascii="Times New Roman" w:hAnsi="Times New Roman" w:cs="Times New Roman"/>
                <w:b/>
                <w:sz w:val="24"/>
                <w:szCs w:val="24"/>
              </w:rPr>
              <w:t>4.2 运营期环境影响和保护措施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4.2.1 运营期废气环境影响和保护措施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（1）废气污染物污染防治措施及达标性分析</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①废气污染物治理措施及排放方式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根据《大气环境影响专项评价》中污染源分析可知，项目废气污染物排放源的治理措施及排放方式如下表所示。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表4.2.1-1 废气污染物治理措施及排放方式一览表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0"/>
              <w:gridCol w:w="490"/>
              <w:gridCol w:w="851"/>
              <w:gridCol w:w="3969"/>
              <w:gridCol w:w="708"/>
              <w:gridCol w:w="709"/>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60" w:type="dxa"/>
                  <w:gridSpan w:val="2"/>
                  <w:vAlign w:val="center"/>
                </w:tcPr>
                <w:p>
                  <w:pPr>
                    <w:pStyle w:val="26"/>
                    <w:spacing w:line="360" w:lineRule="exact"/>
                    <w:rPr>
                      <w:color w:val="auto"/>
                      <w:szCs w:val="21"/>
                    </w:rPr>
                  </w:pPr>
                  <w:r>
                    <w:rPr>
                      <w:color w:val="auto"/>
                      <w:szCs w:val="21"/>
                    </w:rPr>
                    <w:t>产排污环节</w:t>
                  </w:r>
                </w:p>
              </w:tc>
              <w:tc>
                <w:tcPr>
                  <w:tcW w:w="851" w:type="dxa"/>
                  <w:vAlign w:val="center"/>
                </w:tcPr>
                <w:p>
                  <w:pPr>
                    <w:pStyle w:val="26"/>
                    <w:spacing w:line="360" w:lineRule="exact"/>
                    <w:rPr>
                      <w:color w:val="auto"/>
                      <w:szCs w:val="21"/>
                    </w:rPr>
                  </w:pPr>
                  <w:r>
                    <w:rPr>
                      <w:color w:val="auto"/>
                      <w:szCs w:val="21"/>
                    </w:rPr>
                    <w:t>污染物种类</w:t>
                  </w:r>
                </w:p>
              </w:tc>
              <w:tc>
                <w:tcPr>
                  <w:tcW w:w="3969" w:type="dxa"/>
                  <w:vAlign w:val="center"/>
                </w:tcPr>
                <w:p>
                  <w:pPr>
                    <w:pStyle w:val="26"/>
                    <w:spacing w:line="360" w:lineRule="exact"/>
                    <w:rPr>
                      <w:color w:val="auto"/>
                      <w:szCs w:val="21"/>
                    </w:rPr>
                  </w:pPr>
                  <w:r>
                    <w:rPr>
                      <w:color w:val="auto"/>
                      <w:szCs w:val="21"/>
                    </w:rPr>
                    <w:t>治理设施及效率</w:t>
                  </w:r>
                </w:p>
              </w:tc>
              <w:tc>
                <w:tcPr>
                  <w:tcW w:w="708"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eastAsia="宋体" w:cs="Times New Roman"/>
                      <w:bCs/>
                      <w:snapToGrid w:val="0"/>
                      <w:kern w:val="32"/>
                      <w:lang w:val="zh-CN"/>
                    </w:rPr>
                    <w:t>排放形式</w:t>
                  </w:r>
                </w:p>
              </w:tc>
              <w:tc>
                <w:tcPr>
                  <w:tcW w:w="1917" w:type="dxa"/>
                  <w:gridSpan w:val="2"/>
                  <w:vAlign w:val="center"/>
                </w:tcPr>
                <w:p>
                  <w:pPr>
                    <w:pStyle w:val="26"/>
                    <w:spacing w:line="360" w:lineRule="exact"/>
                    <w:rPr>
                      <w:color w:val="auto"/>
                      <w:szCs w:val="21"/>
                    </w:rPr>
                  </w:pPr>
                  <w:r>
                    <w:rPr>
                      <w:color w:val="auto"/>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restart"/>
                  <w:vAlign w:val="center"/>
                </w:tcPr>
                <w:p>
                  <w:pPr>
                    <w:pStyle w:val="26"/>
                    <w:spacing w:line="360" w:lineRule="exact"/>
                    <w:rPr>
                      <w:color w:val="auto"/>
                      <w:szCs w:val="21"/>
                    </w:rPr>
                  </w:pPr>
                  <w:r>
                    <w:rPr>
                      <w:color w:val="auto"/>
                      <w:szCs w:val="21"/>
                    </w:rPr>
                    <w:t>火化工序</w:t>
                  </w:r>
                </w:p>
              </w:tc>
              <w:tc>
                <w:tcPr>
                  <w:tcW w:w="490" w:type="dxa"/>
                  <w:vMerge w:val="restart"/>
                  <w:vAlign w:val="center"/>
                </w:tcPr>
                <w:p>
                  <w:pPr>
                    <w:pStyle w:val="26"/>
                    <w:spacing w:line="360" w:lineRule="exact"/>
                    <w:rPr>
                      <w:color w:val="auto"/>
                      <w:szCs w:val="21"/>
                    </w:rPr>
                  </w:pPr>
                  <w:r>
                    <w:rPr>
                      <w:color w:val="auto"/>
                      <w:szCs w:val="21"/>
                    </w:rPr>
                    <w:t>火化机</w:t>
                  </w:r>
                </w:p>
              </w:tc>
              <w:tc>
                <w:tcPr>
                  <w:tcW w:w="851" w:type="dxa"/>
                  <w:vMerge w:val="restart"/>
                  <w:vAlign w:val="center"/>
                </w:tcPr>
                <w:p>
                  <w:pPr>
                    <w:pStyle w:val="26"/>
                    <w:spacing w:line="360" w:lineRule="exact"/>
                    <w:rPr>
                      <w:color w:val="auto"/>
                      <w:szCs w:val="21"/>
                    </w:rPr>
                  </w:pPr>
                  <w:r>
                    <w:rPr>
                      <w:color w:val="auto"/>
                      <w:szCs w:val="21"/>
                    </w:rPr>
                    <w:t>烟气量、烟尘、SO</w:t>
                  </w:r>
                  <w:r>
                    <w:rPr>
                      <w:color w:val="auto"/>
                      <w:szCs w:val="21"/>
                      <w:vertAlign w:val="subscript"/>
                    </w:rPr>
                    <w:t>2</w:t>
                  </w:r>
                  <w:r>
                    <w:rPr>
                      <w:color w:val="auto"/>
                      <w:szCs w:val="21"/>
                    </w:rPr>
                    <w:t>、NOx、CO、HCl、汞、二噁英</w:t>
                  </w:r>
                </w:p>
              </w:tc>
              <w:tc>
                <w:tcPr>
                  <w:tcW w:w="3969" w:type="dxa"/>
                  <w:vMerge w:val="restart"/>
                  <w:vAlign w:val="center"/>
                </w:tcPr>
                <w:p>
                  <w:pPr>
                    <w:pStyle w:val="26"/>
                    <w:spacing w:line="360" w:lineRule="exact"/>
                    <w:ind w:firstLine="210" w:firstLineChars="100"/>
                    <w:jc w:val="both"/>
                    <w:rPr>
                      <w:color w:val="auto"/>
                      <w:szCs w:val="21"/>
                    </w:rPr>
                  </w:pPr>
                  <w:r>
                    <w:rPr>
                      <w:rFonts w:eastAsiaTheme="minorEastAsia"/>
                      <w:color w:val="auto"/>
                      <w:szCs w:val="24"/>
                    </w:rPr>
                    <w:t>项目拟每两套火化机配套设置1台火化机尾气处理装置对火化机废气进行处理，处理后通过1根12m、Ф0.48m，编号为（DA001）的排气筒外排。该火化机尾气处理装置采用全干法双脉冲处理工艺，内置高效降温器+初级除尘器+脱酸脱硫二噁英喷射装置+布袋除尘器+活性炭吸附器，烟尘去除率可达到99%、SO</w:t>
                  </w:r>
                  <w:r>
                    <w:rPr>
                      <w:rFonts w:eastAsiaTheme="minorEastAsia"/>
                      <w:color w:val="auto"/>
                      <w:szCs w:val="24"/>
                      <w:vertAlign w:val="subscript"/>
                    </w:rPr>
                    <w:t>2</w:t>
                  </w:r>
                  <w:r>
                    <w:rPr>
                      <w:rFonts w:eastAsiaTheme="minorEastAsia"/>
                      <w:color w:val="auto"/>
                      <w:szCs w:val="24"/>
                    </w:rPr>
                    <w:t>去除率可达到80%、CO去除率可达到35.3%、HCl去除率可达到78.7%、汞去除效率可达到80%、二噁英去除率可达到62.2%。每台火化机尾气处理装置的处理风量为5000m³/h，合计处理风量为10000m³/h。</w:t>
                  </w:r>
                </w:p>
              </w:tc>
              <w:tc>
                <w:tcPr>
                  <w:tcW w:w="708" w:type="dxa"/>
                  <w:vMerge w:val="restart"/>
                  <w:vAlign w:val="center"/>
                </w:tcPr>
                <w:p>
                  <w:pPr>
                    <w:pStyle w:val="26"/>
                    <w:spacing w:line="360" w:lineRule="exact"/>
                    <w:rPr>
                      <w:color w:val="auto"/>
                      <w:szCs w:val="21"/>
                    </w:rPr>
                  </w:pPr>
                  <w:r>
                    <w:rPr>
                      <w:color w:val="auto"/>
                      <w:szCs w:val="21"/>
                    </w:rPr>
                    <w:t>有组织</w:t>
                  </w:r>
                </w:p>
              </w:tc>
              <w:tc>
                <w:tcPr>
                  <w:tcW w:w="1917" w:type="dxa"/>
                  <w:gridSpan w:val="2"/>
                  <w:vAlign w:val="center"/>
                </w:tcPr>
                <w:p>
                  <w:pPr>
                    <w:pStyle w:val="26"/>
                    <w:spacing w:line="360" w:lineRule="exact"/>
                    <w:rPr>
                      <w:color w:val="auto"/>
                      <w:szCs w:val="21"/>
                    </w:rPr>
                  </w:pPr>
                  <w:r>
                    <w:rPr>
                      <w:color w:val="auto"/>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高度</w:t>
                  </w:r>
                </w:p>
              </w:tc>
              <w:tc>
                <w:tcPr>
                  <w:tcW w:w="1208" w:type="dxa"/>
                  <w:vAlign w:val="center"/>
                </w:tcPr>
                <w:p>
                  <w:pPr>
                    <w:pStyle w:val="26"/>
                    <w:spacing w:line="360" w:lineRule="exact"/>
                    <w:rPr>
                      <w:color w:val="auto"/>
                      <w:szCs w:val="21"/>
                    </w:rPr>
                  </w:pPr>
                  <w:r>
                    <w:rPr>
                      <w:color w:val="auto"/>
                      <w:szCs w:val="21"/>
                    </w:rPr>
                    <w:t>12m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内径</w:t>
                  </w:r>
                </w:p>
              </w:tc>
              <w:tc>
                <w:tcPr>
                  <w:tcW w:w="1208" w:type="dxa"/>
                  <w:vAlign w:val="center"/>
                </w:tcPr>
                <w:p>
                  <w:pPr>
                    <w:pStyle w:val="26"/>
                    <w:spacing w:line="360" w:lineRule="exact"/>
                    <w:rPr>
                      <w:color w:val="auto"/>
                      <w:szCs w:val="21"/>
                    </w:rPr>
                  </w:pPr>
                  <w:r>
                    <w:rPr>
                      <w:color w:val="auto"/>
                      <w:szCs w:val="21"/>
                    </w:rPr>
                    <w:t>0.48m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温度</w:t>
                  </w:r>
                </w:p>
              </w:tc>
              <w:tc>
                <w:tcPr>
                  <w:tcW w:w="1208" w:type="dxa"/>
                  <w:vAlign w:val="center"/>
                </w:tcPr>
                <w:p>
                  <w:pPr>
                    <w:pStyle w:val="26"/>
                    <w:spacing w:line="360" w:lineRule="exact"/>
                    <w:rPr>
                      <w:color w:val="auto"/>
                      <w:szCs w:val="21"/>
                    </w:rPr>
                  </w:pPr>
                  <w:r>
                    <w:rPr>
                      <w:color w:val="auto"/>
                      <w:szCs w:val="21"/>
                    </w:rPr>
                    <w:t>60-100</w:t>
                  </w:r>
                  <w:r>
                    <w:fldChar w:fldCharType="begin"/>
                  </w:r>
                  <w:r>
                    <w:instrText xml:space="preserve"> HYPERLINK "https://www.so.com/s?q=%E2%84%83&amp;psid=124f801495110ace532d8ceba47f0c03&amp;eci=&amp;nlpv=zzdt_pcco&amp;src=pdr_guide_3.2" \t "_blank" </w:instrText>
                  </w:r>
                  <w:r>
                    <w:fldChar w:fldCharType="separate"/>
                  </w:r>
                  <w:r>
                    <w:rPr>
                      <w:rFonts w:ascii="宋体"/>
                      <w:color w:val="auto"/>
                      <w:szCs w:val="21"/>
                    </w:rPr>
                    <w:t>℃</w:t>
                  </w:r>
                  <w:r>
                    <w:rPr>
                      <w:rFonts w:ascii="宋体"/>
                      <w:color w:val="auto"/>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编号</w:t>
                  </w:r>
                </w:p>
              </w:tc>
              <w:tc>
                <w:tcPr>
                  <w:tcW w:w="1208" w:type="dxa"/>
                  <w:vAlign w:val="center"/>
                </w:tcPr>
                <w:p>
                  <w:pPr>
                    <w:pStyle w:val="26"/>
                    <w:spacing w:line="360" w:lineRule="exact"/>
                    <w:rPr>
                      <w:color w:val="auto"/>
                      <w:szCs w:val="21"/>
                    </w:rPr>
                  </w:pPr>
                  <w:r>
                    <w:rPr>
                      <w:color w:val="auto"/>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类型</w:t>
                  </w:r>
                </w:p>
              </w:tc>
              <w:tc>
                <w:tcPr>
                  <w:tcW w:w="1208" w:type="dxa"/>
                  <w:vAlign w:val="center"/>
                </w:tcPr>
                <w:p>
                  <w:pPr>
                    <w:pStyle w:val="26"/>
                    <w:spacing w:line="360" w:lineRule="exact"/>
                    <w:rPr>
                      <w:color w:val="auto"/>
                      <w:szCs w:val="21"/>
                    </w:rPr>
                  </w:pP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坐标</w:t>
                  </w:r>
                </w:p>
              </w:tc>
              <w:tc>
                <w:tcPr>
                  <w:tcW w:w="1208" w:type="dxa"/>
                  <w:vAlign w:val="center"/>
                </w:tcPr>
                <w:p>
                  <w:pPr>
                    <w:pStyle w:val="26"/>
                    <w:spacing w:line="360" w:lineRule="exact"/>
                    <w:rPr>
                      <w:color w:val="auto"/>
                      <w:szCs w:val="21"/>
                    </w:rPr>
                  </w:pPr>
                  <w:r>
                    <w:rPr>
                      <w:color w:val="auto"/>
                      <w:szCs w:val="21"/>
                    </w:rPr>
                    <w:t>E103.14983、N26.133417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restart"/>
                  <w:vAlign w:val="center"/>
                </w:tcPr>
                <w:p>
                  <w:pPr>
                    <w:pStyle w:val="26"/>
                    <w:spacing w:line="360" w:lineRule="exact"/>
                    <w:rPr>
                      <w:color w:val="auto"/>
                      <w:szCs w:val="21"/>
                    </w:rPr>
                  </w:pPr>
                  <w:r>
                    <w:rPr>
                      <w:color w:val="auto"/>
                      <w:szCs w:val="21"/>
                    </w:rPr>
                    <w:t>遗物焚烧工序</w:t>
                  </w:r>
                </w:p>
              </w:tc>
              <w:tc>
                <w:tcPr>
                  <w:tcW w:w="490" w:type="dxa"/>
                  <w:vMerge w:val="restart"/>
                  <w:vAlign w:val="center"/>
                </w:tcPr>
                <w:p>
                  <w:pPr>
                    <w:pStyle w:val="26"/>
                    <w:spacing w:line="360" w:lineRule="exact"/>
                    <w:rPr>
                      <w:color w:val="auto"/>
                      <w:szCs w:val="21"/>
                    </w:rPr>
                  </w:pPr>
                  <w:r>
                    <w:rPr>
                      <w:color w:val="auto"/>
                      <w:szCs w:val="21"/>
                    </w:rPr>
                    <w:t>遗物焚烧炉</w:t>
                  </w:r>
                </w:p>
              </w:tc>
              <w:tc>
                <w:tcPr>
                  <w:tcW w:w="851" w:type="dxa"/>
                  <w:vMerge w:val="restart"/>
                  <w:vAlign w:val="center"/>
                </w:tcPr>
                <w:p>
                  <w:pPr>
                    <w:pStyle w:val="26"/>
                    <w:spacing w:line="360" w:lineRule="exact"/>
                    <w:rPr>
                      <w:color w:val="auto"/>
                      <w:szCs w:val="21"/>
                    </w:rPr>
                  </w:pPr>
                  <w:r>
                    <w:rPr>
                      <w:color w:val="auto"/>
                      <w:szCs w:val="21"/>
                    </w:rPr>
                    <w:t>烟气量、烟尘、SO</w:t>
                  </w:r>
                  <w:r>
                    <w:rPr>
                      <w:color w:val="auto"/>
                      <w:szCs w:val="21"/>
                      <w:vertAlign w:val="subscript"/>
                    </w:rPr>
                    <w:t>2</w:t>
                  </w:r>
                  <w:r>
                    <w:rPr>
                      <w:color w:val="auto"/>
                      <w:szCs w:val="21"/>
                    </w:rPr>
                    <w:t>、NOx、CO、HCl、汞、二噁英</w:t>
                  </w:r>
                </w:p>
              </w:tc>
              <w:tc>
                <w:tcPr>
                  <w:tcW w:w="3969" w:type="dxa"/>
                  <w:vMerge w:val="restart"/>
                  <w:vAlign w:val="center"/>
                </w:tcPr>
                <w:p>
                  <w:pPr>
                    <w:pStyle w:val="26"/>
                    <w:spacing w:line="360" w:lineRule="exact"/>
                    <w:ind w:firstLine="210" w:firstLineChars="100"/>
                    <w:jc w:val="both"/>
                    <w:rPr>
                      <w:color w:val="auto"/>
                      <w:szCs w:val="21"/>
                    </w:rPr>
                  </w:pPr>
                  <w:r>
                    <w:rPr>
                      <w:rFonts w:eastAsiaTheme="minorEastAsia"/>
                      <w:color w:val="auto"/>
                      <w:szCs w:val="24"/>
                    </w:rPr>
                    <w:t>项目拟采购1套遗物焚烧炉尾气处理装置对遗物焚烧废气进行处理，经遗物焚烧炉尾气处理装置处理后的废气通过1根12m、Ф0.30m，编号为（DA002）的排气筒外排。该遗物焚烧炉尾气处理装置采用全干法双脉冲处理工艺，内置高效降温器+初级除尘器+脱酸脱硫二噁英喷射装置+布袋除尘器+活性炭吸附器，根据该设备的设计参数，烟尘去除率可达到99%、SO2去除率可达到80%、CO去除率可达到35.3%、HCl去除率可达到78.7%、汞去除效率可达到80%、二噁英去除率可达到62.2%。遗物焚烧炉尾气处理装置的处理风量为5000m³/h。</w:t>
                  </w:r>
                </w:p>
              </w:tc>
              <w:tc>
                <w:tcPr>
                  <w:tcW w:w="708" w:type="dxa"/>
                  <w:vMerge w:val="restart"/>
                  <w:vAlign w:val="center"/>
                </w:tcPr>
                <w:p>
                  <w:pPr>
                    <w:pStyle w:val="26"/>
                    <w:spacing w:line="360" w:lineRule="exact"/>
                    <w:rPr>
                      <w:color w:val="auto"/>
                      <w:szCs w:val="21"/>
                    </w:rPr>
                  </w:pPr>
                  <w:r>
                    <w:rPr>
                      <w:color w:val="auto"/>
                      <w:szCs w:val="21"/>
                    </w:rPr>
                    <w:t>有组织</w:t>
                  </w:r>
                </w:p>
              </w:tc>
              <w:tc>
                <w:tcPr>
                  <w:tcW w:w="1917" w:type="dxa"/>
                  <w:gridSpan w:val="2"/>
                  <w:vAlign w:val="center"/>
                </w:tcPr>
                <w:p>
                  <w:pPr>
                    <w:pStyle w:val="26"/>
                    <w:spacing w:line="360" w:lineRule="exact"/>
                    <w:rPr>
                      <w:color w:val="auto"/>
                      <w:szCs w:val="21"/>
                    </w:rPr>
                  </w:pPr>
                  <w:r>
                    <w:rPr>
                      <w:color w:val="auto"/>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高度</w:t>
                  </w:r>
                </w:p>
              </w:tc>
              <w:tc>
                <w:tcPr>
                  <w:tcW w:w="1208" w:type="dxa"/>
                  <w:vAlign w:val="center"/>
                </w:tcPr>
                <w:p>
                  <w:pPr>
                    <w:pStyle w:val="26"/>
                    <w:spacing w:line="360" w:lineRule="exact"/>
                    <w:rPr>
                      <w:color w:val="auto"/>
                      <w:szCs w:val="21"/>
                    </w:rPr>
                  </w:pPr>
                  <w:r>
                    <w:rPr>
                      <w:color w:val="auto"/>
                      <w:szCs w:val="21"/>
                    </w:rPr>
                    <w:t>12m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内径</w:t>
                  </w:r>
                </w:p>
              </w:tc>
              <w:tc>
                <w:tcPr>
                  <w:tcW w:w="1208" w:type="dxa"/>
                  <w:vAlign w:val="center"/>
                </w:tcPr>
                <w:p>
                  <w:pPr>
                    <w:pStyle w:val="26"/>
                    <w:spacing w:line="360" w:lineRule="exact"/>
                    <w:rPr>
                      <w:color w:val="auto"/>
                      <w:szCs w:val="21"/>
                    </w:rPr>
                  </w:pPr>
                  <w:r>
                    <w:rPr>
                      <w:color w:val="auto"/>
                      <w:szCs w:val="21"/>
                    </w:rPr>
                    <w:t>0.30m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温度</w:t>
                  </w:r>
                </w:p>
              </w:tc>
              <w:tc>
                <w:tcPr>
                  <w:tcW w:w="1208" w:type="dxa"/>
                  <w:vAlign w:val="center"/>
                </w:tcPr>
                <w:p>
                  <w:pPr>
                    <w:pStyle w:val="26"/>
                    <w:spacing w:line="360" w:lineRule="exact"/>
                    <w:rPr>
                      <w:color w:val="auto"/>
                      <w:szCs w:val="21"/>
                    </w:rPr>
                  </w:pPr>
                  <w:r>
                    <w:rPr>
                      <w:color w:val="auto"/>
                      <w:szCs w:val="21"/>
                    </w:rPr>
                    <w:t>60-100</w:t>
                  </w:r>
                  <w:r>
                    <w:fldChar w:fldCharType="begin"/>
                  </w:r>
                  <w:r>
                    <w:instrText xml:space="preserve"> HYPERLINK "https://www.so.com/s?q=%E2%84%83&amp;psid=124f801495110ace532d8ceba47f0c03&amp;eci=&amp;nlpv=zzdt_pcco&amp;src=pdr_guide_3.2" \t "_blank" </w:instrText>
                  </w:r>
                  <w:r>
                    <w:fldChar w:fldCharType="separate"/>
                  </w:r>
                  <w:r>
                    <w:rPr>
                      <w:rFonts w:ascii="宋体"/>
                      <w:color w:val="auto"/>
                      <w:szCs w:val="21"/>
                    </w:rPr>
                    <w:t>℃</w:t>
                  </w:r>
                  <w:r>
                    <w:rPr>
                      <w:rFonts w:ascii="宋体"/>
                      <w:color w:val="auto"/>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编号</w:t>
                  </w:r>
                </w:p>
              </w:tc>
              <w:tc>
                <w:tcPr>
                  <w:tcW w:w="1208" w:type="dxa"/>
                  <w:vAlign w:val="center"/>
                </w:tcPr>
                <w:p>
                  <w:pPr>
                    <w:pStyle w:val="26"/>
                    <w:spacing w:line="360" w:lineRule="exact"/>
                    <w:rPr>
                      <w:color w:val="auto"/>
                      <w:szCs w:val="21"/>
                    </w:rPr>
                  </w:pPr>
                  <w:r>
                    <w:rPr>
                      <w:color w:val="auto"/>
                      <w:szCs w:val="21"/>
                    </w:rPr>
                    <w:t>DA002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类型</w:t>
                  </w:r>
                </w:p>
              </w:tc>
              <w:tc>
                <w:tcPr>
                  <w:tcW w:w="1208" w:type="dxa"/>
                  <w:vAlign w:val="center"/>
                </w:tcPr>
                <w:p>
                  <w:pPr>
                    <w:pStyle w:val="26"/>
                    <w:spacing w:line="360" w:lineRule="exact"/>
                    <w:rPr>
                      <w:color w:val="auto"/>
                      <w:szCs w:val="21"/>
                    </w:rPr>
                  </w:pP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Merge w:val="continue"/>
                  <w:vAlign w:val="center"/>
                </w:tcPr>
                <w:p>
                  <w:pPr>
                    <w:pStyle w:val="26"/>
                    <w:spacing w:line="360" w:lineRule="exact"/>
                    <w:rPr>
                      <w:color w:val="auto"/>
                      <w:szCs w:val="21"/>
                    </w:rPr>
                  </w:pPr>
                </w:p>
              </w:tc>
              <w:tc>
                <w:tcPr>
                  <w:tcW w:w="490" w:type="dxa"/>
                  <w:vMerge w:val="continue"/>
                  <w:vAlign w:val="center"/>
                </w:tcPr>
                <w:p>
                  <w:pPr>
                    <w:pStyle w:val="26"/>
                    <w:spacing w:line="360" w:lineRule="exact"/>
                    <w:rPr>
                      <w:color w:val="auto"/>
                      <w:szCs w:val="21"/>
                    </w:rPr>
                  </w:pPr>
                </w:p>
              </w:tc>
              <w:tc>
                <w:tcPr>
                  <w:tcW w:w="851" w:type="dxa"/>
                  <w:vMerge w:val="continue"/>
                  <w:vAlign w:val="center"/>
                </w:tcPr>
                <w:p>
                  <w:pPr>
                    <w:pStyle w:val="26"/>
                    <w:spacing w:line="360" w:lineRule="exact"/>
                    <w:rPr>
                      <w:color w:val="auto"/>
                      <w:szCs w:val="21"/>
                    </w:rPr>
                  </w:pPr>
                </w:p>
              </w:tc>
              <w:tc>
                <w:tcPr>
                  <w:tcW w:w="3969" w:type="dxa"/>
                  <w:vMerge w:val="continue"/>
                  <w:vAlign w:val="center"/>
                </w:tcPr>
                <w:p>
                  <w:pPr>
                    <w:pStyle w:val="26"/>
                    <w:spacing w:line="360" w:lineRule="exact"/>
                    <w:ind w:firstLine="210" w:firstLineChars="100"/>
                    <w:jc w:val="left"/>
                    <w:rPr>
                      <w:color w:val="auto"/>
                      <w:szCs w:val="21"/>
                    </w:rPr>
                  </w:pPr>
                </w:p>
              </w:tc>
              <w:tc>
                <w:tcPr>
                  <w:tcW w:w="708" w:type="dxa"/>
                  <w:vMerge w:val="continue"/>
                  <w:vAlign w:val="center"/>
                </w:tcPr>
                <w:p>
                  <w:pPr>
                    <w:pStyle w:val="26"/>
                    <w:spacing w:line="360" w:lineRule="exact"/>
                    <w:rPr>
                      <w:color w:val="auto"/>
                      <w:szCs w:val="21"/>
                    </w:rPr>
                  </w:pPr>
                </w:p>
              </w:tc>
              <w:tc>
                <w:tcPr>
                  <w:tcW w:w="709" w:type="dxa"/>
                  <w:vAlign w:val="center"/>
                </w:tcPr>
                <w:p>
                  <w:pPr>
                    <w:pStyle w:val="26"/>
                    <w:spacing w:line="360" w:lineRule="exact"/>
                    <w:rPr>
                      <w:color w:val="auto"/>
                      <w:szCs w:val="21"/>
                    </w:rPr>
                  </w:pPr>
                  <w:r>
                    <w:rPr>
                      <w:color w:val="auto"/>
                      <w:szCs w:val="21"/>
                    </w:rPr>
                    <w:t>坐标</w:t>
                  </w:r>
                </w:p>
              </w:tc>
              <w:tc>
                <w:tcPr>
                  <w:tcW w:w="1208" w:type="dxa"/>
                  <w:vAlign w:val="center"/>
                </w:tcPr>
                <w:p>
                  <w:pPr>
                    <w:pStyle w:val="26"/>
                    <w:spacing w:line="360" w:lineRule="exact"/>
                    <w:rPr>
                      <w:color w:val="auto"/>
                      <w:szCs w:val="21"/>
                    </w:rPr>
                  </w:pPr>
                  <w:r>
                    <w:rPr>
                      <w:color w:val="auto"/>
                      <w:szCs w:val="21"/>
                    </w:rPr>
                    <w:t>E103.150158、N26.133218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0" w:type="dxa"/>
                  <w:vAlign w:val="center"/>
                </w:tcPr>
                <w:p>
                  <w:pPr>
                    <w:pStyle w:val="26"/>
                    <w:spacing w:line="360" w:lineRule="exact"/>
                    <w:rPr>
                      <w:color w:val="auto"/>
                      <w:szCs w:val="21"/>
                    </w:rPr>
                  </w:pPr>
                  <w:r>
                    <w:rPr>
                      <w:color w:val="auto"/>
                      <w:szCs w:val="21"/>
                    </w:rPr>
                    <w:t>厨房</w:t>
                  </w:r>
                </w:p>
              </w:tc>
              <w:tc>
                <w:tcPr>
                  <w:tcW w:w="490" w:type="dxa"/>
                  <w:vAlign w:val="center"/>
                </w:tcPr>
                <w:p>
                  <w:pPr>
                    <w:pStyle w:val="26"/>
                    <w:spacing w:line="360" w:lineRule="exact"/>
                    <w:rPr>
                      <w:color w:val="auto"/>
                      <w:szCs w:val="21"/>
                    </w:rPr>
                  </w:pPr>
                  <w:r>
                    <w:rPr>
                      <w:color w:val="auto"/>
                      <w:szCs w:val="21"/>
                    </w:rPr>
                    <w:t>--</w:t>
                  </w:r>
                </w:p>
              </w:tc>
              <w:tc>
                <w:tcPr>
                  <w:tcW w:w="851" w:type="dxa"/>
                  <w:vAlign w:val="center"/>
                </w:tcPr>
                <w:p>
                  <w:pPr>
                    <w:pStyle w:val="26"/>
                    <w:spacing w:line="360" w:lineRule="exact"/>
                    <w:rPr>
                      <w:color w:val="auto"/>
                      <w:szCs w:val="21"/>
                    </w:rPr>
                  </w:pPr>
                  <w:r>
                    <w:rPr>
                      <w:color w:val="auto"/>
                      <w:szCs w:val="21"/>
                    </w:rPr>
                    <w:t>厨房油烟</w:t>
                  </w:r>
                </w:p>
              </w:tc>
              <w:tc>
                <w:tcPr>
                  <w:tcW w:w="3969" w:type="dxa"/>
                  <w:vAlign w:val="center"/>
                </w:tcPr>
                <w:p>
                  <w:pPr>
                    <w:pStyle w:val="26"/>
                    <w:spacing w:line="360" w:lineRule="exact"/>
                    <w:ind w:firstLine="210" w:firstLineChars="100"/>
                    <w:jc w:val="left"/>
                    <w:rPr>
                      <w:color w:val="auto"/>
                      <w:szCs w:val="21"/>
                    </w:rPr>
                  </w:pPr>
                  <w:r>
                    <w:rPr>
                      <w:color w:val="auto"/>
                      <w:szCs w:val="21"/>
                    </w:rPr>
                    <w:t>项目区厨房安装一个最低去除率60%的油烟净化器。</w:t>
                  </w:r>
                </w:p>
              </w:tc>
              <w:tc>
                <w:tcPr>
                  <w:tcW w:w="708" w:type="dxa"/>
                  <w:vAlign w:val="center"/>
                </w:tcPr>
                <w:p>
                  <w:pPr>
                    <w:pStyle w:val="26"/>
                    <w:spacing w:line="360" w:lineRule="exact"/>
                    <w:rPr>
                      <w:color w:val="auto"/>
                      <w:szCs w:val="21"/>
                    </w:rPr>
                  </w:pPr>
                  <w:r>
                    <w:rPr>
                      <w:color w:val="auto"/>
                      <w:szCs w:val="21"/>
                    </w:rPr>
                    <w:t>--</w:t>
                  </w:r>
                </w:p>
              </w:tc>
              <w:tc>
                <w:tcPr>
                  <w:tcW w:w="1917" w:type="dxa"/>
                  <w:gridSpan w:val="2"/>
                  <w:vAlign w:val="center"/>
                </w:tcPr>
                <w:p>
                  <w:pPr>
                    <w:pStyle w:val="26"/>
                    <w:spacing w:line="360" w:lineRule="exact"/>
                    <w:ind w:firstLine="210" w:firstLineChars="100"/>
                    <w:jc w:val="both"/>
                    <w:rPr>
                      <w:color w:val="auto"/>
                      <w:szCs w:val="21"/>
                    </w:rPr>
                  </w:pPr>
                  <w:r>
                    <w:rPr>
                      <w:rFonts w:eastAsiaTheme="minorEastAsia"/>
                      <w:color w:val="auto"/>
                      <w:szCs w:val="24"/>
                    </w:rPr>
                    <w:t>高于房顶1.5m的烟道外排</w:t>
                  </w:r>
                </w:p>
              </w:tc>
            </w:tr>
          </w:tbl>
          <w:p>
            <w:pPr>
              <w:spacing w:beforeLines="50"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废气污染物排放源产排量及达标情况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根据《大气环境影响专项评价》中污染源分析可知，项目废气污染物排放源产排量及达标情况如下表所示。</w:t>
            </w:r>
          </w:p>
          <w:p>
            <w:pPr>
              <w:jc w:val="center"/>
              <w:rPr>
                <w:rFonts w:ascii="Times New Roman" w:hAnsi="Times New Roman" w:eastAsia="宋体" w:cs="Times New Roman"/>
                <w:b/>
                <w:szCs w:val="24"/>
              </w:rPr>
            </w:pPr>
            <w:r>
              <w:rPr>
                <w:rFonts w:ascii="Times New Roman" w:hAnsi="Times New Roman" w:cs="Times New Roman"/>
                <w:b/>
                <w:szCs w:val="24"/>
              </w:rPr>
              <w:t>表</w:t>
            </w:r>
            <w:r>
              <w:rPr>
                <w:rFonts w:ascii="Times New Roman" w:hAnsi="Times New Roman" w:cs="Times New Roman"/>
                <w:b/>
              </w:rPr>
              <w:t>4.2.1-2</w:t>
            </w:r>
            <w:r>
              <w:rPr>
                <w:rFonts w:ascii="Times New Roman" w:hAnsi="Times New Roman" w:cs="Times New Roman"/>
                <w:b/>
                <w:szCs w:val="24"/>
              </w:rPr>
              <w:t xml:space="preserve">  项目污染物排放源产排量及达标情况一览表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140"/>
              <w:gridCol w:w="861"/>
              <w:gridCol w:w="1144"/>
              <w:gridCol w:w="716"/>
              <w:gridCol w:w="720"/>
              <w:gridCol w:w="1144"/>
              <w:gridCol w:w="858"/>
              <w:gridCol w:w="842"/>
              <w:gridCol w:w="6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restart"/>
                  <w:vAlign w:val="center"/>
                </w:tcPr>
                <w:p>
                  <w:pPr>
                    <w:widowControl/>
                    <w:jc w:val="center"/>
                    <w:rPr>
                      <w:rFonts w:ascii="Times New Roman" w:hAnsi="Times New Roman" w:cs="Times New Roman"/>
                      <w:kern w:val="0"/>
                    </w:rPr>
                  </w:pPr>
                  <w:r>
                    <w:rPr>
                      <w:rFonts w:ascii="Times New Roman" w:hAnsi="Times New Roman" w:cs="Times New Roman"/>
                      <w:kern w:val="0"/>
                    </w:rPr>
                    <w:t>产排污环节</w:t>
                  </w:r>
                </w:p>
              </w:tc>
              <w:tc>
                <w:tcPr>
                  <w:tcW w:w="1140" w:type="dxa"/>
                  <w:vMerge w:val="restart"/>
                  <w:vAlign w:val="center"/>
                </w:tcPr>
                <w:p>
                  <w:pPr>
                    <w:widowControl/>
                    <w:jc w:val="center"/>
                    <w:rPr>
                      <w:rFonts w:ascii="Times New Roman" w:hAnsi="Times New Roman" w:cs="Times New Roman"/>
                      <w:kern w:val="0"/>
                    </w:rPr>
                  </w:pPr>
                  <w:r>
                    <w:rPr>
                      <w:rFonts w:ascii="Times New Roman" w:hAnsi="Times New Roman" w:cs="Times New Roman"/>
                      <w:kern w:val="0"/>
                    </w:rPr>
                    <w:t>污染物种类</w:t>
                  </w:r>
                </w:p>
              </w:tc>
              <w:tc>
                <w:tcPr>
                  <w:tcW w:w="2721" w:type="dxa"/>
                  <w:gridSpan w:val="3"/>
                  <w:vAlign w:val="center"/>
                </w:tcPr>
                <w:p>
                  <w:pPr>
                    <w:widowControl/>
                    <w:jc w:val="center"/>
                    <w:rPr>
                      <w:rFonts w:ascii="Times New Roman" w:hAnsi="Times New Roman" w:cs="Times New Roman"/>
                      <w:kern w:val="0"/>
                    </w:rPr>
                  </w:pPr>
                  <w:r>
                    <w:rPr>
                      <w:rFonts w:ascii="Times New Roman" w:hAnsi="Times New Roman" w:cs="Times New Roman"/>
                      <w:kern w:val="0"/>
                    </w:rPr>
                    <w:t>污染物产生情况</w:t>
                  </w:r>
                </w:p>
              </w:tc>
              <w:tc>
                <w:tcPr>
                  <w:tcW w:w="2722" w:type="dxa"/>
                  <w:gridSpan w:val="3"/>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污染物排放量和浓度</w:t>
                  </w:r>
                </w:p>
              </w:tc>
              <w:tc>
                <w:tcPr>
                  <w:tcW w:w="842" w:type="dxa"/>
                  <w:vMerge w:val="restart"/>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排放标准mg/m³</w:t>
                  </w:r>
                </w:p>
              </w:tc>
              <w:tc>
                <w:tcPr>
                  <w:tcW w:w="646" w:type="dxa"/>
                  <w:vMerge w:val="restart"/>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continue"/>
                  <w:vAlign w:val="center"/>
                </w:tcPr>
                <w:p>
                  <w:pPr>
                    <w:widowControl/>
                    <w:jc w:val="center"/>
                    <w:rPr>
                      <w:rFonts w:ascii="Times New Roman" w:hAnsi="Times New Roman" w:cs="Times New Roman"/>
                      <w:kern w:val="0"/>
                    </w:rPr>
                  </w:pPr>
                </w:p>
              </w:tc>
              <w:tc>
                <w:tcPr>
                  <w:tcW w:w="1140" w:type="dxa"/>
                  <w:vMerge w:val="continue"/>
                  <w:vAlign w:val="center"/>
                </w:tcPr>
                <w:p>
                  <w:pPr>
                    <w:widowControl/>
                    <w:jc w:val="center"/>
                    <w:rPr>
                      <w:rFonts w:ascii="Times New Roman" w:hAnsi="Times New Roman" w:cs="Times New Roman"/>
                      <w:kern w:val="0"/>
                    </w:rPr>
                  </w:pP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产生浓度mg/m³</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产生速率kg/h</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产生量t/a</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排放浓度mg/m³</w:t>
                  </w:r>
                </w:p>
              </w:tc>
              <w:tc>
                <w:tcPr>
                  <w:tcW w:w="1144" w:type="dxa"/>
                  <w:tcBorders>
                    <w:top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排放速率kg/h</w:t>
                  </w:r>
                </w:p>
              </w:tc>
              <w:tc>
                <w:tcPr>
                  <w:tcW w:w="858" w:type="dxa"/>
                  <w:tcBorders>
                    <w:top w:val="single" w:color="auto" w:sz="4" w:space="0"/>
                    <w:lef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排放量t/a</w:t>
                  </w:r>
                </w:p>
              </w:tc>
              <w:tc>
                <w:tcPr>
                  <w:tcW w:w="842" w:type="dxa"/>
                  <w:vMerge w:val="continue"/>
                  <w:vAlign w:val="center"/>
                </w:tcPr>
                <w:p>
                  <w:pPr>
                    <w:widowControl/>
                    <w:jc w:val="center"/>
                    <w:rPr>
                      <w:rFonts w:ascii="Times New Roman" w:hAnsi="Times New Roman" w:cs="Times New Roman"/>
                      <w:kern w:val="0"/>
                    </w:rPr>
                  </w:pPr>
                </w:p>
              </w:tc>
              <w:tc>
                <w:tcPr>
                  <w:tcW w:w="646" w:type="dxa"/>
                  <w:vMerge w:val="continue"/>
                  <w:vAlign w:val="center"/>
                </w:tcPr>
                <w:p>
                  <w:pPr>
                    <w:widowControl/>
                    <w:jc w:val="center"/>
                    <w:rPr>
                      <w:rFonts w:ascii="Times New Roman" w:hAnsi="Times New Roman" w:eastAsia="宋体" w:cs="Times New Roman"/>
                      <w:kern w:val="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restart"/>
                  <w:vAlign w:val="center"/>
                </w:tcPr>
                <w:p>
                  <w:pPr>
                    <w:widowControl/>
                    <w:jc w:val="center"/>
                    <w:rPr>
                      <w:rFonts w:ascii="Times New Roman" w:hAnsi="Times New Roman" w:cs="Times New Roman"/>
                      <w:kern w:val="0"/>
                    </w:rPr>
                  </w:pPr>
                  <w:r>
                    <w:rPr>
                      <w:rFonts w:ascii="Times New Roman" w:hAnsi="Times New Roman" w:cs="Times New Roman"/>
                      <w:kern w:val="0"/>
                    </w:rPr>
                    <w:t>火化</w:t>
                  </w: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颗粒物</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24.30</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0.24</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0.38</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0.24</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0.002</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0.004</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≤30</w:t>
                  </w:r>
                </w:p>
              </w:tc>
              <w:tc>
                <w:tcPr>
                  <w:tcW w:w="646" w:type="dxa"/>
                  <w:vAlign w:val="center"/>
                </w:tcPr>
                <w:p>
                  <w:pPr>
                    <w:widowControl/>
                    <w:jc w:val="center"/>
                    <w:rPr>
                      <w:rFonts w:ascii="Times New Roman" w:hAnsi="Times New Roman" w:eastAsia="宋体" w:cs="Times New Roman"/>
                      <w:kern w:val="0"/>
                    </w:rPr>
                  </w:pPr>
                  <w:r>
                    <w:rPr>
                      <w:rFonts w:ascii="Times New Roman" w:hAnsi="Times New Roman" w:eastAsia="宋体"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continue"/>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SO</w:t>
                  </w:r>
                  <w:r>
                    <w:rPr>
                      <w:rFonts w:ascii="Times New Roman" w:hAnsi="Times New Roman" w:cs="Times New Roman"/>
                      <w:kern w:val="0"/>
                      <w:vertAlign w:val="subscript"/>
                    </w:rPr>
                    <w:t>2</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116.40</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1.16</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1.80</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23.28</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0.23</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0.36</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≤30</w:t>
                  </w:r>
                </w:p>
              </w:tc>
              <w:tc>
                <w:tcPr>
                  <w:tcW w:w="646" w:type="dxa"/>
                  <w:vAlign w:val="center"/>
                </w:tcPr>
                <w:p>
                  <w:pPr>
                    <w:widowControl/>
                    <w:jc w:val="center"/>
                    <w:rPr>
                      <w:rFonts w:ascii="Times New Roman" w:hAnsi="Times New Roman" w:cs="Times New Roman"/>
                      <w:kern w:val="0"/>
                    </w:rPr>
                  </w:pPr>
                  <w:r>
                    <w:rPr>
                      <w:rFonts w:ascii="Times New Roman" w:hAnsi="Times New Roman" w:eastAsia="宋体"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continue"/>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NOx</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19.00</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0.19</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0.29</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19.00</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0.19</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0.29</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≤30</w:t>
                  </w:r>
                </w:p>
              </w:tc>
              <w:tc>
                <w:tcPr>
                  <w:tcW w:w="646" w:type="dxa"/>
                  <w:vAlign w:val="center"/>
                </w:tcPr>
                <w:p>
                  <w:pPr>
                    <w:widowControl/>
                    <w:jc w:val="center"/>
                    <w:rPr>
                      <w:rFonts w:ascii="Times New Roman" w:hAnsi="Times New Roman" w:cs="Times New Roman"/>
                      <w:kern w:val="0"/>
                    </w:rPr>
                  </w:pPr>
                  <w:r>
                    <w:rPr>
                      <w:rFonts w:ascii="Times New Roman" w:hAnsi="Times New Roman" w:eastAsia="宋体"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continue"/>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CO</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78.15</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0.78</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1.21</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50.56</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0.51</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0.78</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≤200</w:t>
                  </w:r>
                </w:p>
              </w:tc>
              <w:tc>
                <w:tcPr>
                  <w:tcW w:w="646" w:type="dxa"/>
                  <w:vAlign w:val="center"/>
                </w:tcPr>
                <w:p>
                  <w:pPr>
                    <w:widowControl/>
                    <w:jc w:val="center"/>
                    <w:rPr>
                      <w:rFonts w:ascii="Times New Roman" w:hAnsi="Times New Roman" w:cs="Times New Roman"/>
                      <w:kern w:val="0"/>
                    </w:rPr>
                  </w:pPr>
                  <w:r>
                    <w:rPr>
                      <w:rFonts w:ascii="Times New Roman" w:hAnsi="Times New Roman" w:eastAsia="宋体"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continue"/>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HCl</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5.10</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0.05</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0.08</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1.09</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0.01</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0.02</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≤150</w:t>
                  </w:r>
                </w:p>
              </w:tc>
              <w:tc>
                <w:tcPr>
                  <w:tcW w:w="646" w:type="dxa"/>
                  <w:vAlign w:val="center"/>
                </w:tcPr>
                <w:p>
                  <w:pPr>
                    <w:widowControl/>
                    <w:jc w:val="center"/>
                    <w:rPr>
                      <w:rFonts w:ascii="Times New Roman" w:hAnsi="Times New Roman" w:cs="Times New Roman"/>
                      <w:kern w:val="0"/>
                    </w:rPr>
                  </w:pPr>
                  <w:r>
                    <w:rPr>
                      <w:rFonts w:ascii="Times New Roman" w:hAnsi="Times New Roman" w:eastAsia="宋体"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continue"/>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汞</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0.07</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6.84×10</w:t>
                  </w:r>
                  <w:r>
                    <w:rPr>
                      <w:rFonts w:ascii="Times New Roman" w:hAnsi="Times New Roman" w:cs="Times New Roman"/>
                      <w:kern w:val="0"/>
                      <w:vertAlign w:val="superscript"/>
                    </w:rPr>
                    <w:t>-6</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0.001</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0.01</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1.37×10</w:t>
                  </w:r>
                  <w:r>
                    <w:rPr>
                      <w:rFonts w:ascii="Times New Roman" w:hAnsi="Times New Roman" w:cs="Times New Roman"/>
                      <w:kern w:val="0"/>
                      <w:vertAlign w:val="superscript"/>
                    </w:rPr>
                    <w:t>-6</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0.0002</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≤30</w:t>
                  </w:r>
                </w:p>
              </w:tc>
              <w:tc>
                <w:tcPr>
                  <w:tcW w:w="646" w:type="dxa"/>
                  <w:vAlign w:val="center"/>
                </w:tcPr>
                <w:p>
                  <w:pPr>
                    <w:widowControl/>
                    <w:jc w:val="center"/>
                    <w:rPr>
                      <w:rFonts w:ascii="Times New Roman" w:hAnsi="Times New Roman" w:cs="Times New Roman"/>
                      <w:kern w:val="0"/>
                    </w:rPr>
                  </w:pPr>
                  <w:r>
                    <w:rPr>
                      <w:rFonts w:ascii="Times New Roman" w:hAnsi="Times New Roman" w:eastAsia="宋体"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Merge w:val="continue"/>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二噁英类</w:t>
                  </w:r>
                </w:p>
              </w:tc>
              <w:tc>
                <w:tcPr>
                  <w:tcW w:w="861" w:type="dxa"/>
                  <w:tcBorders>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0.36 ngTEQ/m³</w:t>
                  </w:r>
                </w:p>
              </w:tc>
              <w:tc>
                <w:tcPr>
                  <w:tcW w:w="1144" w:type="dxa"/>
                  <w:tcBorders>
                    <w:left w:val="single" w:color="auto" w:sz="4" w:space="0"/>
                    <w:right w:val="single" w:color="auto" w:sz="4" w:space="0"/>
                  </w:tcBorders>
                  <w:vAlign w:val="center"/>
                </w:tcPr>
                <w:p>
                  <w:pPr>
                    <w:jc w:val="center"/>
                    <w:rPr>
                      <w:rFonts w:ascii="Times New Roman" w:hAnsi="Times New Roman" w:cs="Times New Roman"/>
                      <w:kern w:val="0"/>
                    </w:rPr>
                  </w:pPr>
                  <w:r>
                    <w:rPr>
                      <w:rFonts w:ascii="Times New Roman" w:hAnsi="Times New Roman" w:eastAsia="宋体" w:cs="Times New Roman"/>
                      <w:kern w:val="0"/>
                    </w:rPr>
                    <w:t>3.6</w:t>
                  </w:r>
                  <w:r>
                    <w:rPr>
                      <w:rFonts w:ascii="Times New Roman" w:hAnsi="Times New Roman" w:cs="Times New Roman"/>
                      <w:kern w:val="0"/>
                    </w:rPr>
                    <w:t>×10</w:t>
                  </w:r>
                  <w:r>
                    <w:rPr>
                      <w:rFonts w:ascii="Times New Roman" w:hAnsi="Times New Roman" w:cs="Times New Roman"/>
                      <w:kern w:val="0"/>
                      <w:vertAlign w:val="superscript"/>
                    </w:rPr>
                    <w:t>-</w:t>
                  </w:r>
                  <w:r>
                    <w:rPr>
                      <w:rFonts w:hint="eastAsia" w:ascii="Times New Roman" w:hAnsi="Times New Roman" w:cs="Times New Roman"/>
                      <w:kern w:val="0"/>
                      <w:vertAlign w:val="superscript"/>
                    </w:rPr>
                    <w:t>9</w:t>
                  </w:r>
                </w:p>
              </w:tc>
              <w:tc>
                <w:tcPr>
                  <w:tcW w:w="716" w:type="dxa"/>
                  <w:tcBorders>
                    <w:left w:val="single" w:color="auto" w:sz="4" w:space="0"/>
                  </w:tcBorders>
                  <w:vAlign w:val="center"/>
                </w:tcPr>
                <w:p>
                  <w:pPr>
                    <w:jc w:val="center"/>
                    <w:rPr>
                      <w:rFonts w:ascii="Times New Roman" w:hAnsi="Times New Roman" w:cs="Times New Roman"/>
                      <w:kern w:val="0"/>
                    </w:rPr>
                  </w:pPr>
                  <w:r>
                    <w:rPr>
                      <w:rFonts w:ascii="Times New Roman" w:hAnsi="Times New Roman" w:eastAsia="宋体" w:cs="Times New Roman"/>
                      <w:kern w:val="0"/>
                    </w:rPr>
                    <w:t>5</w:t>
                  </w:r>
                  <w:r>
                    <w:rPr>
                      <w:rFonts w:hint="eastAsia" w:ascii="Times New Roman" w:hAnsi="Times New Roman" w:eastAsia="宋体" w:cs="Times New Roman"/>
                      <w:kern w:val="0"/>
                    </w:rPr>
                    <w:t>.</w:t>
                  </w:r>
                  <w:r>
                    <w:rPr>
                      <w:rFonts w:ascii="Times New Roman" w:hAnsi="Times New Roman" w:eastAsia="宋体" w:cs="Times New Roman"/>
                      <w:kern w:val="0"/>
                    </w:rPr>
                    <w:t>562</w:t>
                  </w:r>
                  <w:r>
                    <w:rPr>
                      <w:rFonts w:ascii="Times New Roman" w:hAnsi="Times New Roman" w:cs="Times New Roman"/>
                      <w:kern w:val="0"/>
                    </w:rPr>
                    <w:t>×10</w:t>
                  </w:r>
                  <w:r>
                    <w:rPr>
                      <w:rFonts w:ascii="Times New Roman" w:hAnsi="Times New Roman" w:cs="Times New Roman"/>
                      <w:kern w:val="0"/>
                      <w:vertAlign w:val="superscript"/>
                    </w:rPr>
                    <w:t>-6</w:t>
                  </w:r>
                </w:p>
              </w:tc>
              <w:tc>
                <w:tcPr>
                  <w:tcW w:w="720" w:type="dxa"/>
                  <w:tcBorders>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0.114 ngTEQ/m³</w:t>
                  </w:r>
                </w:p>
              </w:tc>
              <w:tc>
                <w:tcPr>
                  <w:tcW w:w="1144" w:type="dxa"/>
                  <w:tcBorders>
                    <w:left w:val="single" w:color="auto" w:sz="4" w:space="0"/>
                    <w:right w:val="single" w:color="auto" w:sz="4" w:space="0"/>
                  </w:tcBorders>
                  <w:vAlign w:val="center"/>
                </w:tcPr>
                <w:p>
                  <w:pPr>
                    <w:jc w:val="center"/>
                    <w:rPr>
                      <w:rFonts w:ascii="Times New Roman" w:hAnsi="Times New Roman" w:cs="Times New Roman"/>
                      <w:kern w:val="0"/>
                    </w:rPr>
                  </w:pPr>
                  <w:r>
                    <w:rPr>
                      <w:rFonts w:ascii="Times New Roman" w:hAnsi="Times New Roman" w:eastAsia="宋体" w:cs="Times New Roman"/>
                      <w:kern w:val="0"/>
                    </w:rPr>
                    <w:t>1.14</w:t>
                  </w:r>
                  <w:r>
                    <w:rPr>
                      <w:rFonts w:ascii="Times New Roman" w:hAnsi="Times New Roman" w:cs="Times New Roman"/>
                      <w:kern w:val="0"/>
                    </w:rPr>
                    <w:t>×10</w:t>
                  </w:r>
                  <w:r>
                    <w:rPr>
                      <w:rFonts w:ascii="Times New Roman" w:hAnsi="Times New Roman" w:cs="Times New Roman"/>
                      <w:kern w:val="0"/>
                      <w:vertAlign w:val="superscript"/>
                    </w:rPr>
                    <w:t>-</w:t>
                  </w:r>
                  <w:r>
                    <w:rPr>
                      <w:rFonts w:hint="eastAsia" w:ascii="Times New Roman" w:hAnsi="Times New Roman" w:cs="Times New Roman"/>
                      <w:kern w:val="0"/>
                      <w:vertAlign w:val="superscript"/>
                    </w:rPr>
                    <w:t>9</w:t>
                  </w:r>
                </w:p>
              </w:tc>
              <w:tc>
                <w:tcPr>
                  <w:tcW w:w="858" w:type="dxa"/>
                  <w:tcBorders>
                    <w:left w:val="single" w:color="auto" w:sz="4" w:space="0"/>
                  </w:tcBorders>
                  <w:vAlign w:val="center"/>
                </w:tcPr>
                <w:p>
                  <w:pPr>
                    <w:jc w:val="center"/>
                    <w:rPr>
                      <w:rFonts w:ascii="Times New Roman" w:hAnsi="Times New Roman" w:cs="Times New Roman"/>
                      <w:kern w:val="0"/>
                    </w:rPr>
                  </w:pPr>
                  <w:r>
                    <w:rPr>
                      <w:rFonts w:ascii="Times New Roman" w:hAnsi="Times New Roman" w:eastAsia="宋体" w:cs="Times New Roman"/>
                      <w:kern w:val="0"/>
                    </w:rPr>
                    <w:t>1.7613</w:t>
                  </w:r>
                  <w:r>
                    <w:rPr>
                      <w:rFonts w:ascii="Times New Roman" w:hAnsi="Times New Roman" w:cs="Times New Roman"/>
                      <w:kern w:val="0"/>
                    </w:rPr>
                    <w:t>×10</w:t>
                  </w:r>
                  <w:r>
                    <w:rPr>
                      <w:rFonts w:ascii="Times New Roman" w:hAnsi="Times New Roman" w:cs="Times New Roman"/>
                      <w:kern w:val="0"/>
                      <w:vertAlign w:val="superscript"/>
                    </w:rPr>
                    <w:t>-6</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≤0.5</w:t>
                  </w:r>
                </w:p>
              </w:tc>
              <w:tc>
                <w:tcPr>
                  <w:tcW w:w="646" w:type="dxa"/>
                  <w:vAlign w:val="center"/>
                </w:tcPr>
                <w:p>
                  <w:pPr>
                    <w:widowControl/>
                    <w:jc w:val="center"/>
                    <w:rPr>
                      <w:rFonts w:ascii="Times New Roman" w:hAnsi="Times New Roman" w:cs="Times New Roman"/>
                      <w:kern w:val="0"/>
                    </w:rPr>
                  </w:pPr>
                  <w:r>
                    <w:rPr>
                      <w:rFonts w:ascii="Times New Roman" w:hAnsi="Times New Roman" w:eastAsia="宋体"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4" w:type="dxa"/>
                  <w:vMerge w:val="restart"/>
                  <w:vAlign w:val="center"/>
                </w:tcPr>
                <w:p>
                  <w:pPr>
                    <w:widowControl/>
                    <w:jc w:val="center"/>
                    <w:rPr>
                      <w:rFonts w:ascii="Times New Roman" w:hAnsi="Times New Roman" w:cs="Times New Roman"/>
                      <w:kern w:val="0"/>
                    </w:rPr>
                  </w:pPr>
                  <w:r>
                    <w:rPr>
                      <w:rFonts w:ascii="Times New Roman" w:hAnsi="Times New Roman" w:cs="Times New Roman"/>
                      <w:kern w:val="0"/>
                    </w:rPr>
                    <w:t>遗物焚烧</w:t>
                  </w: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颗粒物</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300.00</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1.5</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0.108</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3.00</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0.015</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0.0011</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80</w:t>
                  </w:r>
                </w:p>
              </w:tc>
              <w:tc>
                <w:tcPr>
                  <w:tcW w:w="646" w:type="dxa"/>
                  <w:vAlign w:val="center"/>
                </w:tcPr>
                <w:p>
                  <w:pPr>
                    <w:widowControl/>
                    <w:jc w:val="center"/>
                    <w:rPr>
                      <w:rFonts w:ascii="Times New Roman" w:hAnsi="Times New Roman" w:cs="Times New Roman"/>
                      <w:kern w:val="0"/>
                    </w:rPr>
                  </w:pPr>
                  <w:r>
                    <w:rPr>
                      <w:rFonts w:ascii="Times New Roman" w:hAnsi="Times New Roman"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4" w:type="dxa"/>
                  <w:vMerge w:val="continue"/>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SO</w:t>
                  </w:r>
                  <w:r>
                    <w:rPr>
                      <w:rFonts w:ascii="Times New Roman" w:hAnsi="Times New Roman" w:cs="Times New Roman"/>
                      <w:kern w:val="0"/>
                      <w:vertAlign w:val="subscript"/>
                    </w:rPr>
                    <w:t>2</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50.00</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0.25</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0.018</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10.00</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0.05</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0.0036</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100</w:t>
                  </w:r>
                </w:p>
              </w:tc>
              <w:tc>
                <w:tcPr>
                  <w:tcW w:w="646" w:type="dxa"/>
                  <w:vAlign w:val="center"/>
                </w:tcPr>
                <w:p>
                  <w:pPr>
                    <w:widowControl/>
                    <w:jc w:val="center"/>
                    <w:rPr>
                      <w:rFonts w:ascii="Times New Roman" w:hAnsi="Times New Roman" w:cs="Times New Roman"/>
                      <w:kern w:val="0"/>
                    </w:rPr>
                  </w:pPr>
                  <w:r>
                    <w:rPr>
                      <w:rFonts w:ascii="Times New Roman" w:hAnsi="Times New Roman"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4" w:type="dxa"/>
                  <w:vMerge w:val="continue"/>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NOx</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15.60</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0.078</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0.006</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15.60</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0.078</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0.0056</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300</w:t>
                  </w:r>
                </w:p>
              </w:tc>
              <w:tc>
                <w:tcPr>
                  <w:tcW w:w="646" w:type="dxa"/>
                  <w:vAlign w:val="center"/>
                </w:tcPr>
                <w:p>
                  <w:pPr>
                    <w:widowControl/>
                    <w:jc w:val="center"/>
                    <w:rPr>
                      <w:rFonts w:ascii="Times New Roman" w:hAnsi="Times New Roman" w:cs="Times New Roman"/>
                      <w:kern w:val="0"/>
                    </w:rPr>
                  </w:pPr>
                  <w:r>
                    <w:rPr>
                      <w:rFonts w:ascii="Times New Roman" w:hAnsi="Times New Roman"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4" w:type="dxa"/>
                  <w:vMerge w:val="continue"/>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CO</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2.50</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0.0125</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0.001</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1.62</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0.008088</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0.0006</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200</w:t>
                  </w:r>
                </w:p>
              </w:tc>
              <w:tc>
                <w:tcPr>
                  <w:tcW w:w="646" w:type="dxa"/>
                  <w:vAlign w:val="center"/>
                </w:tcPr>
                <w:p>
                  <w:pPr>
                    <w:widowControl/>
                    <w:jc w:val="center"/>
                    <w:rPr>
                      <w:rFonts w:ascii="Times New Roman" w:hAnsi="Times New Roman" w:cs="Times New Roman"/>
                      <w:kern w:val="0"/>
                    </w:rPr>
                  </w:pPr>
                  <w:r>
                    <w:rPr>
                      <w:rFonts w:ascii="Times New Roman" w:hAnsi="Times New Roman"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4" w:type="dxa"/>
                  <w:vMerge w:val="continue"/>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HCl</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12.50</w:t>
                  </w:r>
                </w:p>
              </w:tc>
              <w:tc>
                <w:tcPr>
                  <w:tcW w:w="1144" w:type="dxa"/>
                  <w:vAlign w:val="center"/>
                </w:tcPr>
                <w:p>
                  <w:pPr>
                    <w:widowControl/>
                    <w:jc w:val="center"/>
                    <w:rPr>
                      <w:rFonts w:ascii="Times New Roman" w:hAnsi="Times New Roman" w:cs="Times New Roman"/>
                      <w:kern w:val="0"/>
                    </w:rPr>
                  </w:pPr>
                  <w:r>
                    <w:rPr>
                      <w:rFonts w:ascii="Times New Roman" w:hAnsi="Times New Roman" w:cs="Times New Roman"/>
                      <w:kern w:val="0"/>
                    </w:rPr>
                    <w:t>0.0625</w:t>
                  </w:r>
                </w:p>
              </w:tc>
              <w:tc>
                <w:tcPr>
                  <w:tcW w:w="716" w:type="dxa"/>
                  <w:vAlign w:val="center"/>
                </w:tcPr>
                <w:p>
                  <w:pPr>
                    <w:widowControl/>
                    <w:jc w:val="center"/>
                    <w:rPr>
                      <w:rFonts w:ascii="Times New Roman" w:hAnsi="Times New Roman" w:cs="Times New Roman"/>
                      <w:kern w:val="0"/>
                    </w:rPr>
                  </w:pPr>
                  <w:r>
                    <w:rPr>
                      <w:rFonts w:ascii="Times New Roman" w:hAnsi="Times New Roman" w:cs="Times New Roman"/>
                      <w:kern w:val="0"/>
                    </w:rPr>
                    <w:t>0.005</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2.66</w:t>
                  </w:r>
                </w:p>
              </w:tc>
              <w:tc>
                <w:tcPr>
                  <w:tcW w:w="1144" w:type="dxa"/>
                  <w:tcBorders>
                    <w:top w:val="single" w:color="auto" w:sz="4" w:space="0"/>
                    <w:bottom w:val="single" w:color="auto" w:sz="4" w:space="0"/>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0.013313</w:t>
                  </w:r>
                </w:p>
              </w:tc>
              <w:tc>
                <w:tcPr>
                  <w:tcW w:w="858" w:type="dxa"/>
                  <w:tcBorders>
                    <w:top w:val="single" w:color="auto" w:sz="4" w:space="0"/>
                    <w:left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0.0010</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50</w:t>
                  </w:r>
                </w:p>
              </w:tc>
              <w:tc>
                <w:tcPr>
                  <w:tcW w:w="646" w:type="dxa"/>
                  <w:vAlign w:val="center"/>
                </w:tcPr>
                <w:p>
                  <w:pPr>
                    <w:widowControl/>
                    <w:jc w:val="center"/>
                    <w:rPr>
                      <w:rFonts w:ascii="Times New Roman" w:hAnsi="Times New Roman" w:cs="Times New Roman"/>
                      <w:kern w:val="0"/>
                    </w:rPr>
                  </w:pPr>
                  <w:r>
                    <w:rPr>
                      <w:rFonts w:ascii="Times New Roman" w:hAnsi="Times New Roman"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4" w:type="dxa"/>
                  <w:vMerge w:val="continue"/>
                  <w:tcBorders>
                    <w:bottom w:val="single" w:color="auto" w:sz="4" w:space="0"/>
                  </w:tcBorders>
                  <w:vAlign w:val="center"/>
                </w:tcPr>
                <w:p>
                  <w:pPr>
                    <w:widowControl/>
                    <w:jc w:val="center"/>
                    <w:rPr>
                      <w:rFonts w:ascii="Times New Roman" w:hAnsi="Times New Roman" w:cs="Times New Roman"/>
                      <w:kern w:val="0"/>
                    </w:rPr>
                  </w:pP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二噁英类ngTEQ/m³</w:t>
                  </w:r>
                </w:p>
              </w:tc>
              <w:tc>
                <w:tcPr>
                  <w:tcW w:w="861" w:type="dxa"/>
                  <w:tcBorders>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1.11 ngTEQ/m³</w:t>
                  </w:r>
                </w:p>
              </w:tc>
              <w:tc>
                <w:tcPr>
                  <w:tcW w:w="1144" w:type="dxa"/>
                  <w:tcBorders>
                    <w:left w:val="single" w:color="auto" w:sz="4" w:space="0"/>
                    <w:right w:val="single" w:color="auto" w:sz="4" w:space="0"/>
                  </w:tcBorders>
                  <w:vAlign w:val="center"/>
                </w:tcPr>
                <w:p>
                  <w:pPr>
                    <w:jc w:val="center"/>
                    <w:rPr>
                      <w:rFonts w:ascii="Times New Roman" w:hAnsi="Times New Roman" w:cs="Times New Roman"/>
                      <w:kern w:val="0"/>
                    </w:rPr>
                  </w:pPr>
                  <w:r>
                    <w:rPr>
                      <w:rFonts w:ascii="Times New Roman" w:hAnsi="Times New Roman" w:cs="Times New Roman"/>
                      <w:kern w:val="0"/>
                    </w:rPr>
                    <w:t>1.11×10</w:t>
                  </w:r>
                  <w:r>
                    <w:rPr>
                      <w:rFonts w:ascii="Times New Roman" w:hAnsi="Times New Roman" w:cs="Times New Roman"/>
                      <w:kern w:val="0"/>
                      <w:vertAlign w:val="superscript"/>
                    </w:rPr>
                    <w:t>-</w:t>
                  </w:r>
                  <w:r>
                    <w:rPr>
                      <w:rFonts w:hint="eastAsia" w:ascii="Times New Roman" w:hAnsi="Times New Roman" w:cs="Times New Roman"/>
                      <w:kern w:val="0"/>
                      <w:vertAlign w:val="superscript"/>
                    </w:rPr>
                    <w:t>8</w:t>
                  </w:r>
                </w:p>
              </w:tc>
              <w:tc>
                <w:tcPr>
                  <w:tcW w:w="716" w:type="dxa"/>
                  <w:tcBorders>
                    <w:left w:val="single" w:color="auto" w:sz="4" w:space="0"/>
                  </w:tcBorders>
                  <w:vAlign w:val="center"/>
                </w:tcPr>
                <w:p>
                  <w:pPr>
                    <w:jc w:val="center"/>
                    <w:rPr>
                      <w:rFonts w:ascii="Times New Roman" w:hAnsi="Times New Roman" w:cs="Times New Roman"/>
                      <w:kern w:val="0"/>
                    </w:rPr>
                  </w:pPr>
                  <w:r>
                    <w:rPr>
                      <w:rFonts w:ascii="Times New Roman" w:hAnsi="Times New Roman" w:eastAsia="宋体" w:cs="Times New Roman"/>
                      <w:kern w:val="0"/>
                    </w:rPr>
                    <w:t>1.71495</w:t>
                  </w:r>
                  <w:r>
                    <w:rPr>
                      <w:rFonts w:ascii="Times New Roman" w:hAnsi="Times New Roman" w:cs="Times New Roman"/>
                      <w:kern w:val="0"/>
                    </w:rPr>
                    <w:t>×10</w:t>
                  </w:r>
                  <w:r>
                    <w:rPr>
                      <w:rFonts w:ascii="Times New Roman" w:hAnsi="Times New Roman" w:cs="Times New Roman"/>
                      <w:kern w:val="0"/>
                      <w:vertAlign w:val="superscript"/>
                    </w:rPr>
                    <w:t>-</w:t>
                  </w:r>
                  <w:r>
                    <w:rPr>
                      <w:rFonts w:hint="eastAsia" w:ascii="Times New Roman" w:hAnsi="Times New Roman" w:cs="Times New Roman"/>
                      <w:kern w:val="0"/>
                      <w:vertAlign w:val="superscript"/>
                    </w:rPr>
                    <w:t>5</w:t>
                  </w:r>
                </w:p>
              </w:tc>
              <w:tc>
                <w:tcPr>
                  <w:tcW w:w="720" w:type="dxa"/>
                  <w:tcBorders>
                    <w:right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0.418 ngTEQ/m³</w:t>
                  </w:r>
                </w:p>
              </w:tc>
              <w:tc>
                <w:tcPr>
                  <w:tcW w:w="1144" w:type="dxa"/>
                  <w:tcBorders>
                    <w:left w:val="single" w:color="auto" w:sz="4" w:space="0"/>
                    <w:right w:val="single" w:color="auto" w:sz="4" w:space="0"/>
                  </w:tcBorders>
                  <w:vAlign w:val="center"/>
                </w:tcPr>
                <w:p>
                  <w:pPr>
                    <w:jc w:val="center"/>
                    <w:rPr>
                      <w:rFonts w:ascii="Times New Roman" w:hAnsi="Times New Roman" w:cs="Times New Roman"/>
                      <w:kern w:val="0"/>
                    </w:rPr>
                  </w:pPr>
                  <w:r>
                    <w:rPr>
                      <w:rFonts w:ascii="Times New Roman" w:hAnsi="Times New Roman" w:eastAsia="宋体" w:cs="Times New Roman"/>
                      <w:kern w:val="0"/>
                    </w:rPr>
                    <w:t>4.18</w:t>
                  </w:r>
                  <w:r>
                    <w:rPr>
                      <w:rFonts w:ascii="Times New Roman" w:hAnsi="Times New Roman" w:cs="Times New Roman"/>
                      <w:kern w:val="0"/>
                    </w:rPr>
                    <w:t>×10</w:t>
                  </w:r>
                  <w:r>
                    <w:rPr>
                      <w:rFonts w:ascii="Times New Roman" w:hAnsi="Times New Roman" w:cs="Times New Roman"/>
                      <w:kern w:val="0"/>
                      <w:vertAlign w:val="superscript"/>
                    </w:rPr>
                    <w:t>-</w:t>
                  </w:r>
                  <w:r>
                    <w:rPr>
                      <w:rFonts w:hint="eastAsia" w:ascii="Times New Roman" w:hAnsi="Times New Roman" w:cs="Times New Roman"/>
                      <w:kern w:val="0"/>
                      <w:vertAlign w:val="superscript"/>
                    </w:rPr>
                    <w:t>9</w:t>
                  </w:r>
                </w:p>
              </w:tc>
              <w:tc>
                <w:tcPr>
                  <w:tcW w:w="858" w:type="dxa"/>
                  <w:tcBorders>
                    <w:left w:val="single" w:color="auto" w:sz="4" w:space="0"/>
                  </w:tcBorders>
                  <w:vAlign w:val="center"/>
                </w:tcPr>
                <w:p>
                  <w:pPr>
                    <w:jc w:val="center"/>
                    <w:rPr>
                      <w:rFonts w:ascii="Times New Roman" w:hAnsi="Times New Roman" w:cs="Times New Roman"/>
                      <w:kern w:val="0"/>
                    </w:rPr>
                  </w:pPr>
                  <w:r>
                    <w:rPr>
                      <w:rFonts w:ascii="Times New Roman" w:hAnsi="Times New Roman" w:eastAsia="宋体" w:cs="Times New Roman"/>
                      <w:kern w:val="0"/>
                    </w:rPr>
                    <w:t>6.4581</w:t>
                  </w:r>
                  <w:r>
                    <w:rPr>
                      <w:rFonts w:ascii="Times New Roman" w:hAnsi="Times New Roman" w:cs="Times New Roman"/>
                      <w:kern w:val="0"/>
                    </w:rPr>
                    <w:t>×10</w:t>
                  </w:r>
                  <w:r>
                    <w:rPr>
                      <w:rFonts w:ascii="Times New Roman" w:hAnsi="Times New Roman" w:cs="Times New Roman"/>
                      <w:kern w:val="0"/>
                      <w:vertAlign w:val="superscript"/>
                    </w:rPr>
                    <w:t>-6</w:t>
                  </w:r>
                </w:p>
              </w:tc>
              <w:tc>
                <w:tcPr>
                  <w:tcW w:w="842" w:type="dxa"/>
                  <w:vAlign w:val="center"/>
                </w:tcPr>
                <w:p>
                  <w:pPr>
                    <w:widowControl/>
                    <w:jc w:val="center"/>
                    <w:rPr>
                      <w:rFonts w:ascii="Times New Roman" w:hAnsi="Times New Roman" w:cs="Times New Roman"/>
                      <w:kern w:val="0"/>
                    </w:rPr>
                  </w:pPr>
                  <w:r>
                    <w:rPr>
                      <w:rFonts w:ascii="Times New Roman" w:hAnsi="Times New Roman" w:cs="Times New Roman"/>
                      <w:kern w:val="0"/>
                    </w:rPr>
                    <w:t>≤1.0</w:t>
                  </w:r>
                </w:p>
              </w:tc>
              <w:tc>
                <w:tcPr>
                  <w:tcW w:w="646" w:type="dxa"/>
                  <w:vAlign w:val="center"/>
                </w:tcPr>
                <w:p>
                  <w:pPr>
                    <w:widowControl/>
                    <w:jc w:val="center"/>
                    <w:rPr>
                      <w:rFonts w:ascii="Times New Roman" w:hAnsi="Times New Roman" w:cs="Times New Roman"/>
                      <w:kern w:val="0"/>
                    </w:rPr>
                  </w:pPr>
                  <w:r>
                    <w:rPr>
                      <w:rFonts w:ascii="Times New Roman" w:hAnsi="Times New Roman" w:cs="Times New Roman"/>
                      <w:kern w:val="0"/>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34" w:type="dxa"/>
                  <w:tcBorders>
                    <w:top w:val="single" w:color="auto" w:sz="4" w:space="0"/>
                  </w:tcBorders>
                  <w:vAlign w:val="center"/>
                </w:tcPr>
                <w:p>
                  <w:pPr>
                    <w:jc w:val="center"/>
                    <w:rPr>
                      <w:rFonts w:ascii="Times New Roman" w:hAnsi="Times New Roman" w:cs="Times New Roman"/>
                      <w:kern w:val="0"/>
                    </w:rPr>
                  </w:pPr>
                  <w:r>
                    <w:rPr>
                      <w:rFonts w:ascii="Times New Roman" w:hAnsi="Times New Roman" w:cs="Times New Roman"/>
                    </w:rPr>
                    <w:t>厨房</w:t>
                  </w:r>
                </w:p>
              </w:tc>
              <w:tc>
                <w:tcPr>
                  <w:tcW w:w="1140" w:type="dxa"/>
                  <w:vAlign w:val="center"/>
                </w:tcPr>
                <w:p>
                  <w:pPr>
                    <w:widowControl/>
                    <w:jc w:val="center"/>
                    <w:rPr>
                      <w:rFonts w:ascii="Times New Roman" w:hAnsi="Times New Roman" w:cs="Times New Roman"/>
                      <w:kern w:val="0"/>
                    </w:rPr>
                  </w:pPr>
                  <w:r>
                    <w:rPr>
                      <w:rFonts w:ascii="Times New Roman" w:hAnsi="Times New Roman" w:cs="Times New Roman"/>
                      <w:kern w:val="0"/>
                    </w:rPr>
                    <w:t>厨房油烟</w:t>
                  </w:r>
                </w:p>
              </w:tc>
              <w:tc>
                <w:tcPr>
                  <w:tcW w:w="861" w:type="dxa"/>
                  <w:vAlign w:val="center"/>
                </w:tcPr>
                <w:p>
                  <w:pPr>
                    <w:widowControl/>
                    <w:jc w:val="center"/>
                    <w:rPr>
                      <w:rFonts w:ascii="Times New Roman" w:hAnsi="Times New Roman" w:cs="Times New Roman"/>
                      <w:kern w:val="0"/>
                    </w:rPr>
                  </w:pPr>
                  <w:r>
                    <w:rPr>
                      <w:rFonts w:ascii="Times New Roman" w:hAnsi="Times New Roman" w:cs="Times New Roman"/>
                      <w:kern w:val="0"/>
                    </w:rPr>
                    <w:t>2.4</w:t>
                  </w:r>
                </w:p>
              </w:tc>
              <w:tc>
                <w:tcPr>
                  <w:tcW w:w="1860" w:type="dxa"/>
                  <w:gridSpan w:val="2"/>
                  <w:vAlign w:val="center"/>
                </w:tcPr>
                <w:p>
                  <w:pPr>
                    <w:widowControl/>
                    <w:jc w:val="center"/>
                    <w:rPr>
                      <w:rFonts w:ascii="Times New Roman" w:hAnsi="Times New Roman" w:cs="Times New Roman"/>
                      <w:kern w:val="0"/>
                    </w:rPr>
                  </w:pPr>
                  <w:r>
                    <w:rPr>
                      <w:rFonts w:ascii="Times New Roman" w:hAnsi="Times New Roman" w:cs="Times New Roman"/>
                      <w:kern w:val="0"/>
                    </w:rPr>
                    <w:t>14.4g/d</w:t>
                  </w:r>
                </w:p>
              </w:tc>
              <w:tc>
                <w:tcPr>
                  <w:tcW w:w="720" w:type="dxa"/>
                  <w:vAlign w:val="center"/>
                </w:tcPr>
                <w:p>
                  <w:pPr>
                    <w:widowControl/>
                    <w:jc w:val="center"/>
                    <w:rPr>
                      <w:rFonts w:ascii="Times New Roman" w:hAnsi="Times New Roman" w:cs="Times New Roman"/>
                      <w:kern w:val="0"/>
                    </w:rPr>
                  </w:pPr>
                  <w:r>
                    <w:rPr>
                      <w:rFonts w:ascii="Times New Roman" w:hAnsi="Times New Roman" w:cs="Times New Roman"/>
                      <w:kern w:val="0"/>
                    </w:rPr>
                    <w:t>0.96</w:t>
                  </w:r>
                </w:p>
              </w:tc>
              <w:tc>
                <w:tcPr>
                  <w:tcW w:w="2002" w:type="dxa"/>
                  <w:gridSpan w:val="2"/>
                  <w:tcBorders>
                    <w:top w:val="single" w:color="auto" w:sz="4" w:space="0"/>
                    <w:bottom w:val="single" w:color="auto" w:sz="4" w:space="0"/>
                  </w:tcBorders>
                  <w:vAlign w:val="center"/>
                </w:tcPr>
                <w:p>
                  <w:pPr>
                    <w:widowControl/>
                    <w:jc w:val="center"/>
                    <w:rPr>
                      <w:rFonts w:ascii="Times New Roman" w:hAnsi="Times New Roman" w:cs="Times New Roman"/>
                      <w:kern w:val="0"/>
                    </w:rPr>
                  </w:pPr>
                  <w:r>
                    <w:rPr>
                      <w:rFonts w:ascii="Times New Roman" w:hAnsi="Times New Roman" w:cs="Times New Roman"/>
                      <w:kern w:val="0"/>
                    </w:rPr>
                    <w:t>5.8g/d</w:t>
                  </w:r>
                </w:p>
              </w:tc>
              <w:tc>
                <w:tcPr>
                  <w:tcW w:w="842" w:type="dxa"/>
                  <w:vAlign w:val="center"/>
                </w:tcPr>
                <w:p>
                  <w:pPr>
                    <w:pStyle w:val="26"/>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≤2.0</w:t>
                  </w:r>
                </w:p>
              </w:tc>
              <w:tc>
                <w:tcPr>
                  <w:tcW w:w="646" w:type="dxa"/>
                  <w:vAlign w:val="center"/>
                </w:tcPr>
                <w:p>
                  <w:pPr>
                    <w:pStyle w:val="26"/>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达标</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项目火化废气经火化机尾气处理装置处理后可达到《火葬场大气污染物排放标准》（GB13801-2015）表2标准要求，通过1根12m、Ф0.48m，编号为（DA001）的排气筒外排；遗物焚烧废气经遗物焚烧炉尾气处理装置处理后可达到《火葬场大气污染物排放标准》（GB13801-2015）表3标准要求，通过1根12m、Ф0.30m，编号为（DA002）的排气筒外排；厨房油烟可达到《饮食业油烟排放标准》（GB18483-2001）（试行）小型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（3）废气污染治理设施可行性分析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大气环境影响专项评价》的火化机废气拟采取的污染防治措施章节可知，该项目采用燃油式火化炉，设置二次燃烧室，采用“高效降温器+初级除尘器+脱酸脱硫二噁英喷射装置+布袋除尘器+活性炭吸附器”净化后通过12m高排气筒排放，遗物祭品焚烧炉烟气采用“高效降温器+初级除尘器+脱酸脱硫二噁英喷射装置+布袋除尘器+活性炭吸附器”净化后通过12m高排气筒排放。上述废气处理装置的烟尘去除率可达到99%、SO</w:t>
            </w:r>
            <w:r>
              <w:rPr>
                <w:rFonts w:ascii="Times New Roman" w:hAnsi="Times New Roman" w:cs="Times New Roman"/>
                <w:sz w:val="24"/>
                <w:szCs w:val="24"/>
                <w:vertAlign w:val="subscript"/>
              </w:rPr>
              <w:t>2</w:t>
            </w:r>
            <w:r>
              <w:rPr>
                <w:rFonts w:ascii="Times New Roman" w:hAnsi="Times New Roman" w:cs="Times New Roman"/>
                <w:sz w:val="24"/>
                <w:szCs w:val="24"/>
              </w:rPr>
              <w:t>去除率可达到80%、CO去除率可达到35.3%、HCl去除率可达到78.7%、汞去除效率可达到80%、二噁英去除率可达到62.2%。该项目火化废气经火化机尾气处理装置处理后可达到《火葬场大气污染物排放标准》（GB13801-2015）表2标准要求，通过1根12m、Ф0.48m，编号为（DA001）的排气筒外排；遗物焚烧废气经遗物焚烧炉尾气处理装置处理后可达到《火葬场大气污染物排放标准》（GB13801-2015）表3标准要求，通过1根12m、Ф0.30m，编号为（DA002）的排气筒外排。且该废气处理措施为《火葬场大气污染物排放标准编制说明》中介绍的目前行业中的主要治理措施，工程实例较多，能够有效运行。因此措施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pStyle w:val="34"/>
              <w:ind w:firstLine="480"/>
              <w:rPr>
                <w:szCs w:val="24"/>
              </w:rPr>
            </w:pPr>
            <w:r>
              <w:rPr>
                <w:szCs w:val="24"/>
              </w:rPr>
              <w:t>根据《大气环境影响专项评价》中环境监测计划，根据《排污单位自行监测技术指南 总则》（HJ819-2017）的要求，项目废气自行监测要求如下表所示。</w:t>
            </w:r>
          </w:p>
          <w:p>
            <w:pPr>
              <w:jc w:val="center"/>
              <w:rPr>
                <w:rFonts w:ascii="Times New Roman" w:hAnsi="Times New Roman" w:cs="Times New Roman"/>
                <w:b/>
                <w:szCs w:val="24"/>
              </w:rPr>
            </w:pPr>
            <w:r>
              <w:rPr>
                <w:rFonts w:ascii="Times New Roman" w:hAnsi="Times New Roman" w:cs="Times New Roman"/>
                <w:b/>
                <w:szCs w:val="24"/>
              </w:rPr>
              <w:t>表4.2.1-3  项目运营期废气自行监测计划一览表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51"/>
              <w:gridCol w:w="2415"/>
              <w:gridCol w:w="947"/>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 w:type="dxa"/>
                  <w:vAlign w:val="center"/>
                </w:tcPr>
                <w:p>
                  <w:pPr>
                    <w:pStyle w:val="26"/>
                    <w:spacing w:line="360" w:lineRule="exact"/>
                    <w:rPr>
                      <w:rFonts w:eastAsiaTheme="minorEastAsia"/>
                      <w:color w:val="auto"/>
                      <w:szCs w:val="21"/>
                    </w:rPr>
                  </w:pPr>
                  <w:r>
                    <w:rPr>
                      <w:rFonts w:eastAsiaTheme="minorEastAsia"/>
                      <w:color w:val="auto"/>
                      <w:szCs w:val="21"/>
                    </w:rPr>
                    <w:t>对象</w:t>
                  </w:r>
                </w:p>
              </w:tc>
              <w:tc>
                <w:tcPr>
                  <w:tcW w:w="1051" w:type="dxa"/>
                  <w:vAlign w:val="center"/>
                </w:tcPr>
                <w:p>
                  <w:pPr>
                    <w:pStyle w:val="26"/>
                    <w:spacing w:line="360" w:lineRule="exact"/>
                    <w:rPr>
                      <w:rFonts w:eastAsiaTheme="minorEastAsia"/>
                      <w:color w:val="auto"/>
                      <w:szCs w:val="21"/>
                    </w:rPr>
                  </w:pPr>
                  <w:r>
                    <w:rPr>
                      <w:rFonts w:eastAsiaTheme="minorEastAsia"/>
                      <w:color w:val="auto"/>
                      <w:szCs w:val="21"/>
                    </w:rPr>
                    <w:t>监测点位</w:t>
                  </w:r>
                </w:p>
              </w:tc>
              <w:tc>
                <w:tcPr>
                  <w:tcW w:w="2415" w:type="dxa"/>
                  <w:vAlign w:val="center"/>
                </w:tcPr>
                <w:p>
                  <w:pPr>
                    <w:pStyle w:val="26"/>
                    <w:spacing w:line="360" w:lineRule="exact"/>
                    <w:rPr>
                      <w:rFonts w:eastAsiaTheme="minorEastAsia"/>
                      <w:color w:val="auto"/>
                      <w:szCs w:val="21"/>
                    </w:rPr>
                  </w:pPr>
                  <w:r>
                    <w:rPr>
                      <w:rFonts w:eastAsiaTheme="minorEastAsia"/>
                      <w:color w:val="auto"/>
                      <w:szCs w:val="21"/>
                    </w:rPr>
                    <w:t>监测因子</w:t>
                  </w:r>
                </w:p>
              </w:tc>
              <w:tc>
                <w:tcPr>
                  <w:tcW w:w="947" w:type="dxa"/>
                  <w:vAlign w:val="center"/>
                </w:tcPr>
                <w:p>
                  <w:pPr>
                    <w:pStyle w:val="26"/>
                    <w:spacing w:line="360" w:lineRule="exact"/>
                    <w:rPr>
                      <w:rFonts w:eastAsiaTheme="minorEastAsia"/>
                      <w:color w:val="auto"/>
                      <w:szCs w:val="21"/>
                    </w:rPr>
                  </w:pPr>
                  <w:r>
                    <w:rPr>
                      <w:rFonts w:eastAsiaTheme="minorEastAsia"/>
                      <w:color w:val="auto"/>
                      <w:szCs w:val="21"/>
                    </w:rPr>
                    <w:t>最低监测频率</w:t>
                  </w:r>
                </w:p>
              </w:tc>
              <w:tc>
                <w:tcPr>
                  <w:tcW w:w="3257" w:type="dxa"/>
                  <w:vAlign w:val="center"/>
                </w:tcPr>
                <w:p>
                  <w:pPr>
                    <w:pStyle w:val="26"/>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5" w:type="dxa"/>
                  <w:vMerge w:val="restart"/>
                  <w:vAlign w:val="center"/>
                </w:tcPr>
                <w:p>
                  <w:pPr>
                    <w:pStyle w:val="26"/>
                    <w:spacing w:line="360" w:lineRule="exact"/>
                    <w:rPr>
                      <w:rFonts w:eastAsiaTheme="minorEastAsia"/>
                      <w:color w:val="auto"/>
                      <w:szCs w:val="21"/>
                    </w:rPr>
                  </w:pPr>
                  <w:r>
                    <w:rPr>
                      <w:rFonts w:eastAsiaTheme="minorEastAsia"/>
                      <w:color w:val="auto"/>
                      <w:szCs w:val="21"/>
                    </w:rPr>
                    <w:t>废气</w:t>
                  </w:r>
                </w:p>
              </w:tc>
              <w:tc>
                <w:tcPr>
                  <w:tcW w:w="1051" w:type="dxa"/>
                  <w:vAlign w:val="center"/>
                </w:tcPr>
                <w:p>
                  <w:pPr>
                    <w:pStyle w:val="26"/>
                    <w:spacing w:line="360" w:lineRule="exact"/>
                    <w:rPr>
                      <w:rFonts w:eastAsiaTheme="minorEastAsia"/>
                      <w:color w:val="auto"/>
                      <w:szCs w:val="21"/>
                    </w:rPr>
                  </w:pPr>
                  <w:r>
                    <w:rPr>
                      <w:rFonts w:eastAsiaTheme="minorEastAsia"/>
                      <w:color w:val="auto"/>
                      <w:szCs w:val="21"/>
                    </w:rPr>
                    <w:t>DA001</w:t>
                  </w:r>
                </w:p>
              </w:tc>
              <w:tc>
                <w:tcPr>
                  <w:tcW w:w="2415" w:type="dxa"/>
                  <w:vAlign w:val="center"/>
                </w:tcPr>
                <w:p>
                  <w:pPr>
                    <w:pStyle w:val="26"/>
                    <w:spacing w:line="360" w:lineRule="exact"/>
                    <w:ind w:firstLine="210" w:firstLineChars="100"/>
                    <w:jc w:val="both"/>
                    <w:rPr>
                      <w:rFonts w:eastAsiaTheme="minorEastAsia"/>
                      <w:color w:val="auto"/>
                      <w:szCs w:val="21"/>
                    </w:rPr>
                  </w:pPr>
                  <w:r>
                    <w:rPr>
                      <w:color w:val="auto"/>
                      <w:szCs w:val="21"/>
                    </w:rPr>
                    <w:t>烟气量、烟尘、SO</w:t>
                  </w:r>
                  <w:r>
                    <w:rPr>
                      <w:color w:val="auto"/>
                      <w:szCs w:val="21"/>
                      <w:vertAlign w:val="subscript"/>
                    </w:rPr>
                    <w:t>2</w:t>
                  </w:r>
                  <w:r>
                    <w:rPr>
                      <w:color w:val="auto"/>
                      <w:szCs w:val="21"/>
                    </w:rPr>
                    <w:t>、NOx、CO、HCl、汞、二噁英、烟气黑度</w:t>
                  </w:r>
                </w:p>
              </w:tc>
              <w:tc>
                <w:tcPr>
                  <w:tcW w:w="947" w:type="dxa"/>
                  <w:vAlign w:val="center"/>
                </w:tcPr>
                <w:p>
                  <w:pPr>
                    <w:pStyle w:val="26"/>
                    <w:spacing w:line="360" w:lineRule="exact"/>
                    <w:rPr>
                      <w:rFonts w:eastAsiaTheme="minorEastAsia"/>
                      <w:color w:val="auto"/>
                      <w:szCs w:val="21"/>
                    </w:rPr>
                  </w:pPr>
                  <w:r>
                    <w:rPr>
                      <w:rFonts w:eastAsiaTheme="minorEastAsia"/>
                      <w:color w:val="auto"/>
                      <w:szCs w:val="21"/>
                    </w:rPr>
                    <w:t>1次/年</w:t>
                  </w:r>
                </w:p>
              </w:tc>
              <w:tc>
                <w:tcPr>
                  <w:tcW w:w="3257" w:type="dxa"/>
                  <w:vAlign w:val="center"/>
                </w:tcPr>
                <w:p>
                  <w:pPr>
                    <w:pStyle w:val="26"/>
                    <w:spacing w:line="360" w:lineRule="exact"/>
                    <w:ind w:firstLine="210" w:firstLineChars="100"/>
                    <w:jc w:val="left"/>
                    <w:rPr>
                      <w:rFonts w:eastAsiaTheme="minorEastAsia"/>
                      <w:color w:val="auto"/>
                      <w:szCs w:val="21"/>
                    </w:rPr>
                  </w:pPr>
                  <w:r>
                    <w:rPr>
                      <w:rFonts w:eastAsiaTheme="minorEastAsia"/>
                      <w:color w:val="auto"/>
                      <w:szCs w:val="21"/>
                    </w:rPr>
                    <w:t>《火葬场大气污染物排放标准》（GB13801-2015）表2标准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5" w:type="dxa"/>
                  <w:vMerge w:val="continue"/>
                  <w:vAlign w:val="center"/>
                </w:tcPr>
                <w:p>
                  <w:pPr>
                    <w:pStyle w:val="26"/>
                    <w:spacing w:line="360" w:lineRule="exact"/>
                    <w:rPr>
                      <w:rFonts w:eastAsiaTheme="minorEastAsia"/>
                      <w:color w:val="auto"/>
                      <w:szCs w:val="21"/>
                    </w:rPr>
                  </w:pPr>
                </w:p>
              </w:tc>
              <w:tc>
                <w:tcPr>
                  <w:tcW w:w="1051" w:type="dxa"/>
                  <w:vAlign w:val="center"/>
                </w:tcPr>
                <w:p>
                  <w:pPr>
                    <w:pStyle w:val="26"/>
                    <w:spacing w:line="360" w:lineRule="exact"/>
                    <w:rPr>
                      <w:rFonts w:eastAsiaTheme="minorEastAsia"/>
                      <w:color w:val="auto"/>
                      <w:szCs w:val="21"/>
                    </w:rPr>
                  </w:pPr>
                  <w:r>
                    <w:rPr>
                      <w:rFonts w:eastAsiaTheme="minorEastAsia"/>
                      <w:color w:val="auto"/>
                      <w:szCs w:val="21"/>
                    </w:rPr>
                    <w:t>DA002</w:t>
                  </w:r>
                </w:p>
              </w:tc>
              <w:tc>
                <w:tcPr>
                  <w:tcW w:w="2415" w:type="dxa"/>
                  <w:vAlign w:val="center"/>
                </w:tcPr>
                <w:p>
                  <w:pPr>
                    <w:pStyle w:val="26"/>
                    <w:spacing w:line="360" w:lineRule="exact"/>
                    <w:ind w:firstLine="210" w:firstLineChars="100"/>
                    <w:jc w:val="both"/>
                    <w:rPr>
                      <w:rFonts w:eastAsiaTheme="minorEastAsia"/>
                      <w:color w:val="auto"/>
                      <w:szCs w:val="21"/>
                    </w:rPr>
                  </w:pPr>
                  <w:r>
                    <w:rPr>
                      <w:color w:val="auto"/>
                      <w:szCs w:val="21"/>
                    </w:rPr>
                    <w:t>烟气量、烟尘、SO</w:t>
                  </w:r>
                  <w:r>
                    <w:rPr>
                      <w:color w:val="auto"/>
                      <w:szCs w:val="21"/>
                      <w:vertAlign w:val="subscript"/>
                    </w:rPr>
                    <w:t>2</w:t>
                  </w:r>
                  <w:r>
                    <w:rPr>
                      <w:color w:val="auto"/>
                      <w:szCs w:val="21"/>
                    </w:rPr>
                    <w:t>、NOx、CO、HCl、二噁英、烟气黑度</w:t>
                  </w:r>
                </w:p>
              </w:tc>
              <w:tc>
                <w:tcPr>
                  <w:tcW w:w="947" w:type="dxa"/>
                  <w:vAlign w:val="center"/>
                </w:tcPr>
                <w:p>
                  <w:pPr>
                    <w:pStyle w:val="26"/>
                    <w:spacing w:line="360" w:lineRule="exact"/>
                    <w:rPr>
                      <w:rFonts w:eastAsiaTheme="minorEastAsia"/>
                      <w:color w:val="auto"/>
                      <w:szCs w:val="21"/>
                    </w:rPr>
                  </w:pPr>
                  <w:r>
                    <w:rPr>
                      <w:rFonts w:eastAsiaTheme="minorEastAsia"/>
                      <w:color w:val="auto"/>
                      <w:szCs w:val="21"/>
                    </w:rPr>
                    <w:t>1次/年</w:t>
                  </w:r>
                </w:p>
              </w:tc>
              <w:tc>
                <w:tcPr>
                  <w:tcW w:w="3257" w:type="dxa"/>
                  <w:vAlign w:val="center"/>
                </w:tcPr>
                <w:p>
                  <w:pPr>
                    <w:pStyle w:val="26"/>
                    <w:spacing w:line="360" w:lineRule="exact"/>
                    <w:ind w:firstLine="210" w:firstLineChars="100"/>
                    <w:jc w:val="left"/>
                    <w:rPr>
                      <w:rFonts w:eastAsiaTheme="minorEastAsia"/>
                      <w:color w:val="auto"/>
                      <w:szCs w:val="21"/>
                    </w:rPr>
                  </w:pPr>
                  <w:r>
                    <w:rPr>
                      <w:rFonts w:eastAsiaTheme="minorEastAsia"/>
                      <w:color w:val="auto"/>
                      <w:szCs w:val="21"/>
                    </w:rPr>
                    <w:t>《火葬场大气污染物排放标准》（GB13801-2015）表3标准</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（5）非正常情况污染物排放情况</w:t>
            </w:r>
          </w:p>
          <w:p>
            <w:pPr>
              <w:pStyle w:val="34"/>
              <w:ind w:firstLine="480"/>
              <w:rPr>
                <w:szCs w:val="24"/>
              </w:rPr>
            </w:pPr>
            <w:r>
              <w:rPr>
                <w:szCs w:val="24"/>
              </w:rPr>
              <w:t>项目非正常排放情况，视为项目有组织废气环保设施失效，所有有组织废气未经处置通过排气筒外排。如下表所示。</w:t>
            </w:r>
          </w:p>
          <w:p>
            <w:pPr>
              <w:pStyle w:val="34"/>
              <w:ind w:firstLine="480"/>
              <w:rPr>
                <w:szCs w:val="24"/>
              </w:rPr>
            </w:pPr>
          </w:p>
          <w:p>
            <w:pPr>
              <w:pStyle w:val="34"/>
              <w:ind w:firstLine="480"/>
              <w:rPr>
                <w:szCs w:val="24"/>
              </w:rPr>
            </w:pPr>
          </w:p>
          <w:p>
            <w:pPr>
              <w:jc w:val="center"/>
              <w:rPr>
                <w:rFonts w:ascii="Times New Roman" w:hAnsi="Times New Roman" w:cs="Times New Roman"/>
                <w:b/>
                <w:szCs w:val="24"/>
              </w:rPr>
            </w:pPr>
            <w:r>
              <w:rPr>
                <w:rFonts w:ascii="Times New Roman" w:hAnsi="Times New Roman" w:cs="Times New Roman"/>
                <w:b/>
                <w:szCs w:val="24"/>
              </w:rPr>
              <w:t>表4.2.1-4 非正常废气产排情况一览表</w:t>
            </w:r>
          </w:p>
          <w:tbl>
            <w:tblPr>
              <w:tblStyle w:val="16"/>
              <w:tblW w:w="8595" w:type="dxa"/>
              <w:tblInd w:w="0" w:type="dxa"/>
              <w:tblLayout w:type="fixed"/>
              <w:tblCellMar>
                <w:top w:w="0" w:type="dxa"/>
                <w:left w:w="108" w:type="dxa"/>
                <w:bottom w:w="0" w:type="dxa"/>
                <w:right w:w="108" w:type="dxa"/>
              </w:tblCellMar>
            </w:tblPr>
            <w:tblGrid>
              <w:gridCol w:w="730"/>
              <w:gridCol w:w="850"/>
              <w:gridCol w:w="1416"/>
              <w:gridCol w:w="1274"/>
              <w:gridCol w:w="1282"/>
              <w:gridCol w:w="851"/>
              <w:gridCol w:w="991"/>
              <w:gridCol w:w="1201"/>
            </w:tblGrid>
            <w:tr>
              <w:tblPrEx>
                <w:tblLayout w:type="fixed"/>
                <w:tblCellMar>
                  <w:top w:w="0" w:type="dxa"/>
                  <w:left w:w="108" w:type="dxa"/>
                  <w:bottom w:w="0" w:type="dxa"/>
                  <w:right w:w="108" w:type="dxa"/>
                </w:tblCellMar>
              </w:tblPrEx>
              <w:trPr>
                <w:trHeight w:val="576" w:hRule="atLeast"/>
              </w:trPr>
              <w:tc>
                <w:tcPr>
                  <w:tcW w:w="158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产排污环节</w:t>
                  </w:r>
                </w:p>
              </w:tc>
              <w:tc>
                <w:tcPr>
                  <w:tcW w:w="14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污染物种类</w:t>
                  </w:r>
                </w:p>
              </w:tc>
              <w:tc>
                <w:tcPr>
                  <w:tcW w:w="2556"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污染物排放量和浓度</w:t>
                  </w:r>
                </w:p>
              </w:tc>
              <w:tc>
                <w:tcPr>
                  <w:tcW w:w="851"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频次</w:t>
                  </w:r>
                </w:p>
              </w:tc>
              <w:tc>
                <w:tcPr>
                  <w:tcW w:w="991"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持续时间</w:t>
                  </w:r>
                </w:p>
              </w:tc>
              <w:tc>
                <w:tcPr>
                  <w:tcW w:w="120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措施</w:t>
                  </w:r>
                </w:p>
              </w:tc>
            </w:tr>
            <w:tr>
              <w:tblPrEx>
                <w:tblLayout w:type="fixed"/>
                <w:tblCellMar>
                  <w:top w:w="0" w:type="dxa"/>
                  <w:left w:w="108" w:type="dxa"/>
                  <w:bottom w:w="0" w:type="dxa"/>
                  <w:right w:w="108" w:type="dxa"/>
                </w:tblCellMar>
              </w:tblPrEx>
              <w:trPr>
                <w:trHeight w:val="588" w:hRule="atLeast"/>
              </w:trPr>
              <w:tc>
                <w:tcPr>
                  <w:tcW w:w="158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141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127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排放浓度mg/m³</w:t>
                  </w:r>
                </w:p>
              </w:tc>
              <w:tc>
                <w:tcPr>
                  <w:tcW w:w="1282"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排放量kg/次</w:t>
                  </w:r>
                </w:p>
              </w:tc>
              <w:tc>
                <w:tcPr>
                  <w:tcW w:w="851"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kern w:val="0"/>
                    </w:rPr>
                  </w:pPr>
                </w:p>
              </w:tc>
              <w:tc>
                <w:tcPr>
                  <w:tcW w:w="991"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120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r>
            <w:tr>
              <w:tblPrEx>
                <w:tblLayout w:type="fixed"/>
                <w:tblCellMar>
                  <w:top w:w="0" w:type="dxa"/>
                  <w:left w:w="108" w:type="dxa"/>
                  <w:bottom w:w="0" w:type="dxa"/>
                  <w:right w:w="108" w:type="dxa"/>
                </w:tblCellMar>
              </w:tblPrEx>
              <w:trPr>
                <w:trHeight w:val="300" w:hRule="atLeast"/>
              </w:trPr>
              <w:tc>
                <w:tcPr>
                  <w:tcW w:w="730" w:type="dxa"/>
                  <w:vMerge w:val="restart"/>
                  <w:tcBorders>
                    <w:top w:val="single" w:color="auto" w:sz="4" w:space="0"/>
                    <w:left w:val="single" w:color="000000" w:sz="8" w:space="0"/>
                    <w:right w:val="single" w:color="000000" w:sz="8"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火化工序</w:t>
                  </w:r>
                </w:p>
              </w:tc>
              <w:tc>
                <w:tcPr>
                  <w:tcW w:w="850" w:type="dxa"/>
                  <w:vMerge w:val="restart"/>
                  <w:tcBorders>
                    <w:top w:val="single" w:color="auto" w:sz="4" w:space="0"/>
                    <w:left w:val="single" w:color="000000" w:sz="8" w:space="0"/>
                    <w:right w:val="single" w:color="000000" w:sz="8"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火化</w:t>
                  </w:r>
                </w:p>
              </w:tc>
              <w:tc>
                <w:tcPr>
                  <w:tcW w:w="141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颗粒物</w:t>
                  </w:r>
                </w:p>
              </w:tc>
              <w:tc>
                <w:tcPr>
                  <w:tcW w:w="1274"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24.30</w:t>
                  </w:r>
                </w:p>
              </w:tc>
              <w:tc>
                <w:tcPr>
                  <w:tcW w:w="1282"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0.18</w:t>
                  </w:r>
                </w:p>
              </w:tc>
              <w:tc>
                <w:tcPr>
                  <w:tcW w:w="851" w:type="dxa"/>
                  <w:vMerge w:val="restart"/>
                  <w:tcBorders>
                    <w:top w:val="single" w:color="auto" w:sz="4" w:space="0"/>
                    <w:left w:val="nil"/>
                    <w:right w:val="single" w:color="auto" w:sz="4" w:space="0"/>
                  </w:tcBorders>
                  <w:shd w:val="clear" w:color="auto" w:fill="auto"/>
                  <w:vAlign w:val="center"/>
                </w:tcPr>
                <w:p>
                  <w:pPr>
                    <w:spacing w:line="360" w:lineRule="exact"/>
                    <w:jc w:val="center"/>
                    <w:rPr>
                      <w:rFonts w:ascii="Times New Roman" w:hAnsi="Times New Roman" w:eastAsia="宋体" w:cs="Times New Roman"/>
                      <w:kern w:val="0"/>
                    </w:rPr>
                  </w:pPr>
                  <w:r>
                    <w:rPr>
                      <w:rFonts w:ascii="Times New Roman" w:hAnsi="Times New Roman" w:eastAsia="宋体" w:cs="Times New Roman"/>
                      <w:kern w:val="0"/>
                    </w:rPr>
                    <w:t>1次/a</w:t>
                  </w:r>
                </w:p>
              </w:tc>
              <w:tc>
                <w:tcPr>
                  <w:tcW w:w="991" w:type="dxa"/>
                  <w:vMerge w:val="restart"/>
                  <w:tcBorders>
                    <w:top w:val="single" w:color="auto" w:sz="4" w:space="0"/>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r>
                    <w:rPr>
                      <w:rFonts w:ascii="Times New Roman" w:hAnsi="Times New Roman" w:eastAsia="宋体" w:cs="Times New Roman"/>
                      <w:kern w:val="0"/>
                    </w:rPr>
                    <w:t>45min/次</w:t>
                  </w:r>
                </w:p>
              </w:tc>
              <w:tc>
                <w:tcPr>
                  <w:tcW w:w="1201" w:type="dxa"/>
                  <w:vMerge w:val="restart"/>
                  <w:tcBorders>
                    <w:top w:val="single" w:color="auto" w:sz="4" w:space="0"/>
                    <w:left w:val="nil"/>
                    <w:right w:val="single" w:color="000000" w:sz="8" w:space="0"/>
                  </w:tcBorders>
                  <w:shd w:val="clear" w:color="auto" w:fill="auto"/>
                  <w:vAlign w:val="center"/>
                </w:tcPr>
                <w:p>
                  <w:pPr>
                    <w:pStyle w:val="26"/>
                    <w:spacing w:line="360" w:lineRule="exact"/>
                    <w:ind w:firstLine="210" w:firstLineChars="100"/>
                    <w:jc w:val="left"/>
                    <w:rPr>
                      <w:rFonts w:eastAsiaTheme="minorEastAsia"/>
                      <w:color w:val="auto"/>
                      <w:szCs w:val="21"/>
                    </w:rPr>
                  </w:pPr>
                  <w:r>
                    <w:rPr>
                      <w:rFonts w:eastAsiaTheme="minorEastAsia"/>
                      <w:color w:val="auto"/>
                      <w:szCs w:val="21"/>
                    </w:rPr>
                    <w:t>火化完成后立即检修</w:t>
                  </w:r>
                </w:p>
              </w:tc>
            </w:tr>
            <w:tr>
              <w:tblPrEx>
                <w:tblLayout w:type="fixed"/>
                <w:tblCellMar>
                  <w:top w:w="0" w:type="dxa"/>
                  <w:left w:w="108" w:type="dxa"/>
                  <w:bottom w:w="0" w:type="dxa"/>
                  <w:right w:w="108" w:type="dxa"/>
                </w:tblCellMar>
              </w:tblPrEx>
              <w:trPr>
                <w:trHeight w:val="336" w:hRule="atLeast"/>
              </w:trPr>
              <w:tc>
                <w:tcPr>
                  <w:tcW w:w="730" w:type="dxa"/>
                  <w:vMerge w:val="continue"/>
                  <w:tcBorders>
                    <w:left w:val="single" w:color="000000" w:sz="8" w:space="0"/>
                    <w:right w:val="single" w:color="000000" w:sz="8" w:space="0"/>
                  </w:tcBorders>
                  <w:vAlign w:val="center"/>
                </w:tcPr>
                <w:p>
                  <w:pPr>
                    <w:spacing w:line="360" w:lineRule="exact"/>
                    <w:jc w:val="center"/>
                    <w:rPr>
                      <w:rFonts w:ascii="Times New Roman" w:hAnsi="Times New Roman" w:cs="Times New Roman"/>
                      <w:kern w:val="0"/>
                    </w:rPr>
                  </w:pPr>
                </w:p>
              </w:tc>
              <w:tc>
                <w:tcPr>
                  <w:tcW w:w="850" w:type="dxa"/>
                  <w:vMerge w:val="continue"/>
                  <w:tcBorders>
                    <w:left w:val="single" w:color="000000" w:sz="8" w:space="0"/>
                    <w:right w:val="single" w:color="000000" w:sz="8" w:space="0"/>
                  </w:tcBorders>
                  <w:vAlign w:val="center"/>
                </w:tcPr>
                <w:p>
                  <w:pPr>
                    <w:spacing w:line="360" w:lineRule="exact"/>
                    <w:jc w:val="center"/>
                    <w:rPr>
                      <w:rFonts w:ascii="Times New Roman" w:hAnsi="Times New Roman"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SO</w:t>
                  </w:r>
                  <w:r>
                    <w:rPr>
                      <w:rFonts w:ascii="Times New Roman" w:hAnsi="Times New Roman" w:cs="Times New Roman"/>
                      <w:kern w:val="0"/>
                      <w:vertAlign w:val="subscript"/>
                    </w:rPr>
                    <w:t>2</w:t>
                  </w:r>
                </w:p>
              </w:tc>
              <w:tc>
                <w:tcPr>
                  <w:tcW w:w="1274"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116.40</w:t>
                  </w:r>
                </w:p>
              </w:tc>
              <w:tc>
                <w:tcPr>
                  <w:tcW w:w="1282"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0.87</w:t>
                  </w:r>
                </w:p>
              </w:tc>
              <w:tc>
                <w:tcPr>
                  <w:tcW w:w="851" w:type="dxa"/>
                  <w:vMerge w:val="continue"/>
                  <w:tcBorders>
                    <w:left w:val="nil"/>
                    <w:right w:val="single" w:color="auto" w:sz="4" w:space="0"/>
                  </w:tcBorders>
                  <w:shd w:val="clear" w:color="auto" w:fill="auto"/>
                  <w:vAlign w:val="center"/>
                </w:tcPr>
                <w:p>
                  <w:pPr>
                    <w:spacing w:line="360" w:lineRule="exact"/>
                    <w:jc w:val="center"/>
                    <w:rPr>
                      <w:rFonts w:ascii="Times New Roman" w:hAnsi="Times New Roman" w:eastAsia="宋体" w:cs="Times New Roman"/>
                      <w:kern w:val="0"/>
                    </w:rPr>
                  </w:pPr>
                </w:p>
              </w:tc>
              <w:tc>
                <w:tcPr>
                  <w:tcW w:w="991"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p>
              </w:tc>
              <w:tc>
                <w:tcPr>
                  <w:tcW w:w="1201" w:type="dxa"/>
                  <w:vMerge w:val="continue"/>
                  <w:tcBorders>
                    <w:left w:val="nil"/>
                    <w:right w:val="single" w:color="000000" w:sz="8" w:space="0"/>
                  </w:tcBorders>
                  <w:shd w:val="clear" w:color="auto" w:fill="auto"/>
                  <w:vAlign w:val="center"/>
                </w:tcPr>
                <w:p>
                  <w:pPr>
                    <w:pStyle w:val="26"/>
                    <w:spacing w:line="360" w:lineRule="exact"/>
                    <w:ind w:firstLine="210" w:firstLineChars="100"/>
                    <w:jc w:val="left"/>
                    <w:rPr>
                      <w:rFonts w:eastAsiaTheme="minorEastAsia"/>
                      <w:color w:val="auto"/>
                      <w:szCs w:val="21"/>
                    </w:rPr>
                  </w:pPr>
                </w:p>
              </w:tc>
            </w:tr>
            <w:tr>
              <w:tblPrEx>
                <w:tblLayout w:type="fixed"/>
                <w:tblCellMar>
                  <w:top w:w="0" w:type="dxa"/>
                  <w:left w:w="108" w:type="dxa"/>
                  <w:bottom w:w="0" w:type="dxa"/>
                  <w:right w:w="108" w:type="dxa"/>
                </w:tblCellMar>
              </w:tblPrEx>
              <w:trPr>
                <w:trHeight w:val="300" w:hRule="atLeast"/>
              </w:trPr>
              <w:tc>
                <w:tcPr>
                  <w:tcW w:w="730" w:type="dxa"/>
                  <w:vMerge w:val="continue"/>
                  <w:tcBorders>
                    <w:left w:val="single" w:color="000000" w:sz="8" w:space="0"/>
                    <w:right w:val="single" w:color="000000" w:sz="8" w:space="0"/>
                  </w:tcBorders>
                  <w:vAlign w:val="center"/>
                </w:tcPr>
                <w:p>
                  <w:pPr>
                    <w:spacing w:line="360" w:lineRule="exact"/>
                    <w:jc w:val="center"/>
                    <w:rPr>
                      <w:rFonts w:ascii="Times New Roman" w:hAnsi="Times New Roman" w:cs="Times New Roman"/>
                      <w:kern w:val="0"/>
                    </w:rPr>
                  </w:pPr>
                </w:p>
              </w:tc>
              <w:tc>
                <w:tcPr>
                  <w:tcW w:w="850" w:type="dxa"/>
                  <w:vMerge w:val="continue"/>
                  <w:tcBorders>
                    <w:left w:val="single" w:color="000000" w:sz="8" w:space="0"/>
                    <w:right w:val="single" w:color="000000" w:sz="8" w:space="0"/>
                  </w:tcBorders>
                  <w:vAlign w:val="center"/>
                </w:tcPr>
                <w:p>
                  <w:pPr>
                    <w:spacing w:line="360" w:lineRule="exact"/>
                    <w:jc w:val="center"/>
                    <w:rPr>
                      <w:rFonts w:ascii="Times New Roman" w:hAnsi="Times New Roman"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NOx</w:t>
                  </w:r>
                </w:p>
              </w:tc>
              <w:tc>
                <w:tcPr>
                  <w:tcW w:w="1274"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19.00</w:t>
                  </w:r>
                </w:p>
              </w:tc>
              <w:tc>
                <w:tcPr>
                  <w:tcW w:w="1282"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0.1425</w:t>
                  </w:r>
                </w:p>
              </w:tc>
              <w:tc>
                <w:tcPr>
                  <w:tcW w:w="851" w:type="dxa"/>
                  <w:vMerge w:val="continue"/>
                  <w:tcBorders>
                    <w:left w:val="nil"/>
                    <w:right w:val="single" w:color="auto" w:sz="4" w:space="0"/>
                  </w:tcBorders>
                  <w:shd w:val="clear" w:color="auto" w:fill="auto"/>
                  <w:vAlign w:val="center"/>
                </w:tcPr>
                <w:p>
                  <w:pPr>
                    <w:spacing w:line="360" w:lineRule="exact"/>
                    <w:jc w:val="center"/>
                    <w:rPr>
                      <w:rFonts w:ascii="Times New Roman" w:hAnsi="Times New Roman" w:eastAsia="宋体" w:cs="Times New Roman"/>
                      <w:kern w:val="0"/>
                    </w:rPr>
                  </w:pPr>
                </w:p>
              </w:tc>
              <w:tc>
                <w:tcPr>
                  <w:tcW w:w="991"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p>
              </w:tc>
              <w:tc>
                <w:tcPr>
                  <w:tcW w:w="1201" w:type="dxa"/>
                  <w:vMerge w:val="continue"/>
                  <w:tcBorders>
                    <w:left w:val="nil"/>
                    <w:right w:val="single" w:color="000000" w:sz="8" w:space="0"/>
                  </w:tcBorders>
                  <w:shd w:val="clear" w:color="auto" w:fill="auto"/>
                  <w:vAlign w:val="center"/>
                </w:tcPr>
                <w:p>
                  <w:pPr>
                    <w:pStyle w:val="26"/>
                    <w:spacing w:line="360" w:lineRule="exact"/>
                    <w:ind w:firstLine="210" w:firstLineChars="100"/>
                    <w:jc w:val="left"/>
                    <w:rPr>
                      <w:rFonts w:eastAsiaTheme="minorEastAsia"/>
                      <w:color w:val="auto"/>
                      <w:szCs w:val="21"/>
                    </w:rPr>
                  </w:pPr>
                </w:p>
              </w:tc>
            </w:tr>
            <w:tr>
              <w:tblPrEx>
                <w:tblLayout w:type="fixed"/>
                <w:tblCellMar>
                  <w:top w:w="0" w:type="dxa"/>
                  <w:left w:w="108" w:type="dxa"/>
                  <w:bottom w:w="0" w:type="dxa"/>
                  <w:right w:w="108" w:type="dxa"/>
                </w:tblCellMar>
              </w:tblPrEx>
              <w:trPr>
                <w:trHeight w:val="300" w:hRule="atLeast"/>
              </w:trPr>
              <w:tc>
                <w:tcPr>
                  <w:tcW w:w="730" w:type="dxa"/>
                  <w:vMerge w:val="continue"/>
                  <w:tcBorders>
                    <w:left w:val="single" w:color="000000" w:sz="8" w:space="0"/>
                    <w:right w:val="single" w:color="000000" w:sz="8" w:space="0"/>
                  </w:tcBorders>
                  <w:vAlign w:val="center"/>
                </w:tcPr>
                <w:p>
                  <w:pPr>
                    <w:spacing w:line="360" w:lineRule="exact"/>
                    <w:jc w:val="center"/>
                    <w:rPr>
                      <w:rFonts w:ascii="Times New Roman" w:hAnsi="Times New Roman" w:cs="Times New Roman"/>
                      <w:kern w:val="0"/>
                    </w:rPr>
                  </w:pPr>
                </w:p>
              </w:tc>
              <w:tc>
                <w:tcPr>
                  <w:tcW w:w="850" w:type="dxa"/>
                  <w:vMerge w:val="continue"/>
                  <w:tcBorders>
                    <w:left w:val="single" w:color="000000" w:sz="8" w:space="0"/>
                    <w:right w:val="single" w:color="000000" w:sz="8" w:space="0"/>
                  </w:tcBorders>
                  <w:vAlign w:val="center"/>
                </w:tcPr>
                <w:p>
                  <w:pPr>
                    <w:spacing w:line="360" w:lineRule="exact"/>
                    <w:jc w:val="center"/>
                    <w:rPr>
                      <w:rFonts w:ascii="Times New Roman" w:hAnsi="Times New Roman"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CO</w:t>
                  </w:r>
                </w:p>
              </w:tc>
              <w:tc>
                <w:tcPr>
                  <w:tcW w:w="1274"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78.15</w:t>
                  </w:r>
                </w:p>
              </w:tc>
              <w:tc>
                <w:tcPr>
                  <w:tcW w:w="1282"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0.585</w:t>
                  </w:r>
                </w:p>
              </w:tc>
              <w:tc>
                <w:tcPr>
                  <w:tcW w:w="851" w:type="dxa"/>
                  <w:vMerge w:val="continue"/>
                  <w:tcBorders>
                    <w:left w:val="nil"/>
                    <w:right w:val="single" w:color="auto" w:sz="4" w:space="0"/>
                  </w:tcBorders>
                  <w:shd w:val="clear" w:color="auto" w:fill="auto"/>
                  <w:vAlign w:val="center"/>
                </w:tcPr>
                <w:p>
                  <w:pPr>
                    <w:spacing w:line="360" w:lineRule="exact"/>
                    <w:jc w:val="center"/>
                    <w:rPr>
                      <w:rFonts w:ascii="Times New Roman" w:hAnsi="Times New Roman" w:eastAsia="宋体" w:cs="Times New Roman"/>
                      <w:kern w:val="0"/>
                    </w:rPr>
                  </w:pPr>
                </w:p>
              </w:tc>
              <w:tc>
                <w:tcPr>
                  <w:tcW w:w="991"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p>
              </w:tc>
              <w:tc>
                <w:tcPr>
                  <w:tcW w:w="1201" w:type="dxa"/>
                  <w:vMerge w:val="continue"/>
                  <w:tcBorders>
                    <w:left w:val="nil"/>
                    <w:right w:val="single" w:color="000000" w:sz="8" w:space="0"/>
                  </w:tcBorders>
                  <w:shd w:val="clear" w:color="auto" w:fill="auto"/>
                  <w:vAlign w:val="center"/>
                </w:tcPr>
                <w:p>
                  <w:pPr>
                    <w:pStyle w:val="26"/>
                    <w:spacing w:line="360" w:lineRule="exact"/>
                    <w:ind w:firstLine="210" w:firstLineChars="100"/>
                    <w:jc w:val="left"/>
                    <w:rPr>
                      <w:rFonts w:eastAsiaTheme="minorEastAsia"/>
                      <w:color w:val="auto"/>
                      <w:szCs w:val="21"/>
                    </w:rPr>
                  </w:pPr>
                </w:p>
              </w:tc>
            </w:tr>
            <w:tr>
              <w:tblPrEx>
                <w:tblLayout w:type="fixed"/>
                <w:tblCellMar>
                  <w:top w:w="0" w:type="dxa"/>
                  <w:left w:w="108" w:type="dxa"/>
                  <w:bottom w:w="0" w:type="dxa"/>
                  <w:right w:w="108" w:type="dxa"/>
                </w:tblCellMar>
              </w:tblPrEx>
              <w:trPr>
                <w:trHeight w:val="300" w:hRule="atLeast"/>
              </w:trPr>
              <w:tc>
                <w:tcPr>
                  <w:tcW w:w="730" w:type="dxa"/>
                  <w:vMerge w:val="continue"/>
                  <w:tcBorders>
                    <w:left w:val="single" w:color="000000" w:sz="8" w:space="0"/>
                    <w:right w:val="single" w:color="000000" w:sz="8" w:space="0"/>
                  </w:tcBorders>
                  <w:vAlign w:val="center"/>
                </w:tcPr>
                <w:p>
                  <w:pPr>
                    <w:spacing w:line="360" w:lineRule="exact"/>
                    <w:jc w:val="center"/>
                    <w:rPr>
                      <w:rFonts w:ascii="Times New Roman" w:hAnsi="Times New Roman" w:cs="Times New Roman"/>
                      <w:kern w:val="0"/>
                    </w:rPr>
                  </w:pPr>
                </w:p>
              </w:tc>
              <w:tc>
                <w:tcPr>
                  <w:tcW w:w="850" w:type="dxa"/>
                  <w:vMerge w:val="continue"/>
                  <w:tcBorders>
                    <w:left w:val="single" w:color="000000" w:sz="8" w:space="0"/>
                    <w:right w:val="single" w:color="000000" w:sz="8" w:space="0"/>
                  </w:tcBorders>
                  <w:vAlign w:val="center"/>
                </w:tcPr>
                <w:p>
                  <w:pPr>
                    <w:spacing w:line="360" w:lineRule="exact"/>
                    <w:jc w:val="center"/>
                    <w:rPr>
                      <w:rFonts w:ascii="Times New Roman" w:hAnsi="Times New Roman"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HCl</w:t>
                  </w:r>
                </w:p>
              </w:tc>
              <w:tc>
                <w:tcPr>
                  <w:tcW w:w="1274"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5.10</w:t>
                  </w:r>
                </w:p>
              </w:tc>
              <w:tc>
                <w:tcPr>
                  <w:tcW w:w="1282"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0.0375</w:t>
                  </w:r>
                </w:p>
              </w:tc>
              <w:tc>
                <w:tcPr>
                  <w:tcW w:w="851" w:type="dxa"/>
                  <w:vMerge w:val="continue"/>
                  <w:tcBorders>
                    <w:left w:val="nil"/>
                    <w:right w:val="single" w:color="auto" w:sz="4" w:space="0"/>
                  </w:tcBorders>
                  <w:shd w:val="clear" w:color="auto" w:fill="auto"/>
                  <w:vAlign w:val="center"/>
                </w:tcPr>
                <w:p>
                  <w:pPr>
                    <w:spacing w:line="360" w:lineRule="exact"/>
                    <w:jc w:val="center"/>
                    <w:rPr>
                      <w:rFonts w:ascii="Times New Roman" w:hAnsi="Times New Roman" w:eastAsia="宋体" w:cs="Times New Roman"/>
                      <w:kern w:val="0"/>
                    </w:rPr>
                  </w:pPr>
                </w:p>
              </w:tc>
              <w:tc>
                <w:tcPr>
                  <w:tcW w:w="991"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p>
              </w:tc>
              <w:tc>
                <w:tcPr>
                  <w:tcW w:w="1201" w:type="dxa"/>
                  <w:vMerge w:val="continue"/>
                  <w:tcBorders>
                    <w:left w:val="nil"/>
                    <w:right w:val="single" w:color="000000" w:sz="8" w:space="0"/>
                  </w:tcBorders>
                  <w:shd w:val="clear" w:color="auto" w:fill="auto"/>
                  <w:vAlign w:val="center"/>
                </w:tcPr>
                <w:p>
                  <w:pPr>
                    <w:pStyle w:val="26"/>
                    <w:spacing w:line="360" w:lineRule="exact"/>
                    <w:ind w:firstLine="210" w:firstLineChars="100"/>
                    <w:jc w:val="left"/>
                    <w:rPr>
                      <w:rFonts w:eastAsiaTheme="minorEastAsia"/>
                      <w:color w:val="auto"/>
                      <w:szCs w:val="21"/>
                    </w:rPr>
                  </w:pPr>
                </w:p>
              </w:tc>
            </w:tr>
            <w:tr>
              <w:tblPrEx>
                <w:tblLayout w:type="fixed"/>
                <w:tblCellMar>
                  <w:top w:w="0" w:type="dxa"/>
                  <w:left w:w="108" w:type="dxa"/>
                  <w:bottom w:w="0" w:type="dxa"/>
                  <w:right w:w="108" w:type="dxa"/>
                </w:tblCellMar>
              </w:tblPrEx>
              <w:trPr>
                <w:trHeight w:val="300" w:hRule="atLeast"/>
              </w:trPr>
              <w:tc>
                <w:tcPr>
                  <w:tcW w:w="730" w:type="dxa"/>
                  <w:vMerge w:val="continue"/>
                  <w:tcBorders>
                    <w:left w:val="single" w:color="000000" w:sz="8" w:space="0"/>
                    <w:right w:val="single" w:color="000000" w:sz="8" w:space="0"/>
                  </w:tcBorders>
                  <w:vAlign w:val="center"/>
                </w:tcPr>
                <w:p>
                  <w:pPr>
                    <w:spacing w:line="360" w:lineRule="exact"/>
                    <w:jc w:val="center"/>
                    <w:rPr>
                      <w:rFonts w:ascii="Times New Roman" w:hAnsi="Times New Roman" w:cs="Times New Roman"/>
                      <w:kern w:val="0"/>
                    </w:rPr>
                  </w:pPr>
                </w:p>
              </w:tc>
              <w:tc>
                <w:tcPr>
                  <w:tcW w:w="850" w:type="dxa"/>
                  <w:vMerge w:val="continue"/>
                  <w:tcBorders>
                    <w:left w:val="single" w:color="000000" w:sz="8" w:space="0"/>
                    <w:right w:val="single" w:color="000000" w:sz="8" w:space="0"/>
                  </w:tcBorders>
                  <w:vAlign w:val="center"/>
                </w:tcPr>
                <w:p>
                  <w:pPr>
                    <w:spacing w:line="360" w:lineRule="exact"/>
                    <w:jc w:val="center"/>
                    <w:rPr>
                      <w:rFonts w:ascii="Times New Roman" w:hAnsi="Times New Roman" w:cs="Times New Roman"/>
                      <w:kern w:val="0"/>
                    </w:rPr>
                  </w:pPr>
                </w:p>
              </w:tc>
              <w:tc>
                <w:tcPr>
                  <w:tcW w:w="1416" w:type="dxa"/>
                  <w:tcBorders>
                    <w:top w:val="nil"/>
                    <w:left w:val="nil"/>
                    <w:bottom w:val="single" w:color="000000"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汞</w:t>
                  </w:r>
                </w:p>
              </w:tc>
              <w:tc>
                <w:tcPr>
                  <w:tcW w:w="1274"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0.07</w:t>
                  </w:r>
                </w:p>
              </w:tc>
              <w:tc>
                <w:tcPr>
                  <w:tcW w:w="1282" w:type="dxa"/>
                  <w:tcBorders>
                    <w:top w:val="nil"/>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5.13×10</w:t>
                  </w:r>
                  <w:r>
                    <w:rPr>
                      <w:rFonts w:ascii="Times New Roman" w:hAnsi="Times New Roman" w:cs="Times New Roman"/>
                      <w:kern w:val="0"/>
                      <w:vertAlign w:val="superscript"/>
                    </w:rPr>
                    <w:t>-6</w:t>
                  </w:r>
                </w:p>
              </w:tc>
              <w:tc>
                <w:tcPr>
                  <w:tcW w:w="851" w:type="dxa"/>
                  <w:vMerge w:val="continue"/>
                  <w:tcBorders>
                    <w:left w:val="nil"/>
                    <w:right w:val="single" w:color="auto" w:sz="4" w:space="0"/>
                  </w:tcBorders>
                  <w:shd w:val="clear" w:color="auto" w:fill="auto"/>
                  <w:vAlign w:val="center"/>
                </w:tcPr>
                <w:p>
                  <w:pPr>
                    <w:spacing w:line="360" w:lineRule="exact"/>
                    <w:jc w:val="center"/>
                    <w:rPr>
                      <w:rFonts w:ascii="Times New Roman" w:hAnsi="Times New Roman" w:eastAsia="宋体" w:cs="Times New Roman"/>
                      <w:kern w:val="0"/>
                    </w:rPr>
                  </w:pPr>
                </w:p>
              </w:tc>
              <w:tc>
                <w:tcPr>
                  <w:tcW w:w="991" w:type="dxa"/>
                  <w:vMerge w:val="continue"/>
                  <w:tcBorders>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p>
              </w:tc>
              <w:tc>
                <w:tcPr>
                  <w:tcW w:w="1201" w:type="dxa"/>
                  <w:vMerge w:val="continue"/>
                  <w:tcBorders>
                    <w:left w:val="nil"/>
                    <w:right w:val="single" w:color="000000" w:sz="8" w:space="0"/>
                  </w:tcBorders>
                  <w:shd w:val="clear" w:color="auto" w:fill="auto"/>
                  <w:vAlign w:val="center"/>
                </w:tcPr>
                <w:p>
                  <w:pPr>
                    <w:pStyle w:val="26"/>
                    <w:spacing w:line="360" w:lineRule="exact"/>
                    <w:ind w:firstLine="210" w:firstLineChars="100"/>
                    <w:jc w:val="left"/>
                    <w:rPr>
                      <w:rFonts w:eastAsiaTheme="minorEastAsia"/>
                      <w:color w:val="auto"/>
                      <w:szCs w:val="21"/>
                    </w:rPr>
                  </w:pPr>
                </w:p>
              </w:tc>
            </w:tr>
            <w:tr>
              <w:tblPrEx>
                <w:tblLayout w:type="fixed"/>
                <w:tblCellMar>
                  <w:top w:w="0" w:type="dxa"/>
                  <w:left w:w="108" w:type="dxa"/>
                  <w:bottom w:w="0" w:type="dxa"/>
                  <w:right w:w="108" w:type="dxa"/>
                </w:tblCellMar>
              </w:tblPrEx>
              <w:trPr>
                <w:trHeight w:val="300" w:hRule="atLeast"/>
              </w:trPr>
              <w:tc>
                <w:tcPr>
                  <w:tcW w:w="730" w:type="dxa"/>
                  <w:vMerge w:val="continue"/>
                  <w:tcBorders>
                    <w:left w:val="single" w:color="000000" w:sz="8" w:space="0"/>
                    <w:bottom w:val="single" w:color="auto" w:sz="4" w:space="0"/>
                    <w:right w:val="single" w:color="000000" w:sz="8" w:space="0"/>
                  </w:tcBorders>
                  <w:vAlign w:val="center"/>
                </w:tcPr>
                <w:p>
                  <w:pPr>
                    <w:spacing w:line="360" w:lineRule="exact"/>
                    <w:jc w:val="center"/>
                    <w:rPr>
                      <w:rFonts w:ascii="Times New Roman" w:hAnsi="Times New Roman" w:cs="Times New Roman"/>
                      <w:kern w:val="0"/>
                    </w:rPr>
                  </w:pPr>
                </w:p>
              </w:tc>
              <w:tc>
                <w:tcPr>
                  <w:tcW w:w="850" w:type="dxa"/>
                  <w:vMerge w:val="continue"/>
                  <w:tcBorders>
                    <w:left w:val="single" w:color="000000" w:sz="8" w:space="0"/>
                    <w:bottom w:val="single" w:color="auto" w:sz="4" w:space="0"/>
                    <w:right w:val="single" w:color="000000" w:sz="8" w:space="0"/>
                  </w:tcBorders>
                  <w:vAlign w:val="center"/>
                </w:tcPr>
                <w:p>
                  <w:pPr>
                    <w:spacing w:line="360" w:lineRule="exact"/>
                    <w:jc w:val="center"/>
                    <w:rPr>
                      <w:rFonts w:ascii="Times New Roman" w:hAnsi="Times New Roman" w:cs="Times New Roman"/>
                      <w:kern w:val="0"/>
                    </w:rPr>
                  </w:pPr>
                </w:p>
              </w:tc>
              <w:tc>
                <w:tcPr>
                  <w:tcW w:w="1416" w:type="dxa"/>
                  <w:tcBorders>
                    <w:top w:val="nil"/>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二噁英类</w:t>
                  </w:r>
                </w:p>
              </w:tc>
              <w:tc>
                <w:tcPr>
                  <w:tcW w:w="127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cs="Times New Roman"/>
                      <w:kern w:val="0"/>
                    </w:rPr>
                    <w:t>0.36 ngTEQ/m³</w:t>
                  </w:r>
                </w:p>
              </w:tc>
              <w:tc>
                <w:tcPr>
                  <w:tcW w:w="1282" w:type="dxa"/>
                  <w:tcBorders>
                    <w:top w:val="nil"/>
                    <w:left w:val="single" w:color="auto" w:sz="4" w:space="0"/>
                    <w:bottom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2.7</w:t>
                  </w:r>
                  <w:r>
                    <w:rPr>
                      <w:rFonts w:ascii="Times New Roman" w:hAnsi="Times New Roman" w:cs="Times New Roman"/>
                      <w:kern w:val="0"/>
                    </w:rPr>
                    <w:t>×10</w:t>
                  </w:r>
                  <w:r>
                    <w:rPr>
                      <w:rFonts w:ascii="Times New Roman" w:hAnsi="Times New Roman" w:cs="Times New Roman"/>
                      <w:kern w:val="0"/>
                      <w:vertAlign w:val="superscript"/>
                    </w:rPr>
                    <w:t>-</w:t>
                  </w:r>
                  <w:r>
                    <w:rPr>
                      <w:rFonts w:hint="eastAsia" w:ascii="Times New Roman" w:hAnsi="Times New Roman" w:cs="Times New Roman"/>
                      <w:kern w:val="0"/>
                      <w:vertAlign w:val="superscript"/>
                    </w:rPr>
                    <w:t>9</w:t>
                  </w:r>
                </w:p>
              </w:tc>
              <w:tc>
                <w:tcPr>
                  <w:tcW w:w="851" w:type="dxa"/>
                  <w:vMerge w:val="continue"/>
                  <w:tcBorders>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宋体" w:cs="Times New Roman"/>
                      <w:kern w:val="0"/>
                    </w:rPr>
                  </w:pPr>
                </w:p>
              </w:tc>
              <w:tc>
                <w:tcPr>
                  <w:tcW w:w="991" w:type="dxa"/>
                  <w:vMerge w:val="continue"/>
                  <w:tcBorders>
                    <w:left w:val="single" w:color="auto" w:sz="4" w:space="0"/>
                    <w:bottom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p>
              </w:tc>
              <w:tc>
                <w:tcPr>
                  <w:tcW w:w="1201" w:type="dxa"/>
                  <w:vMerge w:val="continue"/>
                  <w:tcBorders>
                    <w:left w:val="nil"/>
                    <w:bottom w:val="single" w:color="auto" w:sz="4" w:space="0"/>
                    <w:right w:val="single" w:color="000000" w:sz="8" w:space="0"/>
                  </w:tcBorders>
                  <w:shd w:val="clear" w:color="auto" w:fill="auto"/>
                  <w:vAlign w:val="center"/>
                </w:tcPr>
                <w:p>
                  <w:pPr>
                    <w:pStyle w:val="26"/>
                    <w:spacing w:line="360" w:lineRule="exact"/>
                    <w:ind w:firstLine="210" w:firstLineChars="100"/>
                    <w:jc w:val="left"/>
                    <w:rPr>
                      <w:rFonts w:eastAsiaTheme="minorEastAsia"/>
                      <w:color w:val="auto"/>
                      <w:szCs w:val="21"/>
                    </w:rPr>
                  </w:pPr>
                </w:p>
              </w:tc>
            </w:tr>
            <w:tr>
              <w:tblPrEx>
                <w:tblLayout w:type="fixed"/>
                <w:tblCellMar>
                  <w:top w:w="0" w:type="dxa"/>
                  <w:left w:w="108" w:type="dxa"/>
                  <w:bottom w:w="0" w:type="dxa"/>
                  <w:right w:w="108" w:type="dxa"/>
                </w:tblCellMar>
              </w:tblPrEx>
              <w:trPr>
                <w:trHeight w:val="120" w:hRule="atLeast"/>
              </w:trPr>
              <w:tc>
                <w:tcPr>
                  <w:tcW w:w="730" w:type="dxa"/>
                  <w:vMerge w:val="restart"/>
                  <w:tcBorders>
                    <w:top w:val="single" w:color="auto" w:sz="4" w:space="0"/>
                    <w:left w:val="single" w:color="000000" w:sz="8" w:space="0"/>
                    <w:right w:val="single" w:color="000000" w:sz="8"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遗物焚烧工序</w:t>
                  </w:r>
                </w:p>
              </w:tc>
              <w:tc>
                <w:tcPr>
                  <w:tcW w:w="850" w:type="dxa"/>
                  <w:vMerge w:val="restart"/>
                  <w:tcBorders>
                    <w:top w:val="single" w:color="auto" w:sz="4" w:space="0"/>
                    <w:left w:val="single" w:color="000000" w:sz="8" w:space="0"/>
                    <w:right w:val="single" w:color="000000" w:sz="8" w:space="0"/>
                  </w:tcBorders>
                  <w:vAlign w:val="center"/>
                </w:tcPr>
                <w:p>
                  <w:pPr>
                    <w:jc w:val="center"/>
                    <w:rPr>
                      <w:rFonts w:ascii="Times New Roman" w:hAnsi="Times New Roman" w:cs="Times New Roman"/>
                      <w:kern w:val="0"/>
                    </w:rPr>
                  </w:pPr>
                  <w:r>
                    <w:rPr>
                      <w:rFonts w:ascii="Times New Roman" w:hAnsi="Times New Roman" w:cs="Times New Roman"/>
                      <w:kern w:val="0"/>
                    </w:rPr>
                    <w:t>遗物焚烧</w:t>
                  </w:r>
                </w:p>
              </w:tc>
              <w:tc>
                <w:tcPr>
                  <w:tcW w:w="141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颗粒物</w:t>
                  </w:r>
                </w:p>
              </w:tc>
              <w:tc>
                <w:tcPr>
                  <w:tcW w:w="127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300.00</w:t>
                  </w:r>
                </w:p>
              </w:tc>
              <w:tc>
                <w:tcPr>
                  <w:tcW w:w="1282"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0.3</w:t>
                  </w:r>
                </w:p>
              </w:tc>
              <w:tc>
                <w:tcPr>
                  <w:tcW w:w="851" w:type="dxa"/>
                  <w:vMerge w:val="restart"/>
                  <w:tcBorders>
                    <w:top w:val="single" w:color="auto" w:sz="4" w:space="0"/>
                    <w:left w:val="nil"/>
                    <w:right w:val="single" w:color="auto" w:sz="4" w:space="0"/>
                  </w:tcBorders>
                  <w:shd w:val="clear" w:color="auto" w:fill="auto"/>
                  <w:vAlign w:val="center"/>
                </w:tcPr>
                <w:p>
                  <w:pPr>
                    <w:spacing w:line="360" w:lineRule="exact"/>
                    <w:jc w:val="center"/>
                    <w:rPr>
                      <w:rFonts w:ascii="Times New Roman" w:hAnsi="Times New Roman" w:eastAsia="宋体" w:cs="Times New Roman"/>
                      <w:kern w:val="0"/>
                    </w:rPr>
                  </w:pPr>
                  <w:r>
                    <w:rPr>
                      <w:rFonts w:ascii="Times New Roman" w:hAnsi="Times New Roman" w:eastAsia="宋体" w:cs="Times New Roman"/>
                      <w:kern w:val="0"/>
                    </w:rPr>
                    <w:t>1次/a</w:t>
                  </w:r>
                </w:p>
              </w:tc>
              <w:tc>
                <w:tcPr>
                  <w:tcW w:w="991" w:type="dxa"/>
                  <w:vMerge w:val="restart"/>
                  <w:tcBorders>
                    <w:top w:val="single" w:color="auto" w:sz="4" w:space="0"/>
                    <w:left w:val="single" w:color="auto" w:sz="4" w:space="0"/>
                    <w:right w:val="single" w:color="000000" w:sz="8" w:space="0"/>
                  </w:tcBorders>
                  <w:shd w:val="clear" w:color="auto" w:fill="auto"/>
                  <w:vAlign w:val="center"/>
                </w:tcPr>
                <w:p>
                  <w:pPr>
                    <w:spacing w:line="360" w:lineRule="exact"/>
                    <w:jc w:val="center"/>
                    <w:rPr>
                      <w:rFonts w:ascii="Times New Roman" w:hAnsi="Times New Roman" w:eastAsia="宋体" w:cs="Times New Roman"/>
                      <w:kern w:val="0"/>
                    </w:rPr>
                  </w:pPr>
                  <w:r>
                    <w:rPr>
                      <w:rFonts w:ascii="Times New Roman" w:hAnsi="Times New Roman" w:eastAsia="宋体" w:cs="Times New Roman"/>
                      <w:kern w:val="0"/>
                    </w:rPr>
                    <w:t>12min/次</w:t>
                  </w:r>
                </w:p>
              </w:tc>
              <w:tc>
                <w:tcPr>
                  <w:tcW w:w="1201" w:type="dxa"/>
                  <w:vMerge w:val="restart"/>
                  <w:tcBorders>
                    <w:top w:val="single" w:color="auto" w:sz="4" w:space="0"/>
                    <w:left w:val="nil"/>
                    <w:right w:val="single" w:color="000000" w:sz="8" w:space="0"/>
                  </w:tcBorders>
                  <w:shd w:val="clear" w:color="auto" w:fill="auto"/>
                  <w:vAlign w:val="center"/>
                </w:tcPr>
                <w:p>
                  <w:pPr>
                    <w:pStyle w:val="26"/>
                    <w:spacing w:line="360" w:lineRule="exact"/>
                    <w:ind w:firstLine="210" w:firstLineChars="100"/>
                    <w:jc w:val="left"/>
                    <w:rPr>
                      <w:rFonts w:eastAsiaTheme="minorEastAsia"/>
                      <w:color w:val="auto"/>
                      <w:szCs w:val="21"/>
                    </w:rPr>
                  </w:pPr>
                  <w:r>
                    <w:rPr>
                      <w:rFonts w:eastAsiaTheme="minorEastAsia"/>
                      <w:color w:val="auto"/>
                      <w:szCs w:val="21"/>
                    </w:rPr>
                    <w:t>焚烧完成后立即检修</w:t>
                  </w:r>
                </w:p>
              </w:tc>
            </w:tr>
            <w:tr>
              <w:tblPrEx>
                <w:tblLayout w:type="fixed"/>
                <w:tblCellMar>
                  <w:top w:w="0" w:type="dxa"/>
                  <w:left w:w="108" w:type="dxa"/>
                  <w:bottom w:w="0" w:type="dxa"/>
                  <w:right w:w="108" w:type="dxa"/>
                </w:tblCellMar>
              </w:tblPrEx>
              <w:trPr>
                <w:trHeight w:val="226" w:hRule="atLeast"/>
              </w:trPr>
              <w:tc>
                <w:tcPr>
                  <w:tcW w:w="730" w:type="dxa"/>
                  <w:vMerge w:val="continue"/>
                  <w:tcBorders>
                    <w:left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850" w:type="dxa"/>
                  <w:vMerge w:val="continue"/>
                  <w:tcBorders>
                    <w:left w:val="single" w:color="000000" w:sz="8" w:space="0"/>
                    <w:right w:val="single" w:color="000000" w:sz="8" w:space="0"/>
                  </w:tcBorders>
                  <w:vAlign w:val="center"/>
                </w:tcPr>
                <w:p>
                  <w:pPr>
                    <w:widowControl/>
                    <w:jc w:val="center"/>
                    <w:rPr>
                      <w:rFonts w:ascii="Times New Roman" w:hAnsi="Times New Roman" w:cs="Times New Roman"/>
                      <w:kern w:val="0"/>
                    </w:rPr>
                  </w:pPr>
                </w:p>
              </w:tc>
              <w:tc>
                <w:tcPr>
                  <w:tcW w:w="141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SO</w:t>
                  </w:r>
                  <w:r>
                    <w:rPr>
                      <w:rFonts w:ascii="Times New Roman" w:hAnsi="Times New Roman" w:cs="Times New Roman"/>
                      <w:kern w:val="0"/>
                      <w:vertAlign w:val="subscript"/>
                    </w:rPr>
                    <w:t>2</w:t>
                  </w:r>
                </w:p>
              </w:tc>
              <w:tc>
                <w:tcPr>
                  <w:tcW w:w="127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50.00</w:t>
                  </w:r>
                </w:p>
              </w:tc>
              <w:tc>
                <w:tcPr>
                  <w:tcW w:w="1282"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0.05</w:t>
                  </w:r>
                </w:p>
              </w:tc>
              <w:tc>
                <w:tcPr>
                  <w:tcW w:w="851"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991"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1201" w:type="dxa"/>
                  <w:vMerge w:val="continue"/>
                  <w:tcBorders>
                    <w:left w:val="nil"/>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p>
              </w:tc>
            </w:tr>
            <w:tr>
              <w:tblPrEx>
                <w:tblLayout w:type="fixed"/>
                <w:tblCellMar>
                  <w:top w:w="0" w:type="dxa"/>
                  <w:left w:w="108" w:type="dxa"/>
                  <w:bottom w:w="0" w:type="dxa"/>
                  <w:right w:w="108" w:type="dxa"/>
                </w:tblCellMar>
              </w:tblPrEx>
              <w:trPr>
                <w:trHeight w:val="300" w:hRule="atLeast"/>
              </w:trPr>
              <w:tc>
                <w:tcPr>
                  <w:tcW w:w="730" w:type="dxa"/>
                  <w:vMerge w:val="continue"/>
                  <w:tcBorders>
                    <w:left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850" w:type="dxa"/>
                  <w:vMerge w:val="continue"/>
                  <w:tcBorders>
                    <w:left w:val="single" w:color="000000" w:sz="8" w:space="0"/>
                    <w:right w:val="single" w:color="000000" w:sz="8" w:space="0"/>
                  </w:tcBorders>
                  <w:vAlign w:val="center"/>
                </w:tcPr>
                <w:p>
                  <w:pPr>
                    <w:widowControl/>
                    <w:jc w:val="center"/>
                    <w:rPr>
                      <w:rFonts w:ascii="Times New Roman" w:hAnsi="Times New Roman" w:cs="Times New Roman"/>
                      <w:kern w:val="0"/>
                    </w:rPr>
                  </w:pPr>
                </w:p>
              </w:tc>
              <w:tc>
                <w:tcPr>
                  <w:tcW w:w="1416"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NOx</w:t>
                  </w:r>
                </w:p>
              </w:tc>
              <w:tc>
                <w:tcPr>
                  <w:tcW w:w="127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15.60</w:t>
                  </w:r>
                </w:p>
              </w:tc>
              <w:tc>
                <w:tcPr>
                  <w:tcW w:w="1282"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0.0156</w:t>
                  </w:r>
                </w:p>
              </w:tc>
              <w:tc>
                <w:tcPr>
                  <w:tcW w:w="851"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991"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1201" w:type="dxa"/>
                  <w:vMerge w:val="continue"/>
                  <w:tcBorders>
                    <w:left w:val="nil"/>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p>
              </w:tc>
            </w:tr>
            <w:tr>
              <w:tblPrEx>
                <w:tblLayout w:type="fixed"/>
                <w:tblCellMar>
                  <w:top w:w="0" w:type="dxa"/>
                  <w:left w:w="108" w:type="dxa"/>
                  <w:bottom w:w="0" w:type="dxa"/>
                  <w:right w:w="108" w:type="dxa"/>
                </w:tblCellMar>
              </w:tblPrEx>
              <w:trPr>
                <w:trHeight w:val="300" w:hRule="atLeast"/>
              </w:trPr>
              <w:tc>
                <w:tcPr>
                  <w:tcW w:w="730" w:type="dxa"/>
                  <w:vMerge w:val="continue"/>
                  <w:tcBorders>
                    <w:left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850" w:type="dxa"/>
                  <w:vMerge w:val="continue"/>
                  <w:tcBorders>
                    <w:left w:val="single" w:color="000000" w:sz="8" w:space="0"/>
                    <w:right w:val="single" w:color="000000" w:sz="8" w:space="0"/>
                  </w:tcBorders>
                  <w:vAlign w:val="center"/>
                </w:tcPr>
                <w:p>
                  <w:pPr>
                    <w:widowControl/>
                    <w:jc w:val="center"/>
                    <w:rPr>
                      <w:rFonts w:ascii="Times New Roman" w:hAnsi="Times New Roman" w:cs="Times New Roman"/>
                      <w:kern w:val="0"/>
                    </w:rPr>
                  </w:pPr>
                </w:p>
              </w:tc>
              <w:tc>
                <w:tcPr>
                  <w:tcW w:w="1416"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CO</w:t>
                  </w:r>
                </w:p>
              </w:tc>
              <w:tc>
                <w:tcPr>
                  <w:tcW w:w="1274" w:type="dxa"/>
                  <w:tcBorders>
                    <w:top w:val="single" w:color="auto" w:sz="4" w:space="0"/>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2.50</w:t>
                  </w:r>
                </w:p>
              </w:tc>
              <w:tc>
                <w:tcPr>
                  <w:tcW w:w="1282" w:type="dxa"/>
                  <w:tcBorders>
                    <w:top w:val="single" w:color="auto" w:sz="4" w:space="0"/>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0.0025</w:t>
                  </w:r>
                </w:p>
              </w:tc>
              <w:tc>
                <w:tcPr>
                  <w:tcW w:w="851"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991"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1201" w:type="dxa"/>
                  <w:vMerge w:val="continue"/>
                  <w:tcBorders>
                    <w:left w:val="nil"/>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p>
              </w:tc>
            </w:tr>
            <w:tr>
              <w:tblPrEx>
                <w:tblLayout w:type="fixed"/>
                <w:tblCellMar>
                  <w:top w:w="0" w:type="dxa"/>
                  <w:left w:w="108" w:type="dxa"/>
                  <w:bottom w:w="0" w:type="dxa"/>
                  <w:right w:w="108" w:type="dxa"/>
                </w:tblCellMar>
              </w:tblPrEx>
              <w:trPr>
                <w:trHeight w:val="300" w:hRule="atLeast"/>
              </w:trPr>
              <w:tc>
                <w:tcPr>
                  <w:tcW w:w="730" w:type="dxa"/>
                  <w:vMerge w:val="continue"/>
                  <w:tcBorders>
                    <w:left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850" w:type="dxa"/>
                  <w:vMerge w:val="continue"/>
                  <w:tcBorders>
                    <w:left w:val="single" w:color="000000" w:sz="8" w:space="0"/>
                    <w:right w:val="single" w:color="000000" w:sz="8" w:space="0"/>
                  </w:tcBorders>
                  <w:vAlign w:val="center"/>
                </w:tcPr>
                <w:p>
                  <w:pPr>
                    <w:widowControl/>
                    <w:jc w:val="center"/>
                    <w:rPr>
                      <w:rFonts w:ascii="Times New Roman" w:hAnsi="Times New Roman" w:cs="Times New Roman"/>
                      <w:kern w:val="0"/>
                    </w:rPr>
                  </w:pPr>
                </w:p>
              </w:tc>
              <w:tc>
                <w:tcPr>
                  <w:tcW w:w="1416"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HCl</w:t>
                  </w:r>
                </w:p>
              </w:tc>
              <w:tc>
                <w:tcPr>
                  <w:tcW w:w="1274" w:type="dxa"/>
                  <w:tcBorders>
                    <w:top w:val="single" w:color="auto" w:sz="4" w:space="0"/>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12.50</w:t>
                  </w:r>
                </w:p>
              </w:tc>
              <w:tc>
                <w:tcPr>
                  <w:tcW w:w="1282" w:type="dxa"/>
                  <w:tcBorders>
                    <w:top w:val="single" w:color="auto" w:sz="4" w:space="0"/>
                    <w:left w:val="nil"/>
                    <w:bottom w:val="single" w:color="auto"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0.0125</w:t>
                  </w:r>
                </w:p>
              </w:tc>
              <w:tc>
                <w:tcPr>
                  <w:tcW w:w="851" w:type="dxa"/>
                  <w:vMerge w:val="continue"/>
                  <w:tcBorders>
                    <w:left w:val="nil"/>
                    <w:right w:val="single" w:color="auto" w:sz="4"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991" w:type="dxa"/>
                  <w:vMerge w:val="continue"/>
                  <w:tcBorders>
                    <w:left w:val="single" w:color="auto" w:sz="4"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1201" w:type="dxa"/>
                  <w:vMerge w:val="continue"/>
                  <w:tcBorders>
                    <w:left w:val="nil"/>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p>
              </w:tc>
            </w:tr>
            <w:tr>
              <w:tblPrEx>
                <w:tblLayout w:type="fixed"/>
                <w:tblCellMar>
                  <w:top w:w="0" w:type="dxa"/>
                  <w:left w:w="108" w:type="dxa"/>
                  <w:bottom w:w="0" w:type="dxa"/>
                  <w:right w:w="108" w:type="dxa"/>
                </w:tblCellMar>
              </w:tblPrEx>
              <w:trPr>
                <w:trHeight w:val="300" w:hRule="atLeast"/>
              </w:trPr>
              <w:tc>
                <w:tcPr>
                  <w:tcW w:w="730" w:type="dxa"/>
                  <w:vMerge w:val="continue"/>
                  <w:tcBorders>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kern w:val="0"/>
                    </w:rPr>
                  </w:pPr>
                </w:p>
              </w:tc>
              <w:tc>
                <w:tcPr>
                  <w:tcW w:w="850" w:type="dxa"/>
                  <w:vMerge w:val="continue"/>
                  <w:tcBorders>
                    <w:left w:val="single" w:color="000000" w:sz="8" w:space="0"/>
                    <w:bottom w:val="single" w:color="000000" w:sz="8" w:space="0"/>
                    <w:right w:val="single" w:color="000000" w:sz="8" w:space="0"/>
                  </w:tcBorders>
                  <w:vAlign w:val="center"/>
                </w:tcPr>
                <w:p>
                  <w:pPr>
                    <w:widowControl/>
                    <w:jc w:val="center"/>
                    <w:rPr>
                      <w:rFonts w:ascii="Times New Roman" w:hAnsi="Times New Roman" w:cs="Times New Roman"/>
                      <w:kern w:val="0"/>
                    </w:rPr>
                  </w:pPr>
                </w:p>
              </w:tc>
              <w:tc>
                <w:tcPr>
                  <w:tcW w:w="1416"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ascii="Times New Roman" w:hAnsi="Times New Roman" w:cs="Times New Roman"/>
                      <w:kern w:val="0"/>
                    </w:rPr>
                  </w:pPr>
                  <w:r>
                    <w:rPr>
                      <w:rFonts w:ascii="Times New Roman" w:hAnsi="Times New Roman" w:cs="Times New Roman"/>
                      <w:kern w:val="0"/>
                    </w:rPr>
                    <w:t>二噁英类</w:t>
                  </w:r>
                </w:p>
              </w:tc>
              <w:tc>
                <w:tcPr>
                  <w:tcW w:w="1274" w:type="dxa"/>
                  <w:tcBorders>
                    <w:top w:val="single" w:color="auto" w:sz="4" w:space="0"/>
                    <w:left w:val="nil"/>
                    <w:bottom w:val="single" w:color="auto" w:sz="8" w:space="0"/>
                    <w:right w:val="single" w:color="auto" w:sz="4" w:space="0"/>
                  </w:tcBorders>
                  <w:shd w:val="clear" w:color="auto" w:fill="auto"/>
                  <w:vAlign w:val="center"/>
                </w:tcPr>
                <w:p>
                  <w:pPr>
                    <w:widowControl/>
                    <w:spacing w:line="360" w:lineRule="exact"/>
                    <w:jc w:val="center"/>
                    <w:rPr>
                      <w:rFonts w:ascii="Times New Roman" w:hAnsi="Times New Roman" w:cs="Times New Roman"/>
                      <w:kern w:val="0"/>
                    </w:rPr>
                  </w:pPr>
                  <w:r>
                    <w:rPr>
                      <w:rFonts w:ascii="Times New Roman" w:hAnsi="Times New Roman" w:cs="Times New Roman"/>
                      <w:kern w:val="0"/>
                    </w:rPr>
                    <w:t>1.11 ngTEQ/m³</w:t>
                  </w:r>
                </w:p>
              </w:tc>
              <w:tc>
                <w:tcPr>
                  <w:tcW w:w="1282" w:type="dxa"/>
                  <w:tcBorders>
                    <w:top w:val="single" w:color="auto" w:sz="4" w:space="0"/>
                    <w:left w:val="single" w:color="auto" w:sz="4" w:space="0"/>
                    <w:bottom w:val="single" w:color="auto" w:sz="8" w:space="0"/>
                    <w:right w:val="single" w:color="000000" w:sz="8" w:space="0"/>
                  </w:tcBorders>
                  <w:shd w:val="clear" w:color="auto" w:fill="auto"/>
                  <w:vAlign w:val="center"/>
                </w:tcPr>
                <w:p>
                  <w:pPr>
                    <w:widowControl/>
                    <w:spacing w:line="360" w:lineRule="exact"/>
                    <w:jc w:val="center"/>
                    <w:rPr>
                      <w:rFonts w:ascii="Times New Roman" w:hAnsi="Times New Roman" w:cs="Times New Roman"/>
                      <w:kern w:val="0"/>
                    </w:rPr>
                  </w:pPr>
                  <w:r>
                    <w:rPr>
                      <w:rFonts w:hint="eastAsia" w:ascii="Times New Roman" w:hAnsi="Times New Roman" w:cs="Times New Roman"/>
                      <w:kern w:val="0"/>
                    </w:rPr>
                    <w:t>0.825</w:t>
                  </w:r>
                  <w:r>
                    <w:rPr>
                      <w:rFonts w:ascii="Times New Roman" w:hAnsi="Times New Roman" w:cs="Times New Roman"/>
                      <w:kern w:val="0"/>
                    </w:rPr>
                    <w:t>×10</w:t>
                  </w:r>
                  <w:r>
                    <w:rPr>
                      <w:rFonts w:ascii="Times New Roman" w:hAnsi="Times New Roman" w:cs="Times New Roman"/>
                      <w:kern w:val="0"/>
                      <w:vertAlign w:val="superscript"/>
                    </w:rPr>
                    <w:t>-</w:t>
                  </w:r>
                  <w:r>
                    <w:rPr>
                      <w:rFonts w:hint="eastAsia" w:ascii="Times New Roman" w:hAnsi="Times New Roman" w:cs="Times New Roman"/>
                      <w:kern w:val="0"/>
                      <w:vertAlign w:val="superscript"/>
                    </w:rPr>
                    <w:t>8</w:t>
                  </w:r>
                </w:p>
              </w:tc>
              <w:tc>
                <w:tcPr>
                  <w:tcW w:w="851" w:type="dxa"/>
                  <w:vMerge w:val="continue"/>
                  <w:tcBorders>
                    <w:left w:val="nil"/>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991" w:type="dxa"/>
                  <w:vMerge w:val="continue"/>
                  <w:tcBorders>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p>
              </w:tc>
              <w:tc>
                <w:tcPr>
                  <w:tcW w:w="1201" w:type="dxa"/>
                  <w:vMerge w:val="continue"/>
                  <w:tcBorders>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kern w:val="0"/>
                    </w:rPr>
                  </w:pP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（6）大气环境影响分析结论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大气环境影响专项评价》大气环境影响评价结论可知，该项目产生的废气主要为火化废气、遗物焚烧废气；该项目火化废气经火化机尾气处理装置处理后可达到《火葬场大气污染物排放标准》（GB13801-2015）表2标准要求，通过1根12m、Ф0.48m，编号为（DA001）的排气筒外排。由上表可知，该项目遗物焚烧废气经遗物焚烧炉尾气处理装置处理后可达到《火葬场大气污染物排放标准》（GB13801-2015）表3标准要求，通过1根12m、Ф0.30m，编号为（DA002）的排气筒外排。项目废气的最大落地浓度及环境保护目标处浓度中基本污染因子可达到《环境空气质量标准》（GB3095-2012）二级标准；氯化氢可达到《环境影响评价技术导则 大气环境》（HJ2.2-2018）附录D 中的浓度限值要求；二噁英可达到日本年均浓度标准限值（参考）。因此该项目产生的废气经处理后排放对项目大气环境影响较小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2</w:t>
            </w:r>
            <w:r>
              <w:rPr>
                <w:rFonts w:ascii="Times New Roman" w:hAnsi="Times New Roman" w:cs="Times New Roman"/>
                <w:b/>
                <w:sz w:val="24"/>
                <w:szCs w:val="24"/>
              </w:rPr>
              <w:t xml:space="preserve"> 运营期</w:t>
            </w:r>
            <w:r>
              <w:rPr>
                <w:rFonts w:ascii="Times New Roman" w:hAnsi="Times New Roman" w:cs="Times New Roman"/>
                <w:b/>
                <w:sz w:val="24"/>
              </w:rPr>
              <w:t>废水</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（1）废水污染源分析</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①废水产排情况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根据项目水平衡计算可知，项目供排水统计情况详见下表。</w:t>
            </w:r>
          </w:p>
          <w:p>
            <w:pPr>
              <w:jc w:val="center"/>
              <w:rPr>
                <w:rFonts w:ascii="Times New Roman" w:hAnsi="Times New Roman" w:cs="Times New Roman"/>
                <w:b/>
                <w:szCs w:val="24"/>
              </w:rPr>
            </w:pPr>
            <w:r>
              <w:rPr>
                <w:rFonts w:ascii="Times New Roman" w:hAnsi="Times New Roman" w:cs="Times New Roman"/>
                <w:b/>
                <w:szCs w:val="24"/>
              </w:rPr>
              <w:t>表4.2.2-1  项目供排水情况一览表</w:t>
            </w:r>
          </w:p>
          <w:tbl>
            <w:tblPr>
              <w:tblStyle w:val="16"/>
              <w:tblW w:w="8595" w:type="dxa"/>
              <w:jc w:val="center"/>
              <w:tblInd w:w="0" w:type="dxa"/>
              <w:tblLayout w:type="fixed"/>
              <w:tblCellMar>
                <w:top w:w="0" w:type="dxa"/>
                <w:left w:w="108" w:type="dxa"/>
                <w:bottom w:w="0" w:type="dxa"/>
                <w:right w:w="108" w:type="dxa"/>
              </w:tblCellMar>
            </w:tblPr>
            <w:tblGrid>
              <w:gridCol w:w="1395"/>
              <w:gridCol w:w="1313"/>
              <w:gridCol w:w="1403"/>
              <w:gridCol w:w="1258"/>
              <w:gridCol w:w="1077"/>
              <w:gridCol w:w="1081"/>
              <w:gridCol w:w="1068"/>
            </w:tblGrid>
            <w:tr>
              <w:tblPrEx>
                <w:tblLayout w:type="fixed"/>
                <w:tblCellMar>
                  <w:top w:w="0" w:type="dxa"/>
                  <w:left w:w="108" w:type="dxa"/>
                  <w:bottom w:w="0" w:type="dxa"/>
                  <w:right w:w="108" w:type="dxa"/>
                </w:tblCellMar>
              </w:tblPrEx>
              <w:trPr>
                <w:trHeight w:val="67" w:hRule="atLeast"/>
                <w:jc w:val="center"/>
              </w:trPr>
              <w:tc>
                <w:tcPr>
                  <w:tcW w:w="1395"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用水单元</w:t>
                  </w:r>
                </w:p>
              </w:tc>
              <w:tc>
                <w:tcPr>
                  <w:tcW w:w="131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规模</w:t>
                  </w:r>
                </w:p>
              </w:tc>
              <w:tc>
                <w:tcPr>
                  <w:tcW w:w="140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用水定额</w:t>
                  </w:r>
                </w:p>
              </w:tc>
              <w:tc>
                <w:tcPr>
                  <w:tcW w:w="2335" w:type="dxa"/>
                  <w:gridSpan w:val="2"/>
                  <w:tcBorders>
                    <w:top w:val="single" w:color="auto" w:sz="8" w:space="0"/>
                    <w:left w:val="nil"/>
                    <w:bottom w:val="single" w:color="auto"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用水量</w:t>
                  </w:r>
                </w:p>
              </w:tc>
              <w:tc>
                <w:tcPr>
                  <w:tcW w:w="2149" w:type="dxa"/>
                  <w:gridSpan w:val="2"/>
                  <w:tcBorders>
                    <w:top w:val="single" w:color="auto" w:sz="8" w:space="0"/>
                    <w:left w:val="nil"/>
                    <w:bottom w:val="single" w:color="auto"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废水量</w:t>
                  </w:r>
                </w:p>
              </w:tc>
            </w:tr>
            <w:tr>
              <w:tblPrEx>
                <w:tblLayout w:type="fixed"/>
                <w:tblCellMar>
                  <w:top w:w="0" w:type="dxa"/>
                  <w:left w:w="108" w:type="dxa"/>
                  <w:bottom w:w="0" w:type="dxa"/>
                  <w:right w:w="108" w:type="dxa"/>
                </w:tblCellMar>
              </w:tblPrEx>
              <w:trPr>
                <w:trHeight w:val="285" w:hRule="atLeast"/>
                <w:jc w:val="center"/>
              </w:trPr>
              <w:tc>
                <w:tcPr>
                  <w:tcW w:w="1395" w:type="dxa"/>
                  <w:vMerge w:val="continue"/>
                  <w:tcBorders>
                    <w:top w:val="single" w:color="auto" w:sz="8" w:space="0"/>
                    <w:left w:val="single" w:color="auto" w:sz="8" w:space="0"/>
                    <w:bottom w:val="single" w:color="000000" w:sz="8" w:space="0"/>
                    <w:right w:val="single" w:color="000000" w:sz="8" w:space="0"/>
                  </w:tcBorders>
                  <w:vAlign w:val="center"/>
                </w:tcPr>
                <w:p>
                  <w:pPr>
                    <w:pStyle w:val="53"/>
                    <w:spacing w:line="360" w:lineRule="atLeast"/>
                    <w:jc w:val="center"/>
                    <w:rPr>
                      <w:bCs/>
                      <w:snapToGrid w:val="0"/>
                      <w:color w:val="auto"/>
                      <w:kern w:val="32"/>
                      <w:sz w:val="21"/>
                      <w:szCs w:val="21"/>
                      <w:lang w:val="zh-CN"/>
                    </w:rPr>
                  </w:pPr>
                </w:p>
              </w:tc>
              <w:tc>
                <w:tcPr>
                  <w:tcW w:w="1313" w:type="dxa"/>
                  <w:vMerge w:val="continue"/>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p>
              </w:tc>
              <w:tc>
                <w:tcPr>
                  <w:tcW w:w="1403" w:type="dxa"/>
                  <w:vMerge w:val="continue"/>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p>
              </w:tc>
              <w:tc>
                <w:tcPr>
                  <w:tcW w:w="125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m³/d</w:t>
                  </w:r>
                </w:p>
              </w:tc>
              <w:tc>
                <w:tcPr>
                  <w:tcW w:w="1077"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m³/a</w:t>
                  </w:r>
                </w:p>
              </w:tc>
              <w:tc>
                <w:tcPr>
                  <w:tcW w:w="1081"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m³/d</w:t>
                  </w:r>
                </w:p>
              </w:tc>
              <w:tc>
                <w:tcPr>
                  <w:tcW w:w="106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m³/a</w:t>
                  </w:r>
                </w:p>
              </w:tc>
            </w:tr>
            <w:tr>
              <w:tblPrEx>
                <w:tblLayout w:type="fixed"/>
                <w:tblCellMar>
                  <w:top w:w="0" w:type="dxa"/>
                  <w:left w:w="108" w:type="dxa"/>
                  <w:bottom w:w="0" w:type="dxa"/>
                  <w:right w:w="108" w:type="dxa"/>
                </w:tblCellMar>
              </w:tblPrEx>
              <w:trPr>
                <w:trHeight w:val="285" w:hRule="atLeast"/>
                <w:jc w:val="center"/>
              </w:trPr>
              <w:tc>
                <w:tcPr>
                  <w:tcW w:w="1395" w:type="dxa"/>
                  <w:tcBorders>
                    <w:top w:val="single" w:color="auto" w:sz="8" w:space="0"/>
                    <w:left w:val="single" w:color="auto" w:sz="8" w:space="0"/>
                    <w:bottom w:val="single" w:color="000000" w:sz="8" w:space="0"/>
                    <w:right w:val="single" w:color="000000"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遗体清洗</w:t>
                  </w:r>
                </w:p>
              </w:tc>
              <w:tc>
                <w:tcPr>
                  <w:tcW w:w="131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350具</w:t>
                  </w:r>
                </w:p>
              </w:tc>
              <w:tc>
                <w:tcPr>
                  <w:tcW w:w="140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0.1m³/具</w:t>
                  </w:r>
                </w:p>
              </w:tc>
              <w:tc>
                <w:tcPr>
                  <w:tcW w:w="125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w:t>
                  </w:r>
                </w:p>
              </w:tc>
              <w:tc>
                <w:tcPr>
                  <w:tcW w:w="1077"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35</w:t>
                  </w:r>
                </w:p>
              </w:tc>
              <w:tc>
                <w:tcPr>
                  <w:tcW w:w="1081"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w:t>
                  </w:r>
                </w:p>
              </w:tc>
              <w:tc>
                <w:tcPr>
                  <w:tcW w:w="106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35</w:t>
                  </w:r>
                </w:p>
              </w:tc>
            </w:tr>
            <w:tr>
              <w:tblPrEx>
                <w:tblLayout w:type="fixed"/>
                <w:tblCellMar>
                  <w:top w:w="0" w:type="dxa"/>
                  <w:left w:w="108" w:type="dxa"/>
                  <w:bottom w:w="0" w:type="dxa"/>
                  <w:right w:w="108" w:type="dxa"/>
                </w:tblCellMar>
              </w:tblPrEx>
              <w:trPr>
                <w:trHeight w:val="285" w:hRule="atLeast"/>
                <w:jc w:val="center"/>
              </w:trPr>
              <w:tc>
                <w:tcPr>
                  <w:tcW w:w="1395" w:type="dxa"/>
                  <w:vMerge w:val="restart"/>
                  <w:tcBorders>
                    <w:top w:val="single" w:color="auto" w:sz="8" w:space="0"/>
                    <w:left w:val="single" w:color="auto" w:sz="8" w:space="0"/>
                    <w:right w:val="single" w:color="000000"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生活用水</w:t>
                  </w:r>
                </w:p>
              </w:tc>
              <w:tc>
                <w:tcPr>
                  <w:tcW w:w="131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24人</w:t>
                  </w:r>
                </w:p>
              </w:tc>
              <w:tc>
                <w:tcPr>
                  <w:tcW w:w="140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40L/d·人</w:t>
                  </w:r>
                </w:p>
              </w:tc>
              <w:tc>
                <w:tcPr>
                  <w:tcW w:w="125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0.96</w:t>
                  </w:r>
                </w:p>
              </w:tc>
              <w:tc>
                <w:tcPr>
                  <w:tcW w:w="1077"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336</w:t>
                  </w:r>
                </w:p>
              </w:tc>
              <w:tc>
                <w:tcPr>
                  <w:tcW w:w="1081"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0.77</w:t>
                  </w:r>
                </w:p>
              </w:tc>
              <w:tc>
                <w:tcPr>
                  <w:tcW w:w="1068" w:type="dxa"/>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268.8</w:t>
                  </w:r>
                </w:p>
              </w:tc>
            </w:tr>
            <w:tr>
              <w:tblPrEx>
                <w:tblLayout w:type="fixed"/>
                <w:tblCellMar>
                  <w:top w:w="0" w:type="dxa"/>
                  <w:left w:w="108" w:type="dxa"/>
                  <w:bottom w:w="0" w:type="dxa"/>
                  <w:right w:w="108" w:type="dxa"/>
                </w:tblCellMar>
              </w:tblPrEx>
              <w:trPr>
                <w:trHeight w:val="56" w:hRule="atLeast"/>
                <w:jc w:val="center"/>
              </w:trPr>
              <w:tc>
                <w:tcPr>
                  <w:tcW w:w="1395" w:type="dxa"/>
                  <w:vMerge w:val="continue"/>
                  <w:tcBorders>
                    <w:left w:val="single" w:color="auto" w:sz="8" w:space="0"/>
                    <w:right w:val="single" w:color="000000" w:sz="8" w:space="0"/>
                  </w:tcBorders>
                  <w:vAlign w:val="center"/>
                </w:tcPr>
                <w:p>
                  <w:pPr>
                    <w:pStyle w:val="53"/>
                    <w:spacing w:line="360" w:lineRule="atLeast"/>
                    <w:jc w:val="center"/>
                    <w:rPr>
                      <w:bCs/>
                      <w:snapToGrid w:val="0"/>
                      <w:color w:val="auto"/>
                      <w:kern w:val="32"/>
                      <w:sz w:val="21"/>
                      <w:szCs w:val="21"/>
                      <w:lang w:val="zh-CN"/>
                    </w:rPr>
                  </w:pPr>
                </w:p>
              </w:tc>
              <w:tc>
                <w:tcPr>
                  <w:tcW w:w="1313" w:type="dxa"/>
                  <w:tcBorders>
                    <w:top w:val="single" w:color="auto" w:sz="8" w:space="0"/>
                    <w:left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50人/d</w:t>
                  </w:r>
                </w:p>
              </w:tc>
              <w:tc>
                <w:tcPr>
                  <w:tcW w:w="1403" w:type="dxa"/>
                  <w:tcBorders>
                    <w:top w:val="single" w:color="auto" w:sz="8" w:space="0"/>
                    <w:left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15L/（人·d）</w:t>
                  </w:r>
                </w:p>
              </w:tc>
              <w:tc>
                <w:tcPr>
                  <w:tcW w:w="1258" w:type="dxa"/>
                  <w:tcBorders>
                    <w:top w:val="nil"/>
                    <w:left w:val="nil"/>
                    <w:bottom w:val="single" w:color="auto" w:sz="4"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0.75</w:t>
                  </w:r>
                </w:p>
              </w:tc>
              <w:tc>
                <w:tcPr>
                  <w:tcW w:w="1077" w:type="dxa"/>
                  <w:tcBorders>
                    <w:top w:val="nil"/>
                    <w:left w:val="nil"/>
                    <w:bottom w:val="single" w:color="auto" w:sz="4"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262.5</w:t>
                  </w:r>
                </w:p>
              </w:tc>
              <w:tc>
                <w:tcPr>
                  <w:tcW w:w="1081" w:type="dxa"/>
                  <w:tcBorders>
                    <w:top w:val="nil"/>
                    <w:left w:val="nil"/>
                    <w:bottom w:val="single" w:color="auto" w:sz="4"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0.71</w:t>
                  </w:r>
                </w:p>
              </w:tc>
              <w:tc>
                <w:tcPr>
                  <w:tcW w:w="1068" w:type="dxa"/>
                  <w:tcBorders>
                    <w:top w:val="nil"/>
                    <w:left w:val="nil"/>
                    <w:bottom w:val="single" w:color="auto" w:sz="4"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249.4</w:t>
                  </w:r>
                </w:p>
              </w:tc>
            </w:tr>
            <w:tr>
              <w:tblPrEx>
                <w:tblLayout w:type="fixed"/>
                <w:tblCellMar>
                  <w:top w:w="0" w:type="dxa"/>
                  <w:left w:w="108" w:type="dxa"/>
                  <w:bottom w:w="0" w:type="dxa"/>
                  <w:right w:w="108" w:type="dxa"/>
                </w:tblCellMar>
              </w:tblPrEx>
              <w:trPr>
                <w:trHeight w:val="285" w:hRule="atLeast"/>
                <w:jc w:val="center"/>
              </w:trPr>
              <w:tc>
                <w:tcPr>
                  <w:tcW w:w="1395" w:type="dxa"/>
                  <w:tcBorders>
                    <w:top w:val="single" w:color="auto" w:sz="8" w:space="0"/>
                    <w:left w:val="single" w:color="auto" w:sz="8" w:space="0"/>
                    <w:bottom w:val="single" w:color="000000" w:sz="8" w:space="0"/>
                    <w:right w:val="single" w:color="000000"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灵车清洗</w:t>
                  </w:r>
                </w:p>
              </w:tc>
              <w:tc>
                <w:tcPr>
                  <w:tcW w:w="131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6辆·次/d</w:t>
                  </w:r>
                </w:p>
              </w:tc>
              <w:tc>
                <w:tcPr>
                  <w:tcW w:w="140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0.04m³/（辆·次）计</w:t>
                  </w:r>
                </w:p>
              </w:tc>
              <w:tc>
                <w:tcPr>
                  <w:tcW w:w="125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0.24</w:t>
                  </w:r>
                </w:p>
              </w:tc>
              <w:tc>
                <w:tcPr>
                  <w:tcW w:w="1077"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84</w:t>
                  </w:r>
                </w:p>
              </w:tc>
              <w:tc>
                <w:tcPr>
                  <w:tcW w:w="1081"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0.24</w:t>
                  </w:r>
                </w:p>
              </w:tc>
              <w:tc>
                <w:tcPr>
                  <w:tcW w:w="106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84</w:t>
                  </w:r>
                </w:p>
              </w:tc>
            </w:tr>
            <w:tr>
              <w:tblPrEx>
                <w:tblLayout w:type="fixed"/>
                <w:tblCellMar>
                  <w:top w:w="0" w:type="dxa"/>
                  <w:left w:w="108" w:type="dxa"/>
                  <w:bottom w:w="0" w:type="dxa"/>
                  <w:right w:w="108" w:type="dxa"/>
                </w:tblCellMar>
              </w:tblPrEx>
              <w:trPr>
                <w:trHeight w:val="285" w:hRule="atLeast"/>
                <w:jc w:val="center"/>
              </w:trPr>
              <w:tc>
                <w:tcPr>
                  <w:tcW w:w="1395" w:type="dxa"/>
                  <w:tcBorders>
                    <w:top w:val="single" w:color="auto" w:sz="8" w:space="0"/>
                    <w:left w:val="single" w:color="auto" w:sz="8" w:space="0"/>
                    <w:bottom w:val="single" w:color="000000" w:sz="8" w:space="0"/>
                    <w:right w:val="single" w:color="000000"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绿化用水</w:t>
                  </w:r>
                </w:p>
              </w:tc>
              <w:tc>
                <w:tcPr>
                  <w:tcW w:w="131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13155m²</w:t>
                  </w:r>
                </w:p>
              </w:tc>
              <w:tc>
                <w:tcPr>
                  <w:tcW w:w="1403" w:type="dxa"/>
                  <w:tcBorders>
                    <w:top w:val="single" w:color="auto" w:sz="8"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3.0L/m²</w:t>
                  </w:r>
                </w:p>
              </w:tc>
              <w:tc>
                <w:tcPr>
                  <w:tcW w:w="125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13.16</w:t>
                  </w:r>
                </w:p>
              </w:tc>
              <w:tc>
                <w:tcPr>
                  <w:tcW w:w="1077"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2775.7</w:t>
                  </w:r>
                </w:p>
              </w:tc>
              <w:tc>
                <w:tcPr>
                  <w:tcW w:w="1081"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06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Layout w:type="fixed"/>
                <w:tblCellMar>
                  <w:top w:w="0" w:type="dxa"/>
                  <w:left w:w="108" w:type="dxa"/>
                  <w:bottom w:w="0" w:type="dxa"/>
                  <w:right w:w="108" w:type="dxa"/>
                </w:tblCellMar>
              </w:tblPrEx>
              <w:trPr>
                <w:trHeight w:val="56" w:hRule="atLeast"/>
                <w:jc w:val="center"/>
              </w:trPr>
              <w:tc>
                <w:tcPr>
                  <w:tcW w:w="1395"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初期雨水</w:t>
                  </w:r>
                </w:p>
              </w:tc>
              <w:tc>
                <w:tcPr>
                  <w:tcW w:w="2716" w:type="dxa"/>
                  <w:gridSpan w:val="2"/>
                  <w:tcBorders>
                    <w:top w:val="nil"/>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可能受污染区2205m²</w:t>
                  </w:r>
                </w:p>
              </w:tc>
              <w:tc>
                <w:tcPr>
                  <w:tcW w:w="125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077"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081"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4.3m³/次</w:t>
                  </w:r>
                </w:p>
              </w:tc>
              <w:tc>
                <w:tcPr>
                  <w:tcW w:w="106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w:t>
                  </w:r>
                </w:p>
              </w:tc>
            </w:tr>
            <w:tr>
              <w:tblPrEx>
                <w:tblLayout w:type="fixed"/>
                <w:tblCellMar>
                  <w:top w:w="0" w:type="dxa"/>
                  <w:left w:w="108" w:type="dxa"/>
                  <w:bottom w:w="0" w:type="dxa"/>
                  <w:right w:w="108" w:type="dxa"/>
                </w:tblCellMar>
              </w:tblPrEx>
              <w:trPr>
                <w:trHeight w:val="330" w:hRule="atLeast"/>
                <w:jc w:val="center"/>
              </w:trPr>
              <w:tc>
                <w:tcPr>
                  <w:tcW w:w="1395"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合计</w:t>
                  </w:r>
                </w:p>
              </w:tc>
              <w:tc>
                <w:tcPr>
                  <w:tcW w:w="1313"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403"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258"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15.21</w:t>
                  </w:r>
                </w:p>
              </w:tc>
              <w:tc>
                <w:tcPr>
                  <w:tcW w:w="1077" w:type="dxa"/>
                  <w:tcBorders>
                    <w:top w:val="single" w:color="auto" w:sz="4" w:space="0"/>
                    <w:left w:val="nil"/>
                    <w:bottom w:val="single" w:color="auto" w:sz="8" w:space="0"/>
                    <w:right w:val="single" w:color="auto"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3493.2</w:t>
                  </w:r>
                </w:p>
              </w:tc>
              <w:tc>
                <w:tcPr>
                  <w:tcW w:w="1081" w:type="dxa"/>
                  <w:tcBorders>
                    <w:top w:val="single" w:color="auto" w:sz="8" w:space="0"/>
                    <w:left w:val="nil"/>
                    <w:bottom w:val="single" w:color="auto" w:sz="8" w:space="0"/>
                    <w:right w:val="single" w:color="auto" w:sz="4"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1.82</w:t>
                  </w:r>
                </w:p>
              </w:tc>
              <w:tc>
                <w:tcPr>
                  <w:tcW w:w="1068"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637.2</w:t>
                  </w:r>
                </w:p>
              </w:tc>
            </w:tr>
          </w:tbl>
          <w:p>
            <w:pPr>
              <w:spacing w:beforeLines="50" w:line="360" w:lineRule="auto"/>
              <w:ind w:firstLine="482" w:firstLineChars="200"/>
              <w:rPr>
                <w:rFonts w:ascii="Times New Roman" w:hAnsi="Times New Roman" w:cs="Times New Roman"/>
                <w:b/>
                <w:sz w:val="24"/>
              </w:rPr>
            </w:pPr>
            <w:r>
              <w:rPr>
                <w:rFonts w:ascii="Times New Roman" w:hAnsi="Times New Roman" w:cs="Times New Roman"/>
                <w:b/>
                <w:sz w:val="24"/>
              </w:rPr>
              <w:t>②废水污染源强分析</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Times New Roman" w:hAnsi="Times New Roman"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遗体清洗废水污染源强</w:t>
            </w:r>
          </w:p>
          <w:p>
            <w:pPr>
              <w:pStyle w:val="34"/>
              <w:ind w:firstLine="480"/>
              <w:rPr>
                <w:szCs w:val="24"/>
              </w:rPr>
            </w:pPr>
            <w:r>
              <w:rPr>
                <w:szCs w:val="24"/>
              </w:rPr>
              <w:t>根据类比老殡仪馆遗体清洗废水水质数据，遗体清洗废水污染源强如下表所示。</w:t>
            </w:r>
          </w:p>
          <w:p>
            <w:pPr>
              <w:jc w:val="center"/>
              <w:rPr>
                <w:rFonts w:ascii="Times New Roman" w:hAnsi="Times New Roman" w:cs="Times New Roman"/>
                <w:b/>
              </w:rPr>
            </w:pPr>
            <w:r>
              <w:rPr>
                <w:rFonts w:ascii="Times New Roman" w:hAnsi="Times New Roman" w:cs="Times New Roman"/>
                <w:b/>
              </w:rPr>
              <w:t>表4.2.2-1 遗体清洗废水污染源指标一览表 mg/L</w:t>
            </w:r>
          </w:p>
          <w:tbl>
            <w:tblPr>
              <w:tblStyle w:val="16"/>
              <w:tblW w:w="8600" w:type="dxa"/>
              <w:jc w:val="center"/>
              <w:tblInd w:w="0" w:type="dxa"/>
              <w:tblLayout w:type="fixed"/>
              <w:tblCellMar>
                <w:top w:w="0" w:type="dxa"/>
                <w:left w:w="108" w:type="dxa"/>
                <w:bottom w:w="0" w:type="dxa"/>
                <w:right w:w="108" w:type="dxa"/>
              </w:tblCellMar>
            </w:tblPr>
            <w:tblGrid>
              <w:gridCol w:w="875"/>
              <w:gridCol w:w="664"/>
              <w:gridCol w:w="858"/>
              <w:gridCol w:w="859"/>
              <w:gridCol w:w="715"/>
              <w:gridCol w:w="858"/>
              <w:gridCol w:w="715"/>
              <w:gridCol w:w="858"/>
              <w:gridCol w:w="994"/>
              <w:gridCol w:w="1204"/>
            </w:tblGrid>
            <w:tr>
              <w:tblPrEx>
                <w:tblLayout w:type="fixed"/>
                <w:tblCellMar>
                  <w:top w:w="0" w:type="dxa"/>
                  <w:left w:w="108" w:type="dxa"/>
                  <w:bottom w:w="0" w:type="dxa"/>
                  <w:right w:w="108" w:type="dxa"/>
                </w:tblCellMar>
              </w:tblPrEx>
              <w:trPr>
                <w:trHeight w:val="285" w:hRule="atLeast"/>
                <w:jc w:val="center"/>
              </w:trPr>
              <w:tc>
                <w:tcPr>
                  <w:tcW w:w="875" w:type="dxa"/>
                  <w:tcBorders>
                    <w:top w:val="single" w:color="auto" w:sz="4"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污染物</w:t>
                  </w:r>
                </w:p>
              </w:tc>
              <w:tc>
                <w:tcPr>
                  <w:tcW w:w="664"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pH</w:t>
                  </w:r>
                </w:p>
              </w:tc>
              <w:tc>
                <w:tcPr>
                  <w:tcW w:w="858"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CODcr</w:t>
                  </w:r>
                </w:p>
              </w:tc>
              <w:tc>
                <w:tcPr>
                  <w:tcW w:w="859"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BOD</w:t>
                  </w:r>
                  <w:r>
                    <w:rPr>
                      <w:bCs/>
                      <w:snapToGrid w:val="0"/>
                      <w:color w:val="auto"/>
                      <w:kern w:val="32"/>
                      <w:sz w:val="21"/>
                      <w:szCs w:val="21"/>
                      <w:vertAlign w:val="subscript"/>
                      <w:lang w:val="zh-CN"/>
                    </w:rPr>
                    <w:t>5</w:t>
                  </w:r>
                </w:p>
              </w:tc>
              <w:tc>
                <w:tcPr>
                  <w:tcW w:w="715"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SS</w:t>
                  </w:r>
                </w:p>
              </w:tc>
              <w:tc>
                <w:tcPr>
                  <w:tcW w:w="858"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NH</w:t>
                  </w:r>
                  <w:r>
                    <w:rPr>
                      <w:bCs/>
                      <w:snapToGrid w:val="0"/>
                      <w:color w:val="auto"/>
                      <w:kern w:val="32"/>
                      <w:sz w:val="21"/>
                      <w:szCs w:val="21"/>
                      <w:vertAlign w:val="subscript"/>
                      <w:lang w:val="zh-CN"/>
                    </w:rPr>
                    <w:t>3</w:t>
                  </w:r>
                  <w:r>
                    <w:rPr>
                      <w:bCs/>
                      <w:snapToGrid w:val="0"/>
                      <w:color w:val="auto"/>
                      <w:kern w:val="32"/>
                      <w:sz w:val="21"/>
                      <w:szCs w:val="21"/>
                      <w:lang w:val="zh-CN"/>
                    </w:rPr>
                    <w:t>-N</w:t>
                  </w:r>
                </w:p>
              </w:tc>
              <w:tc>
                <w:tcPr>
                  <w:tcW w:w="715"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TN</w:t>
                  </w:r>
                </w:p>
              </w:tc>
              <w:tc>
                <w:tcPr>
                  <w:tcW w:w="858"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TP</w:t>
                  </w:r>
                </w:p>
              </w:tc>
              <w:tc>
                <w:tcPr>
                  <w:tcW w:w="994"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阴离子表面活性剂</w:t>
                  </w:r>
                </w:p>
              </w:tc>
              <w:tc>
                <w:tcPr>
                  <w:tcW w:w="1204"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粪大肠菌群数（MPN/L）</w:t>
                  </w:r>
                </w:p>
              </w:tc>
            </w:tr>
            <w:tr>
              <w:tblPrEx>
                <w:tblLayout w:type="fixed"/>
                <w:tblCellMar>
                  <w:top w:w="0" w:type="dxa"/>
                  <w:left w:w="108" w:type="dxa"/>
                  <w:bottom w:w="0" w:type="dxa"/>
                  <w:right w:w="108" w:type="dxa"/>
                </w:tblCellMar>
              </w:tblPrEx>
              <w:trPr>
                <w:trHeight w:val="300" w:hRule="atLeast"/>
                <w:jc w:val="center"/>
              </w:trPr>
              <w:tc>
                <w:tcPr>
                  <w:tcW w:w="875" w:type="dxa"/>
                  <w:tcBorders>
                    <w:top w:val="nil"/>
                    <w:left w:val="single" w:color="auto" w:sz="8" w:space="0"/>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遗体清洗废水</w:t>
                  </w:r>
                </w:p>
              </w:tc>
              <w:tc>
                <w:tcPr>
                  <w:tcW w:w="664"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7-9</w:t>
                  </w:r>
                </w:p>
              </w:tc>
              <w:tc>
                <w:tcPr>
                  <w:tcW w:w="858"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25</w:t>
                  </w:r>
                </w:p>
              </w:tc>
              <w:tc>
                <w:tcPr>
                  <w:tcW w:w="859"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7.8</w:t>
                  </w:r>
                </w:p>
              </w:tc>
              <w:tc>
                <w:tcPr>
                  <w:tcW w:w="715"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43</w:t>
                  </w:r>
                </w:p>
              </w:tc>
              <w:tc>
                <w:tcPr>
                  <w:tcW w:w="858"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0.164</w:t>
                  </w:r>
                </w:p>
              </w:tc>
              <w:tc>
                <w:tcPr>
                  <w:tcW w:w="715"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1.76</w:t>
                  </w:r>
                </w:p>
              </w:tc>
              <w:tc>
                <w:tcPr>
                  <w:tcW w:w="858"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0.08</w:t>
                  </w:r>
                </w:p>
              </w:tc>
              <w:tc>
                <w:tcPr>
                  <w:tcW w:w="994"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204"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8000</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生活污水污染源强</w:t>
            </w:r>
          </w:p>
          <w:p>
            <w:pPr>
              <w:pStyle w:val="34"/>
              <w:ind w:firstLine="480"/>
              <w:rPr>
                <w:szCs w:val="24"/>
              </w:rPr>
            </w:pPr>
            <w:r>
              <w:rPr>
                <w:szCs w:val="24"/>
              </w:rPr>
              <w:t>根据类比调查，生活污水污染源强如下表所示。</w:t>
            </w:r>
          </w:p>
          <w:p>
            <w:pPr>
              <w:jc w:val="center"/>
              <w:rPr>
                <w:rFonts w:ascii="Times New Roman" w:hAnsi="Times New Roman" w:cs="Times New Roman"/>
                <w:b/>
                <w:szCs w:val="24"/>
              </w:rPr>
            </w:pPr>
            <w:r>
              <w:rPr>
                <w:rFonts w:ascii="Times New Roman" w:hAnsi="Times New Roman" w:cs="Times New Roman"/>
                <w:b/>
              </w:rPr>
              <w:t>表4.2.2-2 生活污水污染源指标一览表 mg/L</w:t>
            </w:r>
          </w:p>
          <w:tbl>
            <w:tblPr>
              <w:tblStyle w:val="16"/>
              <w:tblW w:w="8600" w:type="dxa"/>
              <w:jc w:val="center"/>
              <w:tblInd w:w="0" w:type="dxa"/>
              <w:tblLayout w:type="fixed"/>
              <w:tblCellMar>
                <w:top w:w="0" w:type="dxa"/>
                <w:left w:w="108" w:type="dxa"/>
                <w:bottom w:w="0" w:type="dxa"/>
                <w:right w:w="108" w:type="dxa"/>
              </w:tblCellMar>
            </w:tblPr>
            <w:tblGrid>
              <w:gridCol w:w="875"/>
              <w:gridCol w:w="633"/>
              <w:gridCol w:w="830"/>
              <w:gridCol w:w="805"/>
              <w:gridCol w:w="708"/>
              <w:gridCol w:w="851"/>
              <w:gridCol w:w="567"/>
              <w:gridCol w:w="567"/>
              <w:gridCol w:w="709"/>
              <w:gridCol w:w="850"/>
              <w:gridCol w:w="1205"/>
            </w:tblGrid>
            <w:tr>
              <w:tblPrEx>
                <w:tblLayout w:type="fixed"/>
                <w:tblCellMar>
                  <w:top w:w="0" w:type="dxa"/>
                  <w:left w:w="108" w:type="dxa"/>
                  <w:bottom w:w="0" w:type="dxa"/>
                  <w:right w:w="108" w:type="dxa"/>
                </w:tblCellMar>
              </w:tblPrEx>
              <w:trPr>
                <w:trHeight w:val="285" w:hRule="atLeast"/>
                <w:jc w:val="center"/>
              </w:trPr>
              <w:tc>
                <w:tcPr>
                  <w:tcW w:w="875" w:type="dxa"/>
                  <w:tcBorders>
                    <w:top w:val="single" w:color="auto" w:sz="4"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污染物</w:t>
                  </w:r>
                </w:p>
              </w:tc>
              <w:tc>
                <w:tcPr>
                  <w:tcW w:w="633"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pH</w:t>
                  </w:r>
                </w:p>
              </w:tc>
              <w:tc>
                <w:tcPr>
                  <w:tcW w:w="830"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CODcr</w:t>
                  </w:r>
                </w:p>
              </w:tc>
              <w:tc>
                <w:tcPr>
                  <w:tcW w:w="805"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BOD</w:t>
                  </w:r>
                  <w:r>
                    <w:rPr>
                      <w:bCs/>
                      <w:snapToGrid w:val="0"/>
                      <w:color w:val="auto"/>
                      <w:kern w:val="32"/>
                      <w:sz w:val="21"/>
                      <w:szCs w:val="21"/>
                      <w:vertAlign w:val="subscript"/>
                      <w:lang w:val="zh-CN"/>
                    </w:rPr>
                    <w:t>5</w:t>
                  </w:r>
                </w:p>
              </w:tc>
              <w:tc>
                <w:tcPr>
                  <w:tcW w:w="708"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SS</w:t>
                  </w:r>
                </w:p>
              </w:tc>
              <w:tc>
                <w:tcPr>
                  <w:tcW w:w="851"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NH</w:t>
                  </w:r>
                  <w:r>
                    <w:rPr>
                      <w:bCs/>
                      <w:snapToGrid w:val="0"/>
                      <w:color w:val="auto"/>
                      <w:kern w:val="32"/>
                      <w:sz w:val="21"/>
                      <w:szCs w:val="21"/>
                      <w:vertAlign w:val="subscript"/>
                      <w:lang w:val="zh-CN"/>
                    </w:rPr>
                    <w:t>3</w:t>
                  </w:r>
                  <w:r>
                    <w:rPr>
                      <w:bCs/>
                      <w:snapToGrid w:val="0"/>
                      <w:color w:val="auto"/>
                      <w:kern w:val="32"/>
                      <w:sz w:val="21"/>
                      <w:szCs w:val="21"/>
                      <w:lang w:val="zh-CN"/>
                    </w:rPr>
                    <w:t>-N</w:t>
                  </w:r>
                </w:p>
              </w:tc>
              <w:tc>
                <w:tcPr>
                  <w:tcW w:w="567"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TN</w:t>
                  </w:r>
                </w:p>
              </w:tc>
              <w:tc>
                <w:tcPr>
                  <w:tcW w:w="567"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TP</w:t>
                  </w:r>
                </w:p>
              </w:tc>
              <w:tc>
                <w:tcPr>
                  <w:tcW w:w="709"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动植物油</w:t>
                  </w:r>
                </w:p>
              </w:tc>
              <w:tc>
                <w:tcPr>
                  <w:tcW w:w="850"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阴离子表面活性剂</w:t>
                  </w:r>
                </w:p>
              </w:tc>
              <w:tc>
                <w:tcPr>
                  <w:tcW w:w="1205"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粪大肠菌群数（MPN/L）</w:t>
                  </w:r>
                </w:p>
              </w:tc>
            </w:tr>
            <w:tr>
              <w:tblPrEx>
                <w:tblLayout w:type="fixed"/>
                <w:tblCellMar>
                  <w:top w:w="0" w:type="dxa"/>
                  <w:left w:w="108" w:type="dxa"/>
                  <w:bottom w:w="0" w:type="dxa"/>
                  <w:right w:w="108" w:type="dxa"/>
                </w:tblCellMar>
              </w:tblPrEx>
              <w:trPr>
                <w:trHeight w:val="300" w:hRule="atLeast"/>
                <w:jc w:val="center"/>
              </w:trPr>
              <w:tc>
                <w:tcPr>
                  <w:tcW w:w="875" w:type="dxa"/>
                  <w:tcBorders>
                    <w:top w:val="nil"/>
                    <w:left w:val="single" w:color="auto" w:sz="8" w:space="0"/>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生活污水</w:t>
                  </w:r>
                </w:p>
              </w:tc>
              <w:tc>
                <w:tcPr>
                  <w:tcW w:w="633"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6-9</w:t>
                  </w:r>
                </w:p>
              </w:tc>
              <w:tc>
                <w:tcPr>
                  <w:tcW w:w="830"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350</w:t>
                  </w:r>
                </w:p>
              </w:tc>
              <w:tc>
                <w:tcPr>
                  <w:tcW w:w="805"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220</w:t>
                  </w:r>
                </w:p>
              </w:tc>
              <w:tc>
                <w:tcPr>
                  <w:tcW w:w="708"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300</w:t>
                  </w:r>
                </w:p>
              </w:tc>
              <w:tc>
                <w:tcPr>
                  <w:tcW w:w="851"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38</w:t>
                  </w:r>
                </w:p>
              </w:tc>
              <w:tc>
                <w:tcPr>
                  <w:tcW w:w="567"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45</w:t>
                  </w:r>
                </w:p>
              </w:tc>
              <w:tc>
                <w:tcPr>
                  <w:tcW w:w="567"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8</w:t>
                  </w:r>
                </w:p>
              </w:tc>
              <w:tc>
                <w:tcPr>
                  <w:tcW w:w="709"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100</w:t>
                  </w:r>
                </w:p>
              </w:tc>
              <w:tc>
                <w:tcPr>
                  <w:tcW w:w="850"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16</w:t>
                  </w:r>
                </w:p>
              </w:tc>
              <w:tc>
                <w:tcPr>
                  <w:tcW w:w="1205"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16000</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3 \* GB2 </w:instrText>
            </w:r>
            <w:r>
              <w:rPr>
                <w:rFonts w:ascii="Times New Roman" w:hAnsi="Times New Roman" w:cs="Times New Roman"/>
                <w:b/>
                <w:sz w:val="24"/>
                <w:szCs w:val="24"/>
              </w:rPr>
              <w:fldChar w:fldCharType="separate"/>
            </w:r>
            <w:r>
              <w:rPr>
                <w:rFonts w:ascii="Times New Roman" w:hAnsi="Times New Roman" w:cs="Times New Roman"/>
                <w:b/>
                <w:sz w:val="24"/>
                <w:szCs w:val="24"/>
              </w:rPr>
              <w:t>⑶</w:t>
            </w:r>
            <w:r>
              <w:rPr>
                <w:rFonts w:ascii="Times New Roman" w:hAnsi="Times New Roman" w:cs="Times New Roman"/>
                <w:b/>
                <w:sz w:val="24"/>
                <w:szCs w:val="24"/>
              </w:rPr>
              <w:fldChar w:fldCharType="end"/>
            </w:r>
            <w:r>
              <w:rPr>
                <w:rFonts w:ascii="Times New Roman" w:hAnsi="Times New Roman" w:cs="Times New Roman"/>
                <w:b/>
                <w:sz w:val="24"/>
                <w:szCs w:val="24"/>
              </w:rPr>
              <w:t>灵车清洗废水污染源强</w:t>
            </w:r>
          </w:p>
          <w:p>
            <w:pPr>
              <w:pStyle w:val="34"/>
              <w:ind w:firstLine="480"/>
              <w:rPr>
                <w:szCs w:val="24"/>
              </w:rPr>
            </w:pPr>
            <w:r>
              <w:rPr>
                <w:szCs w:val="24"/>
              </w:rPr>
              <w:t>根据类比老殡仪馆灵车清洗废水水质数据，灵车清洗废水污染源强如下表所示。</w:t>
            </w:r>
          </w:p>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表4.2.2-3 灵车清洗废水污染源指标一览表 mg/L</w:t>
            </w:r>
          </w:p>
          <w:tbl>
            <w:tblPr>
              <w:tblStyle w:val="16"/>
              <w:tblW w:w="8600" w:type="dxa"/>
              <w:jc w:val="center"/>
              <w:tblInd w:w="0" w:type="dxa"/>
              <w:tblLayout w:type="fixed"/>
              <w:tblCellMar>
                <w:top w:w="0" w:type="dxa"/>
                <w:left w:w="108" w:type="dxa"/>
                <w:bottom w:w="0" w:type="dxa"/>
                <w:right w:w="108" w:type="dxa"/>
              </w:tblCellMar>
            </w:tblPr>
            <w:tblGrid>
              <w:gridCol w:w="875"/>
              <w:gridCol w:w="664"/>
              <w:gridCol w:w="858"/>
              <w:gridCol w:w="859"/>
              <w:gridCol w:w="715"/>
              <w:gridCol w:w="858"/>
              <w:gridCol w:w="715"/>
              <w:gridCol w:w="858"/>
              <w:gridCol w:w="994"/>
              <w:gridCol w:w="1204"/>
            </w:tblGrid>
            <w:tr>
              <w:tblPrEx>
                <w:tblLayout w:type="fixed"/>
                <w:tblCellMar>
                  <w:top w:w="0" w:type="dxa"/>
                  <w:left w:w="108" w:type="dxa"/>
                  <w:bottom w:w="0" w:type="dxa"/>
                  <w:right w:w="108" w:type="dxa"/>
                </w:tblCellMar>
              </w:tblPrEx>
              <w:trPr>
                <w:trHeight w:val="285" w:hRule="atLeast"/>
                <w:jc w:val="center"/>
              </w:trPr>
              <w:tc>
                <w:tcPr>
                  <w:tcW w:w="875" w:type="dxa"/>
                  <w:tcBorders>
                    <w:top w:val="single" w:color="auto" w:sz="4"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rPr>
                  </w:pPr>
                  <w:r>
                    <w:rPr>
                      <w:bCs/>
                      <w:snapToGrid w:val="0"/>
                      <w:color w:val="auto"/>
                      <w:kern w:val="32"/>
                      <w:sz w:val="21"/>
                      <w:szCs w:val="21"/>
                      <w:lang w:val="zh-CN"/>
                    </w:rPr>
                    <w:t>污染物</w:t>
                  </w:r>
                </w:p>
              </w:tc>
              <w:tc>
                <w:tcPr>
                  <w:tcW w:w="664"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rPr>
                  </w:pPr>
                  <w:r>
                    <w:rPr>
                      <w:bCs/>
                      <w:snapToGrid w:val="0"/>
                      <w:color w:val="auto"/>
                      <w:kern w:val="32"/>
                      <w:sz w:val="21"/>
                      <w:szCs w:val="21"/>
                    </w:rPr>
                    <w:t>pH</w:t>
                  </w:r>
                </w:p>
              </w:tc>
              <w:tc>
                <w:tcPr>
                  <w:tcW w:w="858"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rPr>
                  </w:pPr>
                  <w:r>
                    <w:rPr>
                      <w:bCs/>
                      <w:snapToGrid w:val="0"/>
                      <w:color w:val="auto"/>
                      <w:kern w:val="32"/>
                      <w:sz w:val="21"/>
                      <w:szCs w:val="21"/>
                    </w:rPr>
                    <w:t>CODcr</w:t>
                  </w:r>
                </w:p>
              </w:tc>
              <w:tc>
                <w:tcPr>
                  <w:tcW w:w="859"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rPr>
                  </w:pPr>
                  <w:r>
                    <w:rPr>
                      <w:bCs/>
                      <w:snapToGrid w:val="0"/>
                      <w:color w:val="auto"/>
                      <w:kern w:val="32"/>
                      <w:sz w:val="21"/>
                      <w:szCs w:val="21"/>
                    </w:rPr>
                    <w:t>BOD</w:t>
                  </w:r>
                  <w:r>
                    <w:rPr>
                      <w:bCs/>
                      <w:snapToGrid w:val="0"/>
                      <w:color w:val="auto"/>
                      <w:kern w:val="32"/>
                      <w:sz w:val="21"/>
                      <w:szCs w:val="21"/>
                      <w:vertAlign w:val="subscript"/>
                    </w:rPr>
                    <w:t>5</w:t>
                  </w:r>
                </w:p>
              </w:tc>
              <w:tc>
                <w:tcPr>
                  <w:tcW w:w="715"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rPr>
                  </w:pPr>
                  <w:r>
                    <w:rPr>
                      <w:bCs/>
                      <w:snapToGrid w:val="0"/>
                      <w:color w:val="auto"/>
                      <w:kern w:val="32"/>
                      <w:sz w:val="21"/>
                      <w:szCs w:val="21"/>
                    </w:rPr>
                    <w:t>SS</w:t>
                  </w:r>
                </w:p>
              </w:tc>
              <w:tc>
                <w:tcPr>
                  <w:tcW w:w="858"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rPr>
                  </w:pPr>
                  <w:r>
                    <w:rPr>
                      <w:bCs/>
                      <w:snapToGrid w:val="0"/>
                      <w:color w:val="auto"/>
                      <w:kern w:val="32"/>
                      <w:sz w:val="21"/>
                      <w:szCs w:val="21"/>
                    </w:rPr>
                    <w:t>NH</w:t>
                  </w:r>
                  <w:r>
                    <w:rPr>
                      <w:bCs/>
                      <w:snapToGrid w:val="0"/>
                      <w:color w:val="auto"/>
                      <w:kern w:val="32"/>
                      <w:sz w:val="21"/>
                      <w:szCs w:val="21"/>
                      <w:vertAlign w:val="subscript"/>
                    </w:rPr>
                    <w:t>3</w:t>
                  </w:r>
                  <w:r>
                    <w:rPr>
                      <w:bCs/>
                      <w:snapToGrid w:val="0"/>
                      <w:color w:val="auto"/>
                      <w:kern w:val="32"/>
                      <w:sz w:val="21"/>
                      <w:szCs w:val="21"/>
                    </w:rPr>
                    <w:t>-N</w:t>
                  </w:r>
                </w:p>
              </w:tc>
              <w:tc>
                <w:tcPr>
                  <w:tcW w:w="715"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rPr>
                  </w:pPr>
                  <w:r>
                    <w:rPr>
                      <w:bCs/>
                      <w:snapToGrid w:val="0"/>
                      <w:color w:val="auto"/>
                      <w:kern w:val="32"/>
                      <w:sz w:val="21"/>
                      <w:szCs w:val="21"/>
                    </w:rPr>
                    <w:t>TN</w:t>
                  </w:r>
                </w:p>
              </w:tc>
              <w:tc>
                <w:tcPr>
                  <w:tcW w:w="858"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rPr>
                  </w:pPr>
                  <w:r>
                    <w:rPr>
                      <w:bCs/>
                      <w:snapToGrid w:val="0"/>
                      <w:color w:val="auto"/>
                      <w:kern w:val="32"/>
                      <w:sz w:val="21"/>
                      <w:szCs w:val="21"/>
                    </w:rPr>
                    <w:t>TP</w:t>
                  </w:r>
                </w:p>
              </w:tc>
              <w:tc>
                <w:tcPr>
                  <w:tcW w:w="994"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rPr>
                  </w:pPr>
                  <w:r>
                    <w:rPr>
                      <w:bCs/>
                      <w:snapToGrid w:val="0"/>
                      <w:color w:val="auto"/>
                      <w:kern w:val="32"/>
                      <w:sz w:val="21"/>
                      <w:szCs w:val="21"/>
                      <w:lang w:val="zh-CN"/>
                    </w:rPr>
                    <w:t>阴离子表面活性剂</w:t>
                  </w:r>
                </w:p>
              </w:tc>
              <w:tc>
                <w:tcPr>
                  <w:tcW w:w="1204"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粪大肠菌群数（MPN/L）</w:t>
                  </w:r>
                </w:p>
              </w:tc>
            </w:tr>
            <w:tr>
              <w:tblPrEx>
                <w:tblLayout w:type="fixed"/>
                <w:tblCellMar>
                  <w:top w:w="0" w:type="dxa"/>
                  <w:left w:w="108" w:type="dxa"/>
                  <w:bottom w:w="0" w:type="dxa"/>
                  <w:right w:w="108" w:type="dxa"/>
                </w:tblCellMar>
              </w:tblPrEx>
              <w:trPr>
                <w:trHeight w:val="300" w:hRule="atLeast"/>
                <w:jc w:val="center"/>
              </w:trPr>
              <w:tc>
                <w:tcPr>
                  <w:tcW w:w="875" w:type="dxa"/>
                  <w:tcBorders>
                    <w:top w:val="nil"/>
                    <w:left w:val="single" w:color="auto" w:sz="8" w:space="0"/>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灵车清洗废水</w:t>
                  </w:r>
                </w:p>
              </w:tc>
              <w:tc>
                <w:tcPr>
                  <w:tcW w:w="664"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7-9</w:t>
                  </w:r>
                </w:p>
              </w:tc>
              <w:tc>
                <w:tcPr>
                  <w:tcW w:w="858"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25</w:t>
                  </w:r>
                </w:p>
              </w:tc>
              <w:tc>
                <w:tcPr>
                  <w:tcW w:w="859"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7.8</w:t>
                  </w:r>
                </w:p>
              </w:tc>
              <w:tc>
                <w:tcPr>
                  <w:tcW w:w="715"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43</w:t>
                  </w:r>
                </w:p>
              </w:tc>
              <w:tc>
                <w:tcPr>
                  <w:tcW w:w="858"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0.164</w:t>
                  </w:r>
                </w:p>
              </w:tc>
              <w:tc>
                <w:tcPr>
                  <w:tcW w:w="715"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1.76</w:t>
                  </w:r>
                </w:p>
              </w:tc>
              <w:tc>
                <w:tcPr>
                  <w:tcW w:w="858"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0.08</w:t>
                  </w:r>
                </w:p>
              </w:tc>
              <w:tc>
                <w:tcPr>
                  <w:tcW w:w="994"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16</w:t>
                  </w:r>
                </w:p>
              </w:tc>
              <w:tc>
                <w:tcPr>
                  <w:tcW w:w="1204"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8000</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4 \* GB2 </w:instrText>
            </w:r>
            <w:r>
              <w:rPr>
                <w:rFonts w:ascii="Times New Roman" w:hAnsi="Times New Roman" w:cs="Times New Roman"/>
                <w:b/>
                <w:sz w:val="24"/>
                <w:szCs w:val="24"/>
              </w:rPr>
              <w:fldChar w:fldCharType="separate"/>
            </w:r>
            <w:r>
              <w:rPr>
                <w:rFonts w:ascii="Times New Roman" w:hAnsi="Times New Roman" w:cs="Times New Roman"/>
                <w:b/>
                <w:sz w:val="24"/>
                <w:szCs w:val="24"/>
              </w:rPr>
              <w:t>⑷</w:t>
            </w:r>
            <w:r>
              <w:rPr>
                <w:rFonts w:ascii="Times New Roman" w:hAnsi="Times New Roman" w:cs="Times New Roman"/>
                <w:b/>
                <w:sz w:val="24"/>
                <w:szCs w:val="24"/>
              </w:rPr>
              <w:fldChar w:fldCharType="end"/>
            </w:r>
            <w:r>
              <w:rPr>
                <w:rFonts w:ascii="Times New Roman" w:hAnsi="Times New Roman" w:cs="Times New Roman"/>
                <w:b/>
                <w:sz w:val="24"/>
                <w:szCs w:val="24"/>
              </w:rPr>
              <w:t>初期雨水污染源强</w:t>
            </w:r>
          </w:p>
          <w:p>
            <w:pPr>
              <w:pStyle w:val="34"/>
              <w:ind w:firstLine="480"/>
              <w:rPr>
                <w:szCs w:val="24"/>
              </w:rPr>
            </w:pPr>
            <w:r>
              <w:rPr>
                <w:szCs w:val="24"/>
              </w:rPr>
              <w:t>初期雨水的主要污染物为CODcr和SS，CODcr产生浓度约60mg/L、SS产生浓度约400mg/L。</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 5 \* GB2 </w:instrText>
            </w:r>
            <w:r>
              <w:rPr>
                <w:rFonts w:ascii="Times New Roman" w:hAnsi="Times New Roman" w:cs="Times New Roman"/>
                <w:b/>
                <w:sz w:val="24"/>
              </w:rPr>
              <w:fldChar w:fldCharType="separate"/>
            </w:r>
            <w:r>
              <w:rPr>
                <w:rFonts w:ascii="Times New Roman" w:hAnsi="Times New Roman" w:cs="Times New Roman"/>
                <w:b/>
                <w:sz w:val="24"/>
              </w:rPr>
              <w:t>⑸</w:t>
            </w:r>
            <w:r>
              <w:rPr>
                <w:rFonts w:ascii="Times New Roman" w:hAnsi="Times New Roman" w:cs="Times New Roman"/>
                <w:b/>
                <w:sz w:val="24"/>
              </w:rPr>
              <w:fldChar w:fldCharType="end"/>
            </w:r>
            <w:r>
              <w:rPr>
                <w:rFonts w:ascii="Times New Roman" w:hAnsi="Times New Roman" w:cs="Times New Roman"/>
                <w:b/>
                <w:sz w:val="24"/>
              </w:rPr>
              <w:t>综合水质</w:t>
            </w:r>
          </w:p>
          <w:p>
            <w:pPr>
              <w:pStyle w:val="34"/>
              <w:ind w:firstLine="480"/>
              <w:rPr>
                <w:szCs w:val="24"/>
              </w:rPr>
            </w:pPr>
            <w:r>
              <w:rPr>
                <w:szCs w:val="24"/>
              </w:rPr>
              <w:t>由上述分析可知，项目综合废水水质如下表所示。</w:t>
            </w:r>
          </w:p>
          <w:p>
            <w:pPr>
              <w:jc w:val="center"/>
              <w:rPr>
                <w:rFonts w:ascii="Times New Roman" w:hAnsi="Times New Roman" w:cs="Times New Roman"/>
                <w:b/>
                <w:bCs/>
                <w:kern w:val="0"/>
              </w:rPr>
            </w:pPr>
            <w:r>
              <w:rPr>
                <w:rFonts w:ascii="Times New Roman" w:hAnsi="Times New Roman" w:cs="Times New Roman"/>
                <w:b/>
                <w:bCs/>
                <w:kern w:val="0"/>
              </w:rPr>
              <w:t>表4.2.2-4 综合废水水质水质指标一览表 mg/L</w:t>
            </w:r>
          </w:p>
          <w:tbl>
            <w:tblPr>
              <w:tblStyle w:val="16"/>
              <w:tblW w:w="8600" w:type="dxa"/>
              <w:jc w:val="center"/>
              <w:tblInd w:w="0" w:type="dxa"/>
              <w:tblLayout w:type="fixed"/>
              <w:tblCellMar>
                <w:top w:w="0" w:type="dxa"/>
                <w:left w:w="108" w:type="dxa"/>
                <w:bottom w:w="0" w:type="dxa"/>
                <w:right w:w="108" w:type="dxa"/>
              </w:tblCellMar>
            </w:tblPr>
            <w:tblGrid>
              <w:gridCol w:w="733"/>
              <w:gridCol w:w="775"/>
              <w:gridCol w:w="830"/>
              <w:gridCol w:w="805"/>
              <w:gridCol w:w="567"/>
              <w:gridCol w:w="850"/>
              <w:gridCol w:w="709"/>
              <w:gridCol w:w="567"/>
              <w:gridCol w:w="709"/>
              <w:gridCol w:w="850"/>
              <w:gridCol w:w="1205"/>
            </w:tblGrid>
            <w:tr>
              <w:tblPrEx>
                <w:tblLayout w:type="fixed"/>
                <w:tblCellMar>
                  <w:top w:w="0" w:type="dxa"/>
                  <w:left w:w="108" w:type="dxa"/>
                  <w:bottom w:w="0" w:type="dxa"/>
                  <w:right w:w="108" w:type="dxa"/>
                </w:tblCellMar>
              </w:tblPrEx>
              <w:trPr>
                <w:trHeight w:val="285" w:hRule="atLeast"/>
                <w:jc w:val="center"/>
              </w:trPr>
              <w:tc>
                <w:tcPr>
                  <w:tcW w:w="733" w:type="dxa"/>
                  <w:tcBorders>
                    <w:top w:val="single" w:color="auto" w:sz="4" w:space="0"/>
                    <w:left w:val="single" w:color="auto" w:sz="8" w:space="0"/>
                    <w:bottom w:val="single" w:color="000000"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污染物</w:t>
                  </w:r>
                </w:p>
              </w:tc>
              <w:tc>
                <w:tcPr>
                  <w:tcW w:w="775"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pH</w:t>
                  </w:r>
                </w:p>
              </w:tc>
              <w:tc>
                <w:tcPr>
                  <w:tcW w:w="830"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CODcr</w:t>
                  </w:r>
                </w:p>
              </w:tc>
              <w:tc>
                <w:tcPr>
                  <w:tcW w:w="805"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BOD</w:t>
                  </w:r>
                  <w:r>
                    <w:rPr>
                      <w:bCs/>
                      <w:snapToGrid w:val="0"/>
                      <w:color w:val="auto"/>
                      <w:kern w:val="32"/>
                      <w:sz w:val="21"/>
                      <w:szCs w:val="21"/>
                      <w:vertAlign w:val="subscript"/>
                      <w:lang w:val="zh-CN"/>
                    </w:rPr>
                    <w:t>5</w:t>
                  </w:r>
                </w:p>
              </w:tc>
              <w:tc>
                <w:tcPr>
                  <w:tcW w:w="567"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SS</w:t>
                  </w:r>
                </w:p>
              </w:tc>
              <w:tc>
                <w:tcPr>
                  <w:tcW w:w="850"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NH</w:t>
                  </w:r>
                  <w:r>
                    <w:rPr>
                      <w:bCs/>
                      <w:snapToGrid w:val="0"/>
                      <w:color w:val="auto"/>
                      <w:kern w:val="32"/>
                      <w:sz w:val="21"/>
                      <w:szCs w:val="21"/>
                      <w:vertAlign w:val="subscript"/>
                      <w:lang w:val="zh-CN"/>
                    </w:rPr>
                    <w:t>3</w:t>
                  </w:r>
                  <w:r>
                    <w:rPr>
                      <w:bCs/>
                      <w:snapToGrid w:val="0"/>
                      <w:color w:val="auto"/>
                      <w:kern w:val="32"/>
                      <w:sz w:val="21"/>
                      <w:szCs w:val="21"/>
                      <w:lang w:val="zh-CN"/>
                    </w:rPr>
                    <w:t>-N</w:t>
                  </w:r>
                </w:p>
              </w:tc>
              <w:tc>
                <w:tcPr>
                  <w:tcW w:w="709" w:type="dxa"/>
                  <w:tcBorders>
                    <w:top w:val="single" w:color="auto" w:sz="4" w:space="0"/>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TN</w:t>
                  </w:r>
                </w:p>
              </w:tc>
              <w:tc>
                <w:tcPr>
                  <w:tcW w:w="567"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TP</w:t>
                  </w:r>
                </w:p>
              </w:tc>
              <w:tc>
                <w:tcPr>
                  <w:tcW w:w="709"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动植物油</w:t>
                  </w:r>
                </w:p>
              </w:tc>
              <w:tc>
                <w:tcPr>
                  <w:tcW w:w="850"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阴离子表面活性剂</w:t>
                  </w:r>
                </w:p>
              </w:tc>
              <w:tc>
                <w:tcPr>
                  <w:tcW w:w="1205" w:type="dxa"/>
                  <w:tcBorders>
                    <w:top w:val="single" w:color="auto" w:sz="4" w:space="0"/>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粪大肠菌群数（MPN/L）</w:t>
                  </w:r>
                </w:p>
              </w:tc>
            </w:tr>
            <w:tr>
              <w:tblPrEx>
                <w:tblLayout w:type="fixed"/>
                <w:tblCellMar>
                  <w:top w:w="0" w:type="dxa"/>
                  <w:left w:w="108" w:type="dxa"/>
                  <w:bottom w:w="0" w:type="dxa"/>
                  <w:right w:w="108" w:type="dxa"/>
                </w:tblCellMar>
              </w:tblPrEx>
              <w:trPr>
                <w:trHeight w:val="300" w:hRule="atLeast"/>
                <w:jc w:val="center"/>
              </w:trPr>
              <w:tc>
                <w:tcPr>
                  <w:tcW w:w="733" w:type="dxa"/>
                  <w:tcBorders>
                    <w:top w:val="nil"/>
                    <w:left w:val="single" w:color="auto" w:sz="8" w:space="0"/>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综合废水</w:t>
                  </w:r>
                </w:p>
              </w:tc>
              <w:tc>
                <w:tcPr>
                  <w:tcW w:w="775"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6-9</w:t>
                  </w:r>
                </w:p>
              </w:tc>
              <w:tc>
                <w:tcPr>
                  <w:tcW w:w="830"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289</w:t>
                  </w:r>
                </w:p>
              </w:tc>
              <w:tc>
                <w:tcPr>
                  <w:tcW w:w="805"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180.4</w:t>
                  </w:r>
                </w:p>
              </w:tc>
              <w:tc>
                <w:tcPr>
                  <w:tcW w:w="567"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252</w:t>
                  </w:r>
                </w:p>
              </w:tc>
              <w:tc>
                <w:tcPr>
                  <w:tcW w:w="850"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30.9</w:t>
                  </w:r>
                </w:p>
              </w:tc>
              <w:tc>
                <w:tcPr>
                  <w:tcW w:w="709" w:type="dxa"/>
                  <w:tcBorders>
                    <w:top w:val="nil"/>
                    <w:left w:val="nil"/>
                    <w:bottom w:val="single" w:color="auto" w:sz="8" w:space="0"/>
                    <w:right w:val="single" w:color="auto" w:sz="8"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36.9</w:t>
                  </w:r>
                </w:p>
              </w:tc>
              <w:tc>
                <w:tcPr>
                  <w:tcW w:w="567"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6.5</w:t>
                  </w:r>
                </w:p>
              </w:tc>
              <w:tc>
                <w:tcPr>
                  <w:tcW w:w="709"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81</w:t>
                  </w:r>
                </w:p>
              </w:tc>
              <w:tc>
                <w:tcPr>
                  <w:tcW w:w="850"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15</w:t>
                  </w:r>
                </w:p>
              </w:tc>
              <w:tc>
                <w:tcPr>
                  <w:tcW w:w="1205" w:type="dxa"/>
                  <w:tcBorders>
                    <w:top w:val="nil"/>
                    <w:left w:val="nil"/>
                    <w:bottom w:val="single" w:color="auto" w:sz="8" w:space="0"/>
                    <w:right w:val="single" w:color="auto" w:sz="4" w:space="0"/>
                  </w:tcBorders>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14505</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rPr>
              <w:t>废水</w:t>
            </w:r>
            <w:r>
              <w:rPr>
                <w:rFonts w:ascii="Times New Roman" w:hAnsi="Times New Roman" w:cs="Times New Roman"/>
                <w:b/>
                <w:sz w:val="24"/>
                <w:szCs w:val="24"/>
              </w:rPr>
              <w:t>污染物排放源及达标性分析</w:t>
            </w:r>
          </w:p>
          <w:p>
            <w:pPr>
              <w:spacing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①</w:t>
            </w:r>
            <w:r>
              <w:rPr>
                <w:rFonts w:ascii="Times New Roman" w:hAnsi="Times New Roman" w:cs="Times New Roman"/>
                <w:b/>
                <w:sz w:val="24"/>
              </w:rPr>
              <w:t>废水污染物治理措施及排放方式</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根据工程分析，废水类型主要包括遗体清洗废水、生活污水、灵车清洗废水和初期雨水。项目废水污染物排放源的治理措施及排放方式如下表所示。</w:t>
            </w:r>
          </w:p>
          <w:p>
            <w:pPr>
              <w:jc w:val="center"/>
              <w:rPr>
                <w:rFonts w:ascii="Times New Roman" w:hAnsi="Times New Roman" w:cs="Times New Roman"/>
                <w:b/>
                <w:szCs w:val="24"/>
              </w:rPr>
            </w:pPr>
            <w:r>
              <w:rPr>
                <w:rFonts w:ascii="Times New Roman" w:hAnsi="Times New Roman" w:cs="Times New Roman"/>
                <w:b/>
                <w:szCs w:val="24"/>
              </w:rPr>
              <w:t>表4.2.2-2  废水污染物治理措施及排放方式一览表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850"/>
              <w:gridCol w:w="1418"/>
              <w:gridCol w:w="3543"/>
              <w:gridCol w:w="993"/>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Align w:val="center"/>
                </w:tcPr>
                <w:p>
                  <w:pPr>
                    <w:pStyle w:val="26"/>
                    <w:spacing w:line="360" w:lineRule="exact"/>
                    <w:rPr>
                      <w:rFonts w:eastAsiaTheme="minorEastAsia"/>
                      <w:color w:val="auto"/>
                      <w:szCs w:val="21"/>
                    </w:rPr>
                  </w:pPr>
                  <w:r>
                    <w:rPr>
                      <w:rFonts w:eastAsiaTheme="minorEastAsia"/>
                      <w:color w:val="auto"/>
                      <w:szCs w:val="21"/>
                    </w:rPr>
                    <w:t>产排污环节</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类别</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污染物种类</w:t>
                  </w:r>
                </w:p>
              </w:tc>
              <w:tc>
                <w:tcPr>
                  <w:tcW w:w="3543" w:type="dxa"/>
                  <w:vAlign w:val="center"/>
                </w:tcPr>
                <w:p>
                  <w:pPr>
                    <w:pStyle w:val="26"/>
                    <w:spacing w:line="360" w:lineRule="exact"/>
                    <w:rPr>
                      <w:rFonts w:eastAsiaTheme="minorEastAsia"/>
                      <w:color w:val="auto"/>
                      <w:szCs w:val="21"/>
                    </w:rPr>
                  </w:pPr>
                  <w:r>
                    <w:rPr>
                      <w:rFonts w:eastAsiaTheme="minorEastAsia"/>
                      <w:color w:val="auto"/>
                      <w:szCs w:val="21"/>
                    </w:rPr>
                    <w:t>治理设施、效率及去向</w:t>
                  </w:r>
                </w:p>
              </w:tc>
              <w:tc>
                <w:tcPr>
                  <w:tcW w:w="993"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排放形式及规律</w:t>
                  </w:r>
                </w:p>
              </w:tc>
              <w:tc>
                <w:tcPr>
                  <w:tcW w:w="924" w:type="dxa"/>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restart"/>
                  <w:vAlign w:val="center"/>
                </w:tcPr>
                <w:p>
                  <w:pPr>
                    <w:pStyle w:val="26"/>
                    <w:spacing w:line="360" w:lineRule="exact"/>
                    <w:rPr>
                      <w:rFonts w:eastAsiaTheme="minorEastAsia"/>
                      <w:color w:val="auto"/>
                      <w:szCs w:val="21"/>
                    </w:rPr>
                  </w:pPr>
                  <w:r>
                    <w:rPr>
                      <w:rFonts w:eastAsiaTheme="minorEastAsia"/>
                      <w:color w:val="auto"/>
                      <w:szCs w:val="21"/>
                    </w:rPr>
                    <w:t>遗体清洗</w:t>
                  </w:r>
                </w:p>
              </w:tc>
              <w:tc>
                <w:tcPr>
                  <w:tcW w:w="850" w:type="dxa"/>
                  <w:vMerge w:val="restart"/>
                  <w:vAlign w:val="center"/>
                </w:tcPr>
                <w:p>
                  <w:pPr>
                    <w:pStyle w:val="26"/>
                    <w:spacing w:line="360" w:lineRule="exact"/>
                    <w:rPr>
                      <w:rFonts w:eastAsiaTheme="minorEastAsia"/>
                      <w:color w:val="auto"/>
                      <w:szCs w:val="21"/>
                    </w:rPr>
                  </w:pPr>
                  <w:r>
                    <w:rPr>
                      <w:rFonts w:eastAsiaTheme="minorEastAsia"/>
                      <w:color w:val="auto"/>
                      <w:szCs w:val="21"/>
                    </w:rPr>
                    <w:t>遗体清洗废水</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pH</w:t>
                  </w:r>
                </w:p>
              </w:tc>
              <w:tc>
                <w:tcPr>
                  <w:tcW w:w="3543" w:type="dxa"/>
                  <w:vMerge w:val="restart"/>
                  <w:vAlign w:val="center"/>
                </w:tcPr>
                <w:p>
                  <w:pPr>
                    <w:pStyle w:val="26"/>
                    <w:spacing w:line="360" w:lineRule="exact"/>
                    <w:ind w:firstLine="210" w:firstLineChars="100"/>
                    <w:jc w:val="both"/>
                    <w:rPr>
                      <w:color w:val="auto"/>
                      <w:szCs w:val="21"/>
                    </w:rPr>
                  </w:pPr>
                  <w:r>
                    <w:rPr>
                      <w:color w:val="auto"/>
                      <w:szCs w:val="21"/>
                    </w:rPr>
                    <w:t>遗体清洗废水进入1个8m³的调节池进行收集、调节后，统一进入1个处理能力为20m³/d的一体化污水处理设施进行处理，处理后回用于项目区绿化，不外排。</w:t>
                  </w:r>
                </w:p>
              </w:tc>
              <w:tc>
                <w:tcPr>
                  <w:tcW w:w="993"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924"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CODcr</w:t>
                  </w:r>
                </w:p>
              </w:tc>
              <w:tc>
                <w:tcPr>
                  <w:tcW w:w="3543" w:type="dxa"/>
                  <w:vMerge w:val="continue"/>
                  <w:vAlign w:val="center"/>
                </w:tcPr>
                <w:p>
                  <w:pPr>
                    <w:pStyle w:val="26"/>
                    <w:spacing w:line="360" w:lineRule="exact"/>
                    <w:rPr>
                      <w:rFonts w:eastAsiaTheme="minorEastAsia"/>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3543" w:type="dxa"/>
                  <w:vMerge w:val="continue"/>
                  <w:vAlign w:val="center"/>
                </w:tcPr>
                <w:p>
                  <w:pPr>
                    <w:pStyle w:val="26"/>
                    <w:spacing w:line="360" w:lineRule="exact"/>
                    <w:rPr>
                      <w:rFonts w:eastAsiaTheme="minorEastAsia"/>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543" w:type="dxa"/>
                  <w:vMerge w:val="continue"/>
                  <w:vAlign w:val="center"/>
                </w:tcPr>
                <w:p>
                  <w:pPr>
                    <w:pStyle w:val="26"/>
                    <w:spacing w:line="360" w:lineRule="exact"/>
                    <w:rPr>
                      <w:rFonts w:eastAsiaTheme="minorEastAsia"/>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SS</w:t>
                  </w:r>
                </w:p>
              </w:tc>
              <w:tc>
                <w:tcPr>
                  <w:tcW w:w="3543" w:type="dxa"/>
                  <w:vMerge w:val="continue"/>
                  <w:vAlign w:val="center"/>
                </w:tcPr>
                <w:p>
                  <w:pPr>
                    <w:pStyle w:val="26"/>
                    <w:spacing w:line="360" w:lineRule="exact"/>
                    <w:rPr>
                      <w:rFonts w:eastAsiaTheme="minorEastAsia"/>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总磷</w:t>
                  </w:r>
                </w:p>
              </w:tc>
              <w:tc>
                <w:tcPr>
                  <w:tcW w:w="3543" w:type="dxa"/>
                  <w:vMerge w:val="continue"/>
                  <w:vAlign w:val="center"/>
                </w:tcPr>
                <w:p>
                  <w:pPr>
                    <w:pStyle w:val="26"/>
                    <w:spacing w:line="360" w:lineRule="exact"/>
                    <w:rPr>
                      <w:rFonts w:eastAsiaTheme="minorEastAsia"/>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总氮</w:t>
                  </w:r>
                </w:p>
              </w:tc>
              <w:tc>
                <w:tcPr>
                  <w:tcW w:w="3543" w:type="dxa"/>
                  <w:vMerge w:val="continue"/>
                  <w:vAlign w:val="center"/>
                </w:tcPr>
                <w:p>
                  <w:pPr>
                    <w:pStyle w:val="26"/>
                    <w:spacing w:line="360" w:lineRule="exact"/>
                    <w:rPr>
                      <w:rFonts w:eastAsiaTheme="minorEastAsia"/>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粪大肠菌群数（MPN/L）</w:t>
                  </w:r>
                </w:p>
              </w:tc>
              <w:tc>
                <w:tcPr>
                  <w:tcW w:w="3543" w:type="dxa"/>
                  <w:vMerge w:val="continue"/>
                  <w:vAlign w:val="center"/>
                </w:tcPr>
                <w:p>
                  <w:pPr>
                    <w:pStyle w:val="26"/>
                    <w:spacing w:line="360" w:lineRule="exact"/>
                    <w:rPr>
                      <w:rFonts w:eastAsiaTheme="minorEastAsia"/>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restart"/>
                  <w:vAlign w:val="center"/>
                </w:tcPr>
                <w:p>
                  <w:pPr>
                    <w:pStyle w:val="26"/>
                    <w:spacing w:line="360" w:lineRule="exact"/>
                    <w:rPr>
                      <w:rFonts w:eastAsiaTheme="minorEastAsia"/>
                      <w:color w:val="auto"/>
                      <w:szCs w:val="21"/>
                    </w:rPr>
                  </w:pPr>
                  <w:r>
                    <w:rPr>
                      <w:rFonts w:eastAsiaTheme="minorEastAsia"/>
                      <w:color w:val="auto"/>
                      <w:szCs w:val="21"/>
                    </w:rPr>
                    <w:t>员工生活</w:t>
                  </w:r>
                </w:p>
              </w:tc>
              <w:tc>
                <w:tcPr>
                  <w:tcW w:w="850" w:type="dxa"/>
                  <w:vMerge w:val="restart"/>
                  <w:vAlign w:val="center"/>
                </w:tcPr>
                <w:p>
                  <w:pPr>
                    <w:pStyle w:val="26"/>
                    <w:spacing w:line="360" w:lineRule="exact"/>
                    <w:rPr>
                      <w:rFonts w:eastAsiaTheme="minorEastAsia"/>
                      <w:color w:val="auto"/>
                      <w:szCs w:val="21"/>
                    </w:rPr>
                  </w:pPr>
                  <w:r>
                    <w:rPr>
                      <w:rFonts w:eastAsiaTheme="minorEastAsia"/>
                      <w:color w:val="auto"/>
                      <w:szCs w:val="21"/>
                    </w:rPr>
                    <w:t>生活污水</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pH</w:t>
                  </w:r>
                </w:p>
              </w:tc>
              <w:tc>
                <w:tcPr>
                  <w:tcW w:w="3543" w:type="dxa"/>
                  <w:vMerge w:val="restart"/>
                  <w:vAlign w:val="center"/>
                </w:tcPr>
                <w:p>
                  <w:pPr>
                    <w:pStyle w:val="26"/>
                    <w:spacing w:line="360" w:lineRule="exact"/>
                    <w:ind w:firstLine="210" w:firstLineChars="100"/>
                    <w:jc w:val="both"/>
                    <w:rPr>
                      <w:color w:val="auto"/>
                      <w:szCs w:val="21"/>
                    </w:rPr>
                  </w:pPr>
                  <w:r>
                    <w:rPr>
                      <w:color w:val="auto"/>
                      <w:szCs w:val="21"/>
                    </w:rPr>
                    <w:t>厨房废水首先进入1个1m³的隔油池进行预处理后再和其他生活污水一起进入5m³的化粪池处理，经化粪池处理后的生活污水进入1个8m³的调节池进行收集、调节，再统一进入1个处理能力为20m³/d的一体化污水处理设施进行处理，处理后回用于项目区绿化，不外排。</w:t>
                  </w:r>
                </w:p>
              </w:tc>
              <w:tc>
                <w:tcPr>
                  <w:tcW w:w="993"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924" w:type="dxa"/>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CODcr</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pStyle w:val="26"/>
                    <w:spacing w:line="360" w:lineRule="exact"/>
                    <w:rPr>
                      <w:rFonts w:eastAsiaTheme="minorEastAsia"/>
                      <w:color w:val="auto"/>
                      <w:szCs w:val="21"/>
                    </w:rPr>
                  </w:pPr>
                </w:p>
              </w:tc>
              <w:tc>
                <w:tcPr>
                  <w:tcW w:w="924" w:type="dxa"/>
                  <w:vMerge w:val="continue"/>
                  <w:vAlign w:val="center"/>
                </w:tcPr>
                <w:p>
                  <w:pPr>
                    <w:pStyle w:val="26"/>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pStyle w:val="26"/>
                    <w:spacing w:line="360" w:lineRule="exact"/>
                    <w:rPr>
                      <w:rFonts w:eastAsiaTheme="minorEastAsia"/>
                      <w:color w:val="auto"/>
                      <w:szCs w:val="21"/>
                    </w:rPr>
                  </w:pPr>
                </w:p>
              </w:tc>
              <w:tc>
                <w:tcPr>
                  <w:tcW w:w="924" w:type="dxa"/>
                  <w:vMerge w:val="continue"/>
                  <w:vAlign w:val="center"/>
                </w:tcPr>
                <w:p>
                  <w:pPr>
                    <w:pStyle w:val="26"/>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pStyle w:val="26"/>
                    <w:spacing w:line="360" w:lineRule="exact"/>
                    <w:rPr>
                      <w:rFonts w:eastAsiaTheme="minorEastAsia"/>
                      <w:color w:val="auto"/>
                      <w:szCs w:val="21"/>
                    </w:rPr>
                  </w:pPr>
                </w:p>
              </w:tc>
              <w:tc>
                <w:tcPr>
                  <w:tcW w:w="924" w:type="dxa"/>
                  <w:vMerge w:val="continue"/>
                  <w:vAlign w:val="center"/>
                </w:tcPr>
                <w:p>
                  <w:pPr>
                    <w:pStyle w:val="26"/>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SS</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pStyle w:val="26"/>
                    <w:spacing w:line="360" w:lineRule="exact"/>
                    <w:rPr>
                      <w:rFonts w:eastAsiaTheme="minorEastAsia"/>
                      <w:color w:val="auto"/>
                      <w:szCs w:val="21"/>
                    </w:rPr>
                  </w:pPr>
                </w:p>
              </w:tc>
              <w:tc>
                <w:tcPr>
                  <w:tcW w:w="924" w:type="dxa"/>
                  <w:vMerge w:val="continue"/>
                  <w:vAlign w:val="center"/>
                </w:tcPr>
                <w:p>
                  <w:pPr>
                    <w:pStyle w:val="26"/>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总磷</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pStyle w:val="26"/>
                    <w:spacing w:line="360" w:lineRule="exact"/>
                    <w:rPr>
                      <w:rFonts w:eastAsiaTheme="minorEastAsia"/>
                      <w:color w:val="auto"/>
                      <w:szCs w:val="21"/>
                    </w:rPr>
                  </w:pPr>
                </w:p>
              </w:tc>
              <w:tc>
                <w:tcPr>
                  <w:tcW w:w="924" w:type="dxa"/>
                  <w:vMerge w:val="continue"/>
                  <w:vAlign w:val="center"/>
                </w:tcPr>
                <w:p>
                  <w:pPr>
                    <w:pStyle w:val="26"/>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总氮</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pStyle w:val="26"/>
                    <w:spacing w:line="360" w:lineRule="exact"/>
                    <w:rPr>
                      <w:rFonts w:eastAsiaTheme="minorEastAsia"/>
                      <w:color w:val="auto"/>
                      <w:szCs w:val="21"/>
                    </w:rPr>
                  </w:pPr>
                </w:p>
              </w:tc>
              <w:tc>
                <w:tcPr>
                  <w:tcW w:w="924" w:type="dxa"/>
                  <w:vMerge w:val="continue"/>
                  <w:vAlign w:val="center"/>
                </w:tcPr>
                <w:p>
                  <w:pPr>
                    <w:pStyle w:val="26"/>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bCs w:val="0"/>
                      <w:snapToGrid/>
                      <w:color w:val="auto"/>
                      <w:kern w:val="0"/>
                      <w:szCs w:val="21"/>
                      <w:lang w:val="en-US"/>
                    </w:rPr>
                    <w:t>阴离子表面活性剂</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pStyle w:val="26"/>
                    <w:spacing w:line="360" w:lineRule="exact"/>
                    <w:rPr>
                      <w:rFonts w:eastAsiaTheme="minorEastAsia"/>
                      <w:color w:val="auto"/>
                      <w:szCs w:val="21"/>
                    </w:rPr>
                  </w:pPr>
                </w:p>
              </w:tc>
              <w:tc>
                <w:tcPr>
                  <w:tcW w:w="924" w:type="dxa"/>
                  <w:vMerge w:val="continue"/>
                  <w:vAlign w:val="center"/>
                </w:tcPr>
                <w:p>
                  <w:pPr>
                    <w:pStyle w:val="26"/>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动植物油</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pStyle w:val="26"/>
                    <w:spacing w:line="360" w:lineRule="exact"/>
                    <w:rPr>
                      <w:rFonts w:eastAsiaTheme="minorEastAsia"/>
                      <w:color w:val="auto"/>
                      <w:szCs w:val="21"/>
                    </w:rPr>
                  </w:pPr>
                </w:p>
              </w:tc>
              <w:tc>
                <w:tcPr>
                  <w:tcW w:w="924" w:type="dxa"/>
                  <w:vMerge w:val="continue"/>
                  <w:vAlign w:val="center"/>
                </w:tcPr>
                <w:p>
                  <w:pPr>
                    <w:pStyle w:val="26"/>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粪大肠菌群数（MPN/L）</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tcBorders>
                    <w:bottom w:val="single" w:color="auto" w:sz="4" w:space="0"/>
                  </w:tcBorders>
                  <w:vAlign w:val="center"/>
                </w:tcPr>
                <w:p>
                  <w:pPr>
                    <w:pStyle w:val="26"/>
                    <w:spacing w:line="360" w:lineRule="exact"/>
                    <w:rPr>
                      <w:rFonts w:eastAsiaTheme="minorEastAsia"/>
                      <w:color w:val="auto"/>
                      <w:szCs w:val="21"/>
                    </w:rPr>
                  </w:pPr>
                </w:p>
              </w:tc>
              <w:tc>
                <w:tcPr>
                  <w:tcW w:w="924" w:type="dxa"/>
                  <w:vMerge w:val="continue"/>
                  <w:tcBorders>
                    <w:bottom w:val="single" w:color="auto" w:sz="4" w:space="0"/>
                  </w:tcBorders>
                  <w:vAlign w:val="center"/>
                </w:tcPr>
                <w:p>
                  <w:pPr>
                    <w:pStyle w:val="26"/>
                    <w:spacing w:line="360" w:lineRule="exact"/>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restart"/>
                  <w:vAlign w:val="center"/>
                </w:tcPr>
                <w:p>
                  <w:pPr>
                    <w:pStyle w:val="26"/>
                    <w:spacing w:line="360" w:lineRule="exact"/>
                    <w:rPr>
                      <w:rFonts w:eastAsiaTheme="minorEastAsia"/>
                      <w:color w:val="auto"/>
                      <w:szCs w:val="21"/>
                    </w:rPr>
                  </w:pPr>
                  <w:r>
                    <w:rPr>
                      <w:rFonts w:eastAsiaTheme="minorEastAsia"/>
                      <w:color w:val="auto"/>
                      <w:szCs w:val="21"/>
                    </w:rPr>
                    <w:t>灵车清洗</w:t>
                  </w:r>
                </w:p>
              </w:tc>
              <w:tc>
                <w:tcPr>
                  <w:tcW w:w="850" w:type="dxa"/>
                  <w:vMerge w:val="restart"/>
                  <w:vAlign w:val="center"/>
                </w:tcPr>
                <w:p>
                  <w:pPr>
                    <w:pStyle w:val="26"/>
                    <w:spacing w:line="360" w:lineRule="exact"/>
                    <w:rPr>
                      <w:rFonts w:eastAsiaTheme="minorEastAsia"/>
                      <w:color w:val="auto"/>
                      <w:szCs w:val="21"/>
                    </w:rPr>
                  </w:pPr>
                  <w:r>
                    <w:rPr>
                      <w:rFonts w:eastAsiaTheme="minorEastAsia"/>
                      <w:color w:val="auto"/>
                      <w:szCs w:val="21"/>
                    </w:rPr>
                    <w:t>灵车清洗废水</w:t>
                  </w: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pH</w:t>
                  </w:r>
                </w:p>
              </w:tc>
              <w:tc>
                <w:tcPr>
                  <w:tcW w:w="3543" w:type="dxa"/>
                  <w:vMerge w:val="restart"/>
                  <w:vAlign w:val="center"/>
                </w:tcPr>
                <w:p>
                  <w:pPr>
                    <w:pStyle w:val="26"/>
                    <w:spacing w:line="360" w:lineRule="exact"/>
                    <w:ind w:firstLine="210" w:firstLineChars="100"/>
                    <w:jc w:val="both"/>
                    <w:rPr>
                      <w:color w:val="auto"/>
                      <w:szCs w:val="21"/>
                    </w:rPr>
                  </w:pPr>
                  <w:r>
                    <w:rPr>
                      <w:color w:val="auto"/>
                      <w:szCs w:val="21"/>
                    </w:rPr>
                    <w:t>灵车清洗废水进入1个8m³的调节池进行收集、调节后，统一进入1个处理能力为20m³/d的一体化污水处理设施进行处理，处理后回用于项目区绿化，不外排。</w:t>
                  </w:r>
                </w:p>
              </w:tc>
              <w:tc>
                <w:tcPr>
                  <w:tcW w:w="993" w:type="dxa"/>
                  <w:vMerge w:val="restart"/>
                  <w:tcBorders>
                    <w:top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924" w:type="dxa"/>
                  <w:vMerge w:val="restart"/>
                  <w:tcBorders>
                    <w:top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CODcr</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SS</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总磷</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总氮</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bCs w:val="0"/>
                      <w:snapToGrid/>
                      <w:color w:val="auto"/>
                      <w:kern w:val="0"/>
                      <w:szCs w:val="21"/>
                      <w:lang w:val="en-US"/>
                    </w:rPr>
                    <w:t>阴离子表面活性剂</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vAlign w:val="center"/>
                </w:tcPr>
                <w:p>
                  <w:pPr>
                    <w:pStyle w:val="26"/>
                    <w:spacing w:line="360" w:lineRule="exact"/>
                    <w:rPr>
                      <w:rFonts w:eastAsiaTheme="minorEastAsia"/>
                      <w:color w:val="auto"/>
                      <w:szCs w:val="21"/>
                    </w:rPr>
                  </w:pPr>
                  <w:r>
                    <w:rPr>
                      <w:rFonts w:eastAsiaTheme="minorEastAsia"/>
                      <w:color w:val="auto"/>
                      <w:szCs w:val="21"/>
                    </w:rPr>
                    <w:t>粪大肠菌群数（MPN/L）</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tcBorders>
                    <w:bottom w:val="single" w:color="auto" w:sz="4" w:space="0"/>
                  </w:tcBorders>
                  <w:vAlign w:val="center"/>
                </w:tcPr>
                <w:p>
                  <w:pPr>
                    <w:spacing w:line="360" w:lineRule="exact"/>
                    <w:jc w:val="center"/>
                    <w:rPr>
                      <w:rFonts w:ascii="Times New Roman" w:hAnsi="Times New Roman" w:cs="Times New Roman"/>
                      <w:bCs/>
                      <w:snapToGrid w:val="0"/>
                      <w:kern w:val="32"/>
                      <w:lang w:val="zh-CN"/>
                    </w:rPr>
                  </w:pPr>
                </w:p>
              </w:tc>
              <w:tc>
                <w:tcPr>
                  <w:tcW w:w="924" w:type="dxa"/>
                  <w:vMerge w:val="continue"/>
                  <w:tcBorders>
                    <w:bottom w:val="single" w:color="auto" w:sz="4" w:space="0"/>
                  </w:tcBorders>
                  <w:vAlign w:val="center"/>
                </w:tcPr>
                <w:p>
                  <w:pPr>
                    <w:spacing w:line="360" w:lineRule="exact"/>
                    <w:jc w:val="center"/>
                    <w:rPr>
                      <w:rFonts w:ascii="Times New Roman" w:hAnsi="Times New Roman" w:cs="Times New Roman"/>
                      <w:bCs/>
                      <w:snapToGrid w:val="0"/>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58" w:hRule="atLeast"/>
              </w:trPr>
              <w:tc>
                <w:tcPr>
                  <w:tcW w:w="877" w:type="dxa"/>
                  <w:vMerge w:val="restart"/>
                  <w:vAlign w:val="center"/>
                </w:tcPr>
                <w:p>
                  <w:pPr>
                    <w:pStyle w:val="26"/>
                    <w:spacing w:line="360" w:lineRule="exact"/>
                    <w:rPr>
                      <w:rFonts w:eastAsiaTheme="minorEastAsia"/>
                      <w:color w:val="auto"/>
                      <w:szCs w:val="21"/>
                    </w:rPr>
                  </w:pPr>
                  <w:r>
                    <w:rPr>
                      <w:rFonts w:eastAsiaTheme="minorEastAsia"/>
                      <w:color w:val="auto"/>
                      <w:szCs w:val="21"/>
                    </w:rPr>
                    <w:t>厂区范围</w:t>
                  </w:r>
                </w:p>
              </w:tc>
              <w:tc>
                <w:tcPr>
                  <w:tcW w:w="850" w:type="dxa"/>
                  <w:vMerge w:val="restart"/>
                  <w:vAlign w:val="center"/>
                </w:tcPr>
                <w:p>
                  <w:pPr>
                    <w:pStyle w:val="26"/>
                    <w:spacing w:line="360" w:lineRule="exact"/>
                    <w:rPr>
                      <w:rFonts w:eastAsiaTheme="minorEastAsia"/>
                      <w:color w:val="auto"/>
                      <w:szCs w:val="21"/>
                    </w:rPr>
                  </w:pPr>
                  <w:r>
                    <w:rPr>
                      <w:rFonts w:eastAsiaTheme="minorEastAsia"/>
                      <w:color w:val="auto"/>
                      <w:szCs w:val="21"/>
                    </w:rPr>
                    <w:t>初期雨水</w:t>
                  </w:r>
                </w:p>
              </w:tc>
              <w:tc>
                <w:tcPr>
                  <w:tcW w:w="1418" w:type="dxa"/>
                  <w:tcBorders>
                    <w:bottom w:val="single" w:color="auto" w:sz="4" w:space="0"/>
                  </w:tcBorders>
                  <w:vAlign w:val="center"/>
                </w:tcPr>
                <w:p>
                  <w:pPr>
                    <w:pStyle w:val="26"/>
                    <w:spacing w:line="360" w:lineRule="exact"/>
                    <w:rPr>
                      <w:rFonts w:eastAsiaTheme="minorEastAsia"/>
                      <w:color w:val="auto"/>
                      <w:szCs w:val="21"/>
                      <w:highlight w:val="yellow"/>
                    </w:rPr>
                  </w:pPr>
                  <w:r>
                    <w:rPr>
                      <w:rFonts w:eastAsiaTheme="minorEastAsia"/>
                      <w:color w:val="auto"/>
                      <w:szCs w:val="21"/>
                    </w:rPr>
                    <w:t>CODcr</w:t>
                  </w:r>
                </w:p>
              </w:tc>
              <w:tc>
                <w:tcPr>
                  <w:tcW w:w="3543" w:type="dxa"/>
                  <w:vMerge w:val="restart"/>
                  <w:tcBorders>
                    <w:top w:val="single" w:color="auto" w:sz="4" w:space="0"/>
                  </w:tcBorders>
                  <w:vAlign w:val="center"/>
                </w:tcPr>
                <w:p>
                  <w:pPr>
                    <w:pStyle w:val="26"/>
                    <w:spacing w:line="360" w:lineRule="exact"/>
                    <w:ind w:firstLine="210" w:firstLineChars="100"/>
                    <w:jc w:val="both"/>
                    <w:rPr>
                      <w:color w:val="auto"/>
                      <w:szCs w:val="21"/>
                    </w:rPr>
                  </w:pPr>
                  <w:r>
                    <w:rPr>
                      <w:color w:val="auto"/>
                      <w:szCs w:val="21"/>
                    </w:rPr>
                    <w:t>初期雨水先进入1个有效容积为6m³的初期雨水收集池收集后，进入1个8m³的调节池进行收集、调节后，统一进入1个处理能力为20m³/d的一体化污水处理设施进行处理，处理后回用于项目区绿化，不外排。</w:t>
                  </w:r>
                </w:p>
              </w:tc>
              <w:tc>
                <w:tcPr>
                  <w:tcW w:w="993" w:type="dxa"/>
                  <w:vMerge w:val="restart"/>
                  <w:tcBorders>
                    <w:top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924" w:type="dxa"/>
                  <w:vMerge w:val="restart"/>
                  <w:tcBorders>
                    <w:top w:val="single" w:color="auto" w:sz="4" w:space="0"/>
                  </w:tcBorders>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 w:hRule="atLeast"/>
              </w:trPr>
              <w:tc>
                <w:tcPr>
                  <w:tcW w:w="877" w:type="dxa"/>
                  <w:vMerge w:val="continue"/>
                  <w:vAlign w:val="center"/>
                </w:tcPr>
                <w:p>
                  <w:pPr>
                    <w:pStyle w:val="26"/>
                    <w:spacing w:line="360" w:lineRule="exact"/>
                    <w:rPr>
                      <w:rFonts w:eastAsiaTheme="minorEastAsia"/>
                      <w:color w:val="auto"/>
                      <w:szCs w:val="21"/>
                    </w:rPr>
                  </w:pPr>
                </w:p>
              </w:tc>
              <w:tc>
                <w:tcPr>
                  <w:tcW w:w="850" w:type="dxa"/>
                  <w:vMerge w:val="continue"/>
                  <w:vAlign w:val="center"/>
                </w:tcPr>
                <w:p>
                  <w:pPr>
                    <w:pStyle w:val="26"/>
                    <w:spacing w:line="360" w:lineRule="exact"/>
                    <w:rPr>
                      <w:rFonts w:eastAsiaTheme="minorEastAsia"/>
                      <w:color w:val="auto"/>
                      <w:szCs w:val="21"/>
                    </w:rPr>
                  </w:pPr>
                </w:p>
              </w:tc>
              <w:tc>
                <w:tcPr>
                  <w:tcW w:w="1418" w:type="dxa"/>
                  <w:tcBorders>
                    <w:top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SS</w:t>
                  </w:r>
                </w:p>
              </w:tc>
              <w:tc>
                <w:tcPr>
                  <w:tcW w:w="3543" w:type="dxa"/>
                  <w:vMerge w:val="continue"/>
                  <w:vAlign w:val="center"/>
                </w:tcPr>
                <w:p>
                  <w:pPr>
                    <w:pStyle w:val="26"/>
                    <w:spacing w:line="360" w:lineRule="exact"/>
                    <w:ind w:firstLine="210" w:firstLineChars="100"/>
                    <w:jc w:val="both"/>
                    <w:rPr>
                      <w:color w:val="auto"/>
                      <w:szCs w:val="21"/>
                    </w:rPr>
                  </w:pPr>
                </w:p>
              </w:tc>
              <w:tc>
                <w:tcPr>
                  <w:tcW w:w="993" w:type="dxa"/>
                  <w:vMerge w:val="continue"/>
                  <w:vAlign w:val="center"/>
                </w:tcPr>
                <w:p>
                  <w:pPr>
                    <w:spacing w:line="360" w:lineRule="exact"/>
                    <w:jc w:val="center"/>
                    <w:rPr>
                      <w:rFonts w:ascii="Times New Roman" w:hAnsi="Times New Roman" w:cs="Times New Roman"/>
                      <w:bCs/>
                      <w:snapToGrid w:val="0"/>
                      <w:kern w:val="32"/>
                      <w:lang w:val="zh-CN"/>
                    </w:rPr>
                  </w:pPr>
                </w:p>
              </w:tc>
              <w:tc>
                <w:tcPr>
                  <w:tcW w:w="924" w:type="dxa"/>
                  <w:vMerge w:val="continue"/>
                  <w:vAlign w:val="center"/>
                </w:tcPr>
                <w:p>
                  <w:pPr>
                    <w:spacing w:line="360" w:lineRule="exact"/>
                    <w:jc w:val="center"/>
                    <w:rPr>
                      <w:rFonts w:ascii="Times New Roman" w:hAnsi="Times New Roman" w:cs="Times New Roman"/>
                      <w:bCs/>
                      <w:snapToGrid w:val="0"/>
                      <w:kern w:val="32"/>
                      <w:lang w:val="zh-CN"/>
                    </w:rPr>
                  </w:pPr>
                </w:p>
              </w:tc>
            </w:tr>
          </w:tbl>
          <w:p>
            <w:pPr>
              <w:spacing w:beforeLines="50" w:line="360" w:lineRule="auto"/>
              <w:ind w:firstLine="482" w:firstLineChars="200"/>
              <w:rPr>
                <w:rFonts w:ascii="Times New Roman" w:hAnsi="Times New Roman" w:cs="Times New Roman"/>
                <w:b/>
                <w:sz w:val="24"/>
              </w:rPr>
            </w:pPr>
            <w:r>
              <w:rPr>
                <w:rFonts w:ascii="Times New Roman" w:hAnsi="Times New Roman" w:eastAsia="宋体" w:cs="Times New Roman"/>
                <w:b/>
                <w:sz w:val="24"/>
              </w:rPr>
              <w:t>②</w:t>
            </w:r>
            <w:r>
              <w:rPr>
                <w:rFonts w:ascii="Times New Roman" w:hAnsi="Times New Roman" w:cs="Times New Roman"/>
                <w:b/>
                <w:sz w:val="24"/>
              </w:rPr>
              <w:t>废水污染物排放源产排量及达标情况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项目产污环节和废水污染物治理措施可知，项目综合废水产生量为1.82m³/d（637.2m³/a），项目区综合废水进入1个8m³的调节池进行收集、调节后，统一进入1个处理能力为20m³/d的一体化污水处理设施进行处理，处理后回用于项目区绿化，不外排。</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综合废水经处理后其污染产排及达标情况如下表所示。</w:t>
            </w:r>
          </w:p>
          <w:p>
            <w:pPr>
              <w:jc w:val="center"/>
              <w:rPr>
                <w:rFonts w:ascii="Times New Roman" w:hAnsi="Times New Roman" w:cs="Times New Roman"/>
                <w:b/>
                <w:szCs w:val="24"/>
              </w:rPr>
            </w:pPr>
          </w:p>
          <w:p>
            <w:pPr>
              <w:jc w:val="center"/>
              <w:rPr>
                <w:rFonts w:ascii="Times New Roman" w:hAnsi="Times New Roman" w:cs="Times New Roman"/>
                <w:b/>
                <w:szCs w:val="24"/>
              </w:rPr>
            </w:pPr>
            <w:r>
              <w:rPr>
                <w:rFonts w:ascii="Times New Roman" w:hAnsi="Times New Roman" w:cs="Times New Roman"/>
                <w:b/>
                <w:szCs w:val="24"/>
              </w:rPr>
              <w:t>表4.2.2-3   综合废水污染物排放源产排量及达标情况一览表</w:t>
            </w:r>
          </w:p>
          <w:tbl>
            <w:tblPr>
              <w:tblStyle w:val="16"/>
              <w:tblW w:w="8595" w:type="dxa"/>
              <w:jc w:val="center"/>
              <w:tblInd w:w="0" w:type="dxa"/>
              <w:tblLayout w:type="fixed"/>
              <w:tblCellMar>
                <w:top w:w="0" w:type="dxa"/>
                <w:left w:w="108" w:type="dxa"/>
                <w:bottom w:w="0" w:type="dxa"/>
                <w:right w:w="108" w:type="dxa"/>
              </w:tblCellMar>
            </w:tblPr>
            <w:tblGrid>
              <w:gridCol w:w="874"/>
              <w:gridCol w:w="599"/>
              <w:gridCol w:w="1244"/>
              <w:gridCol w:w="1134"/>
              <w:gridCol w:w="992"/>
              <w:gridCol w:w="991"/>
              <w:gridCol w:w="141"/>
              <w:gridCol w:w="991"/>
              <w:gridCol w:w="850"/>
              <w:gridCol w:w="779"/>
            </w:tblGrid>
            <w:tr>
              <w:tblPrEx>
                <w:tblLayout w:type="fixed"/>
                <w:tblCellMar>
                  <w:top w:w="0" w:type="dxa"/>
                  <w:left w:w="108" w:type="dxa"/>
                  <w:bottom w:w="0" w:type="dxa"/>
                  <w:right w:w="108" w:type="dxa"/>
                </w:tblCellMar>
              </w:tblPrEx>
              <w:trPr>
                <w:jc w:val="center"/>
              </w:trPr>
              <w:tc>
                <w:tcPr>
                  <w:tcW w:w="87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产排污环节</w:t>
                  </w:r>
                </w:p>
              </w:tc>
              <w:tc>
                <w:tcPr>
                  <w:tcW w:w="5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类别</w:t>
                  </w:r>
                </w:p>
              </w:tc>
              <w:tc>
                <w:tcPr>
                  <w:tcW w:w="12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污染物种类</w:t>
                  </w:r>
                </w:p>
              </w:tc>
              <w:tc>
                <w:tcPr>
                  <w:tcW w:w="2126" w:type="dxa"/>
                  <w:gridSpan w:val="2"/>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污染物产生情况</w:t>
                  </w:r>
                </w:p>
              </w:tc>
              <w:tc>
                <w:tcPr>
                  <w:tcW w:w="2123" w:type="dxa"/>
                  <w:gridSpan w:val="3"/>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污染物回用量和浓度</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回用标准</w:t>
                  </w:r>
                </w:p>
              </w:tc>
              <w:tc>
                <w:tcPr>
                  <w:tcW w:w="7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达标情况</w:t>
                  </w:r>
                </w:p>
              </w:tc>
            </w:tr>
            <w:tr>
              <w:tblPrEx>
                <w:tblLayout w:type="fixed"/>
                <w:tblCellMar>
                  <w:top w:w="0" w:type="dxa"/>
                  <w:left w:w="108" w:type="dxa"/>
                  <w:bottom w:w="0" w:type="dxa"/>
                  <w:right w:w="108" w:type="dxa"/>
                </w:tblCellMar>
              </w:tblPrEx>
              <w:trPr>
                <w:jc w:val="center"/>
              </w:trPr>
              <w:tc>
                <w:tcPr>
                  <w:tcW w:w="874"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13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产生浓度mg/m³</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产生量m³/a</w:t>
                  </w:r>
                </w:p>
              </w:tc>
              <w:tc>
                <w:tcPr>
                  <w:tcW w:w="113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回用浓度mg/m³</w:t>
                  </w:r>
                </w:p>
              </w:tc>
              <w:tc>
                <w:tcPr>
                  <w:tcW w:w="991" w:type="dxa"/>
                  <w:tcBorders>
                    <w:top w:val="single" w:color="000000" w:sz="8" w:space="0"/>
                    <w:left w:val="nil"/>
                    <w:bottom w:val="single" w:color="auto"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回用量m³/a</w:t>
                  </w:r>
                </w:p>
              </w:tc>
              <w:tc>
                <w:tcPr>
                  <w:tcW w:w="850" w:type="dxa"/>
                  <w:vMerge w:val="continue"/>
                  <w:tcBorders>
                    <w:top w:val="single" w:color="000000" w:sz="8" w:space="0"/>
                    <w:left w:val="nil"/>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779" w:type="dxa"/>
                  <w:vMerge w:val="continue"/>
                  <w:tcBorders>
                    <w:top w:val="single" w:color="000000" w:sz="8" w:space="0"/>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r>
            <w:tr>
              <w:tblPrEx>
                <w:tblLayout w:type="fixed"/>
                <w:tblCellMar>
                  <w:top w:w="0" w:type="dxa"/>
                  <w:left w:w="108" w:type="dxa"/>
                  <w:bottom w:w="0" w:type="dxa"/>
                  <w:right w:w="108" w:type="dxa"/>
                </w:tblCellMar>
              </w:tblPrEx>
              <w:trPr>
                <w:jc w:val="center"/>
              </w:trPr>
              <w:tc>
                <w:tcPr>
                  <w:tcW w:w="874" w:type="dxa"/>
                  <w:vMerge w:val="restart"/>
                  <w:tcBorders>
                    <w:top w:val="nil"/>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遗体清洗、洗手、灵车清洗</w:t>
                  </w:r>
                </w:p>
              </w:tc>
              <w:tc>
                <w:tcPr>
                  <w:tcW w:w="599" w:type="dxa"/>
                  <w:vMerge w:val="restart"/>
                  <w:tcBorders>
                    <w:top w:val="nil"/>
                    <w:left w:val="single" w:color="000000" w:sz="8" w:space="0"/>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综合废水</w:t>
                  </w: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废水量</w:t>
                  </w:r>
                </w:p>
              </w:tc>
              <w:tc>
                <w:tcPr>
                  <w:tcW w:w="2126" w:type="dxa"/>
                  <w:gridSpan w:val="2"/>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637.2m³/a</w:t>
                  </w:r>
                </w:p>
              </w:tc>
              <w:tc>
                <w:tcPr>
                  <w:tcW w:w="2123" w:type="dxa"/>
                  <w:gridSpan w:val="3"/>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637.2m³/a</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874"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pH</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6-9</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6-9</w:t>
                  </w:r>
                </w:p>
              </w:tc>
              <w:tc>
                <w:tcPr>
                  <w:tcW w:w="1132" w:type="dxa"/>
                  <w:gridSpan w:val="2"/>
                  <w:tcBorders>
                    <w:top w:val="nil"/>
                    <w:left w:val="nil"/>
                    <w:bottom w:val="single" w:color="auto" w:sz="8"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6.0-9.0</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874"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CODcr</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289</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0.18</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13</w:t>
                  </w:r>
                </w:p>
              </w:tc>
              <w:tc>
                <w:tcPr>
                  <w:tcW w:w="113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0.008</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874"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180.4</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0.11</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8</w:t>
                  </w:r>
                </w:p>
              </w:tc>
              <w:tc>
                <w:tcPr>
                  <w:tcW w:w="113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0.005</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≤10</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874"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SS</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252</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0.16</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w:t>
                  </w:r>
                </w:p>
              </w:tc>
              <w:tc>
                <w:tcPr>
                  <w:tcW w:w="113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0.004</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874"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30.9</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0.02</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5</w:t>
                  </w:r>
                </w:p>
              </w:tc>
              <w:tc>
                <w:tcPr>
                  <w:tcW w:w="113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0.003</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≤8</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874"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总氮</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36.9</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0.02</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7</w:t>
                  </w:r>
                </w:p>
              </w:tc>
              <w:tc>
                <w:tcPr>
                  <w:tcW w:w="113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0.004</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874"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总磷</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6.5</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0.004</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3</w:t>
                  </w:r>
                </w:p>
              </w:tc>
              <w:tc>
                <w:tcPr>
                  <w:tcW w:w="113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0.002</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874"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动植物油</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81</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0.05</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5</w:t>
                  </w:r>
                </w:p>
              </w:tc>
              <w:tc>
                <w:tcPr>
                  <w:tcW w:w="113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0.003</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jc w:val="center"/>
              </w:trPr>
              <w:tc>
                <w:tcPr>
                  <w:tcW w:w="874"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阴离子表面活性剂</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15</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0.01</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0.2</w:t>
                  </w:r>
                </w:p>
              </w:tc>
              <w:tc>
                <w:tcPr>
                  <w:tcW w:w="113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0.0001</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≤0.5</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874"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000000" w:sz="8"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粪大肠菌群数（MPN/L）</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14505</w:t>
                  </w:r>
                </w:p>
              </w:tc>
              <w:tc>
                <w:tcPr>
                  <w:tcW w:w="992"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991"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10</w:t>
                  </w:r>
                </w:p>
              </w:tc>
              <w:tc>
                <w:tcPr>
                  <w:tcW w:w="1132" w:type="dxa"/>
                  <w:gridSpan w:val="2"/>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779" w:type="dxa"/>
                  <w:tcBorders>
                    <w:top w:val="nil"/>
                    <w:left w:val="nil"/>
                    <w:bottom w:val="single" w:color="000000" w:sz="8"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r>
            <w:tr>
              <w:tblPrEx>
                <w:tblLayout w:type="fixed"/>
                <w:tblCellMar>
                  <w:top w:w="0" w:type="dxa"/>
                  <w:left w:w="108" w:type="dxa"/>
                  <w:bottom w:w="0" w:type="dxa"/>
                  <w:right w:w="108" w:type="dxa"/>
                </w:tblCellMar>
              </w:tblPrEx>
              <w:trPr>
                <w:trHeight w:val="515" w:hRule="atLeast"/>
                <w:jc w:val="center"/>
              </w:trPr>
              <w:tc>
                <w:tcPr>
                  <w:tcW w:w="874" w:type="dxa"/>
                  <w:vMerge w:val="continue"/>
                  <w:tcBorders>
                    <w:top w:val="nil"/>
                    <w:left w:val="single" w:color="000000" w:sz="8" w:space="0"/>
                    <w:bottom w:val="single" w:color="auto" w:sz="4" w:space="0"/>
                    <w:right w:val="single" w:color="000000" w:sz="8" w:space="0"/>
                  </w:tcBorders>
                  <w:vAlign w:val="center"/>
                </w:tcPr>
                <w:p>
                  <w:pPr>
                    <w:pStyle w:val="26"/>
                    <w:spacing w:line="360" w:lineRule="exact"/>
                    <w:rPr>
                      <w:rFonts w:eastAsiaTheme="minorEastAsia"/>
                      <w:color w:val="auto"/>
                      <w:szCs w:val="21"/>
                    </w:rPr>
                  </w:pPr>
                </w:p>
              </w:tc>
              <w:tc>
                <w:tcPr>
                  <w:tcW w:w="599" w:type="dxa"/>
                  <w:vMerge w:val="continue"/>
                  <w:tcBorders>
                    <w:top w:val="nil"/>
                    <w:left w:val="single" w:color="000000" w:sz="8" w:space="0"/>
                    <w:bottom w:val="single" w:color="auto" w:sz="4" w:space="0"/>
                    <w:right w:val="single" w:color="000000" w:sz="8" w:space="0"/>
                  </w:tcBorders>
                  <w:vAlign w:val="center"/>
                </w:tcPr>
                <w:p>
                  <w:pPr>
                    <w:pStyle w:val="26"/>
                    <w:spacing w:line="360" w:lineRule="exact"/>
                    <w:rPr>
                      <w:rFonts w:eastAsiaTheme="minorEastAsia"/>
                      <w:color w:val="auto"/>
                      <w:szCs w:val="21"/>
                    </w:rPr>
                  </w:pPr>
                </w:p>
              </w:tc>
              <w:tc>
                <w:tcPr>
                  <w:tcW w:w="1244" w:type="dxa"/>
                  <w:tcBorders>
                    <w:top w:val="nil"/>
                    <w:left w:val="nil"/>
                    <w:bottom w:val="single" w:color="auto" w:sz="4"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总氯</w:t>
                  </w:r>
                </w:p>
              </w:tc>
              <w:tc>
                <w:tcPr>
                  <w:tcW w:w="1134" w:type="dxa"/>
                  <w:tcBorders>
                    <w:top w:val="single" w:color="000000" w:sz="8" w:space="0"/>
                    <w:left w:val="nil"/>
                    <w:bottom w:val="single" w:color="auto" w:sz="4"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992" w:type="dxa"/>
                  <w:tcBorders>
                    <w:top w:val="nil"/>
                    <w:left w:val="nil"/>
                    <w:bottom w:val="single" w:color="auto" w:sz="4"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991" w:type="dxa"/>
                  <w:tcBorders>
                    <w:top w:val="single" w:color="000000" w:sz="8" w:space="0"/>
                    <w:left w:val="nil"/>
                    <w:bottom w:val="single" w:color="auto" w:sz="4"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0.5</w:t>
                  </w:r>
                </w:p>
              </w:tc>
              <w:tc>
                <w:tcPr>
                  <w:tcW w:w="1132" w:type="dxa"/>
                  <w:gridSpan w:val="2"/>
                  <w:tcBorders>
                    <w:top w:val="nil"/>
                    <w:left w:val="nil"/>
                    <w:bottom w:val="single" w:color="auto" w:sz="4" w:space="0"/>
                    <w:right w:val="single" w:color="auto"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w:t>
                  </w:r>
                </w:p>
              </w:tc>
              <w:tc>
                <w:tcPr>
                  <w:tcW w:w="850" w:type="dxa"/>
                  <w:tcBorders>
                    <w:top w:val="nil"/>
                    <w:left w:val="nil"/>
                    <w:bottom w:val="single" w:color="auto" w:sz="4"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≥0.2</w:t>
                  </w:r>
                </w:p>
              </w:tc>
              <w:tc>
                <w:tcPr>
                  <w:tcW w:w="779" w:type="dxa"/>
                  <w:tcBorders>
                    <w:top w:val="nil"/>
                    <w:left w:val="nil"/>
                    <w:bottom w:val="single" w:color="auto" w:sz="4" w:space="0"/>
                    <w:right w:val="single" w:color="000000" w:sz="8" w:space="0"/>
                  </w:tcBorders>
                  <w:shd w:val="clear" w:color="auto" w:fill="auto"/>
                  <w:vAlign w:val="center"/>
                </w:tcPr>
                <w:p>
                  <w:pPr>
                    <w:pStyle w:val="26"/>
                    <w:spacing w:line="360" w:lineRule="exact"/>
                    <w:rPr>
                      <w:rFonts w:eastAsiaTheme="minorEastAsia"/>
                      <w:color w:val="auto"/>
                      <w:szCs w:val="21"/>
                    </w:rPr>
                  </w:pPr>
                  <w:r>
                    <w:rPr>
                      <w:rFonts w:eastAsiaTheme="minorEastAsia"/>
                      <w:color w:val="auto"/>
                      <w:szCs w:val="21"/>
                    </w:rPr>
                    <w:t>达标</w:t>
                  </w:r>
                </w:p>
              </w:tc>
            </w:tr>
            <w:tr>
              <w:tblPrEx>
                <w:tblLayout w:type="fixed"/>
                <w:tblCellMar>
                  <w:top w:w="0" w:type="dxa"/>
                  <w:left w:w="108" w:type="dxa"/>
                  <w:bottom w:w="0" w:type="dxa"/>
                  <w:right w:w="108" w:type="dxa"/>
                </w:tblCellMar>
              </w:tblPrEx>
              <w:trPr>
                <w:jc w:val="center"/>
              </w:trPr>
              <w:tc>
                <w:tcPr>
                  <w:tcW w:w="8595" w:type="dxa"/>
                  <w:gridSpan w:val="10"/>
                  <w:tcBorders>
                    <w:top w:val="single" w:color="auto" w:sz="4" w:space="0"/>
                    <w:left w:val="single" w:color="000000" w:sz="8" w:space="0"/>
                    <w:bottom w:val="single" w:color="000000" w:sz="8" w:space="0"/>
                    <w:right w:val="single" w:color="000000" w:sz="8" w:space="0"/>
                  </w:tcBorders>
                  <w:vAlign w:val="center"/>
                </w:tcPr>
                <w:p>
                  <w:pPr>
                    <w:pStyle w:val="26"/>
                    <w:spacing w:line="360" w:lineRule="exact"/>
                    <w:ind w:firstLine="210" w:firstLineChars="100"/>
                    <w:jc w:val="left"/>
                    <w:rPr>
                      <w:rFonts w:eastAsiaTheme="minorEastAsia"/>
                      <w:color w:val="auto"/>
                      <w:szCs w:val="21"/>
                    </w:rPr>
                  </w:pPr>
                  <w:r>
                    <w:rPr>
                      <w:rFonts w:eastAsiaTheme="minorEastAsia"/>
                      <w:color w:val="auto"/>
                      <w:szCs w:val="21"/>
                    </w:rPr>
                    <w:t>备注：由于初期雨水产生时间不稳定，因此不纳入综合废水考虑。</w:t>
                  </w:r>
                </w:p>
              </w:tc>
            </w:tr>
          </w:tbl>
          <w:p>
            <w:pPr>
              <w:spacing w:beforeLines="5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由上表可知，经一体化污水处理设施处理后的综合废水可达到《城市污水再生利用 城市杂用水水质》（GB/T18920-2020）中城市绿化标准。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（3）废水污染治理设施可行性分析</w:t>
            </w:r>
          </w:p>
          <w:p>
            <w:pPr>
              <w:pStyle w:val="34"/>
              <w:ind w:firstLine="482"/>
              <w:rPr>
                <w:b/>
                <w:szCs w:val="24"/>
              </w:rPr>
            </w:pPr>
            <w:r>
              <w:rPr>
                <w:rFonts w:eastAsiaTheme="minorEastAsia"/>
                <w:b/>
                <w:szCs w:val="24"/>
              </w:rPr>
              <w:t>①</w:t>
            </w:r>
            <w:r>
              <w:rPr>
                <w:b/>
                <w:szCs w:val="24"/>
              </w:rPr>
              <w:t>隔油池环境影响减缓措施有效性分析</w:t>
            </w:r>
          </w:p>
          <w:p>
            <w:pPr>
              <w:pStyle w:val="34"/>
              <w:ind w:firstLine="480"/>
              <w:rPr>
                <w:rFonts w:eastAsiaTheme="minorEastAsia"/>
                <w:szCs w:val="24"/>
              </w:rPr>
            </w:pPr>
            <w:r>
              <w:rPr>
                <w:rFonts w:eastAsiaTheme="minorEastAsia"/>
                <w:szCs w:val="24"/>
              </w:rPr>
              <w:t>根据上述分析可知，该项目设置食堂，食堂废水量约为0.38m³/d，根据《建筑给排水设计规范》（（GB50015-2019），污水在隔油池内停留时间宜为30min，则该项目设置的1m³的隔油池可满足停留要求，隔油池设置合理。</w:t>
            </w:r>
          </w:p>
          <w:p>
            <w:pPr>
              <w:pStyle w:val="34"/>
              <w:ind w:firstLine="482"/>
              <w:rPr>
                <w:b/>
                <w:szCs w:val="24"/>
              </w:rPr>
            </w:pPr>
            <w:r>
              <w:rPr>
                <w:b/>
                <w:szCs w:val="24"/>
              </w:rPr>
              <w:t>②化粪池环境影响减缓措施有效性分析</w:t>
            </w:r>
          </w:p>
          <w:p>
            <w:pPr>
              <w:pStyle w:val="34"/>
              <w:ind w:firstLine="480"/>
              <w:rPr>
                <w:rFonts w:eastAsiaTheme="minorEastAsia"/>
                <w:szCs w:val="24"/>
              </w:rPr>
            </w:pPr>
            <w:r>
              <w:rPr>
                <w:rFonts w:eastAsiaTheme="minorEastAsia"/>
                <w:szCs w:val="24"/>
              </w:rPr>
              <w:t>根据上述分析可知，项目生活污水产生量约为1.48m³/d，变化系数按照1.2计，则最大生活污水量约为2.96m³/d，根据《建筑给排水设计规范》（（GB50015-2019），化粪池总容积应满足废水停留时间12-24h的要求，并做好防渗处理，化粪池宜建在便于机动车清掏的位置；项目拟设置了1个5m³的化粪池对生活污水进行处理，可满足24h停留时间要求，清掏车辆可进入进行清掏，且化粪池已严格按照规范要求进行防渗处置，因此化粪池设置合理。</w:t>
            </w:r>
          </w:p>
          <w:p>
            <w:pPr>
              <w:pStyle w:val="34"/>
              <w:ind w:firstLine="482"/>
              <w:rPr>
                <w:b/>
                <w:szCs w:val="24"/>
              </w:rPr>
            </w:pPr>
            <w:r>
              <w:rPr>
                <w:b/>
                <w:szCs w:val="24"/>
              </w:rPr>
              <w:t>③初期雨水收集池环境影响减缓措施有效性分析</w:t>
            </w:r>
          </w:p>
          <w:p>
            <w:pPr>
              <w:pStyle w:val="34"/>
              <w:ind w:firstLine="480"/>
              <w:rPr>
                <w:rFonts w:eastAsiaTheme="minorEastAsia"/>
                <w:szCs w:val="24"/>
              </w:rPr>
            </w:pPr>
            <w:r>
              <w:rPr>
                <w:rFonts w:eastAsiaTheme="minorEastAsia"/>
                <w:szCs w:val="24"/>
              </w:rPr>
              <w:t>根据上述分析可知，该项目厂区的初期雨水产生量约为4.3m³/次，该项目拟设置了1个6m³的初期雨水收集池，初期雨水收集池的容积可满足收集要求，同时在初期雨水收集池前端设置阀门，初期雨水收集后，关闭阀门，将中、后期雨水通过雨水管网外排；该措施合理可行。</w:t>
            </w:r>
          </w:p>
          <w:p>
            <w:pPr>
              <w:pStyle w:val="34"/>
              <w:ind w:firstLine="482"/>
              <w:rPr>
                <w:b/>
                <w:szCs w:val="24"/>
              </w:rPr>
            </w:pPr>
            <w:r>
              <w:rPr>
                <w:b/>
                <w:szCs w:val="24"/>
              </w:rPr>
              <w:t>④调节池环境影响减缓措施有效性分析</w:t>
            </w:r>
          </w:p>
          <w:p>
            <w:pPr>
              <w:pStyle w:val="34"/>
              <w:ind w:firstLine="480"/>
              <w:rPr>
                <w:rFonts w:eastAsiaTheme="minorEastAsia"/>
                <w:szCs w:val="24"/>
              </w:rPr>
            </w:pPr>
            <w:r>
              <w:rPr>
                <w:rFonts w:eastAsiaTheme="minorEastAsia"/>
                <w:szCs w:val="24"/>
              </w:rPr>
              <w:t>根据项目特点，该项目拟处理的废水包括：遗体清洗废水、生活污水、灵车清洗废水和初期雨水。各废水在排放过程中，随着生产状况的变化而变化，存在水质的不均匀和水量的不稳定情况。特别当雨水特别多时，废水的水质和水量变化更大，这种变化会造成废水处理过程失常，降低了处理效果，而且不能充分发挥处理设备的设计负荷。为了使处理工艺正常工作，不受废水高峰流量或高峰浓度变化的影响，要求废水在进行处理前有一个较为稳定的水量和均匀的水质。项目拟配套设置1个有效容积约为8m³的调节池，而项目废水最大产生量（含初期雨水）为6.12m³/d，因此调节池的容积可满足项目区废水处理要求。调节池设置合理。</w:t>
            </w:r>
          </w:p>
          <w:p>
            <w:pPr>
              <w:pStyle w:val="34"/>
              <w:ind w:firstLine="482"/>
              <w:rPr>
                <w:b/>
                <w:szCs w:val="24"/>
              </w:rPr>
            </w:pPr>
            <w:r>
              <w:rPr>
                <w:b/>
                <w:szCs w:val="24"/>
              </w:rPr>
              <w:t>⑤一体化污水处理设施环境影响减缓措施有效性分析</w:t>
            </w:r>
          </w:p>
          <w:p>
            <w:pPr>
              <w:pStyle w:val="34"/>
              <w:ind w:firstLine="482"/>
              <w:rPr>
                <w:rFonts w:eastAsiaTheme="minorEastAsia"/>
                <w:b/>
                <w:szCs w:val="24"/>
              </w:rPr>
            </w:pPr>
            <w:r>
              <w:rPr>
                <w:b/>
              </w:rPr>
              <w:fldChar w:fldCharType="begin"/>
            </w:r>
            <w:r>
              <w:rPr>
                <w:b/>
              </w:rPr>
              <w:instrText xml:space="preserve"> = 1 \* GB2 </w:instrText>
            </w:r>
            <w:r>
              <w:rPr>
                <w:b/>
              </w:rPr>
              <w:fldChar w:fldCharType="separate"/>
            </w:r>
            <w:r>
              <w:rPr>
                <w:rFonts w:ascii="宋体"/>
                <w:b/>
              </w:rPr>
              <w:t>⑴</w:t>
            </w:r>
            <w:r>
              <w:rPr>
                <w:b/>
              </w:rPr>
              <w:fldChar w:fldCharType="end"/>
            </w:r>
            <w:r>
              <w:rPr>
                <w:rFonts w:eastAsiaTheme="minorEastAsia"/>
                <w:b/>
                <w:szCs w:val="24"/>
              </w:rPr>
              <w:t>一体化污水处理设施规模设置合理性分析</w:t>
            </w:r>
          </w:p>
          <w:p>
            <w:pPr>
              <w:pStyle w:val="34"/>
              <w:ind w:firstLine="480"/>
              <w:rPr>
                <w:rFonts w:eastAsiaTheme="minorEastAsia"/>
                <w:szCs w:val="24"/>
              </w:rPr>
            </w:pPr>
            <w:r>
              <w:rPr>
                <w:rFonts w:eastAsiaTheme="minorEastAsia"/>
                <w:szCs w:val="24"/>
              </w:rPr>
              <w:t>根据工程分析可知，该项目综合废水最大产生量为6.12m³/d，变化系数按照1.2计，则最大废水量约为7.34m³/d，而项目拟设置1套处理能力为20m³/d的一体化污水处理设施其规模可满足要求。</w:t>
            </w:r>
          </w:p>
          <w:p>
            <w:pPr>
              <w:pStyle w:val="34"/>
              <w:ind w:firstLine="482"/>
              <w:rPr>
                <w:rFonts w:eastAsiaTheme="minorEastAsia"/>
                <w:b/>
                <w:szCs w:val="24"/>
              </w:rPr>
            </w:pPr>
            <w:r>
              <w:rPr>
                <w:b/>
              </w:rPr>
              <w:fldChar w:fldCharType="begin"/>
            </w:r>
            <w:r>
              <w:rPr>
                <w:b/>
              </w:rPr>
              <w:instrText xml:space="preserve"> = 2 \* GB2 </w:instrText>
            </w:r>
            <w:r>
              <w:rPr>
                <w:b/>
              </w:rPr>
              <w:fldChar w:fldCharType="separate"/>
            </w:r>
            <w:r>
              <w:rPr>
                <w:b/>
              </w:rPr>
              <w:t>⑵</w:t>
            </w:r>
            <w:r>
              <w:rPr>
                <w:b/>
              </w:rPr>
              <w:fldChar w:fldCharType="end"/>
            </w:r>
            <w:r>
              <w:rPr>
                <w:rFonts w:eastAsiaTheme="minorEastAsia"/>
                <w:b/>
                <w:szCs w:val="24"/>
              </w:rPr>
              <w:t>一体化污水处理设施工艺设置合理性分析</w:t>
            </w:r>
          </w:p>
          <w:p>
            <w:pPr>
              <w:pStyle w:val="34"/>
              <w:ind w:firstLine="480"/>
              <w:rPr>
                <w:rFonts w:eastAsiaTheme="minorEastAsia"/>
                <w:szCs w:val="24"/>
              </w:rPr>
            </w:pPr>
            <w:r>
              <w:rPr>
                <w:rFonts w:eastAsiaTheme="minorEastAsia"/>
                <w:szCs w:val="24"/>
              </w:rPr>
              <w:t>该项目设置的一体化污水处理设施购买成品进行安装，根据该一体化设施的设计资料，该设施拟采用生化处理工艺对综合废水进行处理，设计工艺如下图所示。</w:t>
            </w:r>
          </w:p>
          <w:p>
            <w:pPr>
              <w:jc w:val="center"/>
              <w:rPr>
                <w:rFonts w:ascii="Times New Roman" w:hAnsi="Times New Roman" w:cs="Times New Roman"/>
                <w:b/>
                <w:szCs w:val="24"/>
              </w:rPr>
            </w:pPr>
            <w:r>
              <w:rPr>
                <w:rFonts w:ascii="Times New Roman" w:hAnsi="Times New Roman" w:cs="Times New Roman"/>
              </w:rPr>
              <w:object>
                <v:shape id="_x0000_i1029" o:spt="75" type="#_x0000_t75" style="height:127.8pt;width:367.8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p>
          <w:p>
            <w:pPr>
              <w:jc w:val="center"/>
              <w:rPr>
                <w:rFonts w:ascii="Times New Roman" w:hAnsi="Times New Roman" w:cs="Times New Roman"/>
                <w:b/>
                <w:szCs w:val="24"/>
              </w:rPr>
            </w:pPr>
            <w:r>
              <w:rPr>
                <w:rFonts w:ascii="Times New Roman" w:hAnsi="Times New Roman" w:cs="Times New Roman"/>
                <w:b/>
                <w:szCs w:val="24"/>
              </w:rPr>
              <w:t>图4.2.2-1 污水处理工艺流程图</w:t>
            </w:r>
          </w:p>
          <w:p>
            <w:pPr>
              <w:pStyle w:val="34"/>
              <w:spacing w:beforeLines="50"/>
              <w:ind w:firstLine="480"/>
              <w:rPr>
                <w:rFonts w:eastAsiaTheme="minorEastAsia"/>
                <w:szCs w:val="24"/>
              </w:rPr>
            </w:pPr>
            <w:r>
              <w:rPr>
                <w:rFonts w:eastAsiaTheme="minorEastAsia"/>
                <w:szCs w:val="24"/>
              </w:rPr>
              <w:t>污水处理工艺流程简述：</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1 \* GB2 </w:instrText>
            </w:r>
            <w:r>
              <w:rPr>
                <w:rFonts w:eastAsiaTheme="minorEastAsia"/>
                <w:b/>
                <w:szCs w:val="24"/>
              </w:rPr>
              <w:fldChar w:fldCharType="separate"/>
            </w:r>
            <w:r>
              <w:rPr>
                <w:rFonts w:eastAsiaTheme="minorEastAsia"/>
                <w:b/>
                <w:szCs w:val="24"/>
              </w:rPr>
              <w:t>⑴</w:t>
            </w:r>
            <w:r>
              <w:rPr>
                <w:rFonts w:eastAsiaTheme="minorEastAsia"/>
                <w:b/>
                <w:szCs w:val="24"/>
              </w:rPr>
              <w:fldChar w:fldCharType="end"/>
            </w:r>
            <w:r>
              <w:rPr>
                <w:rFonts w:eastAsiaTheme="minorEastAsia"/>
                <w:b/>
                <w:szCs w:val="24"/>
              </w:rPr>
              <w:t>调节池</w:t>
            </w:r>
          </w:p>
          <w:p>
            <w:pPr>
              <w:pStyle w:val="34"/>
              <w:ind w:firstLine="480"/>
              <w:rPr>
                <w:rFonts w:eastAsiaTheme="minorEastAsia"/>
                <w:szCs w:val="24"/>
              </w:rPr>
            </w:pPr>
            <w:r>
              <w:rPr>
                <w:rFonts w:eastAsiaTheme="minorEastAsia"/>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2 \* GB2 </w:instrText>
            </w:r>
            <w:r>
              <w:rPr>
                <w:rFonts w:eastAsiaTheme="minorEastAsia"/>
                <w:b/>
                <w:szCs w:val="24"/>
              </w:rPr>
              <w:fldChar w:fldCharType="separate"/>
            </w:r>
            <w:r>
              <w:rPr>
                <w:rFonts w:eastAsiaTheme="minorEastAsia"/>
                <w:b/>
                <w:szCs w:val="24"/>
              </w:rPr>
              <w:t>⑵</w:t>
            </w:r>
            <w:r>
              <w:rPr>
                <w:rFonts w:eastAsiaTheme="minorEastAsia"/>
                <w:b/>
                <w:szCs w:val="24"/>
              </w:rPr>
              <w:fldChar w:fldCharType="end"/>
            </w:r>
            <w:r>
              <w:rPr>
                <w:rFonts w:eastAsiaTheme="minorEastAsia"/>
                <w:b/>
                <w:szCs w:val="24"/>
              </w:rPr>
              <w:t>接触氧化池</w:t>
            </w:r>
          </w:p>
          <w:p>
            <w:pPr>
              <w:pStyle w:val="34"/>
              <w:ind w:firstLine="480"/>
              <w:rPr>
                <w:rFonts w:eastAsiaTheme="minorEastAsia"/>
                <w:szCs w:val="24"/>
              </w:rPr>
            </w:pPr>
            <w:r>
              <w:rPr>
                <w:rFonts w:eastAsiaTheme="minorEastAsia"/>
                <w:szCs w:val="24"/>
              </w:rPr>
              <w:t>好氧接触氧化池主要利用好氧菌去除CODcr、BOD</w:t>
            </w:r>
            <w:r>
              <w:rPr>
                <w:rFonts w:eastAsiaTheme="minorEastAsia"/>
                <w:szCs w:val="24"/>
                <w:vertAlign w:val="subscript"/>
              </w:rPr>
              <w:t>5</w:t>
            </w:r>
            <w:r>
              <w:rPr>
                <w:rFonts w:eastAsiaTheme="minorEastAsia"/>
                <w:szCs w:val="24"/>
              </w:rPr>
              <w:t>、SS、NH</w:t>
            </w:r>
            <w:r>
              <w:rPr>
                <w:rFonts w:eastAsiaTheme="minorEastAsia"/>
                <w:szCs w:val="24"/>
                <w:vertAlign w:val="subscript"/>
              </w:rPr>
              <w:t>3</w:t>
            </w:r>
            <w:r>
              <w:rPr>
                <w:rFonts w:eastAsiaTheme="minorEastAsia"/>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3 \* GB2 </w:instrText>
            </w:r>
            <w:r>
              <w:rPr>
                <w:rFonts w:eastAsiaTheme="minorEastAsia"/>
                <w:b/>
                <w:szCs w:val="24"/>
              </w:rPr>
              <w:fldChar w:fldCharType="separate"/>
            </w:r>
            <w:r>
              <w:rPr>
                <w:rFonts w:eastAsiaTheme="minorEastAsia"/>
                <w:b/>
                <w:szCs w:val="24"/>
              </w:rPr>
              <w:t>⑶</w:t>
            </w:r>
            <w:r>
              <w:rPr>
                <w:rFonts w:eastAsiaTheme="minorEastAsia"/>
                <w:b/>
                <w:szCs w:val="24"/>
              </w:rPr>
              <w:fldChar w:fldCharType="end"/>
            </w:r>
            <w:r>
              <w:rPr>
                <w:rFonts w:eastAsiaTheme="minorEastAsia"/>
                <w:b/>
                <w:szCs w:val="24"/>
              </w:rPr>
              <w:t>二沉池</w:t>
            </w:r>
          </w:p>
          <w:p>
            <w:pPr>
              <w:pStyle w:val="34"/>
              <w:ind w:firstLine="480"/>
              <w:rPr>
                <w:rFonts w:eastAsiaTheme="minorEastAsia"/>
                <w:szCs w:val="24"/>
              </w:rPr>
            </w:pPr>
            <w:r>
              <w:rPr>
                <w:rFonts w:eastAsiaTheme="minorEastAsia"/>
                <w:szCs w:val="24"/>
              </w:rPr>
              <w:t>接触氧化池出水进入二沉池，二沉池前设PAC（絮凝剂）投加系统，投加PAC（絮凝剂），去除SS和部分胶体颗粒，二沉池出水经过石英砂过滤后，进一步降低水中SS和胶体颗粒含量。</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4 \* GB2 </w:instrText>
            </w:r>
            <w:r>
              <w:rPr>
                <w:rFonts w:eastAsiaTheme="minorEastAsia"/>
                <w:b/>
                <w:szCs w:val="24"/>
              </w:rPr>
              <w:fldChar w:fldCharType="separate"/>
            </w:r>
            <w:r>
              <w:rPr>
                <w:rFonts w:eastAsiaTheme="minorEastAsia"/>
                <w:b/>
                <w:szCs w:val="24"/>
              </w:rPr>
              <w:t>⑷</w:t>
            </w:r>
            <w:r>
              <w:rPr>
                <w:rFonts w:eastAsiaTheme="minorEastAsia"/>
                <w:b/>
                <w:szCs w:val="24"/>
              </w:rPr>
              <w:fldChar w:fldCharType="end"/>
            </w:r>
            <w:r>
              <w:rPr>
                <w:rFonts w:eastAsiaTheme="minorEastAsia"/>
                <w:b/>
                <w:szCs w:val="24"/>
              </w:rPr>
              <w:t>过滤</w:t>
            </w:r>
          </w:p>
          <w:p>
            <w:pPr>
              <w:pStyle w:val="34"/>
              <w:ind w:firstLine="480"/>
              <w:rPr>
                <w:rFonts w:eastAsiaTheme="minorEastAsia"/>
                <w:szCs w:val="24"/>
              </w:rPr>
            </w:pPr>
            <w:r>
              <w:rPr>
                <w:rFonts w:eastAsiaTheme="minorEastAsia"/>
                <w:szCs w:val="24"/>
              </w:rPr>
              <w:t>二沉池出水仍含有一定的悬浮物杂质，因此本方案设置深度处理（过滤）处理单元。二沉池出水进入过滤池进行过滤，去除水中残存的有机物、胶体、细菌残留物、微生物等。</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5 \* GB2 </w:instrText>
            </w:r>
            <w:r>
              <w:rPr>
                <w:rFonts w:eastAsiaTheme="minorEastAsia"/>
                <w:b/>
                <w:szCs w:val="24"/>
              </w:rPr>
              <w:fldChar w:fldCharType="separate"/>
            </w:r>
            <w:r>
              <w:rPr>
                <w:rFonts w:eastAsiaTheme="minorEastAsia"/>
                <w:b/>
                <w:szCs w:val="24"/>
              </w:rPr>
              <w:t>⑸</w:t>
            </w:r>
            <w:r>
              <w:rPr>
                <w:rFonts w:eastAsiaTheme="minorEastAsia"/>
                <w:b/>
                <w:szCs w:val="24"/>
              </w:rPr>
              <w:fldChar w:fldCharType="end"/>
            </w:r>
            <w:r>
              <w:rPr>
                <w:rFonts w:eastAsiaTheme="minorEastAsia"/>
                <w:b/>
                <w:szCs w:val="24"/>
              </w:rPr>
              <w:t>消毒</w:t>
            </w:r>
          </w:p>
          <w:p>
            <w:pPr>
              <w:pStyle w:val="34"/>
              <w:ind w:firstLine="480"/>
              <w:rPr>
                <w:rFonts w:eastAsiaTheme="minorEastAsia"/>
                <w:szCs w:val="24"/>
              </w:rPr>
            </w:pPr>
            <w:r>
              <w:rPr>
                <w:rFonts w:eastAsiaTheme="minorEastAsia"/>
                <w:szCs w:val="24"/>
              </w:rPr>
              <w:t>过滤后的污水经过消毒，即可满足排放要求，消毒采用自动投加方式，定量把次氯酸钠药液投加到消毒池中，可以较彻底的消除细菌、臭味、色度等可能对人群造成的危害。</w:t>
            </w:r>
          </w:p>
          <w:p>
            <w:pPr>
              <w:pStyle w:val="34"/>
              <w:ind w:firstLine="480"/>
              <w:rPr>
                <w:rFonts w:eastAsiaTheme="minorEastAsia"/>
                <w:szCs w:val="24"/>
              </w:rPr>
            </w:pPr>
            <w:r>
              <w:rPr>
                <w:rFonts w:eastAsiaTheme="minorEastAsia"/>
                <w:szCs w:val="24"/>
              </w:rPr>
              <w:t>根据工程分析可知，经调节池调节处理后的综合废水BOD/COD约为0.62≥0.3，满足可生化条件，因此项目拟采用废水生化处理工艺技术可行，由根据核算，项目综合废水经一体化污水处理设施处理后可达到《城市污水再生利用 城市杂用水水质》（GB/T18920 -2020）城市绿化标准，因此其技术可行。</w:t>
            </w:r>
          </w:p>
          <w:p>
            <w:pPr>
              <w:pStyle w:val="34"/>
              <w:ind w:firstLine="480"/>
              <w:rPr>
                <w:rFonts w:eastAsiaTheme="minorEastAsia"/>
                <w:szCs w:val="24"/>
              </w:rPr>
            </w:pPr>
            <w:r>
              <w:rPr>
                <w:rFonts w:eastAsiaTheme="minorEastAsia"/>
                <w:szCs w:val="24"/>
              </w:rPr>
              <w:t>综上，项目设置1套处理能力为20m³/d的一体化污水处理设施对项目区废水进行处理，处理后回用于回用于项目区绿化，该措施可行。</w:t>
            </w:r>
          </w:p>
          <w:p>
            <w:pPr>
              <w:pStyle w:val="34"/>
              <w:ind w:firstLine="482"/>
              <w:rPr>
                <w:b/>
                <w:szCs w:val="24"/>
              </w:rPr>
            </w:pPr>
            <w:r>
              <w:rPr>
                <w:b/>
                <w:szCs w:val="24"/>
              </w:rPr>
              <w:t>⑥回用水池环境影响减缓措施有效性分析</w:t>
            </w:r>
          </w:p>
          <w:p>
            <w:pPr>
              <w:pStyle w:val="34"/>
              <w:ind w:firstLine="480"/>
              <w:rPr>
                <w:rFonts w:eastAsiaTheme="minorEastAsia"/>
                <w:szCs w:val="24"/>
              </w:rPr>
            </w:pPr>
            <w:r>
              <w:rPr>
                <w:rFonts w:eastAsiaTheme="minorEastAsia"/>
                <w:szCs w:val="24"/>
              </w:rPr>
              <w:t>为了满足雨天等特殊情况，处理后综合废水的暂存要求，项目拟配套设置1个有效容积为10m³的回水池对处理后的综合废水进行暂存；项目综合废水最大产生量为6.12m³/d，回水池和调节池、一体化处理设施的总容积可满足综合废水超过5d的储存量，可满足雨天暂存后用于非雨天绿化的暂存要求，因此其设置可行。</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（4）自行监测要求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根据《排污单位自行监测技术指南 总则》（HJ819-2017）的要求，项目</w:t>
            </w:r>
            <w:r>
              <w:rPr>
                <w:rFonts w:ascii="Times New Roman" w:hAnsi="Times New Roman" w:cs="Times New Roman"/>
                <w:sz w:val="24"/>
              </w:rPr>
              <w:t>废水</w:t>
            </w:r>
            <w:r>
              <w:rPr>
                <w:rFonts w:ascii="Times New Roman" w:hAnsi="Times New Roman" w:cs="Times New Roman"/>
                <w:sz w:val="24"/>
                <w:szCs w:val="24"/>
              </w:rPr>
              <w:t>自行监测要求如下表所示。</w:t>
            </w:r>
          </w:p>
          <w:p>
            <w:pPr>
              <w:jc w:val="center"/>
              <w:rPr>
                <w:rFonts w:ascii="Times New Roman" w:hAnsi="Times New Roman" w:cs="Times New Roman"/>
                <w:b/>
                <w:szCs w:val="24"/>
              </w:rPr>
            </w:pPr>
            <w:r>
              <w:rPr>
                <w:rFonts w:ascii="Times New Roman" w:hAnsi="Times New Roman" w:cs="Times New Roman"/>
                <w:b/>
                <w:szCs w:val="24"/>
              </w:rPr>
              <w:t>表4.2.2-8  项目运营期</w:t>
            </w:r>
            <w:r>
              <w:rPr>
                <w:rFonts w:ascii="Times New Roman" w:hAnsi="Times New Roman" w:cs="Times New Roman"/>
                <w:b/>
              </w:rPr>
              <w:t>废水</w:t>
            </w:r>
            <w:r>
              <w:rPr>
                <w:rFonts w:ascii="Times New Roman" w:hAnsi="Times New Roman" w:cs="Times New Roman"/>
                <w:b/>
                <w:szCs w:val="24"/>
              </w:rPr>
              <w:t>自行监测计划一览表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34"/>
              <w:gridCol w:w="2693"/>
              <w:gridCol w:w="9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 w:type="dxa"/>
                  <w:vAlign w:val="center"/>
                </w:tcPr>
                <w:p>
                  <w:pPr>
                    <w:pStyle w:val="26"/>
                    <w:spacing w:line="360" w:lineRule="exact"/>
                    <w:rPr>
                      <w:rFonts w:eastAsiaTheme="minorEastAsia"/>
                      <w:color w:val="auto"/>
                      <w:szCs w:val="21"/>
                    </w:rPr>
                  </w:pPr>
                  <w:r>
                    <w:rPr>
                      <w:rFonts w:eastAsiaTheme="minorEastAsia"/>
                      <w:color w:val="auto"/>
                      <w:szCs w:val="21"/>
                    </w:rPr>
                    <w:t>对象</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监测点位</w:t>
                  </w:r>
                </w:p>
              </w:tc>
              <w:tc>
                <w:tcPr>
                  <w:tcW w:w="2693" w:type="dxa"/>
                  <w:vAlign w:val="center"/>
                </w:tcPr>
                <w:p>
                  <w:pPr>
                    <w:pStyle w:val="26"/>
                    <w:spacing w:line="360" w:lineRule="exact"/>
                    <w:rPr>
                      <w:rFonts w:eastAsiaTheme="minorEastAsia"/>
                      <w:color w:val="auto"/>
                      <w:szCs w:val="21"/>
                    </w:rPr>
                  </w:pPr>
                  <w:r>
                    <w:rPr>
                      <w:rFonts w:eastAsiaTheme="minorEastAsia"/>
                      <w:color w:val="auto"/>
                      <w:szCs w:val="21"/>
                    </w:rPr>
                    <w:t>监测因子</w:t>
                  </w:r>
                </w:p>
              </w:tc>
              <w:tc>
                <w:tcPr>
                  <w:tcW w:w="992" w:type="dxa"/>
                  <w:vAlign w:val="center"/>
                </w:tcPr>
                <w:p>
                  <w:pPr>
                    <w:pStyle w:val="26"/>
                    <w:spacing w:line="360" w:lineRule="exact"/>
                    <w:rPr>
                      <w:rFonts w:eastAsiaTheme="minorEastAsia"/>
                      <w:color w:val="auto"/>
                      <w:szCs w:val="21"/>
                    </w:rPr>
                  </w:pPr>
                  <w:r>
                    <w:rPr>
                      <w:rFonts w:eastAsiaTheme="minorEastAsia"/>
                      <w:color w:val="auto"/>
                      <w:szCs w:val="21"/>
                    </w:rPr>
                    <w:t>最低监测频率</w:t>
                  </w:r>
                </w:p>
              </w:tc>
              <w:tc>
                <w:tcPr>
                  <w:tcW w:w="2909" w:type="dxa"/>
                  <w:vAlign w:val="center"/>
                </w:tcPr>
                <w:p>
                  <w:pPr>
                    <w:pStyle w:val="26"/>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77" w:type="dxa"/>
                  <w:vAlign w:val="center"/>
                </w:tcPr>
                <w:p>
                  <w:pPr>
                    <w:pStyle w:val="26"/>
                    <w:spacing w:line="360" w:lineRule="exact"/>
                    <w:rPr>
                      <w:rFonts w:eastAsiaTheme="minorEastAsia"/>
                      <w:color w:val="auto"/>
                      <w:szCs w:val="21"/>
                    </w:rPr>
                  </w:pPr>
                  <w:r>
                    <w:rPr>
                      <w:rFonts w:eastAsiaTheme="minorEastAsia"/>
                      <w:color w:val="auto"/>
                      <w:szCs w:val="21"/>
                    </w:rPr>
                    <w:t>废水</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回用水池</w:t>
                  </w:r>
                </w:p>
              </w:tc>
              <w:tc>
                <w:tcPr>
                  <w:tcW w:w="2693" w:type="dxa"/>
                  <w:vAlign w:val="center"/>
                </w:tcPr>
                <w:p>
                  <w:pPr>
                    <w:pStyle w:val="26"/>
                    <w:spacing w:line="360" w:lineRule="exact"/>
                    <w:ind w:firstLine="210" w:firstLineChars="100"/>
                    <w:jc w:val="left"/>
                    <w:rPr>
                      <w:rFonts w:eastAsiaTheme="minorEastAsia"/>
                      <w:color w:val="auto"/>
                    </w:rPr>
                  </w:pPr>
                  <w:r>
                    <w:rPr>
                      <w:color w:val="auto"/>
                    </w:rPr>
                    <w:t>pH、CODcr、BOD</w:t>
                  </w:r>
                  <w:r>
                    <w:rPr>
                      <w:color w:val="auto"/>
                      <w:vertAlign w:val="subscript"/>
                    </w:rPr>
                    <w:t>5</w:t>
                  </w:r>
                  <w:r>
                    <w:rPr>
                      <w:color w:val="auto"/>
                    </w:rPr>
                    <w:t>、NH</w:t>
                  </w:r>
                  <w:r>
                    <w:rPr>
                      <w:color w:val="auto"/>
                      <w:vertAlign w:val="subscript"/>
                    </w:rPr>
                    <w:t>3</w:t>
                  </w:r>
                  <w:r>
                    <w:rPr>
                      <w:color w:val="auto"/>
                    </w:rPr>
                    <w:t>-N、SS、总磷、总氮、动植物油、</w:t>
                  </w:r>
                  <w:r>
                    <w:rPr>
                      <w:bCs w:val="0"/>
                      <w:snapToGrid/>
                      <w:color w:val="auto"/>
                      <w:kern w:val="0"/>
                      <w:szCs w:val="21"/>
                      <w:lang w:val="en-US"/>
                    </w:rPr>
                    <w:t>阴离子表面活性剂、</w:t>
                  </w:r>
                  <w:r>
                    <w:rPr>
                      <w:color w:val="auto"/>
                    </w:rPr>
                    <w:t>粪大肠菌群数、总氯</w:t>
                  </w:r>
                </w:p>
              </w:tc>
              <w:tc>
                <w:tcPr>
                  <w:tcW w:w="992" w:type="dxa"/>
                  <w:vAlign w:val="center"/>
                </w:tcPr>
                <w:p>
                  <w:pPr>
                    <w:pStyle w:val="26"/>
                    <w:spacing w:line="360" w:lineRule="exact"/>
                    <w:rPr>
                      <w:rFonts w:eastAsiaTheme="minorEastAsia"/>
                      <w:color w:val="auto"/>
                      <w:szCs w:val="21"/>
                    </w:rPr>
                  </w:pPr>
                  <w:r>
                    <w:rPr>
                      <w:rFonts w:eastAsiaTheme="minorEastAsia"/>
                      <w:color w:val="auto"/>
                      <w:szCs w:val="21"/>
                    </w:rPr>
                    <w:t>1次/年</w:t>
                  </w:r>
                </w:p>
              </w:tc>
              <w:tc>
                <w:tcPr>
                  <w:tcW w:w="2909"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4"/>
                    </w:rPr>
                    <w:t>《城市污水再生利用 城市杂用水水质》（GB/T18920 -2020）</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rPr>
              <w:t>废水</w:t>
            </w:r>
            <w:r>
              <w:rPr>
                <w:rFonts w:ascii="Times New Roman" w:hAnsi="Times New Roman" w:cs="Times New Roman"/>
                <w:b/>
                <w:sz w:val="24"/>
                <w:szCs w:val="24"/>
              </w:rPr>
              <w:t>环境影响分析结论</w:t>
            </w:r>
          </w:p>
          <w:p>
            <w:pPr>
              <w:pStyle w:val="34"/>
              <w:ind w:firstLine="480"/>
              <w:rPr>
                <w:szCs w:val="21"/>
              </w:rPr>
            </w:pPr>
            <w:r>
              <w:rPr>
                <w:szCs w:val="21"/>
              </w:rPr>
              <w:t>根据工程分析可知，项目废水类型主要包括遗体清洗废水、生活污水、灵车清洗废水和初期雨水。该项目综合废水最大产生量为6.12m³/d（637.2m³/a）；项目拟配套设置调节池（8m³）、一体化污水处理设施（20m³/d）和回用水池（10m³）等废水处理设施对综合废水进行处理，使其流量稳定再进入一体化污水处理设施进行处理，处理后可达到《城市污水再生利用 城市杂用水水质》（GB/T18920-2020）城市绿化标准后，暂存于回用水池回用于项目区绿化；而项目区绿化用水量为13.16m³/d（2775.7m³/a），可完全消纳项目区产生的综合废水，项目废水可做到完全回用不外排，对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rPr>
              <w:t>3</w:t>
            </w:r>
            <w:r>
              <w:rPr>
                <w:rFonts w:ascii="Times New Roman" w:hAnsi="Times New Roman" w:cs="Times New Roman"/>
                <w:b/>
                <w:sz w:val="24"/>
                <w:szCs w:val="24"/>
              </w:rPr>
              <w:t xml:space="preserve"> 运营期</w:t>
            </w:r>
            <w:r>
              <w:rPr>
                <w:rFonts w:ascii="Times New Roman" w:hAnsi="Times New Roman" w:cs="Times New Roman"/>
                <w:b/>
                <w:sz w:val="24"/>
              </w:rPr>
              <w:t>噪声</w:t>
            </w:r>
            <w:r>
              <w:rPr>
                <w:rFonts w:ascii="Times New Roman" w:hAnsi="Times New Roman" w:cs="Times New Roman"/>
                <w:b/>
                <w:sz w:val="24"/>
                <w:szCs w:val="24"/>
              </w:rPr>
              <w:t>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szCs w:val="24"/>
              </w:rPr>
              <w:t>（1）</w:t>
            </w:r>
            <w:r>
              <w:rPr>
                <w:rFonts w:ascii="Times New Roman" w:hAnsi="Times New Roman" w:cs="Times New Roman"/>
                <w:b/>
                <w:sz w:val="24"/>
              </w:rPr>
              <w:t>运营期噪声污染源强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项目区不得进行燃放鞭炮，项目噪声污染源主要为设备噪声，其源强如下表所示。</w:t>
            </w: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spacing w:line="360" w:lineRule="auto"/>
              <w:ind w:firstLine="480" w:firstLineChars="200"/>
              <w:rPr>
                <w:rFonts w:ascii="Times New Roman" w:hAnsi="Times New Roman" w:cs="Times New Roman"/>
                <w:sz w:val="24"/>
              </w:rPr>
            </w:pPr>
          </w:p>
          <w:p>
            <w:pPr>
              <w:jc w:val="center"/>
              <w:rPr>
                <w:rFonts w:ascii="Times New Roman" w:hAnsi="Times New Roman" w:cs="Times New Roman"/>
                <w:b/>
                <w:szCs w:val="24"/>
              </w:rPr>
            </w:pPr>
            <w:r>
              <w:rPr>
                <w:rFonts w:ascii="Times New Roman" w:hAnsi="Times New Roman" w:cs="Times New Roman"/>
                <w:b/>
                <w:szCs w:val="24"/>
              </w:rPr>
              <w:t>表4.2.3-1 项目主要生产设备噪声源强一览表</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850"/>
              <w:gridCol w:w="1701"/>
              <w:gridCol w:w="851"/>
              <w:gridCol w:w="1134"/>
              <w:gridCol w:w="992"/>
              <w:gridCol w:w="1134"/>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主要生产单元</w:t>
                  </w:r>
                </w:p>
              </w:tc>
              <w:tc>
                <w:tcPr>
                  <w:tcW w:w="850"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主要工艺</w:t>
                  </w:r>
                </w:p>
              </w:tc>
              <w:tc>
                <w:tcPr>
                  <w:tcW w:w="170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生产设施</w:t>
                  </w:r>
                </w:p>
              </w:tc>
              <w:tc>
                <w:tcPr>
                  <w:tcW w:w="851"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设施参数</w:t>
                  </w:r>
                </w:p>
              </w:tc>
              <w:tc>
                <w:tcPr>
                  <w:tcW w:w="1134"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产生强度〔dB（A）〕</w:t>
                  </w:r>
                </w:p>
              </w:tc>
              <w:tc>
                <w:tcPr>
                  <w:tcW w:w="992" w:type="dxa"/>
                  <w:tcBorders>
                    <w:left w:val="single" w:color="auto" w:sz="4" w:space="0"/>
                    <w:right w:val="single" w:color="auto" w:sz="4" w:space="0"/>
                  </w:tcBorders>
                  <w:vAlign w:val="center"/>
                </w:tcPr>
                <w:p>
                  <w:pPr>
                    <w:pStyle w:val="26"/>
                    <w:spacing w:line="360" w:lineRule="exact"/>
                    <w:rPr>
                      <w:color w:val="auto"/>
                      <w:szCs w:val="21"/>
                    </w:rPr>
                  </w:pPr>
                  <w:r>
                    <w:rPr>
                      <w:color w:val="auto"/>
                      <w:szCs w:val="21"/>
                    </w:rPr>
                    <w:t>降噪措施</w:t>
                  </w:r>
                </w:p>
              </w:tc>
              <w:tc>
                <w:tcPr>
                  <w:tcW w:w="1134"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排放强度〔dB（A）〕</w:t>
                  </w:r>
                </w:p>
              </w:tc>
              <w:tc>
                <w:tcPr>
                  <w:tcW w:w="120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主体工程</w:t>
                  </w:r>
                </w:p>
              </w:tc>
              <w:tc>
                <w:tcPr>
                  <w:tcW w:w="850"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火化车间</w:t>
                  </w:r>
                </w:p>
              </w:tc>
              <w:tc>
                <w:tcPr>
                  <w:tcW w:w="170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智能监测环保节能拣灰火化机</w:t>
                  </w:r>
                </w:p>
              </w:tc>
              <w:tc>
                <w:tcPr>
                  <w:tcW w:w="851"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45min/具</w:t>
                  </w:r>
                </w:p>
              </w:tc>
              <w:tc>
                <w:tcPr>
                  <w:tcW w:w="1134"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85</w:t>
                  </w:r>
                </w:p>
              </w:tc>
              <w:tc>
                <w:tcPr>
                  <w:tcW w:w="992" w:type="dxa"/>
                  <w:vMerge w:val="restart"/>
                  <w:tcBorders>
                    <w:top w:val="single" w:color="auto" w:sz="4" w:space="0"/>
                    <w:left w:val="single" w:color="auto" w:sz="4" w:space="0"/>
                    <w:right w:val="single" w:color="auto" w:sz="4" w:space="0"/>
                  </w:tcBorders>
                  <w:vAlign w:val="center"/>
                </w:tcPr>
                <w:p>
                  <w:pPr>
                    <w:pStyle w:val="26"/>
                    <w:spacing w:line="360" w:lineRule="exact"/>
                    <w:ind w:firstLine="210" w:firstLineChars="100"/>
                    <w:jc w:val="both"/>
                    <w:rPr>
                      <w:bCs w:val="0"/>
                      <w:color w:val="auto"/>
                    </w:rPr>
                  </w:pPr>
                  <w:r>
                    <w:rPr>
                      <w:color w:val="auto"/>
                      <w:szCs w:val="21"/>
                    </w:rPr>
                    <w:t>减震垫、消声器、墙体阻隔等</w:t>
                  </w:r>
                </w:p>
              </w:tc>
              <w:tc>
                <w:tcPr>
                  <w:tcW w:w="1134"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70</w:t>
                  </w:r>
                </w:p>
              </w:tc>
              <w:tc>
                <w:tcPr>
                  <w:tcW w:w="120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850" w:type="dxa"/>
                  <w:vMerge w:val="continue"/>
                  <w:tcBorders>
                    <w:top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70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电动液压升降车</w:t>
                  </w:r>
                </w:p>
              </w:tc>
              <w:tc>
                <w:tcPr>
                  <w:tcW w:w="851"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134"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80</w:t>
                  </w:r>
                </w:p>
              </w:tc>
              <w:tc>
                <w:tcPr>
                  <w:tcW w:w="992"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134"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65</w:t>
                  </w:r>
                </w:p>
              </w:tc>
              <w:tc>
                <w:tcPr>
                  <w:tcW w:w="120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6" w:hRule="atLeast"/>
                <w:jc w:val="center"/>
              </w:trPr>
              <w:tc>
                <w:tcPr>
                  <w:tcW w:w="735"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850" w:type="dxa"/>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化宝间</w:t>
                  </w:r>
                </w:p>
              </w:tc>
              <w:tc>
                <w:tcPr>
                  <w:tcW w:w="1701" w:type="dxa"/>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智能监测环保遗物焚烧炉</w:t>
                  </w:r>
                </w:p>
              </w:tc>
              <w:tc>
                <w:tcPr>
                  <w:tcW w:w="851" w:type="dxa"/>
                  <w:tcBorders>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卧式</w:t>
                  </w:r>
                </w:p>
              </w:tc>
              <w:tc>
                <w:tcPr>
                  <w:tcW w:w="1134"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85</w:t>
                  </w:r>
                </w:p>
              </w:tc>
              <w:tc>
                <w:tcPr>
                  <w:tcW w:w="992"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134" w:type="dxa"/>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70</w:t>
                  </w:r>
                </w:p>
              </w:tc>
              <w:tc>
                <w:tcPr>
                  <w:tcW w:w="1208" w:type="dxa"/>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储运工程</w:t>
                  </w:r>
                </w:p>
              </w:tc>
              <w:tc>
                <w:tcPr>
                  <w:tcW w:w="850"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遗体运输</w:t>
                  </w:r>
                </w:p>
              </w:tc>
              <w:tc>
                <w:tcPr>
                  <w:tcW w:w="170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殡仪车</w:t>
                  </w:r>
                </w:p>
              </w:tc>
              <w:tc>
                <w:tcPr>
                  <w:tcW w:w="851"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134"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80</w:t>
                  </w:r>
                </w:p>
              </w:tc>
              <w:tc>
                <w:tcPr>
                  <w:tcW w:w="992"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134"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65</w:t>
                  </w:r>
                </w:p>
              </w:tc>
              <w:tc>
                <w:tcPr>
                  <w:tcW w:w="120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850"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推尸车</w:t>
                  </w:r>
                </w:p>
              </w:tc>
              <w:tc>
                <w:tcPr>
                  <w:tcW w:w="851"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134"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80</w:t>
                  </w:r>
                </w:p>
              </w:tc>
              <w:tc>
                <w:tcPr>
                  <w:tcW w:w="992"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134"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65</w:t>
                  </w:r>
                </w:p>
              </w:tc>
              <w:tc>
                <w:tcPr>
                  <w:tcW w:w="120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1014" w:hRule="atLeast"/>
                <w:jc w:val="center"/>
              </w:trPr>
              <w:tc>
                <w:tcPr>
                  <w:tcW w:w="735"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环保工程</w:t>
                  </w:r>
                </w:p>
              </w:tc>
              <w:tc>
                <w:tcPr>
                  <w:tcW w:w="850"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废气处理</w:t>
                  </w:r>
                </w:p>
              </w:tc>
              <w:tc>
                <w:tcPr>
                  <w:tcW w:w="170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火化机尾气处理装置</w:t>
                  </w:r>
                </w:p>
              </w:tc>
              <w:tc>
                <w:tcPr>
                  <w:tcW w:w="851" w:type="dxa"/>
                  <w:tcBorders>
                    <w:bottom w:val="single" w:color="auto" w:sz="4" w:space="0"/>
                    <w:right w:val="single" w:color="auto" w:sz="4" w:space="0"/>
                  </w:tcBorders>
                  <w:vAlign w:val="center"/>
                </w:tcPr>
                <w:p>
                  <w:pPr>
                    <w:spacing w:line="360" w:lineRule="exact"/>
                    <w:ind w:firstLine="210" w:firstLineChars="100"/>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134" w:type="dxa"/>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85</w:t>
                  </w:r>
                </w:p>
              </w:tc>
              <w:tc>
                <w:tcPr>
                  <w:tcW w:w="992" w:type="dxa"/>
                  <w:vMerge w:val="continue"/>
                  <w:tcBorders>
                    <w:left w:val="single" w:color="auto" w:sz="4" w:space="0"/>
                    <w:right w:val="single" w:color="auto" w:sz="4" w:space="0"/>
                  </w:tcBorders>
                  <w:vAlign w:val="center"/>
                </w:tcPr>
                <w:p>
                  <w:pPr>
                    <w:spacing w:line="360" w:lineRule="exact"/>
                    <w:ind w:firstLine="210" w:firstLineChars="100"/>
                    <w:rPr>
                      <w:rFonts w:ascii="Times New Roman" w:hAnsi="Times New Roman" w:eastAsia="宋体" w:cs="Times New Roman"/>
                      <w:bCs/>
                      <w:snapToGrid w:val="0"/>
                      <w:kern w:val="32"/>
                      <w:lang w:val="zh-CN"/>
                    </w:rPr>
                  </w:pPr>
                </w:p>
              </w:tc>
              <w:tc>
                <w:tcPr>
                  <w:tcW w:w="1134" w:type="dxa"/>
                  <w:tcBorders>
                    <w:left w:val="single" w:color="auto" w:sz="4" w:space="0"/>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70</w:t>
                  </w:r>
                </w:p>
              </w:tc>
              <w:tc>
                <w:tcPr>
                  <w:tcW w:w="120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850"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遗物焚烧炉尾气处理装置</w:t>
                  </w:r>
                </w:p>
              </w:tc>
              <w:tc>
                <w:tcPr>
                  <w:tcW w:w="851" w:type="dxa"/>
                  <w:tcBorders>
                    <w:top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w:t>
                  </w:r>
                </w:p>
              </w:tc>
              <w:tc>
                <w:tcPr>
                  <w:tcW w:w="1134" w:type="dxa"/>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85</w:t>
                  </w:r>
                </w:p>
              </w:tc>
              <w:tc>
                <w:tcPr>
                  <w:tcW w:w="992"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134" w:type="dxa"/>
                  <w:tcBorders>
                    <w:top w:val="single" w:color="auto" w:sz="4" w:space="0"/>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70</w:t>
                  </w:r>
                </w:p>
              </w:tc>
              <w:tc>
                <w:tcPr>
                  <w:tcW w:w="120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间歇产生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850"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废水处理</w:t>
                  </w:r>
                </w:p>
              </w:tc>
              <w:tc>
                <w:tcPr>
                  <w:tcW w:w="1701"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一体化污水处理设施</w:t>
                  </w:r>
                </w:p>
              </w:tc>
              <w:tc>
                <w:tcPr>
                  <w:tcW w:w="851" w:type="dxa"/>
                  <w:tcBorders>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处理能力为20m³/d</w:t>
                  </w:r>
                </w:p>
              </w:tc>
              <w:tc>
                <w:tcPr>
                  <w:tcW w:w="1134"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70</w:t>
                  </w:r>
                </w:p>
              </w:tc>
              <w:tc>
                <w:tcPr>
                  <w:tcW w:w="992" w:type="dxa"/>
                  <w:vMerge w:val="continue"/>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134" w:type="dxa"/>
                  <w:tcBorders>
                    <w:left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55</w:t>
                  </w:r>
                </w:p>
              </w:tc>
              <w:tc>
                <w:tcPr>
                  <w:tcW w:w="1208"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间歇产生</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（2）厂界噪声达标性分析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本环评根据《环境影响评价技术导则 声环境》（HJ2.4-2021），对项目设备厂界噪声进行预测。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①室内声源等效室外声源声功率级计算方法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声源位于室内，室内声源可采用等效室外声源声功率级法进行计算。设靠近开口处（或窗户）室内、室外某倍频带的声压级或A声级分别为L</w:t>
            </w:r>
            <w:r>
              <w:rPr>
                <w:rFonts w:ascii="Times New Roman" w:hAnsi="Times New Roman" w:cs="Times New Roman"/>
                <w:sz w:val="24"/>
                <w:szCs w:val="24"/>
                <w:vertAlign w:val="subscript"/>
              </w:rPr>
              <w:t>p1</w:t>
            </w:r>
            <w:r>
              <w:rPr>
                <w:rFonts w:ascii="Times New Roman" w:hAnsi="Times New Roman" w:cs="Times New Roman"/>
                <w:sz w:val="24"/>
                <w:szCs w:val="24"/>
              </w:rPr>
              <w:t>和L</w:t>
            </w:r>
            <w:r>
              <w:rPr>
                <w:rFonts w:ascii="Times New Roman" w:hAnsi="Times New Roman" w:cs="Times New Roman"/>
                <w:sz w:val="24"/>
                <w:szCs w:val="24"/>
                <w:vertAlign w:val="subscript"/>
              </w:rPr>
              <w:t>p2</w:t>
            </w:r>
            <w:r>
              <w:rPr>
                <w:rFonts w:ascii="Times New Roman" w:hAnsi="Times New Roman" w:cs="Times New Roman"/>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ctrlPr>
                    <w:rPr>
                      <w:rFonts w:ascii="Cambria Math" w:hAnsi="Times New Roman" w:cs="Times New Roman"/>
                      <w:sz w:val="24"/>
                      <w:szCs w:val="24"/>
                    </w:rPr>
                  </m:ctrlPr>
                </m:e>
                <m:sub>
                  <m:r>
                    <w:rPr>
                      <w:rFonts w:ascii="Cambria Math" w:hAnsi="Times New Roman" w:cs="Times New Roman"/>
                      <w:sz w:val="24"/>
                      <w:szCs w:val="24"/>
                    </w:rPr>
                    <m:t>P2</m:t>
                  </m:r>
                  <m:ctrlPr>
                    <w:rPr>
                      <w:rFonts w:ascii="Cambria Math" w:hAnsi="Times New Roman" w:cs="Times New Roman"/>
                      <w:sz w:val="24"/>
                      <w:szCs w:val="24"/>
                    </w:rPr>
                  </m:ctrlPr>
                </m:sub>
              </m:sSub>
              <m: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L</m:t>
                  </m:r>
                  <m:ctrlPr>
                    <w:rPr>
                      <w:rFonts w:ascii="Cambria Math" w:hAnsi="Times New Roman" w:cs="Times New Roman"/>
                      <w:sz w:val="24"/>
                      <w:szCs w:val="24"/>
                    </w:rPr>
                  </m:ctrlPr>
                </m:e>
                <m:sub>
                  <m:r>
                    <w:rPr>
                      <w:rFonts w:ascii="Cambria Math" w:hAnsi="Times New Roman" w:cs="Times New Roman"/>
                      <w:sz w:val="24"/>
                      <w:szCs w:val="24"/>
                    </w:rPr>
                    <m:t>P1</m:t>
                  </m:r>
                  <m:ctrlPr>
                    <w:rPr>
                      <w:rFonts w:ascii="Cambria Math" w:hAnsi="Times New Roman" w:cs="Times New Roman"/>
                      <w:sz w:val="24"/>
                      <w:szCs w:val="24"/>
                    </w:rPr>
                  </m:ctrlPr>
                </m:sub>
              </m:sSub>
              <m:r>
                <w:rPr>
                  <w:rFonts w:ascii="Times New Roman"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TL+6</m:t>
              </m:r>
              <m:r>
                <m:rPr>
                  <m:sty m:val="p"/>
                </m:rPr>
                <w:rPr>
                  <w:rFonts w:ascii="Times New Roman" w:hAnsi="Times New Roman" w:cs="Times New Roman"/>
                  <w:sz w:val="24"/>
                  <w:szCs w:val="24"/>
                </w:rPr>
                <m:t>）</m:t>
              </m:r>
            </m:oMath>
            <w:r>
              <w:rPr>
                <w:rFonts w:ascii="Times New Roman" w:hAnsi="Times New Roman" w:cs="Times New Roman"/>
                <w:kern w:val="0"/>
                <w:sz w:val="24"/>
                <w:szCs w:val="24"/>
              </w:rPr>
              <w:t>（B.1）</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w:t>
            </w:r>
            <w:r>
              <w:rPr>
                <w:rFonts w:ascii="Times New Roman" w:hAnsi="Times New Roman" w:cs="Times New Roman"/>
                <w:sz w:val="24"/>
                <w:szCs w:val="24"/>
                <w:vertAlign w:val="subscript"/>
              </w:rPr>
              <w:t>p1</w:t>
            </w:r>
            <w:r>
              <w:rPr>
                <w:rFonts w:ascii="Times New Roman" w:hAnsi="Times New Roman" w:cs="Times New Roman"/>
                <w:sz w:val="24"/>
                <w:szCs w:val="24"/>
              </w:rPr>
              <w:t>--靠近开口处（或窗户）室内某倍频带的声压级或A声级，dB；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w:t>
            </w:r>
            <w:r>
              <w:rPr>
                <w:rFonts w:ascii="Times New Roman" w:hAnsi="Times New Roman" w:cs="Times New Roman"/>
                <w:sz w:val="24"/>
                <w:szCs w:val="24"/>
                <w:vertAlign w:val="subscript"/>
              </w:rPr>
              <w:t>p2</w:t>
            </w:r>
            <w:r>
              <w:rPr>
                <w:rFonts w:ascii="Times New Roman" w:hAnsi="Times New Roman" w:cs="Times New Roman"/>
                <w:sz w:val="24"/>
                <w:szCs w:val="24"/>
              </w:rPr>
              <w:t>--靠近开口处（或窗户）室外某倍频带的声压级或A声级，dB；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TL--隔墙（或窗户）倍频带或A声级的隔声量，dB。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可按下式计算某一室内声源靠近围护结构处产生的倍频带声压级或A声级：</w:t>
            </w:r>
          </w:p>
          <w:p>
            <w:pPr>
              <w:spacing w:line="360" w:lineRule="auto"/>
              <w:ind w:firstLine="480" w:firstLineChars="200"/>
              <w:jc w:val="center"/>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ctrlPr>
                    <w:rPr>
                      <w:rFonts w:ascii="Cambria Math" w:hAnsi="Times New Roman" w:cs="Times New Roman"/>
                      <w:sz w:val="24"/>
                      <w:szCs w:val="24"/>
                    </w:rPr>
                  </m:ctrlPr>
                </m:e>
                <m:sub>
                  <m:r>
                    <w:rPr>
                      <w:rFonts w:ascii="Cambria Math" w:hAnsi="Times New Roman" w:cs="Times New Roman"/>
                      <w:sz w:val="24"/>
                      <w:szCs w:val="24"/>
                    </w:rPr>
                    <m:t>P1</m:t>
                  </m:r>
                  <m:ctrlPr>
                    <w:rPr>
                      <w:rFonts w:ascii="Cambria Math" w:hAnsi="Times New Roman" w:cs="Times New Roman"/>
                      <w:sz w:val="24"/>
                      <w:szCs w:val="24"/>
                    </w:rPr>
                  </m:ctrlPr>
                </m:sub>
              </m:sSub>
              <m: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L</m:t>
                  </m:r>
                  <m:ctrlPr>
                    <w:rPr>
                      <w:rFonts w:ascii="Cambria Math" w:hAnsi="Times New Roman" w:cs="Times New Roman"/>
                      <w:sz w:val="24"/>
                      <w:szCs w:val="24"/>
                    </w:rPr>
                  </m:ctrlPr>
                </m:e>
                <m:sub>
                  <m:r>
                    <w:rPr>
                      <w:rFonts w:ascii="Cambria Math" w:hAnsi="Times New Roman" w:cs="Times New Roman"/>
                      <w:sz w:val="24"/>
                      <w:szCs w:val="24"/>
                    </w:rPr>
                    <m:t>P2</m:t>
                  </m:r>
                  <m:ctrlPr>
                    <w:rPr>
                      <w:rFonts w:ascii="Cambria Math" w:hAnsi="Times New Roman" w:cs="Times New Roman"/>
                      <w:sz w:val="24"/>
                      <w:szCs w:val="24"/>
                    </w:rPr>
                  </m:ctrlPr>
                </m:sub>
              </m:sSub>
              <m:r>
                <w:rPr>
                  <w:rFonts w:ascii="Cambria Math" w:hAnsi="Times New Roman" w:cs="Times New Roman"/>
                  <w:sz w:val="24"/>
                  <w:szCs w:val="24"/>
                </w:rPr>
                <m:t>+10</m:t>
              </m:r>
              <m:r>
                <m:rPr>
                  <m:sty m:val="p"/>
                </m:rPr>
                <w:rPr>
                  <w:rFonts w:ascii="Cambria Math" w:hAnsi="Times New Roman" w:cs="Times New Roman"/>
                  <w:sz w:val="24"/>
                  <w:szCs w:val="24"/>
                </w:rPr>
                <m:t>lg</m:t>
              </m:r>
              <m:r>
                <m:rPr>
                  <m:sty m:val="p"/>
                </m:rPr>
                <w:rPr>
                  <w:rFonts w:ascii="Times New Roman"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Q</m:t>
                  </m:r>
                  <m:ctrlPr>
                    <w:rPr>
                      <w:rFonts w:ascii="Cambria Math" w:hAnsi="Times New Roman" w:cs="Times New Roman"/>
                      <w:sz w:val="24"/>
                      <w:szCs w:val="24"/>
                    </w:rPr>
                  </m:ctrlPr>
                </m:num>
                <m:den>
                  <m:r>
                    <m:rPr>
                      <m:sty m:val="p"/>
                    </m:rPr>
                    <w:rPr>
                      <w:rFonts w:ascii="Cambria Math" w:hAnsi="Times New Roman" w:cs="Times New Roman"/>
                      <w:sz w:val="24"/>
                      <w:szCs w:val="24"/>
                    </w:rPr>
                    <m:t>4π</m:t>
                  </m:r>
                  <m:sSup>
                    <m:sSupPr>
                      <m:ctrlPr>
                        <w:rPr>
                          <w:rFonts w:ascii="Cambria Math" w:hAnsi="Times New Roman" w:cs="Times New Roman"/>
                          <w:sz w:val="24"/>
                          <w:szCs w:val="24"/>
                        </w:rPr>
                      </m:ctrlPr>
                    </m:sSupPr>
                    <m:e>
                      <m:r>
                        <w:rPr>
                          <w:rFonts w:ascii="Cambria Math" w:hAnsi="Times New Roman" w:cs="Times New Roman"/>
                          <w:sz w:val="24"/>
                          <w:szCs w:val="24"/>
                        </w:rPr>
                        <m:t>r</m:t>
                      </m:r>
                      <m:ctrlPr>
                        <w:rPr>
                          <w:rFonts w:ascii="Cambria Math" w:hAnsi="Times New Roman" w:cs="Times New Roman"/>
                          <w:sz w:val="24"/>
                          <w:szCs w:val="24"/>
                        </w:rPr>
                      </m:ctrlPr>
                    </m:e>
                    <m:sup>
                      <m:r>
                        <w:rPr>
                          <w:rFonts w:ascii="Cambria Math" w:hAnsi="Times New Roman" w:cs="Times New Roman"/>
                          <w:sz w:val="24"/>
                          <w:szCs w:val="24"/>
                        </w:rPr>
                        <m:t>2</m:t>
                      </m:r>
                      <m:ctrlPr>
                        <w:rPr>
                          <w:rFonts w:ascii="Cambria Math" w:hAnsi="Times New Roman" w:cs="Times New Roman"/>
                          <w:sz w:val="24"/>
                          <w:szCs w:val="24"/>
                        </w:rPr>
                      </m:ctrlPr>
                    </m:sup>
                  </m:sSup>
                  <m:ctrlPr>
                    <w:rPr>
                      <w:rFonts w:ascii="Cambria Math" w:hAnsi="Times New Roman" w:cs="Times New Roman"/>
                      <w:sz w:val="24"/>
                      <w:szCs w:val="24"/>
                    </w:rPr>
                  </m:ctrlPr>
                </m:den>
              </m:f>
              <m: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4</m:t>
                  </m:r>
                  <m:ctrlPr>
                    <w:rPr>
                      <w:rFonts w:ascii="Cambria Math" w:hAnsi="Times New Roman" w:cs="Times New Roman"/>
                      <w:sz w:val="24"/>
                      <w:szCs w:val="24"/>
                    </w:rPr>
                  </m:ctrlPr>
                </m:num>
                <m:den>
                  <m:r>
                    <w:rPr>
                      <w:rFonts w:ascii="Cambria Math" w:hAnsi="Times New Roman" w:cs="Times New Roman"/>
                      <w:sz w:val="24"/>
                      <w:szCs w:val="24"/>
                    </w:rPr>
                    <m:t>R</m:t>
                  </m:r>
                  <m:ctrlPr>
                    <w:rPr>
                      <w:rFonts w:ascii="Cambria Math" w:hAnsi="Times New Roman" w:cs="Times New Roman"/>
                      <w:sz w:val="24"/>
                      <w:szCs w:val="24"/>
                    </w:rPr>
                  </m:ctrlPr>
                </m:den>
              </m:f>
              <m:r>
                <m:rPr>
                  <m:sty m:val="p"/>
                </m:rPr>
                <w:rPr>
                  <w:rFonts w:ascii="Times New Roman" w:hAnsi="Times New Roman" w:cs="Times New Roman"/>
                  <w:sz w:val="24"/>
                  <w:szCs w:val="24"/>
                </w:rPr>
                <m:t>）</m:t>
              </m:r>
            </m:oMath>
            <w:r>
              <w:rPr>
                <w:rFonts w:ascii="Times New Roman" w:hAnsi="Times New Roman" w:cs="Times New Roman"/>
                <w:kern w:val="0"/>
                <w:sz w:val="24"/>
                <w:szCs w:val="24"/>
              </w:rPr>
              <w:t>（B.2）</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式中：Lw--点声源声功率级（A计权或倍频带），dB；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Q--指向性因数；通常对无指向性声源，当声源放在房间中心时，Q=1；当放在一面墙的中心时，Q=2；当放在两面墙夹角处时，Q=4；当放在三面墙夹角处时，Q=8；</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R--房间常数；</w:t>
            </w:r>
            <m:oMath>
              <m:r>
                <w:rPr>
                  <w:rFonts w:ascii="Cambria Math" w:hAnsi="Times New Roman" w:cs="Times New Roman"/>
                  <w:sz w:val="24"/>
                  <w:szCs w:val="24"/>
                </w:rPr>
                <m:t>R=</m:t>
              </m:r>
              <m:sSub>
                <m:sSubPr>
                  <m:ctrlPr>
                    <w:rPr>
                      <w:rFonts w:ascii="Cambria Math" w:hAnsi="Times New Roman" w:cs="Times New Roman"/>
                      <w:sz w:val="24"/>
                      <w:szCs w:val="24"/>
                    </w:rPr>
                  </m:ctrlPr>
                </m:sSubPr>
                <m:e>
                  <m:r>
                    <w:rPr>
                      <w:rFonts w:ascii="Cambria Math" w:hAnsi="Times New Roman" w:cs="Times New Roman"/>
                      <w:sz w:val="24"/>
                      <w:szCs w:val="24"/>
                    </w:rPr>
                    <m:t>S</m:t>
                  </m:r>
                  <m:ctrlPr>
                    <w:rPr>
                      <w:rFonts w:ascii="Cambria Math" w:hAnsi="Times New Roman" w:cs="Times New Roman"/>
                      <w:sz w:val="24"/>
                      <w:szCs w:val="24"/>
                    </w:rPr>
                  </m:ctrlPr>
                </m:e>
                <m:sub>
                  <m:r>
                    <w:rPr>
                      <w:rFonts w:ascii="Cambria Math" w:hAnsi="Times New Roman" w:cs="Times New Roman"/>
                      <w:sz w:val="24"/>
                      <w:szCs w:val="24"/>
                    </w:rPr>
                    <m:t>a</m:t>
                  </m:r>
                  <m:ctrlPr>
                    <w:rPr>
                      <w:rFonts w:ascii="Cambria Math" w:hAnsi="Times New Roman" w:cs="Times New Roman"/>
                      <w:sz w:val="24"/>
                      <w:szCs w:val="24"/>
                    </w:rPr>
                  </m:ctrlPr>
                </m:sub>
              </m:sSub>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1</m:t>
              </m:r>
              <m:r>
                <m:rPr>
                  <m:sty m:val="p"/>
                </m:rPr>
                <w:rPr>
                  <w:rFonts w:ascii="Times New Roman" w:hAnsi="Times New Roman" w:cs="Times New Roman"/>
                  <w:sz w:val="24"/>
                  <w:szCs w:val="24"/>
                </w:rPr>
                <m:t>-</m:t>
              </m:r>
              <m:r>
                <w:rPr>
                  <w:rFonts w:ascii="Cambria Math" w:hAnsi="Times New Roman" w:cs="Times New Roman"/>
                  <w:sz w:val="24"/>
                  <w:szCs w:val="24"/>
                </w:rPr>
                <m:t>a</m:t>
              </m:r>
              <m:r>
                <m:rPr>
                  <m:sty m:val="p"/>
                </m:rPr>
                <w:rPr>
                  <w:rFonts w:ascii="Times New Roman" w:hAnsi="Times New Roman" w:cs="Times New Roman"/>
                  <w:sz w:val="24"/>
                  <w:szCs w:val="24"/>
                </w:rPr>
                <m:t>）</m:t>
              </m:r>
            </m:oMath>
            <w:r>
              <w:rPr>
                <w:rFonts w:ascii="Times New Roman" w:hAnsi="Times New Roman" w:cs="Times New Roman"/>
                <w:sz w:val="24"/>
                <w:szCs w:val="24"/>
              </w:rPr>
              <w:t>，S为房间内表面面积，m2；α为平均吸声系数；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然后按式（B.3）计算出所有室内声源在围护结构处产生的i倍频带叠加声压级：</w:t>
            </w:r>
          </w:p>
          <w:p>
            <w:pPr>
              <w:autoSpaceDE w:val="0"/>
              <w:autoSpaceDN w:val="0"/>
              <w:adjustRightInd w:val="0"/>
              <w:jc w:val="center"/>
              <w:rPr>
                <w:rFonts w:ascii="Times New Roman" w:hAnsi="Times New Roman" w:cs="Times New Roman"/>
                <w:kern w:val="0"/>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ctrlPr>
                    <w:rPr>
                      <w:rFonts w:ascii="Cambria Math" w:hAnsi="Times New Roman" w:cs="Times New Roman"/>
                      <w:sz w:val="24"/>
                      <w:szCs w:val="24"/>
                    </w:rPr>
                  </m:ctrlPr>
                </m:e>
                <m:sub>
                  <m:r>
                    <w:rPr>
                      <w:rFonts w:ascii="Cambria Math" w:hAnsi="Times New Roman" w:cs="Times New Roman"/>
                      <w:sz w:val="24"/>
                      <w:szCs w:val="24"/>
                    </w:rPr>
                    <m:t>P</m:t>
                  </m:r>
                  <m:r>
                    <m:rPr>
                      <m:sty m:val="p"/>
                    </m:rPr>
                    <w:rPr>
                      <w:rFonts w:ascii="Cambria Math" w:hAnsi="Times New Roman" w:cs="Times New Roman"/>
                      <w:sz w:val="24"/>
                      <w:szCs w:val="24"/>
                    </w:rPr>
                    <m:t>li</m:t>
                  </m:r>
                  <m:ctrlPr>
                    <w:rPr>
                      <w:rFonts w:ascii="Cambria Math" w:hAnsi="Times New Roman" w:cs="Times New Roman"/>
                      <w:sz w:val="24"/>
                      <w:szCs w:val="24"/>
                    </w:rPr>
                  </m:ctrlPr>
                </m:sub>
              </m:sSub>
              <m:r>
                <m:rPr>
                  <m:sty m:val="p"/>
                </m:rPr>
                <w:rPr>
                  <w:rFonts w:ascii="Times New Roman" w:hAnsi="Times New Roman" w:cs="Times New Roman"/>
                  <w:kern w:val="0"/>
                  <w:sz w:val="24"/>
                  <w:szCs w:val="24"/>
                </w:rPr>
                <m:t>（</m:t>
              </m:r>
              <m:r>
                <w:rPr>
                  <w:rFonts w:ascii="Cambria Math" w:hAnsi="Times New Roman" w:cs="Times New Roman"/>
                  <w:kern w:val="0"/>
                  <w:sz w:val="24"/>
                  <w:szCs w:val="24"/>
                </w:rPr>
                <m:t>T</m:t>
              </m:r>
              <m:r>
                <m:rPr>
                  <m:sty m:val="p"/>
                </m:rPr>
                <w:rPr>
                  <w:rFonts w:ascii="Times New Roman" w:hAnsi="Times New Roman" w:cs="Times New Roman"/>
                  <w:kern w:val="0"/>
                  <w:sz w:val="24"/>
                  <w:szCs w:val="24"/>
                </w:rPr>
                <m:t>）</m:t>
              </m:r>
              <m:r>
                <w:rPr>
                  <w:rFonts w:ascii="Cambria Math" w:hAnsi="Times New Roman" w:cs="Times New Roman"/>
                  <w:kern w:val="0"/>
                  <w:sz w:val="24"/>
                  <w:szCs w:val="24"/>
                </w:rPr>
                <m:t>=10</m:t>
              </m:r>
              <m:r>
                <m:rPr>
                  <m:sty m:val="p"/>
                </m:rPr>
                <w:rPr>
                  <w:rFonts w:ascii="Cambria Math" w:hAnsi="Times New Roman" w:cs="Times New Roman"/>
                  <w:kern w:val="0"/>
                  <w:sz w:val="24"/>
                  <w:szCs w:val="24"/>
                </w:rPr>
                <m:t>lg</m:t>
              </m:r>
              <m:r>
                <m:rPr>
                  <m:sty m:val="p"/>
                </m:rPr>
                <w:rPr>
                  <w:rFonts w:ascii="Times New Roman" w:hAnsi="Times New Roman" w:cs="Times New Roman"/>
                  <w:kern w:val="0"/>
                  <w:sz w:val="24"/>
                  <w:szCs w:val="24"/>
                </w:rPr>
                <m:t>⁡（</m:t>
              </m:r>
              <m:nary>
                <m:naryPr>
                  <m:chr m:val="∑"/>
                  <m:grow m:val="1"/>
                  <m:ctrlPr>
                    <w:rPr>
                      <w:rFonts w:ascii="Cambria Math" w:hAnsi="Times New Roman" w:cs="Times New Roman"/>
                      <w:kern w:val="0"/>
                      <w:sz w:val="24"/>
                      <w:szCs w:val="24"/>
                    </w:rPr>
                  </m:ctrlPr>
                </m:naryPr>
                <m:sub>
                  <m:r>
                    <w:rPr>
                      <w:rFonts w:ascii="Cambria Math" w:hAnsi="Times New Roman" w:cs="Times New Roman"/>
                      <w:kern w:val="0"/>
                      <w:sz w:val="24"/>
                      <w:szCs w:val="24"/>
                    </w:rPr>
                    <m:t>j=1</m:t>
                  </m:r>
                  <m:ctrlPr>
                    <w:rPr>
                      <w:rFonts w:ascii="Cambria Math" w:hAnsi="Times New Roman" w:cs="Times New Roman"/>
                      <w:kern w:val="0"/>
                      <w:sz w:val="24"/>
                      <w:szCs w:val="24"/>
                    </w:rPr>
                  </m:ctrlPr>
                </m:sub>
                <m:sup>
                  <m:r>
                    <w:rPr>
                      <w:rFonts w:ascii="Cambria Math" w:hAnsi="Times New Roman" w:cs="Times New Roman"/>
                      <w:kern w:val="0"/>
                      <w:sz w:val="24"/>
                      <w:szCs w:val="24"/>
                    </w:rPr>
                    <m:t>N</m:t>
                  </m:r>
                  <m:ctrlPr>
                    <w:rPr>
                      <w:rFonts w:ascii="Cambria Math" w:hAnsi="Times New Roman" w:cs="Times New Roman"/>
                      <w:kern w:val="0"/>
                      <w:sz w:val="24"/>
                      <w:szCs w:val="24"/>
                    </w:rPr>
                  </m:ctrlPr>
                </m:sup>
                <m:e>
                  <m:sSup>
                    <m:sSupPr>
                      <m:ctrlPr>
                        <w:rPr>
                          <w:rFonts w:ascii="Cambria Math" w:hAnsi="Times New Roman" w:cs="Times New Roman"/>
                          <w:kern w:val="0"/>
                          <w:sz w:val="24"/>
                          <w:szCs w:val="24"/>
                        </w:rPr>
                      </m:ctrlPr>
                    </m:sSupPr>
                    <m:e>
                      <m:r>
                        <w:rPr>
                          <w:rFonts w:ascii="Cambria Math" w:hAnsi="Times New Roman" w:cs="Times New Roman"/>
                          <w:kern w:val="0"/>
                          <w:sz w:val="24"/>
                          <w:szCs w:val="24"/>
                        </w:rPr>
                        <m:t>10</m:t>
                      </m:r>
                      <m:ctrlPr>
                        <w:rPr>
                          <w:rFonts w:ascii="Cambria Math" w:hAnsi="Times New Roman" w:cs="Times New Roman"/>
                          <w:kern w:val="0"/>
                          <w:sz w:val="24"/>
                          <w:szCs w:val="24"/>
                        </w:rPr>
                      </m:ctrlPr>
                    </m:e>
                    <m:sup>
                      <m:r>
                        <w:rPr>
                          <w:rFonts w:ascii="Cambria Math" w:hAnsi="Times New Roman" w:cs="Times New Roman"/>
                          <w:kern w:val="0"/>
                          <w:sz w:val="24"/>
                          <w:szCs w:val="24"/>
                        </w:rPr>
                        <m:t>0.</m:t>
                      </m:r>
                      <m:sSub>
                        <m:sSubPr>
                          <m:ctrlPr>
                            <w:rPr>
                              <w:rFonts w:ascii="Cambria Math" w:hAnsi="Times New Roman" w:cs="Times New Roman"/>
                              <w:sz w:val="24"/>
                              <w:szCs w:val="24"/>
                            </w:rPr>
                          </m:ctrlPr>
                        </m:sSubPr>
                        <m:e>
                          <m:r>
                            <w:rPr>
                              <w:rFonts w:ascii="Cambria Math" w:hAnsi="Times New Roman" w:cs="Times New Roman"/>
                              <w:sz w:val="24"/>
                              <w:szCs w:val="24"/>
                            </w:rPr>
                            <m:t>1L</m:t>
                          </m:r>
                          <m:ctrlPr>
                            <w:rPr>
                              <w:rFonts w:ascii="Cambria Math" w:hAnsi="Times New Roman" w:cs="Times New Roman"/>
                              <w:sz w:val="24"/>
                              <w:szCs w:val="24"/>
                            </w:rPr>
                          </m:ctrlPr>
                        </m:e>
                        <m:sub>
                          <m:r>
                            <w:rPr>
                              <w:rFonts w:ascii="Cambria Math" w:hAnsi="Times New Roman" w:cs="Times New Roman"/>
                              <w:sz w:val="24"/>
                              <w:szCs w:val="24"/>
                            </w:rPr>
                            <m:t>P</m:t>
                          </m:r>
                          <m:r>
                            <m:rPr>
                              <m:sty m:val="p"/>
                            </m:rPr>
                            <w:rPr>
                              <w:rFonts w:ascii="Cambria Math" w:hAnsi="Times New Roman" w:cs="Times New Roman"/>
                              <w:sz w:val="24"/>
                              <w:szCs w:val="24"/>
                            </w:rPr>
                            <m:t>li</m:t>
                          </m:r>
                          <m:ctrlPr>
                            <w:rPr>
                              <w:rFonts w:ascii="Cambria Math" w:hAnsi="Times New Roman" w:cs="Times New Roman"/>
                              <w:sz w:val="24"/>
                              <w:szCs w:val="24"/>
                            </w:rPr>
                          </m:ctrlPr>
                        </m:sub>
                      </m:sSub>
                      <m:r>
                        <w:rPr>
                          <w:rFonts w:ascii="Cambria Math" w:hAnsi="Times New Roman" w:cs="Times New Roman"/>
                          <w:kern w:val="0"/>
                          <w:sz w:val="24"/>
                          <w:szCs w:val="24"/>
                        </w:rPr>
                        <m:t>u</m:t>
                      </m:r>
                      <m:ctrlPr>
                        <w:rPr>
                          <w:rFonts w:ascii="Cambria Math" w:hAnsi="Times New Roman" w:cs="Times New Roman"/>
                          <w:kern w:val="0"/>
                          <w:sz w:val="24"/>
                          <w:szCs w:val="24"/>
                        </w:rPr>
                      </m:ctrlPr>
                    </m:sup>
                  </m:sSup>
                  <m:r>
                    <m:rPr>
                      <m:sty m:val="p"/>
                    </m:rPr>
                    <w:rPr>
                      <w:rFonts w:ascii="Times New Roman" w:hAnsi="Times New Roman" w:cs="Times New Roman"/>
                      <w:kern w:val="0"/>
                      <w:sz w:val="24"/>
                      <w:szCs w:val="24"/>
                    </w:rPr>
                    <m:t>）</m:t>
                  </m:r>
                  <m:ctrlPr>
                    <w:rPr>
                      <w:rFonts w:ascii="Cambria Math" w:hAnsi="Times New Roman" w:cs="Times New Roman"/>
                      <w:kern w:val="0"/>
                      <w:sz w:val="24"/>
                      <w:szCs w:val="24"/>
                    </w:rPr>
                  </m:ctrlPr>
                </m:e>
              </m:nary>
            </m:oMath>
            <w:r>
              <w:rPr>
                <w:rFonts w:ascii="Times New Roman" w:hAnsi="Times New Roman" w:cs="Times New Roman"/>
                <w:kern w:val="0"/>
                <w:sz w:val="24"/>
                <w:szCs w:val="24"/>
              </w:rPr>
              <w:t>（B.3）</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w:t>
            </w:r>
            <w:r>
              <w:rPr>
                <w:rFonts w:ascii="Times New Roman" w:hAnsi="Times New Roman" w:cs="Times New Roman"/>
                <w:sz w:val="24"/>
                <w:szCs w:val="24"/>
                <w:vertAlign w:val="subscript"/>
              </w:rPr>
              <w:t>pli</w:t>
            </w:r>
            <w:r>
              <w:rPr>
                <w:rFonts w:ascii="Times New Roman" w:hAnsi="Times New Roman" w:cs="Times New Roman"/>
                <w:sz w:val="24"/>
                <w:szCs w:val="24"/>
              </w:rPr>
              <w:t>（T）--靠近围护结构处室内N个声源i倍频带的叠加声压级，dB；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w:t>
            </w:r>
            <w:r>
              <w:rPr>
                <w:rFonts w:ascii="Times New Roman" w:hAnsi="Times New Roman" w:cs="Times New Roman"/>
                <w:sz w:val="24"/>
                <w:szCs w:val="24"/>
                <w:vertAlign w:val="subscript"/>
              </w:rPr>
              <w:t>plij</w:t>
            </w:r>
            <w:r>
              <w:rPr>
                <w:rFonts w:ascii="Times New Roman" w:hAnsi="Times New Roman" w:cs="Times New Roman"/>
                <w:sz w:val="24"/>
                <w:szCs w:val="24"/>
              </w:rPr>
              <w:t>--室内j声源i倍频带的声压级，dB；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N--室内声源总数。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在室内近似为扩散声场时，按式（B.4）计算出靠近室外围护结构处的声压级：</w:t>
            </w:r>
          </w:p>
          <w:p>
            <w:pPr>
              <w:spacing w:line="360" w:lineRule="auto"/>
              <w:jc w:val="center"/>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ctrlPr>
                    <w:rPr>
                      <w:rFonts w:ascii="Cambria Math" w:hAnsi="Times New Roman" w:cs="Times New Roman"/>
                      <w:sz w:val="24"/>
                      <w:szCs w:val="24"/>
                    </w:rPr>
                  </m:ctrlPr>
                </m:e>
                <m:sub>
                  <m:r>
                    <w:rPr>
                      <w:rFonts w:ascii="Cambria Math" w:hAnsi="Times New Roman" w:cs="Times New Roman"/>
                      <w:sz w:val="24"/>
                      <w:szCs w:val="24"/>
                    </w:rPr>
                    <m:t>P</m:t>
                  </m:r>
                  <m:r>
                    <m:rPr>
                      <m:sty m:val="p"/>
                    </m:rPr>
                    <w:rPr>
                      <w:rFonts w:ascii="Cambria Math" w:hAnsi="Times New Roman" w:cs="Times New Roman"/>
                      <w:sz w:val="24"/>
                      <w:szCs w:val="24"/>
                    </w:rPr>
                    <m:t>2i</m:t>
                  </m:r>
                  <m:ctrlPr>
                    <w:rPr>
                      <w:rFonts w:ascii="Cambria Math" w:hAnsi="Times New Roman" w:cs="Times New Roman"/>
                      <w:sz w:val="24"/>
                      <w:szCs w:val="24"/>
                    </w:rPr>
                  </m:ctrlPr>
                </m:sub>
              </m:sSub>
              <m:d>
                <m:dPr>
                  <m:begChr m:val="（"/>
                  <m:endChr m:val="）"/>
                  <m:ctrlPr>
                    <w:rPr>
                      <w:rFonts w:ascii="Cambria Math" w:hAnsi="Times New Roman" w:cs="Times New Roman"/>
                      <w:kern w:val="0"/>
                      <w:sz w:val="24"/>
                      <w:szCs w:val="24"/>
                    </w:rPr>
                  </m:ctrlPr>
                </m:dPr>
                <m:e>
                  <m:r>
                    <w:rPr>
                      <w:rFonts w:ascii="Cambria Math" w:hAnsi="Times New Roman" w:cs="Times New Roman"/>
                      <w:kern w:val="0"/>
                      <w:sz w:val="24"/>
                      <w:szCs w:val="24"/>
                    </w:rPr>
                    <m:t>T</m:t>
                  </m:r>
                  <m:ctrlPr>
                    <w:rPr>
                      <w:rFonts w:ascii="Cambria Math" w:hAnsi="Times New Roman" w:cs="Times New Roman"/>
                      <w:kern w:val="0"/>
                      <w:sz w:val="24"/>
                      <w:szCs w:val="24"/>
                    </w:rPr>
                  </m:ctrlPr>
                </m:e>
              </m:d>
              <m:r>
                <w:rPr>
                  <w:rFonts w:ascii="Cambria Math" w:hAnsi="Times New Roman" w:cs="Times New Roman"/>
                  <w:kern w:val="0"/>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L</m:t>
                  </m:r>
                  <m:ctrlPr>
                    <w:rPr>
                      <w:rFonts w:ascii="Cambria Math" w:hAnsi="Times New Roman" w:cs="Times New Roman"/>
                      <w:sz w:val="24"/>
                      <w:szCs w:val="24"/>
                    </w:rPr>
                  </m:ctrlPr>
                </m:e>
                <m:sub>
                  <m:r>
                    <w:rPr>
                      <w:rFonts w:ascii="Cambria Math" w:hAnsi="Times New Roman" w:cs="Times New Roman"/>
                      <w:sz w:val="24"/>
                      <w:szCs w:val="24"/>
                    </w:rPr>
                    <m:t>P</m:t>
                  </m:r>
                  <m:r>
                    <m:rPr>
                      <m:sty m:val="p"/>
                    </m:rPr>
                    <w:rPr>
                      <w:rFonts w:ascii="Cambria Math" w:hAnsi="Times New Roman" w:cs="Times New Roman"/>
                      <w:sz w:val="24"/>
                      <w:szCs w:val="24"/>
                    </w:rPr>
                    <m:t>1i</m:t>
                  </m:r>
                  <m:ctrlPr>
                    <w:rPr>
                      <w:rFonts w:ascii="Cambria Math" w:hAnsi="Times New Roman" w:cs="Times New Roman"/>
                      <w:sz w:val="24"/>
                      <w:szCs w:val="24"/>
                    </w:rPr>
                  </m:ctrlPr>
                </m:sub>
              </m:sSub>
              <m:d>
                <m:dPr>
                  <m:begChr m:val="（"/>
                  <m:endChr m:val="）"/>
                  <m:ctrlPr>
                    <w:rPr>
                      <w:rFonts w:ascii="Cambria Math" w:hAnsi="Times New Roman" w:cs="Times New Roman"/>
                      <w:kern w:val="0"/>
                      <w:sz w:val="24"/>
                      <w:szCs w:val="24"/>
                    </w:rPr>
                  </m:ctrlPr>
                </m:dPr>
                <m:e>
                  <m:r>
                    <w:rPr>
                      <w:rFonts w:ascii="Cambria Math" w:hAnsi="Times New Roman" w:cs="Times New Roman"/>
                      <w:kern w:val="0"/>
                      <w:sz w:val="24"/>
                      <w:szCs w:val="24"/>
                    </w:rPr>
                    <m:t>T</m:t>
                  </m:r>
                  <m:ctrlPr>
                    <w:rPr>
                      <w:rFonts w:ascii="Cambria Math" w:hAnsi="Times New Roman" w:cs="Times New Roman"/>
                      <w:kern w:val="0"/>
                      <w:sz w:val="24"/>
                      <w:szCs w:val="24"/>
                    </w:rPr>
                  </m:ctrlPr>
                </m:e>
              </m:d>
              <m:r>
                <m:rPr>
                  <m:sty m:val="p"/>
                </m:rPr>
                <w:rPr>
                  <w:rFonts w:ascii="Times New Roman" w:hAnsi="Times New Roman" w:cs="Times New Roman"/>
                  <w:kern w:val="0"/>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TL</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r>
                <m:rPr>
                  <m:sty m:val="p"/>
                </m:rPr>
                <w:rPr>
                  <w:rFonts w:ascii="Cambria Math" w:hAnsi="Times New Roman" w:cs="Times New Roman"/>
                  <w:kern w:val="0"/>
                  <w:sz w:val="24"/>
                  <w:szCs w:val="24"/>
                </w:rPr>
                <m:t>+6</m:t>
              </m:r>
              <m:r>
                <m:rPr>
                  <m:sty m:val="p"/>
                </m:rPr>
                <w:rPr>
                  <w:rFonts w:ascii="Times New Roman" w:hAnsi="Times New Roman" w:cs="Times New Roman"/>
                  <w:kern w:val="0"/>
                  <w:sz w:val="24"/>
                  <w:szCs w:val="24"/>
                </w:rPr>
                <m:t>）</m:t>
              </m:r>
            </m:oMath>
            <w:r>
              <w:rPr>
                <w:rFonts w:ascii="Times New Roman" w:hAnsi="Times New Roman" w:cs="Times New Roman"/>
                <w:sz w:val="24"/>
                <w:szCs w:val="24"/>
              </w:rPr>
              <w:t>（B.4）</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w:t>
            </w:r>
            <w:r>
              <w:rPr>
                <w:rFonts w:ascii="Times New Roman" w:hAnsi="Times New Roman" w:cs="Times New Roman"/>
                <w:sz w:val="24"/>
                <w:szCs w:val="24"/>
                <w:vertAlign w:val="subscript"/>
              </w:rPr>
              <w:t>p2i</w:t>
            </w:r>
            <w:r>
              <w:rPr>
                <w:rFonts w:ascii="Times New Roman" w:hAnsi="Times New Roman" w:cs="Times New Roman"/>
                <w:sz w:val="24"/>
                <w:szCs w:val="24"/>
              </w:rPr>
              <w:t>（T）--靠近围护结构处室外N个声源i倍频带的叠加声压级，dB；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p1i</w:t>
            </w:r>
            <w:r>
              <w:rPr>
                <w:rFonts w:ascii="Times New Roman" w:hAnsi="Times New Roman" w:cs="Times New Roman"/>
                <w:sz w:val="24"/>
                <w:szCs w:val="24"/>
              </w:rPr>
              <w:t>（T）--靠近围护结构处室内N个声源i倍频带的叠加声压级，dB；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TL</w:t>
            </w:r>
            <w:r>
              <w:rPr>
                <w:rFonts w:ascii="Times New Roman" w:hAnsi="Times New Roman" w:cs="Times New Roman"/>
                <w:sz w:val="24"/>
                <w:szCs w:val="24"/>
                <w:vertAlign w:val="subscript"/>
              </w:rPr>
              <w:t>i</w:t>
            </w:r>
            <w:r>
              <w:rPr>
                <w:rFonts w:ascii="Times New Roman" w:hAnsi="Times New Roman" w:cs="Times New Roman"/>
                <w:sz w:val="24"/>
                <w:szCs w:val="24"/>
              </w:rPr>
              <w:t>--围护结构i倍频带的隔声量，dB。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然后按式（B.5）将室外声源的声压级和透过面积换算成等效的室外声源，计算出中心位置位于透声面积（S）处的等效声源的倍频带声功率级。</w:t>
            </w:r>
          </w:p>
          <w:p>
            <w:pPr>
              <w:spacing w:line="360" w:lineRule="auto"/>
              <w:ind w:firstLine="480" w:firstLineChars="200"/>
              <w:jc w:val="center"/>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ctrlPr>
                    <w:rPr>
                      <w:rFonts w:ascii="Cambria Math" w:hAnsi="Times New Roman" w:cs="Times New Roman"/>
                      <w:sz w:val="24"/>
                      <w:szCs w:val="24"/>
                    </w:rPr>
                  </m:ctrlPr>
                </m:e>
                <m:sub>
                  <m:r>
                    <w:rPr>
                      <w:rFonts w:ascii="Cambria Math" w:hAnsi="Times New Roman" w:cs="Times New Roman"/>
                      <w:sz w:val="24"/>
                      <w:szCs w:val="24"/>
                    </w:rPr>
                    <m:t>w</m:t>
                  </m:r>
                  <m:ctrlPr>
                    <w:rPr>
                      <w:rFonts w:ascii="Cambria Math" w:hAnsi="Times New Roman" w:cs="Times New Roman"/>
                      <w:sz w:val="24"/>
                      <w:szCs w:val="24"/>
                    </w:rPr>
                  </m:ctrlPr>
                </m:sub>
              </m:sSub>
              <m:r>
                <w:rPr>
                  <w:rFonts w:ascii="Cambria Math" w:hAnsi="Times New Roman" w:cs="Times New Roman"/>
                  <w:kern w:val="0"/>
                  <w:sz w:val="24"/>
                  <w:szCs w:val="24"/>
                </w:rPr>
                <m:t>=</m:t>
              </m:r>
              <m:sSub>
                <m:sSubPr>
                  <m:ctrlPr>
                    <w:rPr>
                      <w:rFonts w:ascii="Cambria Math" w:hAnsi="Times New Roman" w:cs="Times New Roman"/>
                      <w:sz w:val="24"/>
                      <w:szCs w:val="24"/>
                    </w:rPr>
                  </m:ctrlPr>
                </m:sSubPr>
                <m:e>
                  <m:r>
                    <w:rPr>
                      <w:rFonts w:ascii="Cambria Math" w:hAnsi="Times New Roman" w:cs="Times New Roman"/>
                      <w:sz w:val="24"/>
                      <w:szCs w:val="24"/>
                    </w:rPr>
                    <m:t>L</m:t>
                  </m:r>
                  <m:ctrlPr>
                    <w:rPr>
                      <w:rFonts w:ascii="Cambria Math" w:hAnsi="Times New Roman" w:cs="Times New Roman"/>
                      <w:sz w:val="24"/>
                      <w:szCs w:val="24"/>
                    </w:rPr>
                  </m:ctrlPr>
                </m:e>
                <m:sub>
                  <m:r>
                    <w:rPr>
                      <w:rFonts w:ascii="Cambria Math" w:hAnsi="Times New Roman" w:cs="Times New Roman"/>
                      <w:sz w:val="24"/>
                      <w:szCs w:val="24"/>
                    </w:rPr>
                    <m:t>P</m:t>
                  </m:r>
                  <m:r>
                    <m:rPr>
                      <m:sty m:val="p"/>
                    </m:rPr>
                    <w:rPr>
                      <w:rFonts w:ascii="Cambria Math" w:hAnsi="Times New Roman" w:cs="Times New Roman"/>
                      <w:sz w:val="24"/>
                      <w:szCs w:val="24"/>
                    </w:rPr>
                    <m:t>2</m:t>
                  </m:r>
                  <m:ctrlPr>
                    <w:rPr>
                      <w:rFonts w:ascii="Cambria Math" w:hAnsi="Times New Roman" w:cs="Times New Roman"/>
                      <w:sz w:val="24"/>
                      <w:szCs w:val="24"/>
                    </w:rPr>
                  </m:ctrlPr>
                </m:sub>
              </m:sSub>
              <m:d>
                <m:dPr>
                  <m:begChr m:val="（"/>
                  <m:endChr m:val="）"/>
                  <m:ctrlPr>
                    <w:rPr>
                      <w:rFonts w:ascii="Cambria Math" w:hAnsi="Times New Roman" w:cs="Times New Roman"/>
                      <w:kern w:val="0"/>
                      <w:sz w:val="24"/>
                      <w:szCs w:val="24"/>
                    </w:rPr>
                  </m:ctrlPr>
                </m:dPr>
                <m:e>
                  <m:r>
                    <w:rPr>
                      <w:rFonts w:ascii="Cambria Math" w:hAnsi="Times New Roman" w:cs="Times New Roman"/>
                      <w:kern w:val="0"/>
                      <w:sz w:val="24"/>
                      <w:szCs w:val="24"/>
                    </w:rPr>
                    <m:t>T</m:t>
                  </m:r>
                  <m:ctrlPr>
                    <w:rPr>
                      <w:rFonts w:ascii="Cambria Math" w:hAnsi="Times New Roman" w:cs="Times New Roman"/>
                      <w:kern w:val="0"/>
                      <w:sz w:val="24"/>
                      <w:szCs w:val="24"/>
                    </w:rPr>
                  </m:ctrlPr>
                </m:e>
              </m:d>
              <m:r>
                <m:rPr>
                  <m:sty m:val="p"/>
                </m:rPr>
                <w:rPr>
                  <w:rFonts w:ascii="Cambria Math" w:hAnsi="Times New Roman" w:cs="Times New Roman"/>
                  <w:kern w:val="0"/>
                  <w:sz w:val="24"/>
                  <w:szCs w:val="24"/>
                </w:rPr>
                <m:t>+10lgS</m:t>
              </m:r>
            </m:oMath>
            <w:r>
              <w:rPr>
                <w:rFonts w:ascii="Times New Roman" w:hAnsi="Times New Roman" w:cs="Times New Roman"/>
                <w:sz w:val="24"/>
                <w:szCs w:val="24"/>
              </w:rPr>
              <w:t>（B.5）</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式中：Lw--中心位置位于透声面积（S）处的等效声源的倍频带声功率级，dB；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w:t>
            </w:r>
            <w:r>
              <w:rPr>
                <w:rFonts w:ascii="Times New Roman" w:hAnsi="Times New Roman" w:cs="Times New Roman"/>
                <w:sz w:val="24"/>
                <w:szCs w:val="24"/>
                <w:vertAlign w:val="subscript"/>
              </w:rPr>
              <w:t>p2</w:t>
            </w:r>
            <w:r>
              <w:rPr>
                <w:rFonts w:ascii="Times New Roman" w:hAnsi="Times New Roman" w:cs="Times New Roman"/>
                <w:sz w:val="24"/>
                <w:szCs w:val="24"/>
              </w:rPr>
              <w:t>(T)--靠近围护结构处室外声源的声压级，dB；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S--透声面积，m2。</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然后按室外声源预测方法计算预测点处的A声级。</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②工业企业噪声计算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设第i个室外声源在预测点产生的A声级为L</w:t>
            </w:r>
            <w:r>
              <w:rPr>
                <w:rFonts w:ascii="Times New Roman" w:hAnsi="Times New Roman" w:cs="Times New Roman"/>
                <w:sz w:val="24"/>
                <w:szCs w:val="24"/>
                <w:vertAlign w:val="subscript"/>
              </w:rPr>
              <w:t>Ai</w:t>
            </w:r>
            <w:r>
              <w:rPr>
                <w:rFonts w:ascii="Times New Roman" w:hAnsi="Times New Roman" w:cs="Times New Roman"/>
                <w:sz w:val="24"/>
                <w:szCs w:val="24"/>
              </w:rPr>
              <w:t>，在T时间内该声源工作时间为t</w:t>
            </w:r>
            <w:r>
              <w:rPr>
                <w:rFonts w:ascii="Times New Roman" w:hAnsi="Times New Roman" w:cs="Times New Roman"/>
                <w:sz w:val="24"/>
                <w:szCs w:val="24"/>
                <w:vertAlign w:val="subscript"/>
              </w:rPr>
              <w:t>i</w:t>
            </w:r>
            <w:r>
              <w:rPr>
                <w:rFonts w:ascii="Times New Roman" w:hAnsi="Times New Roman" w:cs="Times New Roman"/>
                <w:sz w:val="24"/>
                <w:szCs w:val="24"/>
              </w:rPr>
              <w:t>；第j个等效室外声源在预测点产生的A声级为L</w:t>
            </w:r>
            <w:r>
              <w:rPr>
                <w:rFonts w:ascii="Times New Roman" w:hAnsi="Times New Roman" w:cs="Times New Roman"/>
                <w:sz w:val="24"/>
                <w:szCs w:val="24"/>
                <w:vertAlign w:val="subscript"/>
              </w:rPr>
              <w:t>Aj</w:t>
            </w:r>
            <w:r>
              <w:rPr>
                <w:rFonts w:ascii="Times New Roman" w:hAnsi="Times New Roman" w:cs="Times New Roman"/>
                <w:sz w:val="24"/>
                <w:szCs w:val="24"/>
              </w:rPr>
              <w:t>，在T时间内该声源工作时间为t</w:t>
            </w:r>
            <w:r>
              <w:rPr>
                <w:rFonts w:ascii="Times New Roman" w:hAnsi="Times New Roman" w:cs="Times New Roman"/>
                <w:sz w:val="24"/>
                <w:szCs w:val="24"/>
                <w:vertAlign w:val="subscript"/>
              </w:rPr>
              <w:t>j</w:t>
            </w:r>
            <w:r>
              <w:rPr>
                <w:rFonts w:ascii="Times New Roman" w:hAnsi="Times New Roman" w:cs="Times New Roman"/>
                <w:sz w:val="24"/>
                <w:szCs w:val="24"/>
              </w:rPr>
              <w:t>，则拟建工程声源对预测点产生的贡献值（Leqg）为：</w:t>
            </w:r>
          </w:p>
          <w:p>
            <w:pPr>
              <w:spacing w:line="360" w:lineRule="auto"/>
              <w:ind w:firstLine="480" w:firstLineChars="200"/>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Times New Roman" w:cs="Times New Roman"/>
                      <w:sz w:val="24"/>
                      <w:szCs w:val="24"/>
                    </w:rPr>
                    <m:t>L</m:t>
                  </m:r>
                  <m:ctrlPr>
                    <w:rPr>
                      <w:rFonts w:ascii="Cambria Math" w:hAnsi="Times New Roman" w:cs="Times New Roman"/>
                      <w:sz w:val="24"/>
                      <w:szCs w:val="24"/>
                    </w:rPr>
                  </m:ctrlPr>
                </m:e>
                <m:sub>
                  <m:r>
                    <m:rPr>
                      <m:sty m:val="p"/>
                    </m:rPr>
                    <w:rPr>
                      <w:rFonts w:ascii="Cambria Math" w:hAnsi="Times New Roman" w:cs="Times New Roman"/>
                      <w:sz w:val="24"/>
                      <w:szCs w:val="24"/>
                    </w:rPr>
                    <m:t>eqg</m:t>
                  </m:r>
                  <m:ctrlPr>
                    <w:rPr>
                      <w:rFonts w:ascii="Cambria Math" w:hAnsi="Times New Roman" w:cs="Times New Roman"/>
                      <w:sz w:val="24"/>
                      <w:szCs w:val="24"/>
                    </w:rPr>
                  </m:ctrlPr>
                </m:sub>
              </m:sSub>
              <m:r>
                <w:rPr>
                  <w:rFonts w:ascii="Cambria Math" w:hAnsi="Times New Roman" w:cs="Times New Roman"/>
                  <w:kern w:val="0"/>
                  <w:sz w:val="24"/>
                  <w:szCs w:val="24"/>
                </w:rPr>
                <m:t>=10</m:t>
              </m:r>
              <m:func>
                <m:funcPr>
                  <m:ctrlPr>
                    <w:rPr>
                      <w:rFonts w:ascii="Cambria Math" w:hAnsi="Times New Roman" w:cs="Times New Roman"/>
                      <w:kern w:val="0"/>
                      <w:sz w:val="24"/>
                      <w:szCs w:val="24"/>
                    </w:rPr>
                  </m:ctrlPr>
                </m:funcPr>
                <m:fName>
                  <m:r>
                    <m:rPr>
                      <m:sty m:val="p"/>
                    </m:rPr>
                    <w:rPr>
                      <w:rFonts w:ascii="Cambria Math" w:hAnsi="Times New Roman" w:cs="Times New Roman"/>
                      <w:kern w:val="0"/>
                      <w:sz w:val="24"/>
                      <w:szCs w:val="24"/>
                    </w:rPr>
                    <m:t>lg</m:t>
                  </m:r>
                  <m:ctrlPr>
                    <w:rPr>
                      <w:rFonts w:ascii="Cambria Math" w:hAnsi="Times New Roman" w:cs="Times New Roman"/>
                      <w:kern w:val="0"/>
                      <w:sz w:val="24"/>
                      <w:szCs w:val="24"/>
                    </w:rPr>
                  </m:ctrlPr>
                </m:fName>
                <m:e>
                  <m:func>
                    <m:funcPr>
                      <m:ctrlPr>
                        <w:rPr>
                          <w:rFonts w:ascii="Cambria Math" w:hAnsi="Times New Roman" w:cs="Times New Roman"/>
                          <w:kern w:val="0"/>
                          <w:sz w:val="24"/>
                          <w:szCs w:val="24"/>
                        </w:rPr>
                      </m:ctrlPr>
                    </m:funcPr>
                    <m:fName>
                      <m:r>
                        <m:rPr>
                          <m:sty m:val="p"/>
                        </m:rPr>
                        <w:rPr>
                          <w:rFonts w:ascii="Cambria Math" w:hAnsi="Times New Roman" w:cs="Times New Roman"/>
                          <w:kern w:val="0"/>
                          <w:sz w:val="24"/>
                          <w:szCs w:val="24"/>
                        </w:rPr>
                        <m:t>[</m:t>
                      </m:r>
                      <m:ctrlPr>
                        <w:rPr>
                          <w:rFonts w:ascii="Cambria Math" w:hAnsi="Times New Roman" w:cs="Times New Roman"/>
                          <w:kern w:val="0"/>
                          <w:sz w:val="24"/>
                          <w:szCs w:val="24"/>
                        </w:rPr>
                      </m:ctrlPr>
                    </m:fName>
                    <m:e>
                      <m:f>
                        <m:fPr>
                          <m:ctrlPr>
                            <w:rPr>
                              <w:rFonts w:ascii="Cambria Math" w:hAnsi="Times New Roman" w:cs="Times New Roman"/>
                              <w:sz w:val="24"/>
                              <w:szCs w:val="24"/>
                            </w:rPr>
                          </m:ctrlPr>
                        </m:fPr>
                        <m:num>
                          <m:r>
                            <m:rPr>
                              <m:sty m:val="p"/>
                            </m:rPr>
                            <w:rPr>
                              <w:rFonts w:ascii="Cambria Math" w:hAnsi="Times New Roman" w:cs="Times New Roman"/>
                              <w:sz w:val="24"/>
                              <w:szCs w:val="24"/>
                            </w:rPr>
                            <m:t>1</m:t>
                          </m:r>
                          <m:ctrlPr>
                            <w:rPr>
                              <w:rFonts w:ascii="Cambria Math" w:hAnsi="Times New Roman" w:cs="Times New Roman"/>
                              <w:sz w:val="24"/>
                              <w:szCs w:val="24"/>
                            </w:rPr>
                          </m:ctrlPr>
                        </m:num>
                        <m:den>
                          <m:r>
                            <m:rPr>
                              <m:sty m:val="p"/>
                            </m:rPr>
                            <w:rPr>
                              <w:rFonts w:ascii="Cambria Math" w:hAnsi="Times New Roman" w:cs="Times New Roman"/>
                              <w:sz w:val="24"/>
                              <w:szCs w:val="24"/>
                            </w:rPr>
                            <m:t>T</m:t>
                          </m:r>
                          <m:ctrlPr>
                            <w:rPr>
                              <w:rFonts w:ascii="Cambria Math" w:hAnsi="Times New Roman" w:cs="Times New Roman"/>
                              <w:sz w:val="24"/>
                              <w:szCs w:val="24"/>
                            </w:rPr>
                          </m:ctrlPr>
                        </m:den>
                      </m:f>
                      <m:d>
                        <m:dPr>
                          <m:begChr m:val="（"/>
                          <m:endChr m:val="）"/>
                          <m:ctrlPr>
                            <w:rPr>
                              <w:rFonts w:ascii="Cambria Math" w:hAnsi="Times New Roman" w:cs="Times New Roman"/>
                              <w:kern w:val="0"/>
                              <w:sz w:val="24"/>
                              <w:szCs w:val="24"/>
                            </w:rPr>
                          </m:ctrlPr>
                        </m:dPr>
                        <m:e>
                          <m:nary>
                            <m:naryPr>
                              <m:chr m:val="∑"/>
                              <m:grow m:val="1"/>
                              <m:ctrlPr>
                                <w:rPr>
                                  <w:rFonts w:ascii="Cambria Math" w:hAnsi="Times New Roman" w:cs="Times New Roman"/>
                                  <w:kern w:val="0"/>
                                  <w:sz w:val="24"/>
                                  <w:szCs w:val="24"/>
                                </w:rPr>
                              </m:ctrlPr>
                            </m:naryPr>
                            <m:sub>
                              <m:r>
                                <w:rPr>
                                  <w:rFonts w:ascii="Cambria Math" w:hAnsi="Times New Roman" w:cs="Times New Roman"/>
                                  <w:kern w:val="0"/>
                                  <w:sz w:val="24"/>
                                  <w:szCs w:val="24"/>
                                </w:rPr>
                                <m:t>i=1</m:t>
                              </m:r>
                              <m:ctrlPr>
                                <w:rPr>
                                  <w:rFonts w:ascii="Cambria Math" w:hAnsi="Times New Roman" w:cs="Times New Roman"/>
                                  <w:kern w:val="0"/>
                                  <w:sz w:val="24"/>
                                  <w:szCs w:val="24"/>
                                </w:rPr>
                              </m:ctrlPr>
                            </m:sub>
                            <m:sup>
                              <m:r>
                                <w:rPr>
                                  <w:rFonts w:ascii="Cambria Math" w:hAnsi="Times New Roman" w:cs="Times New Roman"/>
                                  <w:kern w:val="0"/>
                                  <w:sz w:val="24"/>
                                  <w:szCs w:val="24"/>
                                </w:rPr>
                                <m:t>N</m:t>
                              </m:r>
                              <m:ctrlPr>
                                <w:rPr>
                                  <w:rFonts w:ascii="Cambria Math" w:hAnsi="Times New Roman" w:cs="Times New Roman"/>
                                  <w:kern w:val="0"/>
                                  <w:sz w:val="24"/>
                                  <w:szCs w:val="24"/>
                                </w:rPr>
                              </m:ctrlPr>
                            </m:sup>
                            <m:e>
                              <m:sSup>
                                <m:sSupPr>
                                  <m:ctrlPr>
                                    <w:rPr>
                                      <w:rFonts w:ascii="Cambria Math" w:hAnsi="Times New Roman" w:cs="Times New Roman"/>
                                      <w:kern w:val="0"/>
                                      <w:sz w:val="24"/>
                                      <w:szCs w:val="24"/>
                                    </w:rPr>
                                  </m:ctrlPr>
                                </m:sSupPr>
                                <m:e>
                                  <m:sSub>
                                    <m:sSubPr>
                                      <m:ctrlPr>
                                        <w:rPr>
                                          <w:rFonts w:ascii="Cambria Math" w:hAnsi="Times New Roman" w:cs="Times New Roman"/>
                                          <w:sz w:val="24"/>
                                          <w:szCs w:val="24"/>
                                        </w:rPr>
                                      </m:ctrlPr>
                                    </m:sSubPr>
                                    <m:e>
                                      <m:r>
                                        <w:rPr>
                                          <w:rFonts w:ascii="Cambria Math" w:hAnsi="Times New Roman" w:cs="Times New Roman"/>
                                          <w:sz w:val="24"/>
                                          <w:szCs w:val="24"/>
                                        </w:rPr>
                                        <m:t>t</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r>
                                    <w:rPr>
                                      <w:rFonts w:ascii="Cambria Math" w:hAnsi="Times New Roman" w:cs="Times New Roman"/>
                                      <w:kern w:val="0"/>
                                      <w:sz w:val="24"/>
                                      <w:szCs w:val="24"/>
                                    </w:rPr>
                                    <m:t>10</m:t>
                                  </m:r>
                                  <m:ctrlPr>
                                    <w:rPr>
                                      <w:rFonts w:ascii="Cambria Math" w:hAnsi="Times New Roman" w:cs="Times New Roman"/>
                                      <w:kern w:val="0"/>
                                      <w:sz w:val="24"/>
                                      <w:szCs w:val="24"/>
                                    </w:rPr>
                                  </m:ctrlPr>
                                </m:e>
                                <m:sup>
                                  <m:r>
                                    <w:rPr>
                                      <w:rFonts w:ascii="Cambria Math" w:hAnsi="Times New Roman" w:cs="Times New Roman"/>
                                      <w:kern w:val="0"/>
                                      <w:sz w:val="24"/>
                                      <w:szCs w:val="24"/>
                                    </w:rPr>
                                    <m:t>0.</m:t>
                                  </m:r>
                                  <m:sSub>
                                    <m:sSubPr>
                                      <m:ctrlPr>
                                        <w:rPr>
                                          <w:rFonts w:ascii="Cambria Math" w:hAnsi="Times New Roman" w:cs="Times New Roman"/>
                                          <w:sz w:val="24"/>
                                          <w:szCs w:val="24"/>
                                        </w:rPr>
                                      </m:ctrlPr>
                                    </m:sSubPr>
                                    <m:e>
                                      <m:r>
                                        <w:rPr>
                                          <w:rFonts w:ascii="Cambria Math" w:hAnsi="Times New Roman" w:cs="Times New Roman"/>
                                          <w:sz w:val="24"/>
                                          <w:szCs w:val="24"/>
                                        </w:rPr>
                                        <m:t>1L</m:t>
                                      </m:r>
                                      <m:ctrlPr>
                                        <w:rPr>
                                          <w:rFonts w:ascii="Cambria Math" w:hAnsi="Times New Roman" w:cs="Times New Roman"/>
                                          <w:sz w:val="24"/>
                                          <w:szCs w:val="24"/>
                                        </w:rPr>
                                      </m:ctrlPr>
                                    </m:e>
                                    <m:sub>
                                      <m:r>
                                        <w:rPr>
                                          <w:rFonts w:ascii="Cambria Math" w:hAnsi="Times New Roman" w:cs="Times New Roman"/>
                                          <w:sz w:val="24"/>
                                          <w:szCs w:val="24"/>
                                        </w:rPr>
                                        <m:t>A</m:t>
                                      </m:r>
                                      <m:r>
                                        <m:rPr>
                                          <m:sty m:val="p"/>
                                        </m:rPr>
                                        <w:rPr>
                                          <w:rFonts w:ascii="Cambria Math" w:hAnsi="Times New Roman" w:cs="Times New Roman"/>
                                          <w:sz w:val="24"/>
                                          <w:szCs w:val="24"/>
                                        </w:rPr>
                                        <m:t>i</m:t>
                                      </m:r>
                                      <m:ctrlPr>
                                        <w:rPr>
                                          <w:rFonts w:ascii="Cambria Math" w:hAnsi="Times New Roman" w:cs="Times New Roman"/>
                                          <w:sz w:val="24"/>
                                          <w:szCs w:val="24"/>
                                        </w:rPr>
                                      </m:ctrlPr>
                                    </m:sub>
                                  </m:sSub>
                                  <m:ctrlPr>
                                    <w:rPr>
                                      <w:rFonts w:ascii="Cambria Math" w:hAnsi="Times New Roman" w:cs="Times New Roman"/>
                                      <w:kern w:val="0"/>
                                      <w:sz w:val="24"/>
                                      <w:szCs w:val="24"/>
                                    </w:rPr>
                                  </m:ctrlPr>
                                </m:sup>
                              </m:sSup>
                              <m:r>
                                <m:rPr>
                                  <m:sty m:val="p"/>
                                </m:rPr>
                                <w:rPr>
                                  <w:rFonts w:ascii="Cambria Math" w:hAnsi="Times New Roman" w:cs="Times New Roman"/>
                                  <w:kern w:val="0"/>
                                  <w:sz w:val="24"/>
                                  <w:szCs w:val="24"/>
                                </w:rPr>
                                <m:t>+</m:t>
                              </m:r>
                              <m:ctrlPr>
                                <w:rPr>
                                  <w:rFonts w:ascii="Cambria Math" w:hAnsi="Times New Roman" w:cs="Times New Roman"/>
                                  <w:kern w:val="0"/>
                                  <w:sz w:val="24"/>
                                  <w:szCs w:val="24"/>
                                </w:rPr>
                              </m:ctrlPr>
                            </m:e>
                          </m:nary>
                          <m:nary>
                            <m:naryPr>
                              <m:chr m:val="∑"/>
                              <m:grow m:val="1"/>
                              <m:ctrlPr>
                                <w:rPr>
                                  <w:rFonts w:ascii="Cambria Math" w:hAnsi="Times New Roman" w:cs="Times New Roman"/>
                                  <w:kern w:val="0"/>
                                  <w:sz w:val="24"/>
                                  <w:szCs w:val="24"/>
                                </w:rPr>
                              </m:ctrlPr>
                            </m:naryPr>
                            <m:sub>
                              <m:r>
                                <w:rPr>
                                  <w:rFonts w:ascii="Cambria Math" w:hAnsi="Times New Roman" w:cs="Times New Roman"/>
                                  <w:kern w:val="0"/>
                                  <w:sz w:val="24"/>
                                  <w:szCs w:val="24"/>
                                </w:rPr>
                                <m:t>j=1</m:t>
                              </m:r>
                              <m:ctrlPr>
                                <w:rPr>
                                  <w:rFonts w:ascii="Cambria Math" w:hAnsi="Times New Roman" w:cs="Times New Roman"/>
                                  <w:kern w:val="0"/>
                                  <w:sz w:val="24"/>
                                  <w:szCs w:val="24"/>
                                </w:rPr>
                              </m:ctrlPr>
                            </m:sub>
                            <m:sup>
                              <m:r>
                                <w:rPr>
                                  <w:rFonts w:ascii="Cambria Math" w:hAnsi="Times New Roman" w:cs="Times New Roman"/>
                                  <w:kern w:val="0"/>
                                  <w:sz w:val="24"/>
                                  <w:szCs w:val="24"/>
                                </w:rPr>
                                <m:t>M</m:t>
                              </m:r>
                              <m:ctrlPr>
                                <w:rPr>
                                  <w:rFonts w:ascii="Cambria Math" w:hAnsi="Times New Roman" w:cs="Times New Roman"/>
                                  <w:kern w:val="0"/>
                                  <w:sz w:val="24"/>
                                  <w:szCs w:val="24"/>
                                </w:rPr>
                              </m:ctrlPr>
                            </m:sup>
                            <m:e>
                              <m:sSup>
                                <m:sSupPr>
                                  <m:ctrlPr>
                                    <w:rPr>
                                      <w:rFonts w:ascii="Cambria Math" w:hAnsi="Times New Roman" w:cs="Times New Roman"/>
                                      <w:kern w:val="0"/>
                                      <w:sz w:val="24"/>
                                      <w:szCs w:val="24"/>
                                    </w:rPr>
                                  </m:ctrlPr>
                                </m:sSupPr>
                                <m:e>
                                  <m:sSub>
                                    <m:sSubPr>
                                      <m:ctrlPr>
                                        <w:rPr>
                                          <w:rFonts w:ascii="Cambria Math" w:hAnsi="Times New Roman" w:cs="Times New Roman"/>
                                          <w:sz w:val="24"/>
                                          <w:szCs w:val="24"/>
                                        </w:rPr>
                                      </m:ctrlPr>
                                    </m:sSubPr>
                                    <m:e>
                                      <m:r>
                                        <w:rPr>
                                          <w:rFonts w:ascii="Cambria Math" w:hAnsi="Times New Roman" w:cs="Times New Roman"/>
                                          <w:sz w:val="24"/>
                                          <w:szCs w:val="24"/>
                                        </w:rPr>
                                        <m:t>t</m:t>
                                      </m:r>
                                      <m:ctrlPr>
                                        <w:rPr>
                                          <w:rFonts w:ascii="Cambria Math" w:hAnsi="Times New Roman" w:cs="Times New Roman"/>
                                          <w:sz w:val="24"/>
                                          <w:szCs w:val="24"/>
                                        </w:rPr>
                                      </m:ctrlPr>
                                    </m:e>
                                    <m:sub>
                                      <m:r>
                                        <m:rPr>
                                          <m:sty m:val="p"/>
                                        </m:rPr>
                                        <w:rPr>
                                          <w:rFonts w:ascii="Cambria Math" w:hAnsi="Times New Roman" w:cs="Times New Roman"/>
                                          <w:sz w:val="24"/>
                                          <w:szCs w:val="24"/>
                                        </w:rPr>
                                        <m:t>j</m:t>
                                      </m:r>
                                      <m:ctrlPr>
                                        <w:rPr>
                                          <w:rFonts w:ascii="Cambria Math" w:hAnsi="Times New Roman" w:cs="Times New Roman"/>
                                          <w:sz w:val="24"/>
                                          <w:szCs w:val="24"/>
                                        </w:rPr>
                                      </m:ctrlPr>
                                    </m:sub>
                                  </m:sSub>
                                  <m:r>
                                    <w:rPr>
                                      <w:rFonts w:ascii="Cambria Math" w:hAnsi="Times New Roman" w:cs="Times New Roman"/>
                                      <w:kern w:val="0"/>
                                      <w:sz w:val="24"/>
                                      <w:szCs w:val="24"/>
                                    </w:rPr>
                                    <m:t>10</m:t>
                                  </m:r>
                                  <m:ctrlPr>
                                    <w:rPr>
                                      <w:rFonts w:ascii="Cambria Math" w:hAnsi="Times New Roman" w:cs="Times New Roman"/>
                                      <w:kern w:val="0"/>
                                      <w:sz w:val="24"/>
                                      <w:szCs w:val="24"/>
                                    </w:rPr>
                                  </m:ctrlPr>
                                </m:e>
                                <m:sup>
                                  <m:r>
                                    <w:rPr>
                                      <w:rFonts w:ascii="Cambria Math" w:hAnsi="Times New Roman" w:cs="Times New Roman"/>
                                      <w:kern w:val="0"/>
                                      <w:sz w:val="24"/>
                                      <w:szCs w:val="24"/>
                                    </w:rPr>
                                    <m:t>0.</m:t>
                                  </m:r>
                                  <m:sSub>
                                    <m:sSubPr>
                                      <m:ctrlPr>
                                        <w:rPr>
                                          <w:rFonts w:ascii="Cambria Math" w:hAnsi="Times New Roman" w:cs="Times New Roman"/>
                                          <w:sz w:val="24"/>
                                          <w:szCs w:val="24"/>
                                        </w:rPr>
                                      </m:ctrlPr>
                                    </m:sSubPr>
                                    <m:e>
                                      <m:r>
                                        <w:rPr>
                                          <w:rFonts w:ascii="Cambria Math" w:hAnsi="Times New Roman" w:cs="Times New Roman"/>
                                          <w:sz w:val="24"/>
                                          <w:szCs w:val="24"/>
                                        </w:rPr>
                                        <m:t>1L</m:t>
                                      </m:r>
                                      <m:ctrlPr>
                                        <w:rPr>
                                          <w:rFonts w:ascii="Cambria Math" w:hAnsi="Times New Roman" w:cs="Times New Roman"/>
                                          <w:sz w:val="24"/>
                                          <w:szCs w:val="24"/>
                                        </w:rPr>
                                      </m:ctrlPr>
                                    </m:e>
                                    <m:sub>
                                      <m:r>
                                        <w:rPr>
                                          <w:rFonts w:ascii="Cambria Math" w:hAnsi="Times New Roman" w:cs="Times New Roman"/>
                                          <w:sz w:val="24"/>
                                          <w:szCs w:val="24"/>
                                        </w:rPr>
                                        <m:t>A</m:t>
                                      </m:r>
                                      <m:r>
                                        <m:rPr>
                                          <m:sty m:val="p"/>
                                        </m:rPr>
                                        <w:rPr>
                                          <w:rFonts w:ascii="Cambria Math" w:hAnsi="Times New Roman" w:cs="Times New Roman"/>
                                          <w:sz w:val="24"/>
                                          <w:szCs w:val="24"/>
                                        </w:rPr>
                                        <m:t>j</m:t>
                                      </m:r>
                                      <m:ctrlPr>
                                        <w:rPr>
                                          <w:rFonts w:ascii="Cambria Math" w:hAnsi="Times New Roman" w:cs="Times New Roman"/>
                                          <w:sz w:val="24"/>
                                          <w:szCs w:val="24"/>
                                        </w:rPr>
                                      </m:ctrlPr>
                                    </m:sub>
                                  </m:sSub>
                                  <m:ctrlPr>
                                    <w:rPr>
                                      <w:rFonts w:ascii="Cambria Math" w:hAnsi="Times New Roman" w:cs="Times New Roman"/>
                                      <w:kern w:val="0"/>
                                      <w:sz w:val="24"/>
                                      <w:szCs w:val="24"/>
                                    </w:rPr>
                                  </m:ctrlPr>
                                </m:sup>
                              </m:sSup>
                              <m:ctrlPr>
                                <w:rPr>
                                  <w:rFonts w:ascii="Cambria Math" w:hAnsi="Times New Roman" w:cs="Times New Roman"/>
                                  <w:kern w:val="0"/>
                                  <w:sz w:val="24"/>
                                  <w:szCs w:val="24"/>
                                </w:rPr>
                              </m:ctrlPr>
                            </m:e>
                          </m:nary>
                          <m:ctrlPr>
                            <w:rPr>
                              <w:rFonts w:ascii="Cambria Math" w:hAnsi="Times New Roman" w:cs="Times New Roman"/>
                              <w:kern w:val="0"/>
                              <w:sz w:val="24"/>
                              <w:szCs w:val="24"/>
                            </w:rPr>
                          </m:ctrlPr>
                        </m:e>
                      </m:d>
                      <m:ctrlPr>
                        <w:rPr>
                          <w:rFonts w:ascii="Cambria Math" w:hAnsi="Times New Roman" w:cs="Times New Roman"/>
                          <w:i/>
                          <w:sz w:val="24"/>
                          <w:szCs w:val="24"/>
                        </w:rPr>
                      </m:ctrlPr>
                    </m:e>
                  </m:func>
                  <m:ctrlPr>
                    <w:rPr>
                      <w:rFonts w:ascii="Cambria Math" w:hAnsi="Times New Roman" w:cs="Times New Roman"/>
                      <w:i/>
                      <w:sz w:val="24"/>
                      <w:szCs w:val="24"/>
                    </w:rPr>
                  </m:ctrlPr>
                </m:e>
              </m:func>
              <m:r>
                <m:rPr>
                  <m:sty m:val="p"/>
                </m:rPr>
                <w:rPr>
                  <w:rFonts w:ascii="Cambria Math" w:hAnsi="Times New Roman" w:cs="Times New Roman"/>
                  <w:kern w:val="0"/>
                  <w:sz w:val="24"/>
                  <w:szCs w:val="24"/>
                </w:rPr>
                <m:t>]</m:t>
              </m:r>
            </m:oMath>
            <w:r>
              <w:rPr>
                <w:rFonts w:ascii="Times New Roman" w:hAnsi="Times New Roman" w:cs="Times New Roman"/>
                <w:sz w:val="24"/>
                <w:szCs w:val="24"/>
              </w:rPr>
              <w:t>（B.6）</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式中：Leqg--建设项目声源在预测点产生的噪声贡献值，dB；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T--用于计算等效声级的时间，s；</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N--室外声源个数；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ti--在T时间内i声源工作时间，s；</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M--等效室外声源个数；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tj--在T时间内j声源工作时间，s。</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③预测值计算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预测点的贡献值和背景值按能量叠加方法计算得到的声级。噪声预测值（Leq）计算公式为：</w:t>
            </w:r>
          </w:p>
          <w:p>
            <w:pPr>
              <w:spacing w:line="360" w:lineRule="auto"/>
              <w:jc w:val="center"/>
              <w:rPr>
                <w:rFonts w:ascii="Times New Roman" w:hAnsi="Times New Roman" w:eastAsia="宋体" w:cs="Times New Roman"/>
                <w:kern w:val="0"/>
              </w:rPr>
            </w:pPr>
            <w:r>
              <w:rPr>
                <w:rFonts w:ascii="Times New Roman" w:hAnsi="Times New Roman" w:cs="Times New Roman"/>
                <w:sz w:val="24"/>
                <w:szCs w:val="24"/>
              </w:rPr>
              <w:object>
                <v:shape id="_x0000_i1030" o:spt="75" type="#_x0000_t75" style="height:20.4pt;width:141.6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式中：Leq--预测点的噪声预测值，dB；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L--建设项目声源在预测点产生的噪声贡献值，dB；</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Leqb--预测点的背景噪声值，dB。</w:t>
            </w:r>
          </w:p>
          <w:p>
            <w:pPr>
              <w:spacing w:line="360" w:lineRule="auto"/>
              <w:ind w:firstLine="482" w:firstLineChars="200"/>
              <w:rPr>
                <w:rFonts w:ascii="Times New Roman" w:hAnsi="Times New Roman" w:cs="Times New Roman"/>
                <w:b/>
                <w:sz w:val="24"/>
                <w:szCs w:val="24"/>
              </w:rPr>
            </w:pPr>
            <w:r>
              <w:rPr>
                <w:rFonts w:ascii="Times New Roman" w:hAnsi="Times New Roman" w:eastAsia="宋体" w:cs="Times New Roman"/>
                <w:b/>
                <w:sz w:val="24"/>
                <w:szCs w:val="24"/>
              </w:rPr>
              <w:t>④</w:t>
            </w:r>
            <w:r>
              <w:rPr>
                <w:rFonts w:ascii="Times New Roman" w:hAnsi="Times New Roman" w:cs="Times New Roman"/>
                <w:b/>
                <w:sz w:val="24"/>
                <w:szCs w:val="24"/>
              </w:rPr>
              <w:t>预测点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预测点均设置为东、南、西、北四个厂界。</w:t>
            </w:r>
          </w:p>
          <w:p>
            <w:pPr>
              <w:spacing w:line="360" w:lineRule="auto"/>
              <w:ind w:firstLine="482" w:firstLineChars="200"/>
              <w:rPr>
                <w:rFonts w:ascii="Times New Roman" w:hAnsi="Times New Roman" w:cs="Times New Roman"/>
                <w:b/>
                <w:sz w:val="24"/>
                <w:szCs w:val="24"/>
              </w:rPr>
            </w:pPr>
            <w:r>
              <w:rPr>
                <w:rFonts w:ascii="Times New Roman" w:hAnsi="Times New Roman" w:eastAsia="宋体" w:cs="Times New Roman"/>
                <w:b/>
                <w:sz w:val="24"/>
                <w:szCs w:val="24"/>
              </w:rPr>
              <w:t>⑤</w:t>
            </w:r>
            <w:r>
              <w:rPr>
                <w:rFonts w:ascii="Times New Roman" w:hAnsi="Times New Roman" w:cs="Times New Roman"/>
                <w:b/>
                <w:sz w:val="24"/>
                <w:szCs w:val="24"/>
              </w:rPr>
              <w:t>预测结果与评价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经过预测，项目厂界东、南、西、北预测点的噪声预测结果如下表所示。</w:t>
            </w:r>
          </w:p>
          <w:p>
            <w:pPr>
              <w:jc w:val="center"/>
              <w:rPr>
                <w:rFonts w:ascii="Times New Roman" w:hAnsi="Times New Roman" w:cs="Times New Roman"/>
                <w:b/>
                <w:szCs w:val="24"/>
              </w:rPr>
            </w:pPr>
            <w:r>
              <w:rPr>
                <w:rFonts w:ascii="Times New Roman" w:hAnsi="Times New Roman" w:cs="Times New Roman"/>
                <w:b/>
                <w:szCs w:val="24"/>
              </w:rPr>
              <w:t>表4.2.3-2 项目建成后预测点的噪声预测值  单位：dB（A）</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903"/>
              <w:gridCol w:w="1806"/>
              <w:gridCol w:w="1826"/>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303" w:type="dxa"/>
                  <w:vAlign w:val="center"/>
                </w:tcPr>
                <w:p>
                  <w:pPr>
                    <w:pStyle w:val="26"/>
                    <w:spacing w:line="360" w:lineRule="exact"/>
                    <w:rPr>
                      <w:color w:val="auto"/>
                      <w:szCs w:val="21"/>
                    </w:rPr>
                  </w:pPr>
                  <w:r>
                    <w:rPr>
                      <w:color w:val="auto"/>
                      <w:szCs w:val="21"/>
                    </w:rPr>
                    <w:t>预测值</w:t>
                  </w:r>
                </w:p>
              </w:tc>
              <w:tc>
                <w:tcPr>
                  <w:tcW w:w="1903" w:type="dxa"/>
                  <w:vAlign w:val="center"/>
                </w:tcPr>
                <w:p>
                  <w:pPr>
                    <w:pStyle w:val="26"/>
                    <w:spacing w:line="360" w:lineRule="exact"/>
                    <w:rPr>
                      <w:color w:val="auto"/>
                      <w:szCs w:val="21"/>
                    </w:rPr>
                  </w:pPr>
                  <w:r>
                    <w:rPr>
                      <w:color w:val="auto"/>
                      <w:szCs w:val="21"/>
                    </w:rPr>
                    <w:t>厂界东</w:t>
                  </w:r>
                </w:p>
              </w:tc>
              <w:tc>
                <w:tcPr>
                  <w:tcW w:w="1806" w:type="dxa"/>
                  <w:vAlign w:val="center"/>
                </w:tcPr>
                <w:p>
                  <w:pPr>
                    <w:pStyle w:val="26"/>
                    <w:spacing w:line="360" w:lineRule="exact"/>
                    <w:rPr>
                      <w:color w:val="auto"/>
                      <w:szCs w:val="21"/>
                    </w:rPr>
                  </w:pPr>
                  <w:r>
                    <w:rPr>
                      <w:color w:val="auto"/>
                      <w:szCs w:val="21"/>
                    </w:rPr>
                    <w:t>厂界南</w:t>
                  </w:r>
                </w:p>
              </w:tc>
              <w:tc>
                <w:tcPr>
                  <w:tcW w:w="1826" w:type="dxa"/>
                  <w:vAlign w:val="center"/>
                </w:tcPr>
                <w:p>
                  <w:pPr>
                    <w:pStyle w:val="26"/>
                    <w:spacing w:line="360" w:lineRule="exact"/>
                    <w:rPr>
                      <w:color w:val="auto"/>
                      <w:szCs w:val="21"/>
                    </w:rPr>
                  </w:pPr>
                  <w:r>
                    <w:rPr>
                      <w:color w:val="auto"/>
                      <w:szCs w:val="21"/>
                    </w:rPr>
                    <w:t>厂界西</w:t>
                  </w:r>
                </w:p>
              </w:tc>
              <w:tc>
                <w:tcPr>
                  <w:tcW w:w="1767" w:type="dxa"/>
                  <w:vAlign w:val="center"/>
                </w:tcPr>
                <w:p>
                  <w:pPr>
                    <w:pStyle w:val="26"/>
                    <w:spacing w:line="360" w:lineRule="exact"/>
                    <w:rPr>
                      <w:color w:val="auto"/>
                      <w:szCs w:val="21"/>
                    </w:rPr>
                  </w:pPr>
                  <w:r>
                    <w:rPr>
                      <w:color w:val="auto"/>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vAlign w:val="center"/>
                </w:tcPr>
                <w:p>
                  <w:pPr>
                    <w:pStyle w:val="26"/>
                    <w:spacing w:line="360" w:lineRule="exact"/>
                    <w:rPr>
                      <w:color w:val="auto"/>
                      <w:szCs w:val="21"/>
                    </w:rPr>
                  </w:pPr>
                  <w:r>
                    <w:rPr>
                      <w:color w:val="auto"/>
                      <w:szCs w:val="21"/>
                    </w:rPr>
                    <w:t>昼</w:t>
                  </w:r>
                </w:p>
              </w:tc>
              <w:tc>
                <w:tcPr>
                  <w:tcW w:w="1903"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53.6</w:t>
                  </w:r>
                </w:p>
              </w:tc>
              <w:tc>
                <w:tcPr>
                  <w:tcW w:w="1806"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54.3</w:t>
                  </w:r>
                </w:p>
              </w:tc>
              <w:tc>
                <w:tcPr>
                  <w:tcW w:w="1826"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52.1</w:t>
                  </w:r>
                </w:p>
              </w:tc>
              <w:tc>
                <w:tcPr>
                  <w:tcW w:w="1767"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vAlign w:val="center"/>
                </w:tcPr>
                <w:p>
                  <w:pPr>
                    <w:pStyle w:val="26"/>
                    <w:spacing w:line="360" w:lineRule="exact"/>
                    <w:rPr>
                      <w:color w:val="auto"/>
                      <w:szCs w:val="21"/>
                    </w:rPr>
                  </w:pPr>
                  <w:r>
                    <w:rPr>
                      <w:color w:val="auto"/>
                      <w:szCs w:val="21"/>
                    </w:rPr>
                    <w:t>夜</w:t>
                  </w:r>
                </w:p>
              </w:tc>
              <w:tc>
                <w:tcPr>
                  <w:tcW w:w="1903"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42.7</w:t>
                  </w:r>
                </w:p>
              </w:tc>
              <w:tc>
                <w:tcPr>
                  <w:tcW w:w="1806"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41.9</w:t>
                  </w:r>
                </w:p>
              </w:tc>
              <w:tc>
                <w:tcPr>
                  <w:tcW w:w="1826"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44.6</w:t>
                  </w:r>
                </w:p>
              </w:tc>
              <w:tc>
                <w:tcPr>
                  <w:tcW w:w="1767" w:type="dxa"/>
                  <w:vAlign w:val="center"/>
                </w:tcPr>
                <w:p>
                  <w:pPr>
                    <w:widowControl/>
                    <w:spacing w:line="360" w:lineRule="exact"/>
                    <w:jc w:val="center"/>
                    <w:rPr>
                      <w:rFonts w:ascii="Times New Roman" w:hAnsi="Times New Roman" w:eastAsia="宋体" w:cs="Times New Roman"/>
                      <w:kern w:val="32"/>
                    </w:rPr>
                  </w:pPr>
                  <w:r>
                    <w:rPr>
                      <w:rFonts w:ascii="Times New Roman" w:hAnsi="Times New Roman" w:eastAsia="宋体" w:cs="Times New Roman"/>
                      <w:kern w:val="32"/>
                    </w:rPr>
                    <w:t>46.7</w:t>
                  </w:r>
                </w:p>
              </w:tc>
            </w:tr>
          </w:tbl>
          <w:p>
            <w:pPr>
              <w:spacing w:beforeLines="50" w:line="360" w:lineRule="auto"/>
              <w:ind w:firstLine="360" w:firstLineChars="150"/>
              <w:rPr>
                <w:rFonts w:ascii="Times New Roman" w:hAnsi="Times New Roman" w:cs="Times New Roman"/>
                <w:b/>
                <w:sz w:val="24"/>
                <w:szCs w:val="24"/>
              </w:rPr>
            </w:pPr>
            <w:r>
              <w:rPr>
                <w:rFonts w:ascii="Times New Roman" w:hAnsi="Times New Roman" w:cs="Times New Roman"/>
                <w:sz w:val="24"/>
                <w:szCs w:val="24"/>
              </w:rPr>
              <w:t>由上表可知，项目运营期设备加装减振垫、消音器，噪声墙体阻隔、空气吸收和距离等衰减后，厂界噪声夜间可达到《工业企业厂界环境噪声排放标准》（GB12348-2008）2类标准要求。</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（3）对环境保护目标影响预测</w:t>
            </w:r>
          </w:p>
          <w:p>
            <w:pPr>
              <w:pStyle w:val="34"/>
              <w:ind w:firstLine="480"/>
              <w:rPr>
                <w:rFonts w:eastAsiaTheme="minorEastAsia"/>
                <w:szCs w:val="24"/>
              </w:rPr>
            </w:pPr>
            <w:r>
              <w:rPr>
                <w:rFonts w:eastAsiaTheme="minorEastAsia"/>
                <w:szCs w:val="24"/>
              </w:rPr>
              <w:t>根据调查，项目声环境保护目标即厂区东侧8m的散户居民，根据厂界预测结果，叠加其背景值，该环境保护目标的预测值为昼间：56.4dB（A）、夜间：48.6dB（A）；均可达到《声环境质量标准》（GB3096-2008）2类区标准；则该项目噪声对声环境保护目标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（4）自行监测要求</w:t>
            </w:r>
          </w:p>
          <w:p>
            <w:pPr>
              <w:pStyle w:val="34"/>
              <w:ind w:firstLine="480"/>
              <w:rPr>
                <w:rFonts w:eastAsiaTheme="minorEastAsia"/>
                <w:szCs w:val="24"/>
              </w:rPr>
            </w:pPr>
            <w:r>
              <w:rPr>
                <w:rFonts w:eastAsiaTheme="minorEastAsia"/>
                <w:szCs w:val="24"/>
              </w:rPr>
              <w:t>根据《排污单位自行监测技术指南 总则》（HJ819-2017）的要求，项目噪声自行监测要求如下表所示。</w:t>
            </w:r>
          </w:p>
          <w:p>
            <w:pPr>
              <w:pStyle w:val="28"/>
              <w:spacing w:beforeLines="0"/>
              <w:rPr>
                <w:rFonts w:hAnsi="Times New Roman" w:eastAsiaTheme="minorEastAsia"/>
                <w:sz w:val="21"/>
                <w:szCs w:val="21"/>
              </w:rPr>
            </w:pPr>
            <w:r>
              <w:rPr>
                <w:rFonts w:hAnsi="Times New Roman" w:eastAsiaTheme="minorEastAsia"/>
                <w:sz w:val="21"/>
                <w:szCs w:val="21"/>
              </w:rPr>
              <w:t>表4.2.3-3  厂界噪声自行监测计划一览表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417"/>
              <w:gridCol w:w="170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pStyle w:val="26"/>
                    <w:widowControl w:val="0"/>
                    <w:spacing w:line="360" w:lineRule="exact"/>
                    <w:rPr>
                      <w:rFonts w:eastAsiaTheme="minorEastAsia"/>
                      <w:color w:val="auto"/>
                    </w:rPr>
                  </w:pPr>
                  <w:r>
                    <w:rPr>
                      <w:rFonts w:eastAsiaTheme="minorEastAsia"/>
                      <w:color w:val="auto"/>
                    </w:rPr>
                    <w:t>对象</w:t>
                  </w:r>
                </w:p>
              </w:tc>
              <w:tc>
                <w:tcPr>
                  <w:tcW w:w="1276" w:type="dxa"/>
                  <w:vAlign w:val="center"/>
                </w:tcPr>
                <w:p>
                  <w:pPr>
                    <w:pStyle w:val="26"/>
                    <w:widowControl w:val="0"/>
                    <w:spacing w:line="360" w:lineRule="exact"/>
                    <w:rPr>
                      <w:rFonts w:eastAsiaTheme="minorEastAsia"/>
                      <w:color w:val="auto"/>
                    </w:rPr>
                  </w:pPr>
                  <w:r>
                    <w:rPr>
                      <w:rFonts w:eastAsiaTheme="minorEastAsia"/>
                      <w:color w:val="auto"/>
                    </w:rPr>
                    <w:t>监测点位</w:t>
                  </w:r>
                </w:p>
              </w:tc>
              <w:tc>
                <w:tcPr>
                  <w:tcW w:w="1417" w:type="dxa"/>
                  <w:vAlign w:val="center"/>
                </w:tcPr>
                <w:p>
                  <w:pPr>
                    <w:pStyle w:val="26"/>
                    <w:widowControl w:val="0"/>
                    <w:spacing w:line="360" w:lineRule="exact"/>
                    <w:rPr>
                      <w:rFonts w:eastAsiaTheme="minorEastAsia"/>
                      <w:color w:val="auto"/>
                    </w:rPr>
                  </w:pPr>
                  <w:r>
                    <w:rPr>
                      <w:rFonts w:eastAsiaTheme="minorEastAsia"/>
                      <w:color w:val="auto"/>
                    </w:rPr>
                    <w:t>监测因子</w:t>
                  </w:r>
                </w:p>
              </w:tc>
              <w:tc>
                <w:tcPr>
                  <w:tcW w:w="1701" w:type="dxa"/>
                  <w:vAlign w:val="center"/>
                </w:tcPr>
                <w:p>
                  <w:pPr>
                    <w:pStyle w:val="26"/>
                    <w:widowControl w:val="0"/>
                    <w:spacing w:line="360" w:lineRule="exact"/>
                    <w:rPr>
                      <w:rFonts w:eastAsiaTheme="minorEastAsia"/>
                      <w:color w:val="auto"/>
                    </w:rPr>
                  </w:pPr>
                  <w:r>
                    <w:rPr>
                      <w:rFonts w:eastAsiaTheme="minorEastAsia"/>
                      <w:color w:val="auto"/>
                    </w:rPr>
                    <w:t>最低监测频率</w:t>
                  </w:r>
                </w:p>
              </w:tc>
              <w:tc>
                <w:tcPr>
                  <w:tcW w:w="3476" w:type="dxa"/>
                  <w:vAlign w:val="center"/>
                </w:tcPr>
                <w:p>
                  <w:pPr>
                    <w:pStyle w:val="26"/>
                    <w:widowControl w:val="0"/>
                    <w:spacing w:line="360" w:lineRule="exact"/>
                    <w:rPr>
                      <w:rFonts w:eastAsiaTheme="minorEastAsia"/>
                      <w:color w:val="auto"/>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5" w:type="dxa"/>
                  <w:vAlign w:val="center"/>
                </w:tcPr>
                <w:p>
                  <w:pPr>
                    <w:pStyle w:val="26"/>
                    <w:widowControl w:val="0"/>
                    <w:spacing w:line="360" w:lineRule="exact"/>
                    <w:rPr>
                      <w:rFonts w:eastAsiaTheme="minorEastAsia"/>
                      <w:color w:val="auto"/>
                    </w:rPr>
                  </w:pPr>
                  <w:r>
                    <w:rPr>
                      <w:rFonts w:eastAsiaTheme="minorEastAsia"/>
                      <w:color w:val="auto"/>
                    </w:rPr>
                    <w:t>噪声</w:t>
                  </w:r>
                </w:p>
              </w:tc>
              <w:tc>
                <w:tcPr>
                  <w:tcW w:w="1276" w:type="dxa"/>
                  <w:vAlign w:val="center"/>
                </w:tcPr>
                <w:p>
                  <w:pPr>
                    <w:pStyle w:val="26"/>
                    <w:widowControl w:val="0"/>
                    <w:spacing w:line="360" w:lineRule="exact"/>
                    <w:rPr>
                      <w:rFonts w:eastAsiaTheme="minorEastAsia"/>
                      <w:color w:val="auto"/>
                    </w:rPr>
                  </w:pPr>
                  <w:r>
                    <w:rPr>
                      <w:rFonts w:eastAsiaTheme="minorEastAsia"/>
                      <w:color w:val="auto"/>
                    </w:rPr>
                    <w:t>厂界四周</w:t>
                  </w:r>
                </w:p>
              </w:tc>
              <w:tc>
                <w:tcPr>
                  <w:tcW w:w="1417" w:type="dxa"/>
                  <w:vAlign w:val="center"/>
                </w:tcPr>
                <w:p>
                  <w:pPr>
                    <w:pStyle w:val="26"/>
                    <w:widowControl w:val="0"/>
                    <w:spacing w:line="360" w:lineRule="exact"/>
                    <w:rPr>
                      <w:rFonts w:eastAsiaTheme="minorEastAsia"/>
                      <w:color w:val="auto"/>
                    </w:rPr>
                  </w:pPr>
                  <w:r>
                    <w:rPr>
                      <w:rFonts w:eastAsiaTheme="minorEastAsia"/>
                      <w:color w:val="auto"/>
                    </w:rPr>
                    <w:t>等效连续A声级</w:t>
                  </w:r>
                </w:p>
              </w:tc>
              <w:tc>
                <w:tcPr>
                  <w:tcW w:w="1701" w:type="dxa"/>
                  <w:vAlign w:val="center"/>
                </w:tcPr>
                <w:p>
                  <w:pPr>
                    <w:pStyle w:val="26"/>
                    <w:widowControl w:val="0"/>
                    <w:spacing w:line="360" w:lineRule="exact"/>
                    <w:rPr>
                      <w:rFonts w:eastAsiaTheme="minorEastAsia"/>
                      <w:color w:val="auto"/>
                    </w:rPr>
                  </w:pPr>
                  <w:r>
                    <w:rPr>
                      <w:rFonts w:eastAsiaTheme="minorEastAsia"/>
                      <w:color w:val="auto"/>
                    </w:rPr>
                    <w:t>1次/季度</w:t>
                  </w:r>
                </w:p>
              </w:tc>
              <w:tc>
                <w:tcPr>
                  <w:tcW w:w="3476" w:type="dxa"/>
                  <w:vAlign w:val="center"/>
                </w:tcPr>
                <w:p>
                  <w:pPr>
                    <w:pStyle w:val="26"/>
                    <w:widowControl w:val="0"/>
                    <w:spacing w:line="360" w:lineRule="exact"/>
                    <w:ind w:firstLine="210" w:firstLineChars="100"/>
                    <w:jc w:val="both"/>
                    <w:rPr>
                      <w:rFonts w:eastAsiaTheme="minorEastAsia"/>
                      <w:color w:val="auto"/>
                    </w:rPr>
                  </w:pPr>
                  <w:r>
                    <w:rPr>
                      <w:color w:val="auto"/>
                      <w:szCs w:val="21"/>
                    </w:rPr>
                    <w:t>《工业企业厂界环境噪声排放标准》（GB12348-2008）中2类标准</w:t>
                  </w:r>
                </w:p>
              </w:tc>
            </w:tr>
          </w:tbl>
          <w:p>
            <w:pPr>
              <w:spacing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4.2.4 运营期固体废物环境影响和保护措施</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（1）固体废物污染源强分析</w:t>
            </w:r>
          </w:p>
          <w:p>
            <w:pPr>
              <w:pStyle w:val="34"/>
              <w:ind w:firstLine="480"/>
              <w:rPr>
                <w:rFonts w:eastAsiaTheme="minorEastAsia"/>
                <w:szCs w:val="24"/>
              </w:rPr>
            </w:pPr>
            <w:r>
              <w:rPr>
                <w:rFonts w:eastAsiaTheme="minorEastAsia"/>
                <w:szCs w:val="24"/>
              </w:rPr>
              <w:t>根据项目工程内容及产污环节可知，该项目产生的固体废物包括：遗体处置产生的固体废物、脱酸脱硫固废、除尘固废、废活性炭、遗物祭品焚烧灰渣、污水处理系统污泥、设备维修产生的废机油及废弃沾油抹布、生活固废。具体如下：</w:t>
            </w:r>
          </w:p>
          <w:p>
            <w:pPr>
              <w:pStyle w:val="34"/>
              <w:ind w:firstLine="482"/>
              <w:rPr>
                <w:b/>
                <w:szCs w:val="24"/>
              </w:rPr>
            </w:pPr>
            <w:r>
              <w:rPr>
                <w:b/>
                <w:szCs w:val="24"/>
              </w:rPr>
              <w:t>①遗体处置产生的固体废物</w:t>
            </w:r>
          </w:p>
          <w:p>
            <w:pPr>
              <w:pStyle w:val="34"/>
              <w:ind w:firstLine="480"/>
              <w:rPr>
                <w:rFonts w:eastAsiaTheme="minorEastAsia"/>
                <w:szCs w:val="24"/>
              </w:rPr>
            </w:pPr>
            <w:r>
              <w:rPr>
                <w:rFonts w:eastAsiaTheme="minorEastAsia"/>
                <w:szCs w:val="24"/>
              </w:rPr>
              <w:t>遗体处置工序包括沐浴、化妆和穿衣，另外特殊情况还会存在解剖工序；沐浴过程产生的固体废物有一次性手套，化妆过程产生的固体废物包括一次性手套、废弃化妆棉等；穿衣过程无固废产生；解剖工序产生的固体废物主要为人体组织。</w:t>
            </w:r>
          </w:p>
          <w:p>
            <w:pPr>
              <w:pStyle w:val="34"/>
              <w:ind w:firstLine="480"/>
              <w:rPr>
                <w:rFonts w:eastAsiaTheme="minorEastAsia"/>
                <w:szCs w:val="24"/>
              </w:rPr>
            </w:pPr>
            <w:r>
              <w:rPr>
                <w:rFonts w:eastAsiaTheme="minorEastAsia"/>
                <w:szCs w:val="24"/>
              </w:rPr>
              <w:t>由于逝者死亡的原因大致包括老死、病死和意外死亡，若病死的逝者遗体可能含有病原体、病菌等，因此上述工序中产生的一次性手套、废弃化妆棉和人体组织应属于医疗废物。为此，根据《国家危险废物名录》（2021版）的要求，医疗废物分类按照《医疗废物分类目录》执行，根据《医疗废物分类目录》，遗体处置过程产生的固体废物属性如下。</w:t>
            </w:r>
          </w:p>
          <w:p>
            <w:pPr>
              <w:pStyle w:val="36"/>
              <w:rPr>
                <w:szCs w:val="21"/>
              </w:rPr>
            </w:pPr>
            <w:r>
              <w:rPr>
                <w:szCs w:val="21"/>
              </w:rPr>
              <w:t>表4.2.4-1  项目遗体处置属性一览表</w:t>
            </w:r>
          </w:p>
          <w:tbl>
            <w:tblPr>
              <w:tblStyle w:val="1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276"/>
              <w:gridCol w:w="2552"/>
              <w:gridCol w:w="1842"/>
              <w:gridCol w:w="1134"/>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pStyle w:val="26"/>
                    <w:spacing w:line="360" w:lineRule="exact"/>
                    <w:rPr>
                      <w:color w:val="auto"/>
                      <w:szCs w:val="21"/>
                    </w:rPr>
                  </w:pPr>
                  <w:r>
                    <w:rPr>
                      <w:color w:val="auto"/>
                      <w:szCs w:val="21"/>
                    </w:rPr>
                    <w:t>序号</w:t>
                  </w:r>
                </w:p>
              </w:tc>
              <w:tc>
                <w:tcPr>
                  <w:tcW w:w="1276" w:type="dxa"/>
                  <w:vAlign w:val="center"/>
                </w:tcPr>
                <w:p>
                  <w:pPr>
                    <w:pStyle w:val="26"/>
                    <w:spacing w:line="360" w:lineRule="exact"/>
                    <w:rPr>
                      <w:color w:val="auto"/>
                      <w:szCs w:val="21"/>
                    </w:rPr>
                  </w:pPr>
                  <w:r>
                    <w:rPr>
                      <w:color w:val="auto"/>
                      <w:szCs w:val="21"/>
                    </w:rPr>
                    <w:t>固废名称</w:t>
                  </w:r>
                </w:p>
              </w:tc>
              <w:tc>
                <w:tcPr>
                  <w:tcW w:w="2552" w:type="dxa"/>
                  <w:vAlign w:val="center"/>
                </w:tcPr>
                <w:p>
                  <w:pPr>
                    <w:pStyle w:val="26"/>
                    <w:spacing w:line="360" w:lineRule="exact"/>
                    <w:rPr>
                      <w:color w:val="auto"/>
                      <w:szCs w:val="21"/>
                    </w:rPr>
                  </w:pPr>
                  <w:r>
                    <w:rPr>
                      <w:color w:val="auto"/>
                      <w:szCs w:val="21"/>
                    </w:rPr>
                    <w:t>常见组分或者废物名称</w:t>
                  </w:r>
                </w:p>
              </w:tc>
              <w:tc>
                <w:tcPr>
                  <w:tcW w:w="1842" w:type="dxa"/>
                  <w:vAlign w:val="center"/>
                </w:tcPr>
                <w:p>
                  <w:pPr>
                    <w:pStyle w:val="26"/>
                    <w:spacing w:line="360" w:lineRule="exact"/>
                    <w:rPr>
                      <w:color w:val="auto"/>
                      <w:szCs w:val="21"/>
                    </w:rPr>
                  </w:pPr>
                  <w:r>
                    <w:rPr>
                      <w:color w:val="auto"/>
                      <w:szCs w:val="21"/>
                    </w:rPr>
                    <w:t>特征</w:t>
                  </w:r>
                </w:p>
              </w:tc>
              <w:tc>
                <w:tcPr>
                  <w:tcW w:w="1134" w:type="dxa"/>
                  <w:vAlign w:val="center"/>
                </w:tcPr>
                <w:p>
                  <w:pPr>
                    <w:pStyle w:val="26"/>
                    <w:spacing w:line="360" w:lineRule="exact"/>
                    <w:rPr>
                      <w:color w:val="auto"/>
                      <w:szCs w:val="21"/>
                    </w:rPr>
                  </w:pPr>
                  <w:r>
                    <w:rPr>
                      <w:color w:val="auto"/>
                      <w:szCs w:val="21"/>
                    </w:rPr>
                    <w:t>类别</w:t>
                  </w:r>
                </w:p>
              </w:tc>
              <w:tc>
                <w:tcPr>
                  <w:tcW w:w="1043" w:type="dxa"/>
                  <w:vAlign w:val="center"/>
                </w:tcPr>
                <w:p>
                  <w:pPr>
                    <w:pStyle w:val="26"/>
                    <w:spacing w:line="360" w:lineRule="exact"/>
                    <w:rPr>
                      <w:color w:val="auto"/>
                      <w:szCs w:val="21"/>
                    </w:rPr>
                  </w:pPr>
                  <w:r>
                    <w:rPr>
                      <w:color w:val="auto"/>
                      <w:szCs w:val="21"/>
                    </w:rPr>
                    <w:t>是否属于医疗废物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pStyle w:val="26"/>
                    <w:spacing w:line="360" w:lineRule="exact"/>
                    <w:rPr>
                      <w:color w:val="auto"/>
                      <w:szCs w:val="21"/>
                    </w:rPr>
                  </w:pPr>
                  <w:r>
                    <w:rPr>
                      <w:color w:val="auto"/>
                      <w:szCs w:val="21"/>
                    </w:rPr>
                    <w:t>1</w:t>
                  </w:r>
                </w:p>
              </w:tc>
              <w:tc>
                <w:tcPr>
                  <w:tcW w:w="1276" w:type="dxa"/>
                  <w:vAlign w:val="center"/>
                </w:tcPr>
                <w:p>
                  <w:pPr>
                    <w:pStyle w:val="26"/>
                    <w:spacing w:line="360" w:lineRule="exact"/>
                    <w:rPr>
                      <w:color w:val="auto"/>
                      <w:szCs w:val="21"/>
                    </w:rPr>
                  </w:pPr>
                  <w:r>
                    <w:rPr>
                      <w:color w:val="auto"/>
                      <w:szCs w:val="21"/>
                    </w:rPr>
                    <w:t>一次性手套</w:t>
                  </w:r>
                </w:p>
              </w:tc>
              <w:tc>
                <w:tcPr>
                  <w:tcW w:w="2552" w:type="dxa"/>
                  <w:vAlign w:val="center"/>
                </w:tcPr>
                <w:p>
                  <w:pPr>
                    <w:pStyle w:val="26"/>
                    <w:spacing w:line="360" w:lineRule="exact"/>
                    <w:ind w:firstLine="210" w:firstLineChars="100"/>
                    <w:jc w:val="left"/>
                    <w:rPr>
                      <w:color w:val="auto"/>
                      <w:szCs w:val="21"/>
                    </w:rPr>
                  </w:pPr>
                  <w:r>
                    <w:rPr>
                      <w:color w:val="auto"/>
                      <w:szCs w:val="21"/>
                    </w:rPr>
                    <w:t>一次性使用卫生用品、一次性使用医疗用品及一次性医疗器械；</w:t>
                  </w:r>
                </w:p>
              </w:tc>
              <w:tc>
                <w:tcPr>
                  <w:tcW w:w="1842" w:type="dxa"/>
                  <w:vMerge w:val="restart"/>
                  <w:vAlign w:val="center"/>
                </w:tcPr>
                <w:p>
                  <w:pPr>
                    <w:pStyle w:val="26"/>
                    <w:spacing w:line="360" w:lineRule="exact"/>
                    <w:ind w:firstLine="210" w:firstLineChars="100"/>
                    <w:jc w:val="left"/>
                    <w:rPr>
                      <w:color w:val="auto"/>
                      <w:szCs w:val="21"/>
                    </w:rPr>
                  </w:pPr>
                  <w:r>
                    <w:rPr>
                      <w:color w:val="auto"/>
                      <w:szCs w:val="21"/>
                    </w:rPr>
                    <w:t>携带病原微生物有引发感染性疾病传播危险的医疗废物。</w:t>
                  </w:r>
                </w:p>
              </w:tc>
              <w:tc>
                <w:tcPr>
                  <w:tcW w:w="1134" w:type="dxa"/>
                  <w:vMerge w:val="restart"/>
                  <w:vAlign w:val="center"/>
                </w:tcPr>
                <w:p>
                  <w:pPr>
                    <w:pStyle w:val="26"/>
                    <w:spacing w:line="360" w:lineRule="exact"/>
                    <w:rPr>
                      <w:color w:val="auto"/>
                      <w:szCs w:val="21"/>
                    </w:rPr>
                  </w:pPr>
                  <w:r>
                    <w:rPr>
                      <w:color w:val="auto"/>
                      <w:szCs w:val="21"/>
                    </w:rPr>
                    <w:t>感染性废物</w:t>
                  </w:r>
                </w:p>
              </w:tc>
              <w:tc>
                <w:tcPr>
                  <w:tcW w:w="1043" w:type="dxa"/>
                  <w:vAlign w:val="center"/>
                </w:tcPr>
                <w:p>
                  <w:pPr>
                    <w:pStyle w:val="26"/>
                    <w:spacing w:line="360" w:lineRule="exact"/>
                    <w:rPr>
                      <w:color w:val="auto"/>
                      <w:szCs w:val="21"/>
                    </w:rPr>
                  </w:pPr>
                  <w:r>
                    <w:rPr>
                      <w:color w:val="auto"/>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pStyle w:val="26"/>
                    <w:spacing w:line="360" w:lineRule="exact"/>
                    <w:rPr>
                      <w:color w:val="auto"/>
                      <w:szCs w:val="21"/>
                    </w:rPr>
                  </w:pPr>
                  <w:r>
                    <w:rPr>
                      <w:color w:val="auto"/>
                      <w:szCs w:val="21"/>
                    </w:rPr>
                    <w:t>2</w:t>
                  </w:r>
                </w:p>
              </w:tc>
              <w:tc>
                <w:tcPr>
                  <w:tcW w:w="1276" w:type="dxa"/>
                  <w:vAlign w:val="center"/>
                </w:tcPr>
                <w:p>
                  <w:pPr>
                    <w:pStyle w:val="26"/>
                    <w:spacing w:line="360" w:lineRule="exact"/>
                    <w:rPr>
                      <w:color w:val="auto"/>
                      <w:szCs w:val="21"/>
                    </w:rPr>
                  </w:pPr>
                  <w:r>
                    <w:rPr>
                      <w:color w:val="auto"/>
                      <w:szCs w:val="21"/>
                    </w:rPr>
                    <w:t>废弃化妆棉</w:t>
                  </w:r>
                </w:p>
              </w:tc>
              <w:tc>
                <w:tcPr>
                  <w:tcW w:w="2552" w:type="dxa"/>
                  <w:vAlign w:val="center"/>
                </w:tcPr>
                <w:p>
                  <w:pPr>
                    <w:pStyle w:val="26"/>
                    <w:spacing w:line="360" w:lineRule="exact"/>
                    <w:ind w:firstLine="210" w:firstLineChars="100"/>
                    <w:jc w:val="left"/>
                    <w:rPr>
                      <w:color w:val="auto"/>
                      <w:szCs w:val="21"/>
                    </w:rPr>
                  </w:pPr>
                  <w:r>
                    <w:rPr>
                      <w:color w:val="auto"/>
                      <w:szCs w:val="21"/>
                    </w:rPr>
                    <w:t>棉球、棉签、引流棉条、纱布及其他各种敷料；</w:t>
                  </w:r>
                </w:p>
              </w:tc>
              <w:tc>
                <w:tcPr>
                  <w:tcW w:w="1842" w:type="dxa"/>
                  <w:vMerge w:val="continue"/>
                  <w:vAlign w:val="center"/>
                </w:tcPr>
                <w:p>
                  <w:pPr>
                    <w:pStyle w:val="26"/>
                    <w:spacing w:line="360" w:lineRule="exact"/>
                    <w:rPr>
                      <w:color w:val="auto"/>
                      <w:szCs w:val="21"/>
                    </w:rPr>
                  </w:pPr>
                </w:p>
              </w:tc>
              <w:tc>
                <w:tcPr>
                  <w:tcW w:w="1134" w:type="dxa"/>
                  <w:vMerge w:val="continue"/>
                  <w:vAlign w:val="center"/>
                </w:tcPr>
                <w:p>
                  <w:pPr>
                    <w:pStyle w:val="26"/>
                    <w:spacing w:line="360" w:lineRule="exact"/>
                    <w:rPr>
                      <w:color w:val="auto"/>
                      <w:szCs w:val="21"/>
                    </w:rPr>
                  </w:pPr>
                </w:p>
              </w:tc>
              <w:tc>
                <w:tcPr>
                  <w:tcW w:w="1043" w:type="dxa"/>
                  <w:vAlign w:val="center"/>
                </w:tcPr>
                <w:p>
                  <w:pPr>
                    <w:pStyle w:val="26"/>
                    <w:spacing w:line="360" w:lineRule="exact"/>
                    <w:rPr>
                      <w:color w:val="auto"/>
                      <w:szCs w:val="21"/>
                    </w:rPr>
                  </w:pPr>
                  <w:r>
                    <w:rPr>
                      <w:color w:val="auto"/>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vAlign w:val="center"/>
                </w:tcPr>
                <w:p>
                  <w:pPr>
                    <w:pStyle w:val="26"/>
                    <w:spacing w:line="360" w:lineRule="exact"/>
                    <w:rPr>
                      <w:color w:val="auto"/>
                      <w:szCs w:val="21"/>
                    </w:rPr>
                  </w:pPr>
                  <w:r>
                    <w:rPr>
                      <w:color w:val="auto"/>
                      <w:szCs w:val="21"/>
                    </w:rPr>
                    <w:t>3</w:t>
                  </w:r>
                </w:p>
              </w:tc>
              <w:tc>
                <w:tcPr>
                  <w:tcW w:w="1276" w:type="dxa"/>
                  <w:vAlign w:val="center"/>
                </w:tcPr>
                <w:p>
                  <w:pPr>
                    <w:pStyle w:val="26"/>
                    <w:spacing w:line="360" w:lineRule="exact"/>
                    <w:rPr>
                      <w:color w:val="auto"/>
                      <w:szCs w:val="21"/>
                    </w:rPr>
                  </w:pPr>
                  <w:r>
                    <w:rPr>
                      <w:color w:val="auto"/>
                      <w:szCs w:val="21"/>
                    </w:rPr>
                    <w:t>人体组织</w:t>
                  </w:r>
                </w:p>
              </w:tc>
              <w:tc>
                <w:tcPr>
                  <w:tcW w:w="2552" w:type="dxa"/>
                  <w:vAlign w:val="center"/>
                </w:tcPr>
                <w:p>
                  <w:pPr>
                    <w:pStyle w:val="26"/>
                    <w:spacing w:line="360" w:lineRule="exact"/>
                    <w:ind w:firstLine="210" w:firstLineChars="100"/>
                    <w:jc w:val="left"/>
                    <w:rPr>
                      <w:color w:val="auto"/>
                      <w:szCs w:val="21"/>
                    </w:rPr>
                  </w:pPr>
                  <w:r>
                    <w:rPr>
                      <w:color w:val="auto"/>
                      <w:szCs w:val="21"/>
                    </w:rPr>
                    <w:t>手术及其他诊疗过程中产生的废弃的人体组织、器官等。</w:t>
                  </w:r>
                </w:p>
              </w:tc>
              <w:tc>
                <w:tcPr>
                  <w:tcW w:w="1842" w:type="dxa"/>
                  <w:vAlign w:val="center"/>
                </w:tcPr>
                <w:p>
                  <w:pPr>
                    <w:pStyle w:val="26"/>
                    <w:spacing w:line="360" w:lineRule="exact"/>
                    <w:ind w:firstLine="210" w:firstLineChars="100"/>
                    <w:jc w:val="left"/>
                    <w:rPr>
                      <w:color w:val="auto"/>
                      <w:szCs w:val="21"/>
                    </w:rPr>
                  </w:pPr>
                  <w:r>
                    <w:rPr>
                      <w:color w:val="auto"/>
                      <w:szCs w:val="21"/>
                    </w:rPr>
                    <w:t>诊疗过程中产生的人体废弃物和医学实验动物尸体等。</w:t>
                  </w:r>
                </w:p>
              </w:tc>
              <w:tc>
                <w:tcPr>
                  <w:tcW w:w="1134" w:type="dxa"/>
                  <w:vAlign w:val="center"/>
                </w:tcPr>
                <w:p>
                  <w:pPr>
                    <w:pStyle w:val="26"/>
                    <w:spacing w:line="360" w:lineRule="exact"/>
                    <w:rPr>
                      <w:color w:val="auto"/>
                      <w:szCs w:val="21"/>
                    </w:rPr>
                  </w:pPr>
                  <w:r>
                    <w:rPr>
                      <w:color w:val="auto"/>
                      <w:szCs w:val="21"/>
                    </w:rPr>
                    <w:t>病理性废物</w:t>
                  </w:r>
                </w:p>
              </w:tc>
              <w:tc>
                <w:tcPr>
                  <w:tcW w:w="1043" w:type="dxa"/>
                  <w:vAlign w:val="center"/>
                </w:tcPr>
                <w:p>
                  <w:pPr>
                    <w:pStyle w:val="26"/>
                    <w:spacing w:line="360" w:lineRule="exact"/>
                    <w:rPr>
                      <w:color w:val="auto"/>
                      <w:szCs w:val="21"/>
                    </w:rPr>
                  </w:pPr>
                  <w:r>
                    <w:rPr>
                      <w:color w:val="auto"/>
                      <w:szCs w:val="21"/>
                    </w:rPr>
                    <w:t>是</w:t>
                  </w:r>
                </w:p>
              </w:tc>
            </w:tr>
          </w:tbl>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该项目遗体处置产生的固体废物产生量核算如下表所示。</w:t>
            </w:r>
          </w:p>
          <w:p>
            <w:pPr>
              <w:pStyle w:val="36"/>
              <w:rPr>
                <w:szCs w:val="21"/>
              </w:rPr>
            </w:pPr>
            <w:r>
              <w:rPr>
                <w:szCs w:val="21"/>
              </w:rPr>
              <w:t>表4.2.4-2  遗体处置产生的固体废物产生量核算一览表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3"/>
              <w:gridCol w:w="1675"/>
              <w:gridCol w:w="1535"/>
              <w:gridCol w:w="3508"/>
              <w:gridCol w:w="11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3" w:type="dxa"/>
                  <w:vAlign w:val="center"/>
                </w:tcPr>
                <w:p>
                  <w:pPr>
                    <w:pStyle w:val="26"/>
                    <w:spacing w:line="360" w:lineRule="exact"/>
                    <w:rPr>
                      <w:color w:val="auto"/>
                      <w:szCs w:val="21"/>
                    </w:rPr>
                  </w:pPr>
                  <w:r>
                    <w:rPr>
                      <w:color w:val="auto"/>
                      <w:szCs w:val="21"/>
                    </w:rPr>
                    <w:t>序号</w:t>
                  </w:r>
                </w:p>
              </w:tc>
              <w:tc>
                <w:tcPr>
                  <w:tcW w:w="1675" w:type="dxa"/>
                  <w:vAlign w:val="center"/>
                </w:tcPr>
                <w:p>
                  <w:pPr>
                    <w:pStyle w:val="26"/>
                    <w:spacing w:line="360" w:lineRule="exact"/>
                    <w:rPr>
                      <w:color w:val="auto"/>
                      <w:szCs w:val="21"/>
                    </w:rPr>
                  </w:pPr>
                  <w:r>
                    <w:rPr>
                      <w:color w:val="auto"/>
                      <w:szCs w:val="21"/>
                    </w:rPr>
                    <w:t>遗体处置产生的固体废物名称</w:t>
                  </w:r>
                </w:p>
              </w:tc>
              <w:tc>
                <w:tcPr>
                  <w:tcW w:w="1535" w:type="dxa"/>
                  <w:vAlign w:val="center"/>
                </w:tcPr>
                <w:p>
                  <w:pPr>
                    <w:pStyle w:val="26"/>
                    <w:spacing w:line="360" w:lineRule="exact"/>
                    <w:rPr>
                      <w:color w:val="auto"/>
                      <w:szCs w:val="21"/>
                    </w:rPr>
                  </w:pPr>
                  <w:r>
                    <w:rPr>
                      <w:color w:val="auto"/>
                      <w:szCs w:val="21"/>
                    </w:rPr>
                    <w:t>危废属性</w:t>
                  </w:r>
                </w:p>
              </w:tc>
              <w:tc>
                <w:tcPr>
                  <w:tcW w:w="3508" w:type="dxa"/>
                  <w:vAlign w:val="center"/>
                </w:tcPr>
                <w:p>
                  <w:pPr>
                    <w:pStyle w:val="26"/>
                    <w:spacing w:line="360" w:lineRule="exact"/>
                    <w:rPr>
                      <w:color w:val="auto"/>
                      <w:szCs w:val="21"/>
                    </w:rPr>
                  </w:pPr>
                  <w:r>
                    <w:rPr>
                      <w:color w:val="auto"/>
                      <w:szCs w:val="21"/>
                    </w:rPr>
                    <w:t>核算方式</w:t>
                  </w:r>
                </w:p>
              </w:tc>
              <w:tc>
                <w:tcPr>
                  <w:tcW w:w="1154" w:type="dxa"/>
                  <w:vAlign w:val="center"/>
                </w:tcPr>
                <w:p>
                  <w:pPr>
                    <w:pStyle w:val="26"/>
                    <w:spacing w:line="360" w:lineRule="exact"/>
                    <w:rPr>
                      <w:color w:val="auto"/>
                      <w:szCs w:val="21"/>
                    </w:rPr>
                  </w:pPr>
                  <w:r>
                    <w:rPr>
                      <w:color w:val="auto"/>
                      <w:szCs w:val="21"/>
                    </w:rPr>
                    <w:t>产生量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3" w:type="dxa"/>
                  <w:vAlign w:val="center"/>
                </w:tcPr>
                <w:p>
                  <w:pPr>
                    <w:pStyle w:val="26"/>
                    <w:spacing w:line="360" w:lineRule="exact"/>
                    <w:rPr>
                      <w:color w:val="auto"/>
                      <w:szCs w:val="21"/>
                    </w:rPr>
                  </w:pPr>
                  <w:r>
                    <w:rPr>
                      <w:color w:val="auto"/>
                      <w:szCs w:val="21"/>
                    </w:rPr>
                    <w:t>1</w:t>
                  </w:r>
                </w:p>
              </w:tc>
              <w:tc>
                <w:tcPr>
                  <w:tcW w:w="1675" w:type="dxa"/>
                  <w:vAlign w:val="center"/>
                </w:tcPr>
                <w:p>
                  <w:pPr>
                    <w:pStyle w:val="26"/>
                    <w:spacing w:line="360" w:lineRule="exact"/>
                    <w:rPr>
                      <w:color w:val="auto"/>
                      <w:szCs w:val="21"/>
                    </w:rPr>
                  </w:pPr>
                  <w:r>
                    <w:rPr>
                      <w:color w:val="auto"/>
                      <w:szCs w:val="21"/>
                    </w:rPr>
                    <w:t>一次性手套</w:t>
                  </w:r>
                </w:p>
              </w:tc>
              <w:tc>
                <w:tcPr>
                  <w:tcW w:w="1535" w:type="dxa"/>
                  <w:vMerge w:val="restart"/>
                  <w:vAlign w:val="center"/>
                </w:tcPr>
                <w:p>
                  <w:pPr>
                    <w:pStyle w:val="26"/>
                    <w:spacing w:line="360" w:lineRule="exact"/>
                    <w:rPr>
                      <w:color w:val="auto"/>
                      <w:szCs w:val="21"/>
                    </w:rPr>
                  </w:pPr>
                  <w:r>
                    <w:rPr>
                      <w:color w:val="auto"/>
                      <w:szCs w:val="21"/>
                    </w:rPr>
                    <w:t>感染性废物</w:t>
                  </w:r>
                </w:p>
              </w:tc>
              <w:tc>
                <w:tcPr>
                  <w:tcW w:w="3508" w:type="dxa"/>
                  <w:vMerge w:val="restart"/>
                  <w:vAlign w:val="center"/>
                </w:tcPr>
                <w:p>
                  <w:pPr>
                    <w:spacing w:line="360" w:lineRule="exact"/>
                    <w:ind w:firstLine="210" w:firstLineChars="100"/>
                    <w:jc w:val="left"/>
                    <w:rPr>
                      <w:rFonts w:ascii="Times New Roman" w:hAnsi="Times New Roman" w:cs="Times New Roman"/>
                    </w:rPr>
                  </w:pPr>
                  <w:r>
                    <w:rPr>
                      <w:rFonts w:ascii="Times New Roman" w:hAnsi="Times New Roman" w:cs="Times New Roman"/>
                    </w:rPr>
                    <w:t>根据调查，一次性手套和废弃化妆棉均属于感染性废物，其产生量约为0.05kg/具。</w:t>
                  </w:r>
                </w:p>
              </w:tc>
              <w:tc>
                <w:tcPr>
                  <w:tcW w:w="1154" w:type="dxa"/>
                  <w:vMerge w:val="restart"/>
                  <w:vAlign w:val="center"/>
                </w:tcPr>
                <w:p>
                  <w:pPr>
                    <w:pStyle w:val="26"/>
                    <w:spacing w:line="360" w:lineRule="exact"/>
                    <w:rPr>
                      <w:color w:val="auto"/>
                      <w:szCs w:val="21"/>
                    </w:rPr>
                  </w:pPr>
                  <w:r>
                    <w:rPr>
                      <w:color w:val="auto"/>
                      <w:szCs w:val="21"/>
                    </w:rPr>
                    <w:t>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3" w:type="dxa"/>
                  <w:vAlign w:val="center"/>
                </w:tcPr>
                <w:p>
                  <w:pPr>
                    <w:pStyle w:val="26"/>
                    <w:spacing w:line="360" w:lineRule="exact"/>
                    <w:rPr>
                      <w:color w:val="auto"/>
                      <w:szCs w:val="21"/>
                    </w:rPr>
                  </w:pPr>
                  <w:r>
                    <w:rPr>
                      <w:color w:val="auto"/>
                      <w:szCs w:val="21"/>
                    </w:rPr>
                    <w:t>2</w:t>
                  </w:r>
                </w:p>
              </w:tc>
              <w:tc>
                <w:tcPr>
                  <w:tcW w:w="1675" w:type="dxa"/>
                  <w:vAlign w:val="center"/>
                </w:tcPr>
                <w:p>
                  <w:pPr>
                    <w:pStyle w:val="26"/>
                    <w:spacing w:line="360" w:lineRule="exact"/>
                    <w:rPr>
                      <w:color w:val="auto"/>
                      <w:szCs w:val="21"/>
                    </w:rPr>
                  </w:pPr>
                  <w:r>
                    <w:rPr>
                      <w:color w:val="auto"/>
                      <w:szCs w:val="21"/>
                    </w:rPr>
                    <w:t>废弃化妆棉</w:t>
                  </w:r>
                </w:p>
              </w:tc>
              <w:tc>
                <w:tcPr>
                  <w:tcW w:w="1535" w:type="dxa"/>
                  <w:vMerge w:val="continue"/>
                  <w:vAlign w:val="center"/>
                </w:tcPr>
                <w:p>
                  <w:pPr>
                    <w:pStyle w:val="26"/>
                    <w:spacing w:line="360" w:lineRule="exact"/>
                    <w:rPr>
                      <w:color w:val="auto"/>
                      <w:szCs w:val="21"/>
                    </w:rPr>
                  </w:pPr>
                </w:p>
              </w:tc>
              <w:tc>
                <w:tcPr>
                  <w:tcW w:w="3508" w:type="dxa"/>
                  <w:vMerge w:val="continue"/>
                  <w:vAlign w:val="center"/>
                </w:tcPr>
                <w:p>
                  <w:pPr>
                    <w:spacing w:line="360" w:lineRule="exact"/>
                    <w:ind w:firstLine="210" w:firstLineChars="100"/>
                    <w:jc w:val="left"/>
                    <w:rPr>
                      <w:rFonts w:ascii="Times New Roman" w:hAnsi="Times New Roman" w:cs="Times New Roman"/>
                    </w:rPr>
                  </w:pPr>
                </w:p>
              </w:tc>
              <w:tc>
                <w:tcPr>
                  <w:tcW w:w="1154" w:type="dxa"/>
                  <w:vMerge w:val="continue"/>
                  <w:vAlign w:val="center"/>
                </w:tcPr>
                <w:p>
                  <w:pPr>
                    <w:pStyle w:val="26"/>
                    <w:spacing w:line="360" w:lineRule="exact"/>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33" w:type="dxa"/>
                  <w:vAlign w:val="center"/>
                </w:tcPr>
                <w:p>
                  <w:pPr>
                    <w:pStyle w:val="26"/>
                    <w:spacing w:line="360" w:lineRule="exact"/>
                    <w:rPr>
                      <w:color w:val="auto"/>
                      <w:szCs w:val="21"/>
                    </w:rPr>
                  </w:pPr>
                  <w:r>
                    <w:rPr>
                      <w:color w:val="auto"/>
                      <w:szCs w:val="21"/>
                    </w:rPr>
                    <w:t>3</w:t>
                  </w:r>
                </w:p>
              </w:tc>
              <w:tc>
                <w:tcPr>
                  <w:tcW w:w="1675" w:type="dxa"/>
                  <w:vAlign w:val="center"/>
                </w:tcPr>
                <w:p>
                  <w:pPr>
                    <w:pStyle w:val="26"/>
                    <w:spacing w:line="360" w:lineRule="exact"/>
                    <w:rPr>
                      <w:color w:val="auto"/>
                      <w:szCs w:val="21"/>
                    </w:rPr>
                  </w:pPr>
                  <w:r>
                    <w:rPr>
                      <w:color w:val="auto"/>
                      <w:szCs w:val="21"/>
                    </w:rPr>
                    <w:t>人体组织</w:t>
                  </w:r>
                </w:p>
              </w:tc>
              <w:tc>
                <w:tcPr>
                  <w:tcW w:w="1535" w:type="dxa"/>
                  <w:vAlign w:val="center"/>
                </w:tcPr>
                <w:p>
                  <w:pPr>
                    <w:pStyle w:val="26"/>
                    <w:spacing w:line="360" w:lineRule="exact"/>
                    <w:rPr>
                      <w:color w:val="auto"/>
                      <w:szCs w:val="21"/>
                    </w:rPr>
                  </w:pPr>
                  <w:r>
                    <w:rPr>
                      <w:color w:val="auto"/>
                      <w:szCs w:val="21"/>
                    </w:rPr>
                    <w:t>病理性废物</w:t>
                  </w:r>
                </w:p>
              </w:tc>
              <w:tc>
                <w:tcPr>
                  <w:tcW w:w="3508" w:type="dxa"/>
                  <w:vAlign w:val="center"/>
                </w:tcPr>
                <w:p>
                  <w:pPr>
                    <w:spacing w:line="360" w:lineRule="exact"/>
                    <w:ind w:firstLine="210" w:firstLineChars="100"/>
                    <w:jc w:val="left"/>
                    <w:rPr>
                      <w:rFonts w:ascii="Times New Roman" w:hAnsi="Times New Roman" w:cs="Times New Roman"/>
                    </w:rPr>
                  </w:pPr>
                  <w:r>
                    <w:rPr>
                      <w:rFonts w:ascii="Times New Roman" w:hAnsi="Times New Roman" w:cs="Times New Roman"/>
                    </w:rPr>
                    <w:t>根据调查，由于人体组织为解剖产生，存在特殊情况，才会进行解剖，因此解剖量无法确定，则产生量无法核算。</w:t>
                  </w:r>
                </w:p>
              </w:tc>
              <w:tc>
                <w:tcPr>
                  <w:tcW w:w="1154" w:type="dxa"/>
                  <w:vAlign w:val="center"/>
                </w:tcPr>
                <w:p>
                  <w:pPr>
                    <w:pStyle w:val="26"/>
                    <w:spacing w:line="360" w:lineRule="exact"/>
                    <w:rPr>
                      <w:color w:val="auto"/>
                      <w:szCs w:val="21"/>
                      <w:lang w:val="en-US"/>
                    </w:rPr>
                  </w:pPr>
                  <w:r>
                    <w:rPr>
                      <w:color w:val="auto"/>
                      <w:szCs w:val="21"/>
                      <w:lang w:val="en-US"/>
                    </w:rPr>
                    <w:t>--</w:t>
                  </w:r>
                </w:p>
              </w:tc>
            </w:tr>
          </w:tbl>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根据遗体处置产生的固体废物的特点处置情况如下：</w:t>
            </w:r>
          </w:p>
          <w:p>
            <w:pPr>
              <w:pStyle w:val="34"/>
              <w:ind w:firstLine="480"/>
              <w:rPr>
                <w:rFonts w:eastAsiaTheme="minorEastAsia"/>
                <w:szCs w:val="24"/>
              </w:rPr>
            </w:pPr>
            <w:r>
              <w:rPr>
                <w:rFonts w:eastAsiaTheme="minorEastAsia"/>
                <w:szCs w:val="24"/>
              </w:rPr>
              <w:fldChar w:fldCharType="begin"/>
            </w:r>
            <w:r>
              <w:rPr>
                <w:rFonts w:eastAsiaTheme="minorEastAsia"/>
                <w:szCs w:val="24"/>
              </w:rPr>
              <w:instrText xml:space="preserve"> = 1 \* GB2 </w:instrText>
            </w:r>
            <w:r>
              <w:rPr>
                <w:rFonts w:eastAsiaTheme="minorEastAsia"/>
                <w:szCs w:val="24"/>
              </w:rPr>
              <w:fldChar w:fldCharType="separate"/>
            </w:r>
            <w:r>
              <w:rPr>
                <w:szCs w:val="24"/>
              </w:rPr>
              <w:t>⑴</w:t>
            </w:r>
            <w:r>
              <w:rPr>
                <w:rFonts w:eastAsiaTheme="minorEastAsia"/>
                <w:szCs w:val="24"/>
              </w:rPr>
              <w:fldChar w:fldCharType="end"/>
            </w:r>
            <w:r>
              <w:rPr>
                <w:rFonts w:eastAsiaTheme="minorEastAsia"/>
                <w:szCs w:val="24"/>
              </w:rPr>
              <w:t>项目拟建设1个10m²的危险废物贮存间对一次性手套和废弃化妆棉进行分类暂存后，委托有资质的单位进行处置。处置率100%。</w:t>
            </w:r>
          </w:p>
          <w:p>
            <w:pPr>
              <w:pStyle w:val="34"/>
              <w:ind w:firstLine="480"/>
              <w:rPr>
                <w:rFonts w:eastAsiaTheme="minorEastAsia"/>
                <w:szCs w:val="24"/>
              </w:rPr>
            </w:pPr>
            <w:r>
              <w:rPr>
                <w:rFonts w:eastAsiaTheme="minorEastAsia"/>
                <w:szCs w:val="24"/>
              </w:rPr>
              <w:fldChar w:fldCharType="begin"/>
            </w:r>
            <w:r>
              <w:rPr>
                <w:rFonts w:eastAsiaTheme="minorEastAsia"/>
                <w:szCs w:val="24"/>
              </w:rPr>
              <w:instrText xml:space="preserve"> = 2 \* GB2 </w:instrText>
            </w:r>
            <w:r>
              <w:rPr>
                <w:rFonts w:eastAsiaTheme="minorEastAsia"/>
                <w:szCs w:val="24"/>
              </w:rPr>
              <w:fldChar w:fldCharType="separate"/>
            </w:r>
            <w:r>
              <w:rPr>
                <w:szCs w:val="24"/>
              </w:rPr>
              <w:t>⑵</w:t>
            </w:r>
            <w:r>
              <w:rPr>
                <w:rFonts w:eastAsiaTheme="minorEastAsia"/>
                <w:szCs w:val="24"/>
              </w:rPr>
              <w:fldChar w:fldCharType="end"/>
            </w:r>
            <w:r>
              <w:rPr>
                <w:rFonts w:eastAsiaTheme="minorEastAsia"/>
                <w:szCs w:val="24"/>
              </w:rPr>
              <w:t>人体组织按公安机关程序进行鉴定后，同逝者遗体一起火化。处置率100%。</w:t>
            </w:r>
          </w:p>
          <w:p>
            <w:pPr>
              <w:pStyle w:val="34"/>
              <w:ind w:firstLine="482"/>
              <w:rPr>
                <w:rFonts w:eastAsiaTheme="minorEastAsia"/>
                <w:b/>
                <w:szCs w:val="24"/>
              </w:rPr>
            </w:pPr>
            <w:r>
              <w:rPr>
                <w:rFonts w:eastAsiaTheme="minorEastAsia"/>
                <w:b/>
                <w:szCs w:val="24"/>
              </w:rPr>
              <w:t>②脱酸脱硫固废</w:t>
            </w:r>
          </w:p>
          <w:p>
            <w:pPr>
              <w:pStyle w:val="34"/>
              <w:ind w:firstLine="480"/>
              <w:rPr>
                <w:szCs w:val="21"/>
              </w:rPr>
            </w:pPr>
            <w:r>
              <w:rPr>
                <w:szCs w:val="21"/>
              </w:rPr>
              <w:t>项目火化机尾气处理系统和遗物焚烧炉尾气处理系统，两废气处理设施中均包含脱酸脱硫二噁英喷射装置，该装置设计有活性炭粉、氢氧化钙加料和自动喷射装置，利用氢氧化钙和废气充分接触产生化学反应，来达到进一步脱硫脱酸的目的，该过程会产生脱酸脱硫固废，其主要成分为CaSO</w:t>
            </w:r>
            <w:r>
              <w:rPr>
                <w:szCs w:val="21"/>
                <w:vertAlign w:val="subscript"/>
              </w:rPr>
              <w:t>3</w:t>
            </w:r>
            <w:r>
              <w:rPr>
                <w:szCs w:val="21"/>
              </w:rPr>
              <w:t>、CaSO</w:t>
            </w:r>
            <w:r>
              <w:rPr>
                <w:szCs w:val="21"/>
                <w:vertAlign w:val="subscript"/>
              </w:rPr>
              <w:t>4</w:t>
            </w:r>
            <w:r>
              <w:rPr>
                <w:szCs w:val="21"/>
              </w:rPr>
              <w:t>、CaCl</w:t>
            </w:r>
            <w:r>
              <w:rPr>
                <w:szCs w:val="21"/>
                <w:vertAlign w:val="subscript"/>
              </w:rPr>
              <w:t>2</w:t>
            </w:r>
            <w:r>
              <w:rPr>
                <w:szCs w:val="21"/>
              </w:rPr>
              <w:t>等；根据废气去除效率核算，项目脱酸脱硫固废产生量约为3.5t/a；对照《国家危险废物名录》（2021版），未将其列入危险废物，该固废属于一般固废，委托环卫部门运输至垃圾填埋场填埋处置。处置率100%。</w:t>
            </w:r>
          </w:p>
          <w:p>
            <w:pPr>
              <w:pStyle w:val="34"/>
              <w:ind w:firstLine="482"/>
              <w:rPr>
                <w:rFonts w:eastAsiaTheme="minorEastAsia"/>
                <w:b/>
                <w:szCs w:val="24"/>
              </w:rPr>
            </w:pPr>
            <w:r>
              <w:rPr>
                <w:rFonts w:eastAsiaTheme="minorEastAsia"/>
                <w:b/>
                <w:szCs w:val="24"/>
              </w:rPr>
              <w:t>③除尘固废</w:t>
            </w:r>
          </w:p>
          <w:p>
            <w:pPr>
              <w:pStyle w:val="34"/>
              <w:ind w:firstLine="480"/>
              <w:rPr>
                <w:szCs w:val="21"/>
              </w:rPr>
            </w:pPr>
            <w:r>
              <w:rPr>
                <w:szCs w:val="21"/>
              </w:rPr>
              <w:t>项目火化机尾气处理系统和遗物焚烧炉尾气处理系统，两废气处理设施中均包含初级除尘器和布袋除尘器；因此均会产生除尘固废；根据废气去除效率核算，项目除尘固废产生量约为0.5t/a；该除尘固废主要为遗体火化、遗物祭品等焚烧产生的飞灰，其中遗物祭品等类似生活垃圾焚烧，其飞灰的固废属性鉴别如下，对照《国家危险废物名录》（2021版），其属性见下表。</w:t>
            </w:r>
          </w:p>
          <w:p>
            <w:pPr>
              <w:pStyle w:val="34"/>
              <w:ind w:firstLine="480"/>
              <w:rPr>
                <w:szCs w:val="21"/>
              </w:rPr>
            </w:pPr>
          </w:p>
          <w:p>
            <w:pPr>
              <w:pStyle w:val="36"/>
              <w:rPr>
                <w:szCs w:val="21"/>
              </w:rPr>
            </w:pPr>
          </w:p>
          <w:p>
            <w:pPr>
              <w:pStyle w:val="36"/>
              <w:rPr>
                <w:szCs w:val="21"/>
              </w:rPr>
            </w:pPr>
            <w:r>
              <w:rPr>
                <w:szCs w:val="21"/>
              </w:rPr>
              <w:t>表4.2.4-3  国家危险废物名录（2021年）（摘抄）</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46"/>
              <w:gridCol w:w="1348"/>
              <w:gridCol w:w="1275"/>
              <w:gridCol w:w="212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vAlign w:val="center"/>
                </w:tcPr>
                <w:p>
                  <w:pPr>
                    <w:pStyle w:val="26"/>
                    <w:spacing w:line="360" w:lineRule="exact"/>
                    <w:rPr>
                      <w:color w:val="auto"/>
                      <w:szCs w:val="21"/>
                    </w:rPr>
                  </w:pPr>
                  <w:r>
                    <w:rPr>
                      <w:color w:val="auto"/>
                      <w:szCs w:val="21"/>
                    </w:rPr>
                    <w:t>项目危废</w:t>
                  </w:r>
                </w:p>
              </w:tc>
              <w:tc>
                <w:tcPr>
                  <w:tcW w:w="1346" w:type="dxa"/>
                  <w:vAlign w:val="center"/>
                </w:tcPr>
                <w:p>
                  <w:pPr>
                    <w:pStyle w:val="26"/>
                    <w:spacing w:line="360" w:lineRule="exact"/>
                    <w:rPr>
                      <w:color w:val="auto"/>
                      <w:szCs w:val="21"/>
                    </w:rPr>
                  </w:pPr>
                  <w:r>
                    <w:rPr>
                      <w:color w:val="auto"/>
                      <w:szCs w:val="21"/>
                    </w:rPr>
                    <w:t>废物类别</w:t>
                  </w:r>
                </w:p>
              </w:tc>
              <w:tc>
                <w:tcPr>
                  <w:tcW w:w="1348" w:type="dxa"/>
                  <w:vAlign w:val="center"/>
                </w:tcPr>
                <w:p>
                  <w:pPr>
                    <w:pStyle w:val="26"/>
                    <w:spacing w:line="360" w:lineRule="exact"/>
                    <w:rPr>
                      <w:color w:val="auto"/>
                      <w:szCs w:val="21"/>
                    </w:rPr>
                  </w:pPr>
                  <w:r>
                    <w:rPr>
                      <w:color w:val="auto"/>
                      <w:szCs w:val="21"/>
                    </w:rPr>
                    <w:t>行业来源</w:t>
                  </w:r>
                </w:p>
              </w:tc>
              <w:tc>
                <w:tcPr>
                  <w:tcW w:w="1275" w:type="dxa"/>
                  <w:vAlign w:val="center"/>
                </w:tcPr>
                <w:p>
                  <w:pPr>
                    <w:pStyle w:val="26"/>
                    <w:spacing w:line="360" w:lineRule="exact"/>
                    <w:rPr>
                      <w:color w:val="auto"/>
                      <w:szCs w:val="21"/>
                    </w:rPr>
                  </w:pPr>
                  <w:r>
                    <w:rPr>
                      <w:color w:val="auto"/>
                      <w:szCs w:val="21"/>
                    </w:rPr>
                    <w:t>废物代码</w:t>
                  </w:r>
                </w:p>
              </w:tc>
              <w:tc>
                <w:tcPr>
                  <w:tcW w:w="2125" w:type="dxa"/>
                  <w:vAlign w:val="center"/>
                </w:tcPr>
                <w:p>
                  <w:pPr>
                    <w:pStyle w:val="26"/>
                    <w:spacing w:line="360" w:lineRule="exact"/>
                    <w:rPr>
                      <w:color w:val="auto"/>
                      <w:szCs w:val="21"/>
                    </w:rPr>
                  </w:pPr>
                  <w:r>
                    <w:rPr>
                      <w:color w:val="auto"/>
                      <w:szCs w:val="21"/>
                    </w:rPr>
                    <w:t>危险废物</w:t>
                  </w:r>
                </w:p>
              </w:tc>
              <w:tc>
                <w:tcPr>
                  <w:tcW w:w="1208" w:type="dxa"/>
                  <w:vAlign w:val="center"/>
                </w:tcPr>
                <w:p>
                  <w:pPr>
                    <w:pStyle w:val="26"/>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vAlign w:val="center"/>
                </w:tcPr>
                <w:p>
                  <w:pPr>
                    <w:pStyle w:val="26"/>
                    <w:spacing w:line="360" w:lineRule="exact"/>
                    <w:rPr>
                      <w:color w:val="auto"/>
                      <w:szCs w:val="21"/>
                    </w:rPr>
                  </w:pPr>
                  <w:r>
                    <w:rPr>
                      <w:color w:val="auto"/>
                      <w:szCs w:val="21"/>
                    </w:rPr>
                    <w:t>除尘固废</w:t>
                  </w:r>
                </w:p>
              </w:tc>
              <w:tc>
                <w:tcPr>
                  <w:tcW w:w="1346" w:type="dxa"/>
                  <w:vAlign w:val="center"/>
                </w:tcPr>
                <w:p>
                  <w:pPr>
                    <w:pStyle w:val="26"/>
                    <w:spacing w:line="360" w:lineRule="exact"/>
                    <w:rPr>
                      <w:color w:val="auto"/>
                      <w:szCs w:val="21"/>
                    </w:rPr>
                  </w:pPr>
                  <w:r>
                    <w:rPr>
                      <w:color w:val="auto"/>
                      <w:szCs w:val="21"/>
                    </w:rPr>
                    <w:t>HW18焚烧处置残渣</w:t>
                  </w:r>
                </w:p>
              </w:tc>
              <w:tc>
                <w:tcPr>
                  <w:tcW w:w="1348" w:type="dxa"/>
                  <w:vAlign w:val="center"/>
                </w:tcPr>
                <w:p>
                  <w:pPr>
                    <w:pStyle w:val="26"/>
                    <w:spacing w:line="360" w:lineRule="exact"/>
                    <w:rPr>
                      <w:color w:val="auto"/>
                      <w:szCs w:val="21"/>
                    </w:rPr>
                  </w:pPr>
                  <w:r>
                    <w:rPr>
                      <w:color w:val="auto"/>
                      <w:szCs w:val="21"/>
                    </w:rPr>
                    <w:t>环境治理业</w:t>
                  </w:r>
                </w:p>
              </w:tc>
              <w:tc>
                <w:tcPr>
                  <w:tcW w:w="1275" w:type="dxa"/>
                  <w:vAlign w:val="center"/>
                </w:tcPr>
                <w:p>
                  <w:pPr>
                    <w:pStyle w:val="26"/>
                    <w:spacing w:line="360" w:lineRule="exact"/>
                    <w:rPr>
                      <w:color w:val="auto"/>
                      <w:szCs w:val="21"/>
                    </w:rPr>
                  </w:pPr>
                  <w:r>
                    <w:rPr>
                      <w:color w:val="auto"/>
                      <w:szCs w:val="21"/>
                    </w:rPr>
                    <w:t>772-002-18</w:t>
                  </w:r>
                </w:p>
              </w:tc>
              <w:tc>
                <w:tcPr>
                  <w:tcW w:w="2125" w:type="dxa"/>
                  <w:vAlign w:val="center"/>
                </w:tcPr>
                <w:p>
                  <w:pPr>
                    <w:pStyle w:val="26"/>
                    <w:spacing w:line="360" w:lineRule="exact"/>
                    <w:ind w:firstLine="210" w:firstLineChars="100"/>
                    <w:jc w:val="left"/>
                    <w:rPr>
                      <w:color w:val="auto"/>
                      <w:szCs w:val="21"/>
                    </w:rPr>
                  </w:pPr>
                  <w:r>
                    <w:rPr>
                      <w:color w:val="auto"/>
                      <w:szCs w:val="21"/>
                    </w:rPr>
                    <w:t>生活垃圾焚烧飞灰</w:t>
                  </w:r>
                </w:p>
              </w:tc>
              <w:tc>
                <w:tcPr>
                  <w:tcW w:w="1208" w:type="dxa"/>
                  <w:vAlign w:val="center"/>
                </w:tcPr>
                <w:p>
                  <w:pPr>
                    <w:pStyle w:val="26"/>
                    <w:spacing w:line="360" w:lineRule="exact"/>
                    <w:rPr>
                      <w:color w:val="auto"/>
                      <w:szCs w:val="21"/>
                    </w:rPr>
                  </w:pPr>
                  <w:r>
                    <w:rPr>
                      <w:color w:val="auto"/>
                      <w:szCs w:val="21"/>
                    </w:rPr>
                    <w:t>T</w:t>
                  </w:r>
                </w:p>
              </w:tc>
            </w:tr>
          </w:tbl>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根据《国家危险废物名录》（2021版）“危险废物豁免管理清单”的要求，该项目豁免危险废物清单如下：</w:t>
            </w:r>
          </w:p>
          <w:p>
            <w:pPr>
              <w:pStyle w:val="36"/>
              <w:rPr>
                <w:szCs w:val="21"/>
              </w:rPr>
            </w:pPr>
            <w:r>
              <w:rPr>
                <w:szCs w:val="21"/>
              </w:rPr>
              <w:t>表4.2.4-4 该项目豁免危险废物清单一览表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132"/>
              <w:gridCol w:w="1132"/>
              <w:gridCol w:w="3261"/>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6" w:type="dxa"/>
                  <w:vAlign w:val="center"/>
                </w:tcPr>
                <w:p>
                  <w:pPr>
                    <w:pStyle w:val="26"/>
                    <w:spacing w:line="360" w:lineRule="exact"/>
                    <w:rPr>
                      <w:color w:val="auto"/>
                      <w:szCs w:val="21"/>
                    </w:rPr>
                  </w:pPr>
                  <w:r>
                    <w:rPr>
                      <w:color w:val="auto"/>
                      <w:szCs w:val="21"/>
                    </w:rPr>
                    <w:t>废物类别</w:t>
                  </w:r>
                </w:p>
              </w:tc>
              <w:tc>
                <w:tcPr>
                  <w:tcW w:w="1132" w:type="dxa"/>
                  <w:vAlign w:val="center"/>
                </w:tcPr>
                <w:p>
                  <w:pPr>
                    <w:pStyle w:val="26"/>
                    <w:spacing w:line="360" w:lineRule="exact"/>
                    <w:rPr>
                      <w:color w:val="auto"/>
                      <w:szCs w:val="21"/>
                    </w:rPr>
                  </w:pPr>
                  <w:r>
                    <w:rPr>
                      <w:color w:val="auto"/>
                      <w:szCs w:val="21"/>
                    </w:rPr>
                    <w:t>危险废物</w:t>
                  </w:r>
                </w:p>
              </w:tc>
              <w:tc>
                <w:tcPr>
                  <w:tcW w:w="1132" w:type="dxa"/>
                  <w:vAlign w:val="center"/>
                </w:tcPr>
                <w:p>
                  <w:pPr>
                    <w:pStyle w:val="26"/>
                    <w:spacing w:line="360" w:lineRule="exact"/>
                    <w:rPr>
                      <w:color w:val="auto"/>
                      <w:szCs w:val="21"/>
                    </w:rPr>
                  </w:pPr>
                  <w:r>
                    <w:rPr>
                      <w:color w:val="auto"/>
                      <w:szCs w:val="21"/>
                    </w:rPr>
                    <w:t>豁免环节</w:t>
                  </w:r>
                </w:p>
              </w:tc>
              <w:tc>
                <w:tcPr>
                  <w:tcW w:w="3261" w:type="dxa"/>
                  <w:vAlign w:val="center"/>
                </w:tcPr>
                <w:p>
                  <w:pPr>
                    <w:pStyle w:val="26"/>
                    <w:spacing w:line="360" w:lineRule="exact"/>
                    <w:rPr>
                      <w:color w:val="auto"/>
                      <w:szCs w:val="21"/>
                    </w:rPr>
                  </w:pPr>
                  <w:r>
                    <w:rPr>
                      <w:color w:val="auto"/>
                      <w:szCs w:val="21"/>
                    </w:rPr>
                    <w:t>豁免条件</w:t>
                  </w:r>
                </w:p>
              </w:tc>
              <w:tc>
                <w:tcPr>
                  <w:tcW w:w="1774" w:type="dxa"/>
                  <w:vAlign w:val="center"/>
                </w:tcPr>
                <w:p>
                  <w:pPr>
                    <w:pStyle w:val="26"/>
                    <w:spacing w:line="360" w:lineRule="exact"/>
                    <w:rPr>
                      <w:color w:val="auto"/>
                      <w:szCs w:val="21"/>
                    </w:rPr>
                  </w:pPr>
                  <w:r>
                    <w:rPr>
                      <w:color w:val="auto"/>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6" w:type="dxa"/>
                  <w:vMerge w:val="restart"/>
                  <w:vAlign w:val="center"/>
                </w:tcPr>
                <w:p>
                  <w:pPr>
                    <w:pStyle w:val="26"/>
                    <w:spacing w:line="360" w:lineRule="exact"/>
                    <w:rPr>
                      <w:color w:val="auto"/>
                      <w:szCs w:val="21"/>
                    </w:rPr>
                  </w:pPr>
                  <w:r>
                    <w:rPr>
                      <w:color w:val="auto"/>
                      <w:szCs w:val="21"/>
                    </w:rPr>
                    <w:t>772-002-18</w:t>
                  </w:r>
                </w:p>
              </w:tc>
              <w:tc>
                <w:tcPr>
                  <w:tcW w:w="1132" w:type="dxa"/>
                  <w:vMerge w:val="restart"/>
                  <w:vAlign w:val="center"/>
                </w:tcPr>
                <w:p>
                  <w:pPr>
                    <w:pStyle w:val="26"/>
                    <w:spacing w:line="360" w:lineRule="exact"/>
                    <w:rPr>
                      <w:bCs w:val="0"/>
                      <w:color w:val="auto"/>
                    </w:rPr>
                  </w:pPr>
                  <w:r>
                    <w:rPr>
                      <w:color w:val="auto"/>
                      <w:szCs w:val="21"/>
                    </w:rPr>
                    <w:t>除尘固废</w:t>
                  </w:r>
                </w:p>
              </w:tc>
              <w:tc>
                <w:tcPr>
                  <w:tcW w:w="1132" w:type="dxa"/>
                  <w:vAlign w:val="center"/>
                </w:tcPr>
                <w:p>
                  <w:pPr>
                    <w:pStyle w:val="26"/>
                    <w:spacing w:line="360" w:lineRule="exact"/>
                    <w:rPr>
                      <w:color w:val="auto"/>
                      <w:szCs w:val="21"/>
                    </w:rPr>
                  </w:pPr>
                  <w:r>
                    <w:rPr>
                      <w:color w:val="auto"/>
                      <w:szCs w:val="21"/>
                    </w:rPr>
                    <w:t>运输</w:t>
                  </w:r>
                </w:p>
              </w:tc>
              <w:tc>
                <w:tcPr>
                  <w:tcW w:w="3261" w:type="dxa"/>
                  <w:vAlign w:val="center"/>
                </w:tcPr>
                <w:p>
                  <w:pPr>
                    <w:spacing w:line="360" w:lineRule="exact"/>
                    <w:ind w:firstLine="210" w:firstLineChars="100"/>
                    <w:jc w:val="left"/>
                    <w:rPr>
                      <w:rFonts w:ascii="Times New Roman" w:hAnsi="Times New Roman" w:cs="Times New Roman"/>
                    </w:rPr>
                  </w:pPr>
                  <w:r>
                    <w:rPr>
                      <w:rFonts w:ascii="Times New Roman" w:hAnsi="Times New Roman" w:cs="Times New Roman"/>
                    </w:rPr>
                    <w:t>经处理后满足《生活垃圾填埋场污染控制标准》（GB16889）要求，且运输工具满足防雨、防渗漏、防遗撒要求。</w:t>
                  </w:r>
                </w:p>
              </w:tc>
              <w:tc>
                <w:tcPr>
                  <w:tcW w:w="1774" w:type="dxa"/>
                  <w:vAlign w:val="center"/>
                </w:tcPr>
                <w:p>
                  <w:pPr>
                    <w:spacing w:line="360" w:lineRule="exact"/>
                    <w:ind w:firstLine="210" w:firstLineChars="100"/>
                    <w:jc w:val="left"/>
                    <w:rPr>
                      <w:rFonts w:ascii="Times New Roman" w:hAnsi="Times New Roman" w:cs="Times New Roman"/>
                    </w:rPr>
                  </w:pPr>
                  <w:r>
                    <w:rPr>
                      <w:rFonts w:ascii="Times New Roman" w:hAnsi="Times New Roman" w:cs="Times New Roman"/>
                    </w:rPr>
                    <w:t>不按危险废物进行运输。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6" w:type="dxa"/>
                  <w:vMerge w:val="continue"/>
                  <w:vAlign w:val="center"/>
                </w:tcPr>
                <w:p>
                  <w:pPr>
                    <w:pStyle w:val="26"/>
                    <w:spacing w:line="360" w:lineRule="exact"/>
                    <w:rPr>
                      <w:color w:val="auto"/>
                      <w:szCs w:val="21"/>
                    </w:rPr>
                  </w:pPr>
                </w:p>
              </w:tc>
              <w:tc>
                <w:tcPr>
                  <w:tcW w:w="1132" w:type="dxa"/>
                  <w:vMerge w:val="continue"/>
                  <w:vAlign w:val="center"/>
                </w:tcPr>
                <w:p>
                  <w:pPr>
                    <w:autoSpaceDE w:val="0"/>
                    <w:autoSpaceDN w:val="0"/>
                    <w:adjustRightInd w:val="0"/>
                    <w:jc w:val="left"/>
                    <w:rPr>
                      <w:rFonts w:ascii="Times New Roman" w:hAnsi="Times New Roman" w:eastAsia="宋体" w:cs="Times New Roman"/>
                      <w:bCs/>
                      <w:snapToGrid w:val="0"/>
                      <w:kern w:val="32"/>
                      <w:lang w:val="zh-CN"/>
                    </w:rPr>
                  </w:pPr>
                </w:p>
              </w:tc>
              <w:tc>
                <w:tcPr>
                  <w:tcW w:w="1132" w:type="dxa"/>
                  <w:vAlign w:val="center"/>
                </w:tcPr>
                <w:p>
                  <w:pPr>
                    <w:pStyle w:val="26"/>
                    <w:spacing w:line="360" w:lineRule="exact"/>
                    <w:rPr>
                      <w:color w:val="auto"/>
                      <w:szCs w:val="21"/>
                    </w:rPr>
                  </w:pPr>
                  <w:r>
                    <w:rPr>
                      <w:color w:val="auto"/>
                      <w:szCs w:val="21"/>
                    </w:rPr>
                    <w:t>处置</w:t>
                  </w:r>
                </w:p>
              </w:tc>
              <w:tc>
                <w:tcPr>
                  <w:tcW w:w="3261" w:type="dxa"/>
                  <w:vAlign w:val="center"/>
                </w:tcPr>
                <w:p>
                  <w:pPr>
                    <w:spacing w:line="360" w:lineRule="exact"/>
                    <w:ind w:firstLine="210" w:firstLineChars="100"/>
                    <w:jc w:val="left"/>
                    <w:rPr>
                      <w:rFonts w:ascii="Times New Roman" w:hAnsi="Times New Roman" w:cs="Times New Roman"/>
                    </w:rPr>
                  </w:pPr>
                  <w:r>
                    <w:rPr>
                      <w:rFonts w:ascii="Times New Roman" w:hAnsi="Times New Roman" w:cs="Times New Roman"/>
                    </w:rPr>
                    <w:t>满足《生活垃圾填埋场污染控制标准》（GB16889）要求进入生活垃圾填埋场填埋。</w:t>
                  </w:r>
                </w:p>
              </w:tc>
              <w:tc>
                <w:tcPr>
                  <w:tcW w:w="1774" w:type="dxa"/>
                  <w:vAlign w:val="center"/>
                </w:tcPr>
                <w:p>
                  <w:pPr>
                    <w:spacing w:line="360" w:lineRule="exact"/>
                    <w:ind w:firstLine="210" w:firstLineChars="100"/>
                    <w:jc w:val="left"/>
                    <w:rPr>
                      <w:rFonts w:ascii="Times New Roman" w:hAnsi="Times New Roman" w:cs="Times New Roman"/>
                    </w:rPr>
                  </w:pPr>
                  <w:r>
                    <w:rPr>
                      <w:rFonts w:ascii="Times New Roman" w:hAnsi="Times New Roman" w:cs="Times New Roman"/>
                    </w:rPr>
                    <w:t>填埋处置过程不按危险废物管理。</w:t>
                  </w:r>
                </w:p>
              </w:tc>
            </w:tr>
          </w:tbl>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由上表可知，项目产生的除尘固废运输和处置环节已被豁免，定期委托环卫部门运输至垃圾填埋场填埋处置。处置率100%。</w:t>
            </w:r>
          </w:p>
          <w:p>
            <w:pPr>
              <w:pStyle w:val="34"/>
              <w:ind w:firstLine="482"/>
              <w:rPr>
                <w:rFonts w:eastAsiaTheme="minorEastAsia"/>
                <w:b/>
                <w:szCs w:val="24"/>
              </w:rPr>
            </w:pPr>
            <w:r>
              <w:rPr>
                <w:rFonts w:eastAsiaTheme="minorEastAsia"/>
                <w:b/>
                <w:szCs w:val="24"/>
              </w:rPr>
              <w:t>④废活性炭</w:t>
            </w:r>
          </w:p>
          <w:p>
            <w:pPr>
              <w:pStyle w:val="34"/>
              <w:ind w:firstLine="480"/>
              <w:rPr>
                <w:szCs w:val="21"/>
              </w:rPr>
            </w:pPr>
            <w:r>
              <w:rPr>
                <w:szCs w:val="21"/>
              </w:rPr>
              <w:t>项目火化机尾气处理系统和遗物焚烧炉尾气处理系统，两废气处理设施中均包含活性炭吸附器；因此均会产生废活性炭；根据废气去除效率核算，项目废活性炭产生量约为0.3t/a；对照《国家危险废物名录》（2021版），其属性见下表。</w:t>
            </w:r>
          </w:p>
          <w:p>
            <w:pPr>
              <w:pStyle w:val="36"/>
              <w:rPr>
                <w:szCs w:val="21"/>
              </w:rPr>
            </w:pPr>
            <w:r>
              <w:rPr>
                <w:szCs w:val="21"/>
              </w:rPr>
              <w:t>表4.2.4-5  国家危险废物名录（2021年）（摘抄）</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46"/>
              <w:gridCol w:w="1348"/>
              <w:gridCol w:w="1275"/>
              <w:gridCol w:w="212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vAlign w:val="center"/>
                </w:tcPr>
                <w:p>
                  <w:pPr>
                    <w:pStyle w:val="26"/>
                    <w:spacing w:line="360" w:lineRule="exact"/>
                    <w:rPr>
                      <w:color w:val="auto"/>
                      <w:szCs w:val="21"/>
                    </w:rPr>
                  </w:pPr>
                  <w:r>
                    <w:rPr>
                      <w:color w:val="auto"/>
                      <w:szCs w:val="21"/>
                    </w:rPr>
                    <w:t>项目危废</w:t>
                  </w:r>
                </w:p>
              </w:tc>
              <w:tc>
                <w:tcPr>
                  <w:tcW w:w="1346" w:type="dxa"/>
                  <w:vAlign w:val="center"/>
                </w:tcPr>
                <w:p>
                  <w:pPr>
                    <w:pStyle w:val="26"/>
                    <w:spacing w:line="360" w:lineRule="exact"/>
                    <w:rPr>
                      <w:color w:val="auto"/>
                      <w:szCs w:val="21"/>
                    </w:rPr>
                  </w:pPr>
                  <w:r>
                    <w:rPr>
                      <w:color w:val="auto"/>
                      <w:szCs w:val="21"/>
                    </w:rPr>
                    <w:t>废物类别</w:t>
                  </w:r>
                </w:p>
              </w:tc>
              <w:tc>
                <w:tcPr>
                  <w:tcW w:w="1348" w:type="dxa"/>
                  <w:vAlign w:val="center"/>
                </w:tcPr>
                <w:p>
                  <w:pPr>
                    <w:pStyle w:val="26"/>
                    <w:spacing w:line="360" w:lineRule="exact"/>
                    <w:rPr>
                      <w:color w:val="auto"/>
                      <w:szCs w:val="21"/>
                    </w:rPr>
                  </w:pPr>
                  <w:r>
                    <w:rPr>
                      <w:color w:val="auto"/>
                      <w:szCs w:val="21"/>
                    </w:rPr>
                    <w:t>行业来源</w:t>
                  </w:r>
                </w:p>
              </w:tc>
              <w:tc>
                <w:tcPr>
                  <w:tcW w:w="1275" w:type="dxa"/>
                  <w:vAlign w:val="center"/>
                </w:tcPr>
                <w:p>
                  <w:pPr>
                    <w:pStyle w:val="26"/>
                    <w:spacing w:line="360" w:lineRule="exact"/>
                    <w:rPr>
                      <w:color w:val="auto"/>
                      <w:szCs w:val="21"/>
                    </w:rPr>
                  </w:pPr>
                  <w:r>
                    <w:rPr>
                      <w:color w:val="auto"/>
                      <w:szCs w:val="21"/>
                    </w:rPr>
                    <w:t>废物代码</w:t>
                  </w:r>
                </w:p>
              </w:tc>
              <w:tc>
                <w:tcPr>
                  <w:tcW w:w="2125" w:type="dxa"/>
                  <w:vAlign w:val="center"/>
                </w:tcPr>
                <w:p>
                  <w:pPr>
                    <w:pStyle w:val="26"/>
                    <w:spacing w:line="360" w:lineRule="exact"/>
                    <w:rPr>
                      <w:color w:val="auto"/>
                      <w:szCs w:val="21"/>
                    </w:rPr>
                  </w:pPr>
                  <w:r>
                    <w:rPr>
                      <w:color w:val="auto"/>
                      <w:szCs w:val="21"/>
                    </w:rPr>
                    <w:t>危险废物</w:t>
                  </w:r>
                </w:p>
              </w:tc>
              <w:tc>
                <w:tcPr>
                  <w:tcW w:w="1208" w:type="dxa"/>
                  <w:vAlign w:val="center"/>
                </w:tcPr>
                <w:p>
                  <w:pPr>
                    <w:pStyle w:val="26"/>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3" w:type="dxa"/>
                  <w:vAlign w:val="center"/>
                </w:tcPr>
                <w:p>
                  <w:pPr>
                    <w:pStyle w:val="26"/>
                    <w:spacing w:line="360" w:lineRule="exact"/>
                    <w:rPr>
                      <w:color w:val="auto"/>
                      <w:szCs w:val="21"/>
                    </w:rPr>
                  </w:pPr>
                  <w:r>
                    <w:rPr>
                      <w:color w:val="auto"/>
                      <w:szCs w:val="21"/>
                    </w:rPr>
                    <w:t>废活性炭</w:t>
                  </w:r>
                </w:p>
              </w:tc>
              <w:tc>
                <w:tcPr>
                  <w:tcW w:w="1346" w:type="dxa"/>
                  <w:vAlign w:val="center"/>
                </w:tcPr>
                <w:p>
                  <w:pPr>
                    <w:pStyle w:val="26"/>
                    <w:spacing w:line="360" w:lineRule="exact"/>
                    <w:rPr>
                      <w:color w:val="auto"/>
                      <w:szCs w:val="21"/>
                    </w:rPr>
                  </w:pPr>
                  <w:r>
                    <w:rPr>
                      <w:color w:val="auto"/>
                      <w:szCs w:val="21"/>
                    </w:rPr>
                    <w:t>HW18焚烧处置残渣</w:t>
                  </w:r>
                </w:p>
              </w:tc>
              <w:tc>
                <w:tcPr>
                  <w:tcW w:w="1348" w:type="dxa"/>
                  <w:vAlign w:val="center"/>
                </w:tcPr>
                <w:p>
                  <w:pPr>
                    <w:pStyle w:val="26"/>
                    <w:spacing w:line="360" w:lineRule="exact"/>
                    <w:rPr>
                      <w:color w:val="auto"/>
                      <w:szCs w:val="21"/>
                    </w:rPr>
                  </w:pPr>
                  <w:r>
                    <w:rPr>
                      <w:color w:val="auto"/>
                      <w:szCs w:val="21"/>
                    </w:rPr>
                    <w:t>环境治理业</w:t>
                  </w:r>
                </w:p>
              </w:tc>
              <w:tc>
                <w:tcPr>
                  <w:tcW w:w="1275" w:type="dxa"/>
                  <w:vAlign w:val="center"/>
                </w:tcPr>
                <w:p>
                  <w:pPr>
                    <w:pStyle w:val="26"/>
                    <w:spacing w:line="360" w:lineRule="exact"/>
                    <w:rPr>
                      <w:color w:val="auto"/>
                      <w:szCs w:val="21"/>
                    </w:rPr>
                  </w:pPr>
                  <w:r>
                    <w:rPr>
                      <w:color w:val="auto"/>
                      <w:szCs w:val="21"/>
                    </w:rPr>
                    <w:t>772-005-18</w:t>
                  </w:r>
                </w:p>
              </w:tc>
              <w:tc>
                <w:tcPr>
                  <w:tcW w:w="2125" w:type="dxa"/>
                  <w:vAlign w:val="center"/>
                </w:tcPr>
                <w:p>
                  <w:pPr>
                    <w:spacing w:line="360" w:lineRule="exact"/>
                    <w:ind w:firstLine="210" w:firstLineChars="100"/>
                    <w:rPr>
                      <w:rFonts w:ascii="Times New Roman" w:hAnsi="Times New Roman" w:cs="Times New Roman"/>
                      <w:kern w:val="0"/>
                    </w:rPr>
                  </w:pPr>
                  <w:r>
                    <w:rPr>
                      <w:rFonts w:ascii="Times New Roman" w:hAnsi="Times New Roman" w:cs="Times New Roman"/>
                    </w:rPr>
                    <w:t>固体废物焚烧处置过程中废气处理产生的废活性炭</w:t>
                  </w:r>
                </w:p>
              </w:tc>
              <w:tc>
                <w:tcPr>
                  <w:tcW w:w="1208" w:type="dxa"/>
                  <w:vAlign w:val="center"/>
                </w:tcPr>
                <w:p>
                  <w:pPr>
                    <w:pStyle w:val="26"/>
                    <w:spacing w:line="360" w:lineRule="exact"/>
                    <w:rPr>
                      <w:color w:val="auto"/>
                      <w:szCs w:val="21"/>
                    </w:rPr>
                  </w:pPr>
                  <w:r>
                    <w:rPr>
                      <w:color w:val="auto"/>
                      <w:szCs w:val="21"/>
                    </w:rPr>
                    <w:t>T</w:t>
                  </w:r>
                </w:p>
              </w:tc>
            </w:tr>
          </w:tbl>
          <w:p>
            <w:pPr>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由上表可知，项目产生的废活性炭属于危险废物，项目拟建设1个10m²的危险废物贮存间对废活性炭进行分类暂存后，委托有资质的单位进行处置。处置率100%。</w:t>
            </w:r>
          </w:p>
          <w:p>
            <w:pPr>
              <w:pStyle w:val="34"/>
              <w:ind w:firstLine="482"/>
              <w:rPr>
                <w:rFonts w:eastAsiaTheme="minorEastAsia"/>
                <w:b/>
                <w:szCs w:val="24"/>
              </w:rPr>
            </w:pPr>
            <w:r>
              <w:rPr>
                <w:rFonts w:eastAsiaTheme="minorEastAsia"/>
                <w:b/>
                <w:szCs w:val="24"/>
              </w:rPr>
              <w:t>⑤遗物祭品焚烧灰渣</w:t>
            </w:r>
          </w:p>
          <w:p>
            <w:pPr>
              <w:pStyle w:val="34"/>
              <w:ind w:firstLine="480"/>
              <w:rPr>
                <w:szCs w:val="21"/>
              </w:rPr>
            </w:pPr>
            <w:r>
              <w:rPr>
                <w:szCs w:val="21"/>
              </w:rPr>
              <w:t>项目拟遗物焚烧炉对遗物祭品等进行焚烧，该过程会产生遗物祭品焚烧灰渣，预计产生量为3.2t/a；对照《国家危险废物名录》（2021版），未将其列入危险废物，该固废属于一般固废，委托环卫部门运输至垃圾填埋场填埋处置。处置率100%。</w:t>
            </w:r>
          </w:p>
          <w:p>
            <w:pPr>
              <w:pStyle w:val="34"/>
              <w:ind w:firstLine="482"/>
              <w:rPr>
                <w:rFonts w:eastAsiaTheme="minorEastAsia"/>
                <w:b/>
                <w:szCs w:val="24"/>
              </w:rPr>
            </w:pPr>
            <w:r>
              <w:rPr>
                <w:rFonts w:eastAsiaTheme="minorEastAsia"/>
                <w:b/>
                <w:szCs w:val="24"/>
              </w:rPr>
              <w:t>⑥污水处理系统污泥</w:t>
            </w:r>
          </w:p>
          <w:p>
            <w:pPr>
              <w:pStyle w:val="34"/>
              <w:ind w:firstLine="480"/>
              <w:rPr>
                <w:rFonts w:eastAsiaTheme="minorEastAsia"/>
                <w:szCs w:val="24"/>
              </w:rPr>
            </w:pPr>
            <w:r>
              <w:rPr>
                <w:rFonts w:eastAsiaTheme="minorEastAsia"/>
                <w:szCs w:val="24"/>
              </w:rPr>
              <w:t>根据项目情况，针对项目区综合废水，拟配套设置调节池、一体化污水处理设施对其进行处理。污水处理系统在处理废水的过程中，将产生一定的污泥，污泥主要来源于SS和BOD5的去除，以每去除1kgBOD5产生污泥0.8kg计，则预计污泥产生量为0.24t/a。</w:t>
            </w:r>
          </w:p>
          <w:p>
            <w:pPr>
              <w:pStyle w:val="34"/>
              <w:ind w:firstLine="480"/>
              <w:rPr>
                <w:rFonts w:eastAsiaTheme="minorEastAsia"/>
                <w:szCs w:val="24"/>
              </w:rPr>
            </w:pPr>
            <w:r>
              <w:rPr>
                <w:rFonts w:eastAsiaTheme="minorEastAsia"/>
                <w:szCs w:val="24"/>
              </w:rPr>
              <w:t>根据《医疗机构水污染物排放标准》（GB18466-2005）的定义，太平间等排出的诊疗、生活及粪便污水，属于医疗机构污水；而医疗机构污水混合其他废水后，一律视为医疗机构废水，因此该项目产生的综合废水含遗体清洗等废水应视为医疗机构废水。按照《医疗机构水污染物排放标准》（GB18466-2005）的要求，“医院污水处理设施栅渣、化粪池和污水处理设施污泥属危险废物，应按危险废物有关的要求进行贮存、运输和处置”。因此项目拟建设1个10m²的危险废物贮存间对污水处理系统污泥进行暂存后，委托有资质的单位进行处置。处置率100%。</w:t>
            </w:r>
          </w:p>
          <w:p>
            <w:pPr>
              <w:pStyle w:val="34"/>
              <w:ind w:firstLine="482"/>
              <w:rPr>
                <w:rFonts w:eastAsiaTheme="minorEastAsia"/>
                <w:b/>
                <w:szCs w:val="24"/>
              </w:rPr>
            </w:pPr>
            <w:r>
              <w:rPr>
                <w:rFonts w:eastAsiaTheme="minorEastAsia"/>
                <w:b/>
                <w:szCs w:val="24"/>
              </w:rPr>
              <w:t>⑦设备维修产生的废机油及废弃沾油抹布</w:t>
            </w:r>
          </w:p>
          <w:p>
            <w:pPr>
              <w:pStyle w:val="34"/>
              <w:ind w:firstLine="480"/>
              <w:rPr>
                <w:rFonts w:eastAsiaTheme="minorEastAsia"/>
                <w:szCs w:val="24"/>
              </w:rPr>
            </w:pPr>
            <w:r>
              <w:rPr>
                <w:rFonts w:eastAsiaTheme="minorEastAsia"/>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szCs w:val="24"/>
              </w:rPr>
            </w:pPr>
            <w:r>
              <w:rPr>
                <w:rFonts w:ascii="Times New Roman" w:hAnsi="Times New Roman" w:cs="Times New Roman"/>
                <w:b/>
                <w:szCs w:val="24"/>
              </w:rPr>
              <w:t>表4.2.4-6  国家危险废物名录（2021年）（摘抄）</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1"/>
              <w:gridCol w:w="862"/>
              <w:gridCol w:w="1052"/>
              <w:gridCol w:w="301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6"/>
                    <w:spacing w:line="360" w:lineRule="exact"/>
                    <w:rPr>
                      <w:color w:val="auto"/>
                      <w:szCs w:val="21"/>
                    </w:rPr>
                  </w:pPr>
                  <w:r>
                    <w:rPr>
                      <w:color w:val="auto"/>
                      <w:szCs w:val="21"/>
                    </w:rPr>
                    <w:t>项目危废</w:t>
                  </w:r>
                </w:p>
              </w:tc>
              <w:tc>
                <w:tcPr>
                  <w:tcW w:w="1301" w:type="dxa"/>
                  <w:vAlign w:val="center"/>
                </w:tcPr>
                <w:p>
                  <w:pPr>
                    <w:pStyle w:val="26"/>
                    <w:spacing w:line="360" w:lineRule="exact"/>
                    <w:rPr>
                      <w:color w:val="auto"/>
                      <w:szCs w:val="21"/>
                    </w:rPr>
                  </w:pPr>
                  <w:r>
                    <w:rPr>
                      <w:color w:val="auto"/>
                      <w:szCs w:val="21"/>
                    </w:rPr>
                    <w:t>废物类别</w:t>
                  </w:r>
                </w:p>
              </w:tc>
              <w:tc>
                <w:tcPr>
                  <w:tcW w:w="862" w:type="dxa"/>
                  <w:vAlign w:val="center"/>
                </w:tcPr>
                <w:p>
                  <w:pPr>
                    <w:pStyle w:val="26"/>
                    <w:spacing w:line="360" w:lineRule="exact"/>
                    <w:rPr>
                      <w:color w:val="auto"/>
                      <w:szCs w:val="21"/>
                    </w:rPr>
                  </w:pPr>
                  <w:r>
                    <w:rPr>
                      <w:color w:val="auto"/>
                      <w:szCs w:val="21"/>
                    </w:rPr>
                    <w:t>行业来源</w:t>
                  </w:r>
                </w:p>
              </w:tc>
              <w:tc>
                <w:tcPr>
                  <w:tcW w:w="1052" w:type="dxa"/>
                  <w:vAlign w:val="center"/>
                </w:tcPr>
                <w:p>
                  <w:pPr>
                    <w:pStyle w:val="26"/>
                    <w:spacing w:line="360" w:lineRule="exact"/>
                    <w:rPr>
                      <w:color w:val="auto"/>
                      <w:szCs w:val="21"/>
                    </w:rPr>
                  </w:pPr>
                  <w:r>
                    <w:rPr>
                      <w:color w:val="auto"/>
                      <w:szCs w:val="21"/>
                    </w:rPr>
                    <w:t>废物代码</w:t>
                  </w:r>
                </w:p>
              </w:tc>
              <w:tc>
                <w:tcPr>
                  <w:tcW w:w="3010" w:type="dxa"/>
                  <w:vAlign w:val="center"/>
                </w:tcPr>
                <w:p>
                  <w:pPr>
                    <w:pStyle w:val="26"/>
                    <w:spacing w:line="360" w:lineRule="exact"/>
                    <w:rPr>
                      <w:color w:val="auto"/>
                      <w:szCs w:val="21"/>
                    </w:rPr>
                  </w:pPr>
                  <w:r>
                    <w:rPr>
                      <w:color w:val="auto"/>
                      <w:szCs w:val="21"/>
                    </w:rPr>
                    <w:t>危险废物</w:t>
                  </w:r>
                </w:p>
              </w:tc>
              <w:tc>
                <w:tcPr>
                  <w:tcW w:w="1033" w:type="dxa"/>
                  <w:vAlign w:val="center"/>
                </w:tcPr>
                <w:p>
                  <w:pPr>
                    <w:pStyle w:val="26"/>
                    <w:spacing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6"/>
                    <w:spacing w:line="360" w:lineRule="exact"/>
                    <w:rPr>
                      <w:color w:val="auto"/>
                      <w:szCs w:val="21"/>
                    </w:rPr>
                  </w:pPr>
                  <w:r>
                    <w:rPr>
                      <w:color w:val="auto"/>
                      <w:szCs w:val="21"/>
                    </w:rPr>
                    <w:t>废机油</w:t>
                  </w:r>
                </w:p>
              </w:tc>
              <w:tc>
                <w:tcPr>
                  <w:tcW w:w="1301" w:type="dxa"/>
                  <w:vAlign w:val="center"/>
                </w:tcPr>
                <w:p>
                  <w:pPr>
                    <w:pStyle w:val="26"/>
                    <w:spacing w:line="360" w:lineRule="exact"/>
                    <w:rPr>
                      <w:color w:val="auto"/>
                      <w:szCs w:val="21"/>
                    </w:rPr>
                  </w:pPr>
                  <w:r>
                    <w:rPr>
                      <w:color w:val="auto"/>
                      <w:szCs w:val="21"/>
                    </w:rPr>
                    <w:t>HW08废矿物油与含矿物油废物</w:t>
                  </w:r>
                </w:p>
              </w:tc>
              <w:tc>
                <w:tcPr>
                  <w:tcW w:w="862" w:type="dxa"/>
                  <w:vAlign w:val="center"/>
                </w:tcPr>
                <w:p>
                  <w:pPr>
                    <w:pStyle w:val="26"/>
                    <w:spacing w:line="360" w:lineRule="exact"/>
                    <w:rPr>
                      <w:color w:val="auto"/>
                      <w:szCs w:val="21"/>
                    </w:rPr>
                  </w:pPr>
                  <w:r>
                    <w:rPr>
                      <w:color w:val="auto"/>
                      <w:szCs w:val="21"/>
                    </w:rPr>
                    <w:t>非特定行业</w:t>
                  </w:r>
                </w:p>
              </w:tc>
              <w:tc>
                <w:tcPr>
                  <w:tcW w:w="1052" w:type="dxa"/>
                  <w:vAlign w:val="center"/>
                </w:tcPr>
                <w:p>
                  <w:pPr>
                    <w:pStyle w:val="26"/>
                    <w:spacing w:line="360" w:lineRule="exact"/>
                    <w:rPr>
                      <w:color w:val="auto"/>
                      <w:szCs w:val="21"/>
                    </w:rPr>
                  </w:pPr>
                  <w:r>
                    <w:rPr>
                      <w:color w:val="auto"/>
                      <w:szCs w:val="21"/>
                    </w:rPr>
                    <w:t>900-214-08</w:t>
                  </w:r>
                </w:p>
              </w:tc>
              <w:tc>
                <w:tcPr>
                  <w:tcW w:w="3010" w:type="dxa"/>
                  <w:vAlign w:val="center"/>
                </w:tcPr>
                <w:p>
                  <w:pPr>
                    <w:pStyle w:val="26"/>
                    <w:spacing w:line="360" w:lineRule="exact"/>
                    <w:ind w:firstLine="210" w:firstLineChars="100"/>
                    <w:jc w:val="left"/>
                    <w:rPr>
                      <w:color w:val="auto"/>
                      <w:szCs w:val="21"/>
                    </w:rPr>
                  </w:pPr>
                  <w:r>
                    <w:rPr>
                      <w:color w:val="auto"/>
                      <w:szCs w:val="21"/>
                    </w:rPr>
                    <w:t>车辆、轮船及其它机械维修过程中产生的废发动机油、制动器油、自动变速器油、齿轮油等废润滑油</w:t>
                  </w:r>
                </w:p>
              </w:tc>
              <w:tc>
                <w:tcPr>
                  <w:tcW w:w="1033" w:type="dxa"/>
                  <w:vAlign w:val="center"/>
                </w:tcPr>
                <w:p>
                  <w:pPr>
                    <w:pStyle w:val="26"/>
                    <w:spacing w:line="360" w:lineRule="exact"/>
                    <w:rPr>
                      <w:color w:val="auto"/>
                      <w:szCs w:val="21"/>
                    </w:rPr>
                  </w:pPr>
                  <w:r>
                    <w:rPr>
                      <w:color w:val="auto"/>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26"/>
                    <w:spacing w:line="360" w:lineRule="exact"/>
                    <w:rPr>
                      <w:color w:val="auto"/>
                      <w:szCs w:val="21"/>
                    </w:rPr>
                  </w:pPr>
                  <w:r>
                    <w:rPr>
                      <w:color w:val="auto"/>
                      <w:szCs w:val="21"/>
                    </w:rPr>
                    <w:t>沾油的抹布</w:t>
                  </w:r>
                </w:p>
              </w:tc>
              <w:tc>
                <w:tcPr>
                  <w:tcW w:w="1301" w:type="dxa"/>
                  <w:vAlign w:val="center"/>
                </w:tcPr>
                <w:p>
                  <w:pPr>
                    <w:pStyle w:val="26"/>
                    <w:spacing w:line="360" w:lineRule="exact"/>
                    <w:rPr>
                      <w:color w:val="auto"/>
                      <w:szCs w:val="21"/>
                    </w:rPr>
                  </w:pPr>
                  <w:r>
                    <w:rPr>
                      <w:color w:val="auto"/>
                      <w:szCs w:val="21"/>
                    </w:rPr>
                    <w:t>HW49其他废物</w:t>
                  </w:r>
                </w:p>
              </w:tc>
              <w:tc>
                <w:tcPr>
                  <w:tcW w:w="862" w:type="dxa"/>
                  <w:vAlign w:val="center"/>
                </w:tcPr>
                <w:p>
                  <w:pPr>
                    <w:pStyle w:val="26"/>
                    <w:spacing w:line="360" w:lineRule="exact"/>
                    <w:rPr>
                      <w:color w:val="auto"/>
                      <w:szCs w:val="21"/>
                    </w:rPr>
                  </w:pPr>
                  <w:r>
                    <w:rPr>
                      <w:color w:val="auto"/>
                      <w:szCs w:val="21"/>
                    </w:rPr>
                    <w:t>非特定行业</w:t>
                  </w:r>
                </w:p>
              </w:tc>
              <w:tc>
                <w:tcPr>
                  <w:tcW w:w="1052" w:type="dxa"/>
                  <w:vAlign w:val="center"/>
                </w:tcPr>
                <w:p>
                  <w:pPr>
                    <w:pStyle w:val="26"/>
                    <w:spacing w:line="360" w:lineRule="exact"/>
                    <w:rPr>
                      <w:color w:val="auto"/>
                      <w:szCs w:val="21"/>
                    </w:rPr>
                  </w:pPr>
                  <w:r>
                    <w:rPr>
                      <w:color w:val="auto"/>
                      <w:szCs w:val="21"/>
                    </w:rPr>
                    <w:t>900-041-49</w:t>
                  </w:r>
                </w:p>
              </w:tc>
              <w:tc>
                <w:tcPr>
                  <w:tcW w:w="3010" w:type="dxa"/>
                  <w:vAlign w:val="center"/>
                </w:tcPr>
                <w:p>
                  <w:pPr>
                    <w:pStyle w:val="26"/>
                    <w:spacing w:line="360" w:lineRule="exact"/>
                    <w:ind w:firstLine="210" w:firstLineChars="100"/>
                    <w:jc w:val="left"/>
                    <w:rPr>
                      <w:color w:val="auto"/>
                      <w:szCs w:val="21"/>
                    </w:rPr>
                  </w:pPr>
                  <w:r>
                    <w:rPr>
                      <w:color w:val="auto"/>
                      <w:szCs w:val="21"/>
                    </w:rPr>
                    <w:t>含有或沾染毒性、感染性危险废物的废弃包装物、容器、过滤吸附介质</w:t>
                  </w:r>
                </w:p>
              </w:tc>
              <w:tc>
                <w:tcPr>
                  <w:tcW w:w="1033" w:type="dxa"/>
                  <w:vAlign w:val="center"/>
                </w:tcPr>
                <w:p>
                  <w:pPr>
                    <w:pStyle w:val="26"/>
                    <w:spacing w:line="360" w:lineRule="exact"/>
                    <w:rPr>
                      <w:color w:val="auto"/>
                      <w:szCs w:val="21"/>
                    </w:rPr>
                  </w:pPr>
                  <w:r>
                    <w:rPr>
                      <w:color w:val="auto"/>
                      <w:szCs w:val="21"/>
                    </w:rPr>
                    <w:t>T/In</w:t>
                  </w:r>
                </w:p>
              </w:tc>
            </w:tr>
          </w:tbl>
          <w:p>
            <w:pPr>
              <w:pStyle w:val="34"/>
              <w:spacing w:beforeLines="50"/>
              <w:ind w:firstLine="480"/>
              <w:rPr>
                <w:szCs w:val="24"/>
              </w:rPr>
            </w:pPr>
            <w:r>
              <w:rPr>
                <w:szCs w:val="24"/>
              </w:rPr>
              <w:t>项目区每年废机油产生量约为5kg，废弃沾油抹布产生量为2kg。根据《国家危险废物名录》（2021版）“危险废物豁免管理清单”的要求，该项目豁免危险废物清单如下：</w:t>
            </w:r>
          </w:p>
          <w:p>
            <w:pPr>
              <w:pStyle w:val="34"/>
              <w:spacing w:beforeLines="50"/>
              <w:ind w:firstLine="480"/>
              <w:rPr>
                <w:szCs w:val="24"/>
              </w:rPr>
            </w:pPr>
          </w:p>
          <w:p>
            <w:pPr>
              <w:pStyle w:val="34"/>
              <w:spacing w:beforeLines="50"/>
              <w:ind w:firstLine="480"/>
              <w:rPr>
                <w:szCs w:val="24"/>
              </w:rPr>
            </w:pPr>
          </w:p>
          <w:p>
            <w:pPr>
              <w:jc w:val="center"/>
              <w:rPr>
                <w:rFonts w:ascii="Times New Roman" w:hAnsi="Times New Roman" w:cs="Times New Roman"/>
                <w:b/>
                <w:szCs w:val="24"/>
              </w:rPr>
            </w:pPr>
            <w:r>
              <w:rPr>
                <w:rFonts w:ascii="Times New Roman" w:hAnsi="Times New Roman" w:cs="Times New Roman"/>
                <w:b/>
                <w:szCs w:val="24"/>
              </w:rPr>
              <w:t>表4.2.4-7 该项目豁免危险废物清单一览表</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0"/>
              <w:gridCol w:w="1251"/>
              <w:gridCol w:w="1656"/>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26"/>
                    <w:spacing w:line="360" w:lineRule="exact"/>
                    <w:rPr>
                      <w:color w:val="auto"/>
                      <w:szCs w:val="21"/>
                    </w:rPr>
                  </w:pPr>
                  <w:r>
                    <w:rPr>
                      <w:color w:val="auto"/>
                      <w:szCs w:val="21"/>
                    </w:rPr>
                    <w:t>废物类别</w:t>
                  </w:r>
                </w:p>
              </w:tc>
              <w:tc>
                <w:tcPr>
                  <w:tcW w:w="1480" w:type="dxa"/>
                  <w:vAlign w:val="center"/>
                </w:tcPr>
                <w:p>
                  <w:pPr>
                    <w:pStyle w:val="26"/>
                    <w:spacing w:line="360" w:lineRule="exact"/>
                    <w:rPr>
                      <w:color w:val="auto"/>
                      <w:szCs w:val="21"/>
                    </w:rPr>
                  </w:pPr>
                  <w:r>
                    <w:rPr>
                      <w:color w:val="auto"/>
                      <w:szCs w:val="21"/>
                    </w:rPr>
                    <w:t>危险废物</w:t>
                  </w:r>
                </w:p>
              </w:tc>
              <w:tc>
                <w:tcPr>
                  <w:tcW w:w="1251" w:type="dxa"/>
                  <w:vAlign w:val="center"/>
                </w:tcPr>
                <w:p>
                  <w:pPr>
                    <w:pStyle w:val="26"/>
                    <w:spacing w:line="360" w:lineRule="exact"/>
                    <w:rPr>
                      <w:color w:val="auto"/>
                      <w:szCs w:val="21"/>
                    </w:rPr>
                  </w:pPr>
                  <w:r>
                    <w:rPr>
                      <w:color w:val="auto"/>
                      <w:szCs w:val="21"/>
                    </w:rPr>
                    <w:t>豁免环节</w:t>
                  </w:r>
                </w:p>
              </w:tc>
              <w:tc>
                <w:tcPr>
                  <w:tcW w:w="1656" w:type="dxa"/>
                  <w:vAlign w:val="center"/>
                </w:tcPr>
                <w:p>
                  <w:pPr>
                    <w:pStyle w:val="26"/>
                    <w:spacing w:line="360" w:lineRule="exact"/>
                    <w:rPr>
                      <w:color w:val="auto"/>
                      <w:szCs w:val="21"/>
                    </w:rPr>
                  </w:pPr>
                  <w:r>
                    <w:rPr>
                      <w:color w:val="auto"/>
                      <w:szCs w:val="21"/>
                    </w:rPr>
                    <w:t>豁免条件</w:t>
                  </w:r>
                </w:p>
              </w:tc>
              <w:tc>
                <w:tcPr>
                  <w:tcW w:w="2688" w:type="dxa"/>
                  <w:vAlign w:val="center"/>
                </w:tcPr>
                <w:p>
                  <w:pPr>
                    <w:pStyle w:val="26"/>
                    <w:spacing w:line="360" w:lineRule="exact"/>
                    <w:rPr>
                      <w:color w:val="auto"/>
                      <w:szCs w:val="21"/>
                    </w:rPr>
                  </w:pPr>
                  <w:r>
                    <w:rPr>
                      <w:color w:val="auto"/>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vAlign w:val="center"/>
                </w:tcPr>
                <w:p>
                  <w:pPr>
                    <w:pStyle w:val="26"/>
                    <w:spacing w:line="360" w:lineRule="exact"/>
                    <w:rPr>
                      <w:color w:val="auto"/>
                      <w:szCs w:val="21"/>
                    </w:rPr>
                  </w:pPr>
                  <w:r>
                    <w:rPr>
                      <w:color w:val="auto"/>
                      <w:szCs w:val="21"/>
                    </w:rPr>
                    <w:t>900-041-49</w:t>
                  </w:r>
                </w:p>
              </w:tc>
              <w:tc>
                <w:tcPr>
                  <w:tcW w:w="1480" w:type="dxa"/>
                  <w:vAlign w:val="center"/>
                </w:tcPr>
                <w:p>
                  <w:pPr>
                    <w:autoSpaceDE w:val="0"/>
                    <w:autoSpaceDN w:val="0"/>
                    <w:adjustRightInd w:val="0"/>
                    <w:jc w:val="left"/>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废弃的含油抹布、劳保用品</w:t>
                  </w:r>
                </w:p>
              </w:tc>
              <w:tc>
                <w:tcPr>
                  <w:tcW w:w="1251" w:type="dxa"/>
                  <w:vAlign w:val="center"/>
                </w:tcPr>
                <w:p>
                  <w:pPr>
                    <w:pStyle w:val="26"/>
                    <w:spacing w:line="360" w:lineRule="exact"/>
                    <w:rPr>
                      <w:color w:val="auto"/>
                      <w:szCs w:val="21"/>
                    </w:rPr>
                  </w:pPr>
                  <w:r>
                    <w:rPr>
                      <w:color w:val="auto"/>
                      <w:szCs w:val="21"/>
                    </w:rPr>
                    <w:t>全部环节</w:t>
                  </w:r>
                </w:p>
              </w:tc>
              <w:tc>
                <w:tcPr>
                  <w:tcW w:w="1656" w:type="dxa"/>
                  <w:vAlign w:val="center"/>
                </w:tcPr>
                <w:p>
                  <w:pPr>
                    <w:pStyle w:val="26"/>
                    <w:spacing w:line="360" w:lineRule="exact"/>
                    <w:rPr>
                      <w:color w:val="auto"/>
                      <w:szCs w:val="21"/>
                    </w:rPr>
                  </w:pPr>
                  <w:r>
                    <w:rPr>
                      <w:color w:val="auto"/>
                      <w:szCs w:val="21"/>
                    </w:rPr>
                    <w:t>未分类收集</w:t>
                  </w:r>
                </w:p>
              </w:tc>
              <w:tc>
                <w:tcPr>
                  <w:tcW w:w="2688" w:type="dxa"/>
                  <w:vAlign w:val="center"/>
                </w:tcPr>
                <w:p>
                  <w:pPr>
                    <w:pStyle w:val="26"/>
                    <w:spacing w:line="360" w:lineRule="exact"/>
                    <w:rPr>
                      <w:color w:val="auto"/>
                      <w:szCs w:val="21"/>
                    </w:rPr>
                  </w:pPr>
                  <w:r>
                    <w:rPr>
                      <w:color w:val="auto"/>
                      <w:szCs w:val="21"/>
                    </w:rPr>
                    <w:t>全过程不按危险废物管理</w:t>
                  </w:r>
                </w:p>
              </w:tc>
            </w:tr>
          </w:tbl>
          <w:p>
            <w:pPr>
              <w:pStyle w:val="34"/>
              <w:spacing w:beforeLines="50"/>
              <w:ind w:firstLine="480"/>
              <w:rPr>
                <w:szCs w:val="24"/>
              </w:rPr>
            </w:pPr>
            <w:r>
              <w:rPr>
                <w:szCs w:val="24"/>
              </w:rPr>
              <w:t>由上表可知，项目产生的废弃沾油抹布全部环节已被豁免，按一般固体废物管理要求管理；针对项目产生的废机油，项目拟建设1个10m²的危险废物贮存间对其进行分类暂存后，委托有资质的单位处置。</w:t>
            </w:r>
          </w:p>
          <w:p>
            <w:pPr>
              <w:pStyle w:val="34"/>
              <w:ind w:firstLine="482"/>
              <w:rPr>
                <w:rFonts w:eastAsiaTheme="minorEastAsia"/>
                <w:b/>
                <w:szCs w:val="24"/>
              </w:rPr>
            </w:pPr>
            <w:r>
              <w:rPr>
                <w:rFonts w:eastAsiaTheme="minorEastAsia"/>
                <w:b/>
                <w:szCs w:val="24"/>
              </w:rPr>
              <w:t>⑧生活固废</w:t>
            </w:r>
          </w:p>
          <w:p>
            <w:pPr>
              <w:pStyle w:val="34"/>
              <w:ind w:firstLine="480"/>
              <w:rPr>
                <w:rFonts w:eastAsiaTheme="minorEastAsia"/>
                <w:szCs w:val="24"/>
              </w:rPr>
            </w:pPr>
            <w:r>
              <w:rPr>
                <w:rFonts w:eastAsiaTheme="minorEastAsia"/>
                <w:szCs w:val="24"/>
              </w:rPr>
              <w:t>生活固废包括生活垃圾、餐厨废物和隔油池浮油，具体如下：</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1 \* GB2 </w:instrText>
            </w:r>
            <w:r>
              <w:rPr>
                <w:rFonts w:eastAsiaTheme="minorEastAsia"/>
                <w:b/>
                <w:szCs w:val="24"/>
              </w:rPr>
              <w:fldChar w:fldCharType="separate"/>
            </w:r>
            <w:r>
              <w:rPr>
                <w:rFonts w:eastAsiaTheme="minorEastAsia"/>
                <w:b/>
                <w:szCs w:val="24"/>
              </w:rPr>
              <w:t>⑴</w:t>
            </w:r>
            <w:r>
              <w:rPr>
                <w:rFonts w:eastAsiaTheme="minorEastAsia"/>
                <w:b/>
                <w:szCs w:val="24"/>
              </w:rPr>
              <w:fldChar w:fldCharType="end"/>
            </w:r>
            <w:r>
              <w:rPr>
                <w:rFonts w:eastAsiaTheme="minorEastAsia"/>
                <w:b/>
                <w:szCs w:val="24"/>
              </w:rPr>
              <w:t>生活垃圾</w:t>
            </w:r>
          </w:p>
          <w:p>
            <w:pPr>
              <w:pStyle w:val="34"/>
              <w:ind w:firstLine="480"/>
              <w:rPr>
                <w:rFonts w:eastAsiaTheme="minorEastAsia"/>
                <w:szCs w:val="24"/>
              </w:rPr>
            </w:pPr>
            <w:r>
              <w:rPr>
                <w:rFonts w:eastAsiaTheme="minorEastAsia"/>
                <w:szCs w:val="24"/>
              </w:rPr>
              <w:t>根据可研，该项目已定员工24人，生活产生量按1kg/（人·d）计，则生活垃圾产生量为24kg/d（8.6t/a）。生活垃圾集中收集后，委托环卫部门定期清运处置，处置率为100%。</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2 \* GB2 </w:instrText>
            </w:r>
            <w:r>
              <w:rPr>
                <w:rFonts w:eastAsiaTheme="minorEastAsia"/>
                <w:b/>
                <w:szCs w:val="24"/>
              </w:rPr>
              <w:fldChar w:fldCharType="separate"/>
            </w:r>
            <w:r>
              <w:rPr>
                <w:rFonts w:eastAsiaTheme="minorEastAsia"/>
                <w:b/>
                <w:szCs w:val="24"/>
              </w:rPr>
              <w:t>⑵</w:t>
            </w:r>
            <w:r>
              <w:rPr>
                <w:rFonts w:eastAsiaTheme="minorEastAsia"/>
                <w:b/>
                <w:szCs w:val="24"/>
              </w:rPr>
              <w:fldChar w:fldCharType="end"/>
            </w:r>
            <w:r>
              <w:rPr>
                <w:rFonts w:eastAsiaTheme="minorEastAsia"/>
                <w:b/>
                <w:szCs w:val="24"/>
              </w:rPr>
              <w:t>餐厨废物</w:t>
            </w:r>
          </w:p>
          <w:p>
            <w:pPr>
              <w:pStyle w:val="34"/>
              <w:ind w:firstLine="480"/>
              <w:rPr>
                <w:rFonts w:eastAsiaTheme="minorEastAsia"/>
                <w:szCs w:val="24"/>
              </w:rPr>
            </w:pPr>
            <w:r>
              <w:rPr>
                <w:rFonts w:eastAsiaTheme="minorEastAsia"/>
                <w:szCs w:val="24"/>
              </w:rPr>
              <w:t>根据类比分析，项目餐厨废物产生量约为3kg/d（合计0.9t/a），统一收集后委托有资质的单位进行处置，处置率为100%。</w:t>
            </w:r>
          </w:p>
          <w:p>
            <w:pPr>
              <w:pStyle w:val="34"/>
              <w:ind w:firstLine="482"/>
              <w:rPr>
                <w:rFonts w:eastAsiaTheme="minorEastAsia"/>
                <w:b/>
                <w:szCs w:val="24"/>
              </w:rPr>
            </w:pPr>
            <w:r>
              <w:rPr>
                <w:rFonts w:eastAsiaTheme="minorEastAsia"/>
                <w:b/>
                <w:szCs w:val="24"/>
              </w:rPr>
              <w:fldChar w:fldCharType="begin"/>
            </w:r>
            <w:r>
              <w:rPr>
                <w:rFonts w:eastAsiaTheme="minorEastAsia"/>
                <w:b/>
                <w:szCs w:val="24"/>
              </w:rPr>
              <w:instrText xml:space="preserve"> = 3 \* GB2 </w:instrText>
            </w:r>
            <w:r>
              <w:rPr>
                <w:rFonts w:eastAsiaTheme="minorEastAsia"/>
                <w:b/>
                <w:szCs w:val="24"/>
              </w:rPr>
              <w:fldChar w:fldCharType="separate"/>
            </w:r>
            <w:r>
              <w:rPr>
                <w:rFonts w:eastAsiaTheme="minorEastAsia"/>
                <w:b/>
                <w:szCs w:val="24"/>
              </w:rPr>
              <w:t>⑶</w:t>
            </w:r>
            <w:r>
              <w:rPr>
                <w:rFonts w:eastAsiaTheme="minorEastAsia"/>
                <w:b/>
                <w:szCs w:val="24"/>
              </w:rPr>
              <w:fldChar w:fldCharType="end"/>
            </w:r>
            <w:r>
              <w:rPr>
                <w:rFonts w:eastAsiaTheme="minorEastAsia"/>
                <w:b/>
                <w:szCs w:val="24"/>
              </w:rPr>
              <w:t>隔油池浮油</w:t>
            </w:r>
          </w:p>
          <w:p>
            <w:pPr>
              <w:pStyle w:val="34"/>
              <w:ind w:firstLine="480"/>
              <w:rPr>
                <w:rFonts w:eastAsiaTheme="minorEastAsia"/>
                <w:szCs w:val="24"/>
              </w:rPr>
            </w:pPr>
            <w:r>
              <w:rPr>
                <w:rFonts w:eastAsiaTheme="minorEastAsia"/>
                <w:szCs w:val="24"/>
              </w:rPr>
              <w:t>根据类比分析，项目针对于厨房生活污水，项目拟设置1个1m³的隔油池对厨房废水进行预处理；该隔油池会产生隔油池浮油，产生量约为20kg/a；委托有资质的单位进行清理和处置，处置率为100%。</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（2）固体废物环境影响和保护措施分析</w:t>
            </w:r>
          </w:p>
          <w:p>
            <w:pPr>
              <w:pStyle w:val="34"/>
              <w:ind w:firstLine="480"/>
              <w:rPr>
                <w:rFonts w:eastAsiaTheme="minorEastAsia"/>
                <w:szCs w:val="24"/>
              </w:rPr>
            </w:pPr>
            <w:r>
              <w:rPr>
                <w:rFonts w:eastAsiaTheme="minorEastAsia"/>
                <w:szCs w:val="24"/>
              </w:rPr>
              <w:t>根据固体废物污染源强分析可知，项目产生的固体废物，其环境影响和保护措施分析具体如下：</w:t>
            </w:r>
          </w:p>
          <w:p>
            <w:pPr>
              <w:pStyle w:val="28"/>
              <w:spacing w:beforeLines="0"/>
              <w:rPr>
                <w:rFonts w:hAnsi="Times New Roman" w:eastAsiaTheme="minorEastAsia"/>
                <w:sz w:val="21"/>
                <w:szCs w:val="21"/>
              </w:rPr>
            </w:pPr>
            <w:r>
              <w:rPr>
                <w:rFonts w:hAnsi="Times New Roman" w:eastAsiaTheme="minorEastAsia"/>
                <w:sz w:val="21"/>
                <w:szCs w:val="21"/>
              </w:rPr>
              <w:t>表4.2.4-8 固体废物环境影响和保护措施分析一览表</w:t>
            </w:r>
          </w:p>
          <w:tbl>
            <w:tblPr>
              <w:tblStyle w:val="17"/>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851"/>
              <w:gridCol w:w="850"/>
              <w:gridCol w:w="1134"/>
              <w:gridCol w:w="709"/>
              <w:gridCol w:w="1843"/>
              <w:gridCol w:w="1824"/>
              <w:gridCol w:w="9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Align w:val="center"/>
                </w:tcPr>
                <w:p>
                  <w:pPr>
                    <w:pStyle w:val="26"/>
                    <w:spacing w:line="360" w:lineRule="exact"/>
                    <w:rPr>
                      <w:rFonts w:eastAsiaTheme="minorEastAsia"/>
                      <w:color w:val="auto"/>
                      <w:szCs w:val="21"/>
                    </w:rPr>
                  </w:pPr>
                  <w:r>
                    <w:rPr>
                      <w:rFonts w:eastAsiaTheme="minorEastAsia"/>
                      <w:color w:val="auto"/>
                      <w:szCs w:val="21"/>
                    </w:rPr>
                    <w:t>序号</w:t>
                  </w:r>
                </w:p>
              </w:tc>
              <w:tc>
                <w:tcPr>
                  <w:tcW w:w="851" w:type="dxa"/>
                  <w:vAlign w:val="center"/>
                </w:tcPr>
                <w:p>
                  <w:pPr>
                    <w:pStyle w:val="26"/>
                    <w:spacing w:line="360" w:lineRule="exact"/>
                    <w:rPr>
                      <w:rFonts w:eastAsiaTheme="minorEastAsia"/>
                      <w:color w:val="auto"/>
                      <w:szCs w:val="21"/>
                    </w:rPr>
                  </w:pPr>
                  <w:r>
                    <w:rPr>
                      <w:rFonts w:eastAsiaTheme="minorEastAsia"/>
                      <w:color w:val="auto"/>
                      <w:szCs w:val="21"/>
                    </w:rPr>
                    <w:t>产生环节</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名称</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属性</w:t>
                  </w: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产生量</w:t>
                  </w:r>
                </w:p>
              </w:tc>
              <w:tc>
                <w:tcPr>
                  <w:tcW w:w="1843" w:type="dxa"/>
                  <w:vAlign w:val="center"/>
                </w:tcPr>
                <w:p>
                  <w:pPr>
                    <w:pStyle w:val="26"/>
                    <w:spacing w:line="360" w:lineRule="exact"/>
                    <w:rPr>
                      <w:rFonts w:eastAsiaTheme="minorEastAsia"/>
                      <w:color w:val="auto"/>
                      <w:szCs w:val="21"/>
                    </w:rPr>
                  </w:pPr>
                  <w:r>
                    <w:rPr>
                      <w:rFonts w:eastAsiaTheme="minorEastAsia"/>
                      <w:color w:val="auto"/>
                      <w:szCs w:val="21"/>
                    </w:rPr>
                    <w:t>贮存方式</w:t>
                  </w:r>
                </w:p>
              </w:tc>
              <w:tc>
                <w:tcPr>
                  <w:tcW w:w="1824" w:type="dxa"/>
                  <w:vAlign w:val="center"/>
                </w:tcPr>
                <w:p>
                  <w:pPr>
                    <w:pStyle w:val="26"/>
                    <w:spacing w:line="360" w:lineRule="exact"/>
                    <w:rPr>
                      <w:rFonts w:eastAsiaTheme="minorEastAsia"/>
                      <w:color w:val="auto"/>
                      <w:szCs w:val="21"/>
                    </w:rPr>
                  </w:pPr>
                  <w:r>
                    <w:rPr>
                      <w:rFonts w:eastAsiaTheme="minorEastAsia"/>
                      <w:color w:val="auto"/>
                      <w:szCs w:val="21"/>
                    </w:rPr>
                    <w:t>利用处置方式和去向</w:t>
                  </w:r>
                </w:p>
              </w:tc>
              <w:tc>
                <w:tcPr>
                  <w:tcW w:w="943" w:type="dxa"/>
                  <w:vAlign w:val="center"/>
                </w:tcPr>
                <w:p>
                  <w:pPr>
                    <w:pStyle w:val="26"/>
                    <w:spacing w:line="360" w:lineRule="exact"/>
                    <w:rPr>
                      <w:rFonts w:eastAsiaTheme="minorEastAsia"/>
                      <w:color w:val="auto"/>
                      <w:szCs w:val="21"/>
                    </w:rPr>
                  </w:pPr>
                  <w:r>
                    <w:rPr>
                      <w:rFonts w:eastAsiaTheme="minorEastAsia"/>
                      <w:color w:val="auto"/>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restart"/>
                  <w:vAlign w:val="center"/>
                </w:tcPr>
                <w:p>
                  <w:pPr>
                    <w:pStyle w:val="26"/>
                    <w:spacing w:line="360" w:lineRule="exact"/>
                    <w:rPr>
                      <w:rFonts w:eastAsiaTheme="minorEastAsia"/>
                      <w:color w:val="auto"/>
                      <w:szCs w:val="21"/>
                    </w:rPr>
                  </w:pPr>
                  <w:r>
                    <w:rPr>
                      <w:rFonts w:eastAsiaTheme="minorEastAsia"/>
                      <w:color w:val="auto"/>
                      <w:szCs w:val="21"/>
                    </w:rPr>
                    <w:t>1</w:t>
                  </w:r>
                </w:p>
              </w:tc>
              <w:tc>
                <w:tcPr>
                  <w:tcW w:w="851" w:type="dxa"/>
                  <w:vMerge w:val="restart"/>
                  <w:vAlign w:val="center"/>
                </w:tcPr>
                <w:p>
                  <w:pPr>
                    <w:pStyle w:val="26"/>
                    <w:spacing w:line="360" w:lineRule="exact"/>
                    <w:rPr>
                      <w:rFonts w:eastAsiaTheme="minorEastAsia"/>
                      <w:color w:val="auto"/>
                      <w:szCs w:val="21"/>
                    </w:rPr>
                  </w:pPr>
                  <w:r>
                    <w:rPr>
                      <w:rFonts w:eastAsiaTheme="minorEastAsia"/>
                      <w:color w:val="auto"/>
                      <w:szCs w:val="21"/>
                    </w:rPr>
                    <w:t>遗体处置</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一次性手套</w:t>
                  </w:r>
                </w:p>
              </w:tc>
              <w:tc>
                <w:tcPr>
                  <w:tcW w:w="1134" w:type="dxa"/>
                  <w:vMerge w:val="restart"/>
                  <w:vAlign w:val="center"/>
                </w:tcPr>
                <w:p>
                  <w:pPr>
                    <w:pStyle w:val="26"/>
                    <w:spacing w:line="360" w:lineRule="exact"/>
                    <w:rPr>
                      <w:rFonts w:eastAsiaTheme="minorEastAsia"/>
                      <w:color w:val="auto"/>
                      <w:szCs w:val="21"/>
                    </w:rPr>
                  </w:pPr>
                  <w:r>
                    <w:rPr>
                      <w:rFonts w:eastAsiaTheme="minorEastAsia"/>
                      <w:color w:val="auto"/>
                      <w:szCs w:val="21"/>
                    </w:rPr>
                    <w:t>医疗废物</w:t>
                  </w:r>
                </w:p>
              </w:tc>
              <w:tc>
                <w:tcPr>
                  <w:tcW w:w="709" w:type="dxa"/>
                  <w:vMerge w:val="restart"/>
                  <w:vAlign w:val="center"/>
                </w:tcPr>
                <w:p>
                  <w:pPr>
                    <w:pStyle w:val="26"/>
                    <w:spacing w:line="360" w:lineRule="exact"/>
                    <w:rPr>
                      <w:rFonts w:eastAsiaTheme="minorEastAsia"/>
                      <w:color w:val="auto"/>
                      <w:szCs w:val="21"/>
                    </w:rPr>
                  </w:pPr>
                  <w:r>
                    <w:rPr>
                      <w:rFonts w:eastAsiaTheme="minorEastAsia"/>
                      <w:color w:val="auto"/>
                      <w:szCs w:val="21"/>
                    </w:rPr>
                    <w:t>0.1t/a</w:t>
                  </w:r>
                </w:p>
              </w:tc>
              <w:tc>
                <w:tcPr>
                  <w:tcW w:w="1843" w:type="dxa"/>
                  <w:vMerge w:val="restart"/>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拟建设了1个10m²的危险废物贮存间分类暂存。</w:t>
                  </w:r>
                </w:p>
              </w:tc>
              <w:tc>
                <w:tcPr>
                  <w:tcW w:w="1824" w:type="dxa"/>
                  <w:vMerge w:val="restart"/>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委托有资质的单位进行处置。</w:t>
                  </w:r>
                </w:p>
              </w:tc>
              <w:tc>
                <w:tcPr>
                  <w:tcW w:w="943" w:type="dxa"/>
                  <w:vMerge w:val="restart"/>
                  <w:vAlign w:val="center"/>
                </w:tcPr>
                <w:p>
                  <w:pPr>
                    <w:pStyle w:val="26"/>
                    <w:spacing w:line="360" w:lineRule="exact"/>
                    <w:rPr>
                      <w:rFonts w:eastAsiaTheme="minorEastAsia"/>
                      <w:color w:val="auto"/>
                      <w:szCs w:val="21"/>
                    </w:rPr>
                  </w:pPr>
                  <w:r>
                    <w:rPr>
                      <w:color w:val="auto"/>
                      <w:szCs w:val="21"/>
                    </w:rPr>
                    <w:t>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vAlign w:val="center"/>
                </w:tcPr>
                <w:p>
                  <w:pPr>
                    <w:pStyle w:val="26"/>
                    <w:spacing w:line="360" w:lineRule="exact"/>
                    <w:rPr>
                      <w:rFonts w:eastAsiaTheme="minorEastAsia"/>
                      <w:color w:val="auto"/>
                      <w:szCs w:val="21"/>
                    </w:rPr>
                  </w:pPr>
                </w:p>
              </w:tc>
              <w:tc>
                <w:tcPr>
                  <w:tcW w:w="851" w:type="dxa"/>
                  <w:vMerge w:val="continue"/>
                  <w:vAlign w:val="center"/>
                </w:tcPr>
                <w:p>
                  <w:pPr>
                    <w:pStyle w:val="26"/>
                    <w:spacing w:line="360" w:lineRule="exact"/>
                    <w:rPr>
                      <w:rFonts w:eastAsiaTheme="minorEastAsia"/>
                      <w:color w:val="auto"/>
                      <w:szCs w:val="21"/>
                    </w:rPr>
                  </w:pP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废弃化妆棉</w:t>
                  </w:r>
                </w:p>
              </w:tc>
              <w:tc>
                <w:tcPr>
                  <w:tcW w:w="1134" w:type="dxa"/>
                  <w:vMerge w:val="continue"/>
                  <w:vAlign w:val="center"/>
                </w:tcPr>
                <w:p>
                  <w:pPr>
                    <w:pStyle w:val="26"/>
                    <w:spacing w:line="360" w:lineRule="exact"/>
                    <w:rPr>
                      <w:rFonts w:eastAsiaTheme="minorEastAsia"/>
                      <w:color w:val="auto"/>
                      <w:szCs w:val="21"/>
                    </w:rPr>
                  </w:pPr>
                </w:p>
              </w:tc>
              <w:tc>
                <w:tcPr>
                  <w:tcW w:w="709" w:type="dxa"/>
                  <w:vMerge w:val="continue"/>
                  <w:vAlign w:val="center"/>
                </w:tcPr>
                <w:p>
                  <w:pPr>
                    <w:pStyle w:val="26"/>
                    <w:spacing w:line="360" w:lineRule="exact"/>
                    <w:rPr>
                      <w:rFonts w:eastAsiaTheme="minorEastAsia"/>
                      <w:color w:val="auto"/>
                      <w:szCs w:val="21"/>
                    </w:rPr>
                  </w:pPr>
                </w:p>
              </w:tc>
              <w:tc>
                <w:tcPr>
                  <w:tcW w:w="1843" w:type="dxa"/>
                  <w:vMerge w:val="continue"/>
                  <w:vAlign w:val="center"/>
                </w:tcPr>
                <w:p>
                  <w:pPr>
                    <w:pStyle w:val="26"/>
                    <w:spacing w:line="360" w:lineRule="exact"/>
                    <w:ind w:firstLine="210" w:firstLineChars="100"/>
                    <w:jc w:val="both"/>
                    <w:rPr>
                      <w:rFonts w:eastAsiaTheme="minorEastAsia"/>
                      <w:color w:val="auto"/>
                      <w:szCs w:val="24"/>
                    </w:rPr>
                  </w:pPr>
                </w:p>
              </w:tc>
              <w:tc>
                <w:tcPr>
                  <w:tcW w:w="1824" w:type="dxa"/>
                  <w:vMerge w:val="continue"/>
                  <w:vAlign w:val="center"/>
                </w:tcPr>
                <w:p>
                  <w:pPr>
                    <w:pStyle w:val="26"/>
                    <w:spacing w:line="360" w:lineRule="exact"/>
                    <w:ind w:firstLine="210" w:firstLineChars="100"/>
                    <w:jc w:val="both"/>
                    <w:rPr>
                      <w:rFonts w:eastAsiaTheme="minorEastAsia"/>
                      <w:color w:val="auto"/>
                      <w:szCs w:val="24"/>
                    </w:rPr>
                  </w:pPr>
                </w:p>
              </w:tc>
              <w:tc>
                <w:tcPr>
                  <w:tcW w:w="943" w:type="dxa"/>
                  <w:vMerge w:val="continue"/>
                  <w:vAlign w:val="center"/>
                </w:tcPr>
                <w:p>
                  <w:pPr>
                    <w:pStyle w:val="26"/>
                    <w:spacing w:line="360" w:lineRule="exact"/>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vAlign w:val="center"/>
                </w:tcPr>
                <w:p>
                  <w:pPr>
                    <w:pStyle w:val="26"/>
                    <w:spacing w:line="360" w:lineRule="exact"/>
                    <w:rPr>
                      <w:rFonts w:eastAsiaTheme="minorEastAsia"/>
                      <w:color w:val="auto"/>
                      <w:szCs w:val="21"/>
                    </w:rPr>
                  </w:pPr>
                </w:p>
              </w:tc>
              <w:tc>
                <w:tcPr>
                  <w:tcW w:w="851" w:type="dxa"/>
                  <w:vMerge w:val="continue"/>
                  <w:vAlign w:val="center"/>
                </w:tcPr>
                <w:p>
                  <w:pPr>
                    <w:pStyle w:val="26"/>
                    <w:spacing w:line="360" w:lineRule="exact"/>
                    <w:rPr>
                      <w:rFonts w:eastAsiaTheme="minorEastAsia"/>
                      <w:color w:val="auto"/>
                      <w:szCs w:val="21"/>
                    </w:rPr>
                  </w:pP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人体组织</w:t>
                  </w:r>
                </w:p>
              </w:tc>
              <w:tc>
                <w:tcPr>
                  <w:tcW w:w="1134" w:type="dxa"/>
                  <w:vMerge w:val="continue"/>
                  <w:vAlign w:val="center"/>
                </w:tcPr>
                <w:p>
                  <w:pPr>
                    <w:pStyle w:val="26"/>
                    <w:spacing w:line="360" w:lineRule="exact"/>
                    <w:rPr>
                      <w:rFonts w:eastAsiaTheme="minorEastAsia"/>
                      <w:color w:val="auto"/>
                      <w:szCs w:val="21"/>
                    </w:rPr>
                  </w:pP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人体组织按公安机关程序进行鉴定后，同逝者遗体一起火化。</w:t>
                  </w:r>
                </w:p>
              </w:tc>
              <w:tc>
                <w:tcPr>
                  <w:tcW w:w="943" w:type="dxa"/>
                  <w:vAlign w:val="center"/>
                </w:tcPr>
                <w:p>
                  <w:pPr>
                    <w:pStyle w:val="26"/>
                    <w:spacing w:line="360" w:lineRule="exact"/>
                    <w:rPr>
                      <w:rFonts w:eastAsiaTheme="minorEastAsia"/>
                      <w:color w:val="auto"/>
                      <w:szCs w:val="21"/>
                    </w:rPr>
                  </w:pPr>
                  <w:r>
                    <w:rPr>
                      <w:rFonts w:eastAsia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restart"/>
                  <w:vAlign w:val="center"/>
                </w:tcPr>
                <w:p>
                  <w:pPr>
                    <w:pStyle w:val="26"/>
                    <w:spacing w:line="360" w:lineRule="exact"/>
                    <w:rPr>
                      <w:rFonts w:eastAsiaTheme="minorEastAsia"/>
                      <w:color w:val="auto"/>
                      <w:szCs w:val="21"/>
                    </w:rPr>
                  </w:pPr>
                  <w:r>
                    <w:rPr>
                      <w:rFonts w:eastAsiaTheme="minorEastAsia"/>
                      <w:color w:val="auto"/>
                      <w:szCs w:val="21"/>
                    </w:rPr>
                    <w:t>2</w:t>
                  </w:r>
                </w:p>
              </w:tc>
              <w:tc>
                <w:tcPr>
                  <w:tcW w:w="851" w:type="dxa"/>
                  <w:vMerge w:val="restart"/>
                  <w:vAlign w:val="center"/>
                </w:tcPr>
                <w:p>
                  <w:pPr>
                    <w:pStyle w:val="26"/>
                    <w:spacing w:line="360" w:lineRule="exact"/>
                    <w:rPr>
                      <w:rFonts w:eastAsiaTheme="minorEastAsia"/>
                      <w:color w:val="auto"/>
                      <w:szCs w:val="21"/>
                    </w:rPr>
                  </w:pPr>
                  <w:r>
                    <w:rPr>
                      <w:rFonts w:eastAsiaTheme="minorEastAsia"/>
                      <w:color w:val="auto"/>
                      <w:szCs w:val="21"/>
                    </w:rPr>
                    <w:t>废气处理设施</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脱酸脱硫固废</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一般固废</w:t>
                  </w: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3.5t/a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不贮存。</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委托环卫部门运输至垃圾填埋场填埋处置。</w:t>
                  </w:r>
                </w:p>
              </w:tc>
              <w:tc>
                <w:tcPr>
                  <w:tcW w:w="943" w:type="dxa"/>
                  <w:vAlign w:val="center"/>
                </w:tcPr>
                <w:p>
                  <w:pPr>
                    <w:pStyle w:val="26"/>
                    <w:spacing w:line="360" w:lineRule="exact"/>
                    <w:rPr>
                      <w:rFonts w:eastAsiaTheme="minorEastAsia"/>
                      <w:color w:val="auto"/>
                      <w:szCs w:val="21"/>
                    </w:rPr>
                  </w:pPr>
                  <w:r>
                    <w:rPr>
                      <w:color w:val="auto"/>
                      <w:szCs w:val="21"/>
                    </w:rPr>
                    <w:t>3.5t/a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vAlign w:val="center"/>
                </w:tcPr>
                <w:p>
                  <w:pPr>
                    <w:pStyle w:val="26"/>
                    <w:spacing w:line="360" w:lineRule="exact"/>
                    <w:rPr>
                      <w:rFonts w:eastAsiaTheme="minorEastAsia"/>
                      <w:color w:val="auto"/>
                      <w:szCs w:val="21"/>
                    </w:rPr>
                  </w:pPr>
                </w:p>
              </w:tc>
              <w:tc>
                <w:tcPr>
                  <w:tcW w:w="851" w:type="dxa"/>
                  <w:vMerge w:val="continue"/>
                  <w:vAlign w:val="center"/>
                </w:tcPr>
                <w:p>
                  <w:pPr>
                    <w:pStyle w:val="26"/>
                    <w:spacing w:line="360" w:lineRule="exact"/>
                    <w:rPr>
                      <w:rFonts w:eastAsiaTheme="minorEastAsia"/>
                      <w:color w:val="auto"/>
                      <w:szCs w:val="21"/>
                    </w:rPr>
                  </w:pP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除尘固废</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豁免的危险废物</w:t>
                  </w: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0.5t/a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不贮存。</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定期委托环卫部门运输至垃圾填埋场填埋处置。</w:t>
                  </w:r>
                </w:p>
              </w:tc>
              <w:tc>
                <w:tcPr>
                  <w:tcW w:w="943" w:type="dxa"/>
                  <w:vAlign w:val="center"/>
                </w:tcPr>
                <w:p>
                  <w:pPr>
                    <w:pStyle w:val="26"/>
                    <w:spacing w:line="360" w:lineRule="exact"/>
                    <w:rPr>
                      <w:rFonts w:eastAsiaTheme="minorEastAsia"/>
                      <w:color w:val="auto"/>
                      <w:szCs w:val="21"/>
                    </w:rPr>
                  </w:pPr>
                  <w:r>
                    <w:rPr>
                      <w:color w:val="auto"/>
                      <w:szCs w:val="21"/>
                    </w:rPr>
                    <w:t>0.5t/a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vAlign w:val="center"/>
                </w:tcPr>
                <w:p>
                  <w:pPr>
                    <w:pStyle w:val="26"/>
                    <w:spacing w:line="360" w:lineRule="exact"/>
                    <w:rPr>
                      <w:rFonts w:eastAsiaTheme="minorEastAsia"/>
                      <w:color w:val="auto"/>
                      <w:szCs w:val="21"/>
                    </w:rPr>
                  </w:pPr>
                </w:p>
              </w:tc>
              <w:tc>
                <w:tcPr>
                  <w:tcW w:w="851" w:type="dxa"/>
                  <w:vMerge w:val="continue"/>
                  <w:vAlign w:val="center"/>
                </w:tcPr>
                <w:p>
                  <w:pPr>
                    <w:pStyle w:val="26"/>
                    <w:spacing w:line="360" w:lineRule="exact"/>
                    <w:rPr>
                      <w:rFonts w:eastAsiaTheme="minorEastAsia"/>
                      <w:color w:val="auto"/>
                      <w:szCs w:val="21"/>
                    </w:rPr>
                  </w:pP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废活性炭</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危险废物</w:t>
                  </w: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0.3t/a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拟建设1个10m²的危险废物贮存间对废活性炭进行分类暂存。</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委托有资质的单位进行处置。</w:t>
                  </w:r>
                </w:p>
              </w:tc>
              <w:tc>
                <w:tcPr>
                  <w:tcW w:w="943" w:type="dxa"/>
                  <w:vAlign w:val="center"/>
                </w:tcPr>
                <w:p>
                  <w:pPr>
                    <w:pStyle w:val="26"/>
                    <w:spacing w:line="360" w:lineRule="exact"/>
                    <w:rPr>
                      <w:rFonts w:eastAsiaTheme="minorEastAsia"/>
                      <w:color w:val="auto"/>
                      <w:szCs w:val="21"/>
                    </w:rPr>
                  </w:pPr>
                  <w:r>
                    <w:rPr>
                      <w:color w:val="auto"/>
                      <w:szCs w:val="21"/>
                    </w:rPr>
                    <w:t>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Align w:val="center"/>
                </w:tcPr>
                <w:p>
                  <w:pPr>
                    <w:pStyle w:val="26"/>
                    <w:spacing w:line="360" w:lineRule="exact"/>
                    <w:rPr>
                      <w:rFonts w:eastAsiaTheme="minorEastAsia"/>
                      <w:color w:val="auto"/>
                      <w:szCs w:val="21"/>
                    </w:rPr>
                  </w:pPr>
                  <w:r>
                    <w:rPr>
                      <w:rFonts w:eastAsiaTheme="minorEastAsia"/>
                      <w:color w:val="auto"/>
                      <w:szCs w:val="21"/>
                    </w:rPr>
                    <w:t>3</w:t>
                  </w:r>
                </w:p>
              </w:tc>
              <w:tc>
                <w:tcPr>
                  <w:tcW w:w="851" w:type="dxa"/>
                  <w:vAlign w:val="center"/>
                </w:tcPr>
                <w:p>
                  <w:pPr>
                    <w:pStyle w:val="26"/>
                    <w:spacing w:line="360" w:lineRule="exact"/>
                    <w:rPr>
                      <w:rFonts w:eastAsiaTheme="minorEastAsia"/>
                      <w:color w:val="auto"/>
                      <w:szCs w:val="21"/>
                    </w:rPr>
                  </w:pPr>
                  <w:r>
                    <w:rPr>
                      <w:rFonts w:eastAsiaTheme="minorEastAsia"/>
                      <w:color w:val="auto"/>
                      <w:szCs w:val="21"/>
                    </w:rPr>
                    <w:t>遗物焚烧</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遗物祭品焚烧灰渣</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一般固废</w:t>
                  </w: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3.2t/a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不贮存。</w:t>
                  </w:r>
                </w:p>
              </w:tc>
              <w:tc>
                <w:tcPr>
                  <w:tcW w:w="1824" w:type="dxa"/>
                  <w:vAlign w:val="center"/>
                </w:tcPr>
                <w:p>
                  <w:pPr>
                    <w:pStyle w:val="26"/>
                    <w:spacing w:line="360" w:lineRule="exact"/>
                    <w:ind w:firstLine="210" w:firstLineChars="100"/>
                    <w:jc w:val="both"/>
                    <w:rPr>
                      <w:rFonts w:eastAsiaTheme="minorEastAsia"/>
                      <w:color w:val="auto"/>
                      <w:szCs w:val="24"/>
                    </w:rPr>
                  </w:pPr>
                  <w:r>
                    <w:rPr>
                      <w:color w:val="auto"/>
                      <w:szCs w:val="21"/>
                    </w:rPr>
                    <w:t>委托环卫部门运输至垃圾填埋场填埋处置。</w:t>
                  </w:r>
                </w:p>
              </w:tc>
              <w:tc>
                <w:tcPr>
                  <w:tcW w:w="943" w:type="dxa"/>
                  <w:vAlign w:val="center"/>
                </w:tcPr>
                <w:p>
                  <w:pPr>
                    <w:pStyle w:val="26"/>
                    <w:spacing w:line="360" w:lineRule="exact"/>
                    <w:rPr>
                      <w:rFonts w:eastAsiaTheme="minorEastAsia"/>
                      <w:color w:val="auto"/>
                      <w:szCs w:val="21"/>
                    </w:rPr>
                  </w:pPr>
                  <w:r>
                    <w:rPr>
                      <w:color w:val="auto"/>
                      <w:szCs w:val="21"/>
                    </w:rPr>
                    <w:t>3.2t/a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Align w:val="center"/>
                </w:tcPr>
                <w:p>
                  <w:pPr>
                    <w:pStyle w:val="26"/>
                    <w:spacing w:line="360" w:lineRule="exact"/>
                    <w:rPr>
                      <w:rFonts w:eastAsiaTheme="minorEastAsia"/>
                      <w:color w:val="auto"/>
                      <w:szCs w:val="21"/>
                    </w:rPr>
                  </w:pPr>
                  <w:r>
                    <w:rPr>
                      <w:rFonts w:eastAsiaTheme="minorEastAsia"/>
                      <w:color w:val="auto"/>
                      <w:szCs w:val="21"/>
                    </w:rPr>
                    <w:t>4</w:t>
                  </w:r>
                </w:p>
              </w:tc>
              <w:tc>
                <w:tcPr>
                  <w:tcW w:w="851" w:type="dxa"/>
                  <w:vAlign w:val="center"/>
                </w:tcPr>
                <w:p>
                  <w:pPr>
                    <w:pStyle w:val="26"/>
                    <w:spacing w:line="360" w:lineRule="exact"/>
                    <w:rPr>
                      <w:rFonts w:eastAsiaTheme="minorEastAsia"/>
                      <w:color w:val="auto"/>
                      <w:szCs w:val="21"/>
                    </w:rPr>
                  </w:pPr>
                  <w:r>
                    <w:rPr>
                      <w:rFonts w:eastAsiaTheme="minorEastAsia"/>
                      <w:color w:val="auto"/>
                      <w:szCs w:val="21"/>
                    </w:rPr>
                    <w:t>污水处理系统</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污水处理系统污泥</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医疗废物</w:t>
                  </w: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0.24t/a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拟建设1个10m²的危险废物贮存间对污水处理系统污泥进行暂存。</w:t>
                  </w:r>
                </w:p>
              </w:tc>
              <w:tc>
                <w:tcPr>
                  <w:tcW w:w="1824" w:type="dxa"/>
                  <w:vAlign w:val="center"/>
                </w:tcPr>
                <w:p>
                  <w:pPr>
                    <w:pStyle w:val="26"/>
                    <w:spacing w:line="360" w:lineRule="exact"/>
                    <w:ind w:firstLine="210" w:firstLineChars="100"/>
                    <w:jc w:val="both"/>
                    <w:rPr>
                      <w:color w:val="auto"/>
                      <w:szCs w:val="21"/>
                    </w:rPr>
                  </w:pPr>
                  <w:r>
                    <w:rPr>
                      <w:rFonts w:eastAsiaTheme="minorEastAsia"/>
                      <w:color w:val="auto"/>
                      <w:szCs w:val="24"/>
                    </w:rPr>
                    <w:t>委托有资质的单位进行处置。</w:t>
                  </w:r>
                </w:p>
              </w:tc>
              <w:tc>
                <w:tcPr>
                  <w:tcW w:w="943" w:type="dxa"/>
                  <w:vAlign w:val="center"/>
                </w:tcPr>
                <w:p>
                  <w:pPr>
                    <w:pStyle w:val="26"/>
                    <w:spacing w:line="360" w:lineRule="exact"/>
                    <w:rPr>
                      <w:color w:val="auto"/>
                      <w:szCs w:val="21"/>
                    </w:rPr>
                  </w:pPr>
                  <w:r>
                    <w:rPr>
                      <w:rFonts w:eastAsiaTheme="minorEastAsia"/>
                      <w:color w:val="auto"/>
                      <w:szCs w:val="24"/>
                    </w:rPr>
                    <w:t>0.24t/a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restart"/>
                  <w:vAlign w:val="center"/>
                </w:tcPr>
                <w:p>
                  <w:pPr>
                    <w:pStyle w:val="26"/>
                    <w:spacing w:line="360" w:lineRule="exact"/>
                    <w:rPr>
                      <w:rFonts w:eastAsiaTheme="minorEastAsia"/>
                      <w:color w:val="auto"/>
                      <w:szCs w:val="21"/>
                    </w:rPr>
                  </w:pPr>
                  <w:r>
                    <w:rPr>
                      <w:rFonts w:eastAsiaTheme="minorEastAsia"/>
                      <w:color w:val="auto"/>
                      <w:szCs w:val="21"/>
                    </w:rPr>
                    <w:t>5</w:t>
                  </w:r>
                </w:p>
              </w:tc>
              <w:tc>
                <w:tcPr>
                  <w:tcW w:w="851" w:type="dxa"/>
                  <w:vMerge w:val="restart"/>
                  <w:vAlign w:val="center"/>
                </w:tcPr>
                <w:p>
                  <w:pPr>
                    <w:pStyle w:val="26"/>
                    <w:spacing w:line="360" w:lineRule="exact"/>
                    <w:rPr>
                      <w:rFonts w:eastAsiaTheme="minorEastAsia"/>
                      <w:b/>
                      <w:color w:val="auto"/>
                      <w:szCs w:val="24"/>
                    </w:rPr>
                  </w:pPr>
                  <w:r>
                    <w:rPr>
                      <w:rFonts w:eastAsiaTheme="minorEastAsia"/>
                      <w:color w:val="auto"/>
                      <w:szCs w:val="21"/>
                    </w:rPr>
                    <w:t>设备维护</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废机油</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危险废物</w:t>
                  </w: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5kg/a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拟建设了1个10m²的危险废物贮存间分类暂存。</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委托有资质的单位处置。</w:t>
                  </w:r>
                </w:p>
              </w:tc>
              <w:tc>
                <w:tcPr>
                  <w:tcW w:w="943" w:type="dxa"/>
                  <w:vAlign w:val="center"/>
                </w:tcPr>
                <w:p>
                  <w:pPr>
                    <w:pStyle w:val="26"/>
                    <w:spacing w:line="360" w:lineRule="exact"/>
                    <w:rPr>
                      <w:rFonts w:eastAsiaTheme="minorEastAsia"/>
                      <w:color w:val="auto"/>
                      <w:szCs w:val="21"/>
                    </w:rPr>
                  </w:pPr>
                  <w:r>
                    <w:rPr>
                      <w:rFonts w:eastAsiaTheme="minorEastAsia"/>
                      <w:color w:val="auto"/>
                      <w:szCs w:val="21"/>
                    </w:rPr>
                    <w:t>5kg/a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vAlign w:val="center"/>
                </w:tcPr>
                <w:p>
                  <w:pPr>
                    <w:pStyle w:val="26"/>
                    <w:spacing w:line="360" w:lineRule="exact"/>
                    <w:rPr>
                      <w:rFonts w:eastAsiaTheme="minorEastAsia"/>
                      <w:color w:val="auto"/>
                      <w:szCs w:val="21"/>
                    </w:rPr>
                  </w:pPr>
                </w:p>
              </w:tc>
              <w:tc>
                <w:tcPr>
                  <w:tcW w:w="851" w:type="dxa"/>
                  <w:vMerge w:val="continue"/>
                  <w:vAlign w:val="center"/>
                </w:tcPr>
                <w:p>
                  <w:pPr>
                    <w:pStyle w:val="26"/>
                    <w:spacing w:line="360" w:lineRule="exact"/>
                    <w:rPr>
                      <w:rFonts w:eastAsiaTheme="minorEastAsia"/>
                      <w:b/>
                      <w:color w:val="auto"/>
                      <w:szCs w:val="24"/>
                    </w:rPr>
                  </w:pP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废弃沾油抹布</w:t>
                  </w:r>
                </w:p>
              </w:tc>
              <w:tc>
                <w:tcPr>
                  <w:tcW w:w="1134" w:type="dxa"/>
                  <w:vAlign w:val="center"/>
                </w:tcPr>
                <w:p>
                  <w:pPr>
                    <w:pStyle w:val="26"/>
                    <w:spacing w:line="360" w:lineRule="exact"/>
                    <w:rPr>
                      <w:rFonts w:eastAsiaTheme="minorEastAsia"/>
                      <w:color w:val="auto"/>
                      <w:szCs w:val="21"/>
                    </w:rPr>
                  </w:pPr>
                  <w:r>
                    <w:rPr>
                      <w:rFonts w:eastAsiaTheme="minorEastAsia"/>
                      <w:color w:val="auto"/>
                      <w:szCs w:val="21"/>
                    </w:rPr>
                    <w:t>豁免的危险废物</w:t>
                  </w: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2kg/a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使用垃圾桶集中收集。</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943" w:type="dxa"/>
                  <w:vAlign w:val="center"/>
                </w:tcPr>
                <w:p>
                  <w:pPr>
                    <w:pStyle w:val="26"/>
                    <w:spacing w:line="360" w:lineRule="exact"/>
                    <w:rPr>
                      <w:rFonts w:eastAsiaTheme="minorEastAsia"/>
                      <w:color w:val="auto"/>
                      <w:szCs w:val="21"/>
                    </w:rPr>
                  </w:pPr>
                  <w:r>
                    <w:rPr>
                      <w:rFonts w:eastAsiaTheme="minorEastAsia"/>
                      <w:color w:val="auto"/>
                      <w:szCs w:val="21"/>
                    </w:rPr>
                    <w:t>2kg/a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restart"/>
                  <w:vAlign w:val="center"/>
                </w:tcPr>
                <w:p>
                  <w:pPr>
                    <w:pStyle w:val="26"/>
                    <w:spacing w:line="360" w:lineRule="exact"/>
                    <w:rPr>
                      <w:rFonts w:eastAsiaTheme="minorEastAsia"/>
                      <w:color w:val="auto"/>
                      <w:szCs w:val="21"/>
                    </w:rPr>
                  </w:pPr>
                  <w:r>
                    <w:rPr>
                      <w:rFonts w:eastAsiaTheme="minorEastAsia"/>
                      <w:color w:val="auto"/>
                      <w:szCs w:val="21"/>
                    </w:rPr>
                    <w:t>3</w:t>
                  </w:r>
                </w:p>
              </w:tc>
              <w:tc>
                <w:tcPr>
                  <w:tcW w:w="851" w:type="dxa"/>
                  <w:vMerge w:val="restart"/>
                  <w:vAlign w:val="center"/>
                </w:tcPr>
                <w:p>
                  <w:pPr>
                    <w:pStyle w:val="26"/>
                    <w:spacing w:line="360" w:lineRule="exact"/>
                    <w:rPr>
                      <w:rFonts w:eastAsiaTheme="minorEastAsia"/>
                      <w:color w:val="auto"/>
                      <w:szCs w:val="21"/>
                    </w:rPr>
                  </w:pPr>
                  <w:r>
                    <w:rPr>
                      <w:rFonts w:eastAsiaTheme="minorEastAsia"/>
                      <w:color w:val="auto"/>
                      <w:szCs w:val="21"/>
                    </w:rPr>
                    <w:t>员工生活</w:t>
                  </w: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生活垃圾</w:t>
                  </w:r>
                </w:p>
              </w:tc>
              <w:tc>
                <w:tcPr>
                  <w:tcW w:w="1134" w:type="dxa"/>
                  <w:vMerge w:val="restart"/>
                  <w:vAlign w:val="center"/>
                </w:tcPr>
                <w:p>
                  <w:pPr>
                    <w:pStyle w:val="26"/>
                    <w:spacing w:line="360" w:lineRule="exact"/>
                    <w:rPr>
                      <w:rFonts w:eastAsiaTheme="minorEastAsia"/>
                      <w:color w:val="auto"/>
                      <w:szCs w:val="21"/>
                    </w:rPr>
                  </w:pPr>
                  <w:r>
                    <w:rPr>
                      <w:rFonts w:eastAsiaTheme="minorEastAsia"/>
                      <w:color w:val="auto"/>
                      <w:szCs w:val="21"/>
                    </w:rPr>
                    <w:t>生活固废</w:t>
                  </w: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8.6t/a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使用垃圾桶集中收集，日产日清。</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943" w:type="dxa"/>
                  <w:vAlign w:val="center"/>
                </w:tcPr>
                <w:p>
                  <w:pPr>
                    <w:pStyle w:val="26"/>
                    <w:spacing w:line="360" w:lineRule="exact"/>
                    <w:rPr>
                      <w:rFonts w:eastAsiaTheme="minorEastAsia"/>
                      <w:color w:val="auto"/>
                      <w:szCs w:val="21"/>
                    </w:rPr>
                  </w:pPr>
                  <w:r>
                    <w:rPr>
                      <w:rFonts w:eastAsiaTheme="minorEastAsia"/>
                      <w:color w:val="auto"/>
                      <w:szCs w:val="21"/>
                    </w:rPr>
                    <w:t>8.6t/a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vAlign w:val="center"/>
                </w:tcPr>
                <w:p>
                  <w:pPr>
                    <w:pStyle w:val="26"/>
                    <w:spacing w:line="360" w:lineRule="exact"/>
                    <w:rPr>
                      <w:rFonts w:eastAsiaTheme="minorEastAsia"/>
                      <w:color w:val="auto"/>
                      <w:szCs w:val="21"/>
                    </w:rPr>
                  </w:pPr>
                </w:p>
              </w:tc>
              <w:tc>
                <w:tcPr>
                  <w:tcW w:w="851" w:type="dxa"/>
                  <w:vMerge w:val="continue"/>
                  <w:vAlign w:val="center"/>
                </w:tcPr>
                <w:p>
                  <w:pPr>
                    <w:pStyle w:val="26"/>
                    <w:spacing w:line="360" w:lineRule="exact"/>
                    <w:rPr>
                      <w:rFonts w:eastAsiaTheme="minorEastAsia"/>
                      <w:color w:val="auto"/>
                      <w:szCs w:val="21"/>
                    </w:rPr>
                  </w:pP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餐厨废物</w:t>
                  </w:r>
                </w:p>
              </w:tc>
              <w:tc>
                <w:tcPr>
                  <w:tcW w:w="1134" w:type="dxa"/>
                  <w:vMerge w:val="continue"/>
                  <w:vAlign w:val="center"/>
                </w:tcPr>
                <w:p>
                  <w:pPr>
                    <w:pStyle w:val="26"/>
                    <w:spacing w:line="360" w:lineRule="exact"/>
                    <w:rPr>
                      <w:rFonts w:eastAsiaTheme="minorEastAsia"/>
                      <w:color w:val="auto"/>
                      <w:szCs w:val="21"/>
                    </w:rPr>
                  </w:pP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0.9t/a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收集桶统一收集。</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委托有资质的单位进行处置。</w:t>
                  </w:r>
                </w:p>
              </w:tc>
              <w:tc>
                <w:tcPr>
                  <w:tcW w:w="943" w:type="dxa"/>
                  <w:vAlign w:val="center"/>
                </w:tcPr>
                <w:p>
                  <w:pPr>
                    <w:pStyle w:val="26"/>
                    <w:spacing w:line="360" w:lineRule="exact"/>
                    <w:rPr>
                      <w:rFonts w:eastAsiaTheme="minorEastAsia"/>
                      <w:color w:val="auto"/>
                      <w:szCs w:val="21"/>
                    </w:rPr>
                  </w:pPr>
                  <w:r>
                    <w:rPr>
                      <w:rFonts w:eastAsiaTheme="minorEastAsia"/>
                      <w:color w:val="auto"/>
                      <w:szCs w:val="21"/>
                    </w:rPr>
                    <w:t>0.9t/a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51" w:type="dxa"/>
                  <w:vMerge w:val="continue"/>
                  <w:vAlign w:val="center"/>
                </w:tcPr>
                <w:p>
                  <w:pPr>
                    <w:pStyle w:val="26"/>
                    <w:spacing w:line="360" w:lineRule="exact"/>
                    <w:rPr>
                      <w:rFonts w:eastAsiaTheme="minorEastAsia"/>
                      <w:color w:val="auto"/>
                      <w:szCs w:val="21"/>
                    </w:rPr>
                  </w:pPr>
                </w:p>
              </w:tc>
              <w:tc>
                <w:tcPr>
                  <w:tcW w:w="851" w:type="dxa"/>
                  <w:vMerge w:val="continue"/>
                  <w:vAlign w:val="center"/>
                </w:tcPr>
                <w:p>
                  <w:pPr>
                    <w:pStyle w:val="26"/>
                    <w:spacing w:line="360" w:lineRule="exact"/>
                    <w:rPr>
                      <w:rFonts w:eastAsiaTheme="minorEastAsia"/>
                      <w:color w:val="auto"/>
                      <w:szCs w:val="21"/>
                    </w:rPr>
                  </w:pPr>
                </w:p>
              </w:tc>
              <w:tc>
                <w:tcPr>
                  <w:tcW w:w="850" w:type="dxa"/>
                  <w:vAlign w:val="center"/>
                </w:tcPr>
                <w:p>
                  <w:pPr>
                    <w:pStyle w:val="26"/>
                    <w:spacing w:line="360" w:lineRule="exact"/>
                    <w:rPr>
                      <w:rFonts w:eastAsiaTheme="minorEastAsia"/>
                      <w:color w:val="auto"/>
                      <w:szCs w:val="21"/>
                    </w:rPr>
                  </w:pPr>
                  <w:r>
                    <w:rPr>
                      <w:rFonts w:eastAsiaTheme="minorEastAsia"/>
                      <w:color w:val="auto"/>
                      <w:szCs w:val="21"/>
                    </w:rPr>
                    <w:t>隔油池浮油</w:t>
                  </w:r>
                </w:p>
              </w:tc>
              <w:tc>
                <w:tcPr>
                  <w:tcW w:w="1134" w:type="dxa"/>
                  <w:vMerge w:val="continue"/>
                  <w:vAlign w:val="center"/>
                </w:tcPr>
                <w:p>
                  <w:pPr>
                    <w:pStyle w:val="26"/>
                    <w:spacing w:line="360" w:lineRule="exact"/>
                    <w:rPr>
                      <w:rFonts w:eastAsiaTheme="minorEastAsia"/>
                      <w:color w:val="auto"/>
                      <w:szCs w:val="21"/>
                    </w:rPr>
                  </w:pPr>
                </w:p>
              </w:tc>
              <w:tc>
                <w:tcPr>
                  <w:tcW w:w="709" w:type="dxa"/>
                  <w:vAlign w:val="center"/>
                </w:tcPr>
                <w:p>
                  <w:pPr>
                    <w:pStyle w:val="26"/>
                    <w:spacing w:line="360" w:lineRule="exact"/>
                    <w:rPr>
                      <w:rFonts w:eastAsiaTheme="minorEastAsia"/>
                      <w:color w:val="auto"/>
                      <w:szCs w:val="21"/>
                    </w:rPr>
                  </w:pPr>
                  <w:r>
                    <w:rPr>
                      <w:rFonts w:eastAsiaTheme="minorEastAsia"/>
                      <w:color w:val="auto"/>
                      <w:szCs w:val="21"/>
                    </w:rPr>
                    <w:t>20kg/a</w:t>
                  </w:r>
                </w:p>
              </w:tc>
              <w:tc>
                <w:tcPr>
                  <w:tcW w:w="1843"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即清即运，不贮存。</w:t>
                  </w:r>
                </w:p>
              </w:tc>
              <w:tc>
                <w:tcPr>
                  <w:tcW w:w="1824"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委托有资质的单位进行清理和处置。</w:t>
                  </w:r>
                </w:p>
              </w:tc>
              <w:tc>
                <w:tcPr>
                  <w:tcW w:w="943" w:type="dxa"/>
                  <w:vAlign w:val="center"/>
                </w:tcPr>
                <w:p>
                  <w:pPr>
                    <w:pStyle w:val="26"/>
                    <w:spacing w:line="360" w:lineRule="exact"/>
                    <w:rPr>
                      <w:rFonts w:eastAsiaTheme="minorEastAsia"/>
                      <w:color w:val="auto"/>
                      <w:szCs w:val="21"/>
                    </w:rPr>
                  </w:pPr>
                  <w:r>
                    <w:rPr>
                      <w:rFonts w:eastAsiaTheme="minorEastAsia"/>
                      <w:color w:val="auto"/>
                      <w:szCs w:val="21"/>
                    </w:rPr>
                    <w:t>20kg/a</w:t>
                  </w:r>
                </w:p>
              </w:tc>
            </w:tr>
          </w:tbl>
          <w:p>
            <w:pPr>
              <w:pStyle w:val="34"/>
              <w:spacing w:beforeLines="50"/>
              <w:ind w:firstLine="480"/>
              <w:rPr>
                <w:rFonts w:eastAsiaTheme="minorEastAsia"/>
                <w:szCs w:val="24"/>
              </w:rPr>
            </w:pPr>
            <w:r>
              <w:rPr>
                <w:rFonts w:eastAsiaTheme="minorEastAsia"/>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sz w:val="24"/>
              </w:rPr>
            </w:pPr>
            <w:r>
              <w:rPr>
                <w:rFonts w:ascii="Times New Roman" w:hAnsi="Times New Roman" w:cs="Times New Roman"/>
                <w:b/>
                <w:sz w:val="24"/>
              </w:rPr>
              <w:t>（3）环境管理要求</w:t>
            </w:r>
          </w:p>
          <w:p>
            <w:pPr>
              <w:pStyle w:val="34"/>
              <w:ind w:firstLine="482"/>
              <w:rPr>
                <w:rFonts w:eastAsiaTheme="minorEastAsia"/>
                <w:b/>
                <w:szCs w:val="24"/>
              </w:rPr>
            </w:pPr>
            <w:r>
              <w:rPr>
                <w:b/>
                <w:szCs w:val="24"/>
              </w:rPr>
              <w:t>①</w:t>
            </w:r>
            <w:r>
              <w:rPr>
                <w:rFonts w:eastAsiaTheme="minorEastAsia"/>
                <w:b/>
                <w:szCs w:val="24"/>
              </w:rPr>
              <w:t>危险废物管理要求</w:t>
            </w:r>
          </w:p>
          <w:p>
            <w:pPr>
              <w:pStyle w:val="34"/>
              <w:ind w:firstLine="480"/>
              <w:rPr>
                <w:szCs w:val="24"/>
              </w:rPr>
            </w:pPr>
            <w:r>
              <w:rPr>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28"/>
              <w:spacing w:beforeLines="0"/>
              <w:rPr>
                <w:rFonts w:hAnsi="Times New Roman" w:eastAsiaTheme="minorEastAsia"/>
                <w:sz w:val="21"/>
                <w:szCs w:val="21"/>
              </w:rPr>
            </w:pPr>
            <w:r>
              <w:rPr>
                <w:rFonts w:hAnsi="Times New Roman" w:eastAsiaTheme="minorEastAsia"/>
                <w:sz w:val="21"/>
                <w:szCs w:val="21"/>
              </w:rPr>
              <w:t>表4.2.4-9 项目危险废物管理要求一览表</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6"/>
                    <w:spacing w:before="78"/>
                    <w:ind w:left="11"/>
                    <w:rPr>
                      <w:rFonts w:eastAsiaTheme="minorEastAsia"/>
                      <w:color w:val="auto"/>
                    </w:rPr>
                  </w:pPr>
                  <w:r>
                    <w:rPr>
                      <w:rFonts w:eastAsiaTheme="minorEastAsia"/>
                      <w:color w:val="auto"/>
                    </w:rPr>
                    <w:t>序号</w:t>
                  </w:r>
                </w:p>
              </w:tc>
              <w:tc>
                <w:tcPr>
                  <w:tcW w:w="816" w:type="dxa"/>
                  <w:vAlign w:val="center"/>
                </w:tcPr>
                <w:p>
                  <w:pPr>
                    <w:pStyle w:val="26"/>
                    <w:spacing w:before="78"/>
                    <w:ind w:left="11"/>
                    <w:rPr>
                      <w:rFonts w:eastAsiaTheme="minorEastAsia"/>
                      <w:color w:val="auto"/>
                    </w:rPr>
                  </w:pPr>
                  <w:r>
                    <w:rPr>
                      <w:rFonts w:eastAsiaTheme="minorEastAsia"/>
                      <w:color w:val="auto"/>
                    </w:rPr>
                    <w:t>环节</w:t>
                  </w:r>
                </w:p>
              </w:tc>
              <w:tc>
                <w:tcPr>
                  <w:tcW w:w="7272" w:type="dxa"/>
                  <w:vAlign w:val="center"/>
                </w:tcPr>
                <w:p>
                  <w:pPr>
                    <w:pStyle w:val="26"/>
                    <w:spacing w:before="78"/>
                    <w:ind w:left="11"/>
                    <w:rPr>
                      <w:rFonts w:eastAsiaTheme="minorEastAsia"/>
                      <w:color w:val="auto"/>
                    </w:rPr>
                  </w:pPr>
                  <w:r>
                    <w:rPr>
                      <w:rFonts w:eastAsiaTheme="minorEastAsia"/>
                      <w:color w:val="auto"/>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6"/>
                    <w:spacing w:before="78"/>
                    <w:ind w:left="11"/>
                    <w:rPr>
                      <w:rFonts w:eastAsiaTheme="minorEastAsia"/>
                      <w:color w:val="auto"/>
                    </w:rPr>
                  </w:pPr>
                  <w:r>
                    <w:rPr>
                      <w:rFonts w:eastAsiaTheme="minorEastAsia"/>
                      <w:color w:val="auto"/>
                    </w:rPr>
                    <w:t>1</w:t>
                  </w:r>
                </w:p>
              </w:tc>
              <w:tc>
                <w:tcPr>
                  <w:tcW w:w="816" w:type="dxa"/>
                  <w:vAlign w:val="center"/>
                </w:tcPr>
                <w:p>
                  <w:pPr>
                    <w:pStyle w:val="26"/>
                    <w:spacing w:before="78"/>
                    <w:ind w:left="11"/>
                    <w:rPr>
                      <w:rFonts w:eastAsiaTheme="minorEastAsia"/>
                      <w:color w:val="auto"/>
                    </w:rPr>
                  </w:pPr>
                  <w:r>
                    <w:rPr>
                      <w:rFonts w:eastAsiaTheme="minorEastAsia"/>
                      <w:color w:val="auto"/>
                    </w:rPr>
                    <w:t>收集过程</w:t>
                  </w:r>
                </w:p>
              </w:tc>
              <w:tc>
                <w:tcPr>
                  <w:tcW w:w="7272"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6"/>
                    <w:spacing w:before="78"/>
                    <w:ind w:left="11"/>
                    <w:rPr>
                      <w:rFonts w:eastAsiaTheme="minorEastAsia"/>
                      <w:color w:val="auto"/>
                    </w:rPr>
                  </w:pPr>
                  <w:r>
                    <w:rPr>
                      <w:rFonts w:eastAsiaTheme="minorEastAsia"/>
                      <w:color w:val="auto"/>
                    </w:rPr>
                    <w:t>2</w:t>
                  </w:r>
                </w:p>
              </w:tc>
              <w:tc>
                <w:tcPr>
                  <w:tcW w:w="816" w:type="dxa"/>
                  <w:vAlign w:val="center"/>
                </w:tcPr>
                <w:p>
                  <w:pPr>
                    <w:pStyle w:val="26"/>
                    <w:spacing w:before="78"/>
                    <w:ind w:left="11"/>
                    <w:rPr>
                      <w:rFonts w:eastAsiaTheme="minorEastAsia"/>
                      <w:color w:val="auto"/>
                    </w:rPr>
                  </w:pPr>
                  <w:r>
                    <w:rPr>
                      <w:rFonts w:eastAsiaTheme="minorEastAsia"/>
                      <w:color w:val="auto"/>
                    </w:rPr>
                    <w:t>贮存过程</w:t>
                  </w:r>
                </w:p>
              </w:tc>
              <w:tc>
                <w:tcPr>
                  <w:tcW w:w="7272" w:type="dxa"/>
                  <w:vAlign w:val="center"/>
                </w:tcPr>
                <w:p>
                  <w:pPr>
                    <w:pStyle w:val="26"/>
                    <w:spacing w:line="360" w:lineRule="exact"/>
                    <w:ind w:firstLine="210" w:firstLineChars="100"/>
                    <w:jc w:val="both"/>
                    <w:rPr>
                      <w:rFonts w:eastAsiaTheme="minorEastAsia"/>
                      <w:color w:val="auto"/>
                      <w:szCs w:val="24"/>
                    </w:rPr>
                  </w:pPr>
                  <w:r>
                    <w:rPr>
                      <w:color w:val="auto"/>
                      <w:szCs w:val="24"/>
                    </w:rPr>
                    <w:t>①</w:t>
                  </w:r>
                  <w:r>
                    <w:rPr>
                      <w:rFonts w:eastAsiaTheme="minorEastAsia"/>
                      <w:color w:val="auto"/>
                      <w:szCs w:val="24"/>
                    </w:rPr>
                    <w:t>要做好危险废物贮存间的防渗、防泄漏工作。</w:t>
                  </w:r>
                </w:p>
                <w:p>
                  <w:pPr>
                    <w:pStyle w:val="26"/>
                    <w:spacing w:line="360" w:lineRule="exact"/>
                    <w:ind w:firstLine="210" w:firstLineChars="100"/>
                    <w:jc w:val="both"/>
                    <w:rPr>
                      <w:rFonts w:eastAsiaTheme="minorEastAsia"/>
                      <w:color w:val="auto"/>
                      <w:szCs w:val="24"/>
                    </w:rPr>
                  </w:pPr>
                  <w:r>
                    <w:rPr>
                      <w:color w:val="auto"/>
                      <w:szCs w:val="24"/>
                    </w:rPr>
                    <w:t>②</w:t>
                  </w:r>
                  <w:r>
                    <w:rPr>
                      <w:rFonts w:eastAsiaTheme="minorEastAsia"/>
                      <w:color w:val="auto"/>
                      <w:szCs w:val="24"/>
                    </w:rPr>
                    <w:t>危险废物堆场必须封顶，并做好防雨工作，场内须做好防渗措施。</w:t>
                  </w:r>
                </w:p>
                <w:p>
                  <w:pPr>
                    <w:pStyle w:val="26"/>
                    <w:spacing w:line="360" w:lineRule="exact"/>
                    <w:ind w:firstLine="210" w:firstLineChars="100"/>
                    <w:jc w:val="both"/>
                    <w:rPr>
                      <w:rFonts w:eastAsiaTheme="minorEastAsia"/>
                      <w:color w:val="auto"/>
                      <w:szCs w:val="24"/>
                    </w:rPr>
                  </w:pPr>
                  <w:r>
                    <w:rPr>
                      <w:color w:val="auto"/>
                      <w:szCs w:val="24"/>
                    </w:rPr>
                    <w:t>③</w:t>
                  </w:r>
                  <w:r>
                    <w:rPr>
                      <w:rFonts w:eastAsiaTheme="minorEastAsia"/>
                      <w:color w:val="auto"/>
                      <w:szCs w:val="24"/>
                    </w:rPr>
                    <w:t>危险废物需用符合标准的容器盛装，容器上需粘贴符合《危险废物贮存污染控制标准》（GB18597-2001）附录A所示的标签。</w:t>
                  </w:r>
                </w:p>
                <w:p>
                  <w:pPr>
                    <w:pStyle w:val="26"/>
                    <w:spacing w:line="360" w:lineRule="exact"/>
                    <w:ind w:firstLine="210" w:firstLineChars="100"/>
                    <w:jc w:val="both"/>
                    <w:rPr>
                      <w:rFonts w:eastAsiaTheme="minorEastAsia"/>
                      <w:color w:val="auto"/>
                      <w:szCs w:val="24"/>
                    </w:rPr>
                  </w:pPr>
                  <w:r>
                    <w:rPr>
                      <w:color w:val="auto"/>
                      <w:szCs w:val="24"/>
                    </w:rPr>
                    <w:t>④</w:t>
                  </w:r>
                  <w:r>
                    <w:rPr>
                      <w:rFonts w:eastAsiaTheme="minorEastAsia"/>
                      <w:color w:val="auto"/>
                      <w:szCs w:val="24"/>
                    </w:rPr>
                    <w:t>危险废物贮存间必须按GB15562.2《环境保护图形标志—固体废物贮存（处置）场》的规定设置警示标志。</w:t>
                  </w:r>
                </w:p>
                <w:p>
                  <w:pPr>
                    <w:pStyle w:val="26"/>
                    <w:spacing w:line="360" w:lineRule="exact"/>
                    <w:ind w:firstLine="210" w:firstLineChars="100"/>
                    <w:jc w:val="both"/>
                    <w:rPr>
                      <w:rFonts w:eastAsiaTheme="minorEastAsia"/>
                      <w:color w:val="auto"/>
                      <w:szCs w:val="24"/>
                    </w:rPr>
                  </w:pPr>
                  <w:r>
                    <w:rPr>
                      <w:color w:val="auto"/>
                      <w:szCs w:val="24"/>
                    </w:rPr>
                    <w:t>⑤</w:t>
                  </w:r>
                  <w:r>
                    <w:rPr>
                      <w:rFonts w:eastAsiaTheme="minorEastAsia"/>
                      <w:color w:val="auto"/>
                      <w:szCs w:val="24"/>
                    </w:rPr>
                    <w:t>装载危险废物的容器要满足相应的强度要求，必须完好无损。</w:t>
                  </w:r>
                </w:p>
                <w:p>
                  <w:pPr>
                    <w:pStyle w:val="26"/>
                    <w:spacing w:line="360" w:lineRule="exact"/>
                    <w:ind w:firstLine="210" w:firstLineChars="100"/>
                    <w:jc w:val="both"/>
                    <w:rPr>
                      <w:rFonts w:eastAsiaTheme="minorEastAsia"/>
                      <w:color w:val="auto"/>
                      <w:szCs w:val="24"/>
                    </w:rPr>
                  </w:pPr>
                  <w:r>
                    <w:rPr>
                      <w:color w:val="auto"/>
                      <w:szCs w:val="24"/>
                    </w:rPr>
                    <w:t>⑥</w:t>
                  </w:r>
                  <w:r>
                    <w:rPr>
                      <w:rFonts w:eastAsiaTheme="minorEastAsia"/>
                      <w:color w:val="auto"/>
                      <w:szCs w:val="24"/>
                    </w:rPr>
                    <w:t>盛装危险废物的容器材质和衬里要与危险废物性质相容（不相互反应）。</w:t>
                  </w:r>
                </w:p>
                <w:p>
                  <w:pPr>
                    <w:pStyle w:val="26"/>
                    <w:spacing w:line="360" w:lineRule="exact"/>
                    <w:ind w:firstLine="210" w:firstLineChars="100"/>
                    <w:jc w:val="both"/>
                    <w:rPr>
                      <w:rFonts w:eastAsiaTheme="minorEastAsia"/>
                      <w:color w:val="auto"/>
                      <w:szCs w:val="24"/>
                    </w:rPr>
                  </w:pPr>
                  <w:r>
                    <w:rPr>
                      <w:color w:val="auto"/>
                      <w:szCs w:val="24"/>
                    </w:rPr>
                    <w:t>⑦</w:t>
                  </w:r>
                  <w:r>
                    <w:rPr>
                      <w:rFonts w:eastAsiaTheme="minorEastAsia"/>
                      <w:color w:val="auto"/>
                      <w:szCs w:val="24"/>
                    </w:rPr>
                    <w:t>盛装危险废物容器都应有防漏裙脚或储漏盘，防漏裙脚或储漏盘的材料要与危险废物相容。</w:t>
                  </w:r>
                </w:p>
                <w:p>
                  <w:pPr>
                    <w:pStyle w:val="26"/>
                    <w:spacing w:line="360" w:lineRule="exact"/>
                    <w:ind w:firstLine="210" w:firstLineChars="100"/>
                    <w:jc w:val="both"/>
                    <w:rPr>
                      <w:rFonts w:eastAsiaTheme="minorEastAsia"/>
                      <w:color w:val="auto"/>
                      <w:szCs w:val="24"/>
                    </w:rPr>
                  </w:pPr>
                  <w:r>
                    <w:rPr>
                      <w:color w:val="auto"/>
                      <w:szCs w:val="24"/>
                    </w:rPr>
                    <w:t>⑧</w:t>
                  </w:r>
                  <w:r>
                    <w:rPr>
                      <w:rFonts w:eastAsiaTheme="minorEastAsia"/>
                      <w:color w:val="auto"/>
                      <w:szCs w:val="24"/>
                    </w:rPr>
                    <w:t>作好危险废物贮存情况的记录，记录上须注明危险废物的名称、来源、数量、特性和包装容器的类别、入库日期、存放库位、废物出库日期及接收单位名称。记录和货单在危险废物处置后继续保留三年。</w:t>
                  </w:r>
                </w:p>
                <w:p>
                  <w:pPr>
                    <w:pStyle w:val="26"/>
                    <w:spacing w:line="360" w:lineRule="exact"/>
                    <w:ind w:firstLine="210" w:firstLineChars="100"/>
                    <w:jc w:val="both"/>
                    <w:rPr>
                      <w:rFonts w:eastAsiaTheme="minorEastAsia"/>
                      <w:color w:val="auto"/>
                      <w:szCs w:val="24"/>
                    </w:rPr>
                  </w:pPr>
                  <w:r>
                    <w:rPr>
                      <w:color w:val="auto"/>
                      <w:szCs w:val="24"/>
                    </w:rPr>
                    <w:t>⑨</w:t>
                  </w:r>
                  <w:r>
                    <w:rPr>
                      <w:rFonts w:eastAsiaTheme="minorEastAsia"/>
                      <w:color w:val="auto"/>
                      <w:szCs w:val="24"/>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6"/>
                    <w:spacing w:before="78"/>
                    <w:ind w:left="11"/>
                    <w:rPr>
                      <w:rFonts w:eastAsiaTheme="minorEastAsia"/>
                      <w:color w:val="auto"/>
                    </w:rPr>
                  </w:pPr>
                  <w:r>
                    <w:rPr>
                      <w:rFonts w:eastAsiaTheme="minorEastAsia"/>
                      <w:color w:val="auto"/>
                    </w:rPr>
                    <w:t>3</w:t>
                  </w:r>
                </w:p>
              </w:tc>
              <w:tc>
                <w:tcPr>
                  <w:tcW w:w="816" w:type="dxa"/>
                  <w:vAlign w:val="center"/>
                </w:tcPr>
                <w:p>
                  <w:pPr>
                    <w:pStyle w:val="26"/>
                    <w:spacing w:before="78"/>
                    <w:ind w:left="11"/>
                    <w:rPr>
                      <w:rFonts w:eastAsiaTheme="minorEastAsia"/>
                      <w:color w:val="auto"/>
                    </w:rPr>
                  </w:pPr>
                  <w:r>
                    <w:rPr>
                      <w:rFonts w:eastAsiaTheme="minorEastAsia"/>
                      <w:color w:val="auto"/>
                    </w:rPr>
                    <w:t>委托转移</w:t>
                  </w:r>
                </w:p>
              </w:tc>
              <w:tc>
                <w:tcPr>
                  <w:tcW w:w="7272"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17" w:type="dxa"/>
                  <w:vAlign w:val="center"/>
                </w:tcPr>
                <w:p>
                  <w:pPr>
                    <w:pStyle w:val="26"/>
                    <w:spacing w:before="78"/>
                    <w:ind w:left="11"/>
                    <w:rPr>
                      <w:rFonts w:eastAsiaTheme="minorEastAsia"/>
                      <w:color w:val="auto"/>
                    </w:rPr>
                  </w:pPr>
                  <w:r>
                    <w:rPr>
                      <w:rFonts w:eastAsiaTheme="minorEastAsia"/>
                      <w:color w:val="auto"/>
                    </w:rPr>
                    <w:t>4</w:t>
                  </w:r>
                </w:p>
              </w:tc>
              <w:tc>
                <w:tcPr>
                  <w:tcW w:w="816" w:type="dxa"/>
                  <w:vAlign w:val="center"/>
                </w:tcPr>
                <w:p>
                  <w:pPr>
                    <w:pStyle w:val="26"/>
                    <w:spacing w:before="78"/>
                    <w:ind w:left="11"/>
                    <w:rPr>
                      <w:rFonts w:eastAsiaTheme="minorEastAsia"/>
                      <w:color w:val="auto"/>
                    </w:rPr>
                  </w:pPr>
                  <w:r>
                    <w:rPr>
                      <w:rFonts w:eastAsiaTheme="minorEastAsia"/>
                      <w:color w:val="auto"/>
                    </w:rPr>
                    <w:t>危险废物贮存间的建设及管理</w:t>
                  </w:r>
                </w:p>
              </w:tc>
              <w:tc>
                <w:tcPr>
                  <w:tcW w:w="7272" w:type="dxa"/>
                  <w:vAlign w:val="center"/>
                </w:tcPr>
                <w:p>
                  <w:pPr>
                    <w:pStyle w:val="26"/>
                    <w:spacing w:line="360" w:lineRule="exact"/>
                    <w:ind w:firstLine="210" w:firstLineChars="100"/>
                    <w:jc w:val="both"/>
                    <w:rPr>
                      <w:rFonts w:eastAsiaTheme="minorEastAsia"/>
                      <w:color w:val="auto"/>
                      <w:szCs w:val="24"/>
                    </w:rPr>
                  </w:pPr>
                  <w:r>
                    <w:rPr>
                      <w:color w:val="auto"/>
                      <w:szCs w:val="24"/>
                    </w:rPr>
                    <w:t>①</w:t>
                  </w:r>
                  <w:r>
                    <w:rPr>
                      <w:rFonts w:eastAsiaTheme="minorEastAsia"/>
                      <w:color w:val="auto"/>
                      <w:szCs w:val="24"/>
                    </w:rPr>
                    <w:t>危险废物贮存间必须要密闭建设，门口内侧设立围堰，地面应做好硬化及“三防”措施；</w:t>
                  </w:r>
                </w:p>
                <w:p>
                  <w:pPr>
                    <w:pStyle w:val="26"/>
                    <w:spacing w:line="360" w:lineRule="exact"/>
                    <w:ind w:firstLine="210" w:firstLineChars="100"/>
                    <w:jc w:val="both"/>
                    <w:rPr>
                      <w:rFonts w:eastAsiaTheme="minorEastAsia"/>
                      <w:color w:val="auto"/>
                      <w:szCs w:val="24"/>
                    </w:rPr>
                  </w:pPr>
                  <w:r>
                    <w:rPr>
                      <w:color w:val="auto"/>
                      <w:szCs w:val="24"/>
                    </w:rPr>
                    <w:t>②</w:t>
                  </w:r>
                  <w:r>
                    <w:rPr>
                      <w:rFonts w:eastAsiaTheme="minorEastAsia"/>
                      <w:color w:val="auto"/>
                      <w:szCs w:val="24"/>
                    </w:rPr>
                    <w:t>危险废物贮存间门口需张贴标准规范的危险废物标识和危险信息版，屋内张贴企业《危险废物管理制度》；</w:t>
                  </w:r>
                </w:p>
                <w:p>
                  <w:pPr>
                    <w:pStyle w:val="26"/>
                    <w:spacing w:line="360" w:lineRule="exact"/>
                    <w:ind w:firstLine="210" w:firstLineChars="100"/>
                    <w:jc w:val="both"/>
                    <w:rPr>
                      <w:rFonts w:eastAsiaTheme="minorEastAsia"/>
                      <w:color w:val="auto"/>
                      <w:szCs w:val="24"/>
                    </w:rPr>
                  </w:pPr>
                  <w:r>
                    <w:rPr>
                      <w:color w:val="auto"/>
                      <w:szCs w:val="24"/>
                    </w:rPr>
                    <w:t>③</w:t>
                  </w:r>
                  <w:r>
                    <w:rPr>
                      <w:rFonts w:eastAsiaTheme="minorEastAsia"/>
                      <w:color w:val="auto"/>
                      <w:szCs w:val="24"/>
                    </w:rPr>
                    <w:t>危险废物贮存间需按照“双人双锁”制度管理；</w:t>
                  </w:r>
                </w:p>
                <w:p>
                  <w:pPr>
                    <w:pStyle w:val="26"/>
                    <w:spacing w:line="360" w:lineRule="exact"/>
                    <w:ind w:firstLine="210" w:firstLineChars="100"/>
                    <w:jc w:val="both"/>
                    <w:rPr>
                      <w:rFonts w:eastAsiaTheme="minorEastAsia"/>
                      <w:color w:val="auto"/>
                      <w:szCs w:val="24"/>
                    </w:rPr>
                  </w:pPr>
                  <w:r>
                    <w:rPr>
                      <w:color w:val="auto"/>
                      <w:szCs w:val="24"/>
                    </w:rPr>
                    <w:t>④</w:t>
                  </w:r>
                  <w:r>
                    <w:rPr>
                      <w:rFonts w:eastAsiaTheme="minorEastAsia"/>
                      <w:color w:val="auto"/>
                      <w:szCs w:val="24"/>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6"/>
                    <w:spacing w:line="360" w:lineRule="exact"/>
                    <w:ind w:firstLine="210" w:firstLineChars="100"/>
                    <w:jc w:val="both"/>
                    <w:rPr>
                      <w:rFonts w:eastAsiaTheme="minorEastAsia"/>
                      <w:color w:val="auto"/>
                      <w:szCs w:val="24"/>
                    </w:rPr>
                  </w:pPr>
                  <w:r>
                    <w:rPr>
                      <w:color w:val="auto"/>
                      <w:szCs w:val="24"/>
                    </w:rPr>
                    <w:t>⑤</w:t>
                  </w:r>
                  <w:r>
                    <w:rPr>
                      <w:rFonts w:eastAsiaTheme="minorEastAsia"/>
                      <w:color w:val="auto"/>
                      <w:szCs w:val="24"/>
                    </w:rPr>
                    <w:t>建立台账并悬挂于危险废物贮存间内；</w:t>
                  </w:r>
                </w:p>
                <w:p>
                  <w:pPr>
                    <w:pStyle w:val="26"/>
                    <w:spacing w:line="360" w:lineRule="exact"/>
                    <w:ind w:firstLine="210" w:firstLineChars="100"/>
                    <w:jc w:val="both"/>
                    <w:rPr>
                      <w:rFonts w:eastAsiaTheme="minorEastAsia"/>
                      <w:color w:val="auto"/>
                      <w:szCs w:val="24"/>
                    </w:rPr>
                  </w:pPr>
                  <w:r>
                    <w:rPr>
                      <w:color w:val="auto"/>
                      <w:szCs w:val="24"/>
                    </w:rPr>
                    <w:t>⑥</w:t>
                  </w:r>
                  <w:r>
                    <w:rPr>
                      <w:rFonts w:eastAsiaTheme="minorEastAsia"/>
                      <w:color w:val="auto"/>
                      <w:szCs w:val="24"/>
                    </w:rPr>
                    <w:t>危险废物贮存间内禁止存放除危险废物及应急工具及其他物品；</w:t>
                  </w:r>
                </w:p>
              </w:tc>
            </w:tr>
          </w:tbl>
          <w:p>
            <w:pPr>
              <w:pStyle w:val="34"/>
              <w:spacing w:beforeLines="50"/>
              <w:ind w:firstLine="482"/>
              <w:rPr>
                <w:rFonts w:eastAsiaTheme="minorEastAsia"/>
                <w:b/>
                <w:szCs w:val="24"/>
              </w:rPr>
            </w:pPr>
            <w:r>
              <w:rPr>
                <w:b/>
                <w:szCs w:val="24"/>
              </w:rPr>
              <w:t>②</w:t>
            </w:r>
            <w:r>
              <w:rPr>
                <w:rFonts w:eastAsiaTheme="minorEastAsia"/>
                <w:b/>
                <w:szCs w:val="24"/>
              </w:rPr>
              <w:t>生活垃圾管理要求</w:t>
            </w:r>
          </w:p>
          <w:p>
            <w:pPr>
              <w:pStyle w:val="34"/>
              <w:ind w:firstLine="480"/>
              <w:rPr>
                <w:rFonts w:eastAsiaTheme="minorEastAsia"/>
                <w:szCs w:val="24"/>
              </w:rPr>
            </w:pPr>
            <w:r>
              <w:rPr>
                <w:szCs w:val="24"/>
              </w:rPr>
              <w:t>项目产生的生活垃圾应做到日产日清。</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4.2.5 地下水、土壤环境影响和保护措施</w:t>
            </w:r>
          </w:p>
          <w:p>
            <w:pPr>
              <w:pStyle w:val="34"/>
              <w:ind w:firstLine="361" w:firstLineChars="150"/>
              <w:rPr>
                <w:rFonts w:eastAsiaTheme="minorEastAsia"/>
                <w:b/>
                <w:szCs w:val="24"/>
              </w:rPr>
            </w:pPr>
            <w:r>
              <w:rPr>
                <w:rFonts w:eastAsiaTheme="minorEastAsia"/>
                <w:b/>
                <w:szCs w:val="24"/>
              </w:rPr>
              <w:t>（1）污染源及污染物类型</w:t>
            </w:r>
          </w:p>
          <w:p>
            <w:pPr>
              <w:pStyle w:val="34"/>
              <w:ind w:firstLine="480"/>
              <w:rPr>
                <w:szCs w:val="24"/>
              </w:rPr>
            </w:pPr>
            <w:r>
              <w:rPr>
                <w:szCs w:val="24"/>
              </w:rPr>
              <w:t>根据项目的特点，该项目可能对地下水造成污染的污染源有：废机油在地面防渗层、污水处理系统等发生破损的情况下会发生渗漏，对地下水造成污染，其污染物类型包括有机物、病菌和石油类。</w:t>
            </w:r>
          </w:p>
          <w:p>
            <w:pPr>
              <w:pStyle w:val="34"/>
              <w:ind w:firstLine="361" w:firstLineChars="150"/>
              <w:rPr>
                <w:rFonts w:eastAsiaTheme="minorEastAsia"/>
                <w:b/>
                <w:szCs w:val="24"/>
              </w:rPr>
            </w:pPr>
            <w:r>
              <w:rPr>
                <w:rFonts w:eastAsiaTheme="minorEastAsia"/>
                <w:b/>
                <w:szCs w:val="24"/>
              </w:rPr>
              <w:t>（2）污染源及污染途径</w:t>
            </w:r>
          </w:p>
          <w:p>
            <w:pPr>
              <w:pStyle w:val="34"/>
              <w:ind w:firstLine="480"/>
              <w:rPr>
                <w:szCs w:val="24"/>
              </w:rPr>
            </w:pPr>
            <w:r>
              <w:rPr>
                <w:szCs w:val="24"/>
              </w:rPr>
              <w:t>污染物从污染源进入地下水所经过的路径称为地下水污染途径，地下水污染途径是多种多样的。根据项目的特点，该项目可能对地下水造成污染的途径主要有：废机油、污水处理系统内的废水、污泥等，在防渗层发生破损的情况下会发生渗漏，对地下水造成污染。</w:t>
            </w:r>
          </w:p>
          <w:p>
            <w:pPr>
              <w:pStyle w:val="34"/>
              <w:ind w:firstLine="361" w:firstLineChars="150"/>
              <w:rPr>
                <w:rFonts w:eastAsiaTheme="minorEastAsia"/>
                <w:b/>
                <w:szCs w:val="24"/>
              </w:rPr>
            </w:pPr>
            <w:r>
              <w:rPr>
                <w:rFonts w:eastAsiaTheme="minorEastAsia"/>
                <w:b/>
                <w:szCs w:val="24"/>
              </w:rPr>
              <w:t>（3）防控措施</w:t>
            </w:r>
          </w:p>
          <w:p>
            <w:pPr>
              <w:pStyle w:val="34"/>
              <w:ind w:firstLine="480"/>
              <w:rPr>
                <w:szCs w:val="24"/>
              </w:rPr>
            </w:pPr>
            <w:r>
              <w:rPr>
                <w:szCs w:val="24"/>
              </w:rPr>
              <w:t>该项目地下水、土壤污染防治措施按照“源头控制、分区防治、应急响应”相结合的原则，从污染物的产生、入渗、扩散、应急响应进行控制。</w:t>
            </w:r>
          </w:p>
          <w:p>
            <w:pPr>
              <w:pStyle w:val="34"/>
              <w:ind w:firstLine="482"/>
              <w:rPr>
                <w:b/>
                <w:szCs w:val="24"/>
              </w:rPr>
            </w:pPr>
            <w:r>
              <w:rPr>
                <w:b/>
                <w:szCs w:val="24"/>
              </w:rPr>
              <w:t>①源头控制措施</w:t>
            </w:r>
          </w:p>
          <w:p>
            <w:pPr>
              <w:pStyle w:val="34"/>
              <w:ind w:firstLine="480"/>
              <w:rPr>
                <w:szCs w:val="24"/>
              </w:rPr>
            </w:pPr>
            <w:r>
              <w:rPr>
                <w:szCs w:val="24"/>
              </w:rPr>
              <w:t>严格按照公司制定的规范管理要求进行危险废物的管理。</w:t>
            </w:r>
          </w:p>
          <w:p>
            <w:pPr>
              <w:pStyle w:val="34"/>
              <w:ind w:firstLine="482"/>
              <w:rPr>
                <w:b/>
                <w:szCs w:val="24"/>
              </w:rPr>
            </w:pPr>
            <w:r>
              <w:rPr>
                <w:b/>
                <w:szCs w:val="24"/>
              </w:rPr>
              <w:t>②分区控制措施</w:t>
            </w:r>
          </w:p>
          <w:p>
            <w:pPr>
              <w:pStyle w:val="34"/>
              <w:ind w:firstLine="480"/>
              <w:rPr>
                <w:szCs w:val="24"/>
              </w:rPr>
            </w:pPr>
            <w:r>
              <w:rPr>
                <w:szCs w:val="24"/>
              </w:rPr>
              <w:t>根据以上分区原则可知，项目分区防渗具体如下：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1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⑴</w:t>
            </w:r>
            <w:r>
              <w:rPr>
                <w:rFonts w:ascii="Times New Roman" w:hAnsi="Times New Roman" w:cs="Times New Roman"/>
                <w:b/>
                <w:sz w:val="24"/>
                <w:szCs w:val="24"/>
              </w:rPr>
              <w:fldChar w:fldCharType="end"/>
            </w:r>
            <w:r>
              <w:rPr>
                <w:rFonts w:ascii="Times New Roman" w:hAnsi="Times New Roman" w:cs="Times New Roman"/>
                <w:b/>
                <w:sz w:val="24"/>
                <w:szCs w:val="24"/>
              </w:rPr>
              <w:t>重点防渗区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项目重点防渗区为危险废物贮存间和调节池、一体化污水处理设施。具体防渗措施如下：危险废物贮存间地面及裙墙、调节池池内应采用不低于2mm后的HDPE膜或其他人工防渗材料进行防渗，使其渗透系数≤10</w:t>
            </w:r>
            <w:r>
              <w:rPr>
                <w:rFonts w:ascii="Times New Roman" w:hAnsi="Times New Roman" w:cs="Times New Roman"/>
                <w:sz w:val="24"/>
                <w:szCs w:val="24"/>
                <w:vertAlign w:val="superscript"/>
              </w:rPr>
              <w:t>-10</w:t>
            </w:r>
            <w:r>
              <w:rPr>
                <w:rFonts w:ascii="Times New Roman" w:hAnsi="Times New Roman" w:cs="Times New Roman"/>
                <w:sz w:val="24"/>
                <w:szCs w:val="24"/>
              </w:rPr>
              <w:t>cm/s；一体化污水处理设施采用一体成型钢结构设施，确保废水无渗漏。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2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⑵</w:t>
            </w:r>
            <w:r>
              <w:rPr>
                <w:rFonts w:ascii="Times New Roman" w:hAnsi="Times New Roman" w:cs="Times New Roman"/>
                <w:b/>
                <w:sz w:val="24"/>
                <w:szCs w:val="24"/>
              </w:rPr>
              <w:fldChar w:fldCharType="end"/>
            </w:r>
            <w:r>
              <w:rPr>
                <w:rFonts w:ascii="Times New Roman" w:hAnsi="Times New Roman" w:cs="Times New Roman"/>
                <w:b/>
                <w:sz w:val="24"/>
                <w:szCs w:val="24"/>
              </w:rPr>
              <w:t>一般防渗区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一般防渗区主要包括：火化车间及捡灰间、悼念厅及守灵厅，应采用混凝土进行硬化，使其渗透系数≤1.0×10</w:t>
            </w:r>
            <w:r>
              <w:rPr>
                <w:rFonts w:ascii="Times New Roman" w:hAnsi="Times New Roman" w:eastAsia="宋体" w:cs="Times New Roman"/>
                <w:sz w:val="24"/>
                <w:szCs w:val="24"/>
                <w:vertAlign w:val="superscript"/>
              </w:rPr>
              <w:t>-7</w:t>
            </w:r>
            <w:r>
              <w:rPr>
                <w:rFonts w:ascii="Times New Roman" w:hAnsi="Times New Roman" w:eastAsia="宋体" w:cs="Times New Roman"/>
                <w:sz w:val="24"/>
                <w:szCs w:val="24"/>
              </w:rPr>
              <w:t>cm/s。</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 3 \* GB2 </w:instrText>
            </w:r>
            <w:r>
              <w:rPr>
                <w:rFonts w:ascii="Times New Roman" w:hAnsi="Times New Roman" w:cs="Times New Roman"/>
                <w:b/>
                <w:sz w:val="24"/>
                <w:szCs w:val="24"/>
              </w:rPr>
              <w:fldChar w:fldCharType="separate"/>
            </w:r>
            <w:r>
              <w:rPr>
                <w:rFonts w:ascii="Times New Roman" w:hAnsi="Times New Roman" w:eastAsia="宋体" w:cs="Times New Roman"/>
                <w:b/>
                <w:sz w:val="24"/>
                <w:szCs w:val="24"/>
              </w:rPr>
              <w:t>⑶</w:t>
            </w:r>
            <w:r>
              <w:rPr>
                <w:rFonts w:ascii="Times New Roman" w:hAnsi="Times New Roman" w:cs="Times New Roman"/>
                <w:b/>
                <w:sz w:val="24"/>
                <w:szCs w:val="24"/>
              </w:rPr>
              <w:fldChar w:fldCharType="end"/>
            </w:r>
            <w:r>
              <w:rPr>
                <w:rFonts w:ascii="Times New Roman" w:hAnsi="Times New Roman" w:cs="Times New Roman"/>
                <w:b/>
                <w:sz w:val="24"/>
                <w:szCs w:val="24"/>
              </w:rPr>
              <w:t>简单防渗区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对于基本上不产生污染物的简单防渗区，不采取专门针对地下水污染的防治措施。</w:t>
            </w:r>
          </w:p>
          <w:p>
            <w:pPr>
              <w:pStyle w:val="34"/>
              <w:ind w:firstLine="361" w:firstLineChars="150"/>
              <w:rPr>
                <w:rFonts w:eastAsiaTheme="minorEastAsia"/>
                <w:b/>
                <w:szCs w:val="24"/>
              </w:rPr>
            </w:pPr>
            <w:r>
              <w:rPr>
                <w:rFonts w:eastAsiaTheme="minorEastAsia"/>
                <w:b/>
                <w:szCs w:val="24"/>
              </w:rPr>
              <w:t>（4）跟踪监测计划</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根据项目特点，该项目不设置跟踪监测计划。</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4.2.6 生态环境影响和保护措施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东川区碧谷街道（北郊板河口老殡仪馆原址），根据调查，项目所在区域受人类活动的影响，已基本无原生植被及大型野生哺乳动物分布，常见动物有老鼠，麻雀等，生物多样性较简单。项目及周边200m范围内无国家和省级珍稀、濒危生物物种、无珍稀植物资源和需保护的古树。生态环境影响较小。</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4.2.7 环境风险影响和防治措施</w:t>
            </w:r>
          </w:p>
          <w:p>
            <w:pPr>
              <w:pStyle w:val="34"/>
              <w:ind w:firstLine="361" w:firstLineChars="150"/>
              <w:rPr>
                <w:rFonts w:eastAsiaTheme="minorEastAsia"/>
                <w:b/>
                <w:szCs w:val="24"/>
              </w:rPr>
            </w:pPr>
            <w:r>
              <w:rPr>
                <w:rFonts w:eastAsiaTheme="minorEastAsia"/>
                <w:b/>
                <w:szCs w:val="24"/>
              </w:rPr>
              <w:t>（1）风险物质的分布情况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该项目危险废物，其危险特性如下表所示。</w:t>
            </w:r>
          </w:p>
          <w:p>
            <w:pPr>
              <w:pStyle w:val="28"/>
              <w:spacing w:beforeLines="0"/>
              <w:rPr>
                <w:rFonts w:hAnsi="Times New Roman" w:eastAsiaTheme="minorEastAsia"/>
                <w:sz w:val="21"/>
                <w:szCs w:val="21"/>
              </w:rPr>
            </w:pPr>
            <w:r>
              <w:rPr>
                <w:rFonts w:hAnsi="Times New Roman" w:eastAsiaTheme="minorEastAsia"/>
                <w:sz w:val="21"/>
                <w:szCs w:val="21"/>
              </w:rPr>
              <w:t>表4.2.7-1  项目涉及的危险物质基本情况一览表</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2053"/>
              <w:gridCol w:w="1774"/>
              <w:gridCol w:w="1418"/>
              <w:gridCol w:w="2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Align w:val="center"/>
                </w:tcPr>
                <w:p>
                  <w:pPr>
                    <w:pStyle w:val="26"/>
                    <w:spacing w:line="360" w:lineRule="exact"/>
                    <w:rPr>
                      <w:color w:val="auto"/>
                      <w:szCs w:val="21"/>
                    </w:rPr>
                  </w:pPr>
                  <w:r>
                    <w:rPr>
                      <w:color w:val="auto"/>
                      <w:szCs w:val="21"/>
                    </w:rPr>
                    <w:t>产生环节</w:t>
                  </w:r>
                </w:p>
              </w:tc>
              <w:tc>
                <w:tcPr>
                  <w:tcW w:w="2053" w:type="dxa"/>
                  <w:vAlign w:val="center"/>
                </w:tcPr>
                <w:p>
                  <w:pPr>
                    <w:pStyle w:val="26"/>
                    <w:spacing w:line="360" w:lineRule="exact"/>
                    <w:rPr>
                      <w:color w:val="auto"/>
                      <w:szCs w:val="21"/>
                    </w:rPr>
                  </w:pPr>
                  <w:r>
                    <w:rPr>
                      <w:color w:val="auto"/>
                      <w:szCs w:val="21"/>
                    </w:rPr>
                    <w:t>危险物质</w:t>
                  </w:r>
                </w:p>
              </w:tc>
              <w:tc>
                <w:tcPr>
                  <w:tcW w:w="1774" w:type="dxa"/>
                  <w:vAlign w:val="center"/>
                </w:tcPr>
                <w:p>
                  <w:pPr>
                    <w:pStyle w:val="26"/>
                    <w:spacing w:line="360" w:lineRule="exact"/>
                    <w:rPr>
                      <w:color w:val="auto"/>
                      <w:szCs w:val="21"/>
                    </w:rPr>
                  </w:pPr>
                  <w:r>
                    <w:rPr>
                      <w:color w:val="auto"/>
                      <w:szCs w:val="21"/>
                    </w:rPr>
                    <w:t>年使用/产生量</w:t>
                  </w:r>
                </w:p>
              </w:tc>
              <w:tc>
                <w:tcPr>
                  <w:tcW w:w="1418" w:type="dxa"/>
                  <w:vAlign w:val="center"/>
                </w:tcPr>
                <w:p>
                  <w:pPr>
                    <w:pStyle w:val="26"/>
                    <w:spacing w:line="360" w:lineRule="exact"/>
                    <w:rPr>
                      <w:color w:val="auto"/>
                      <w:szCs w:val="21"/>
                    </w:rPr>
                  </w:pPr>
                  <w:r>
                    <w:rPr>
                      <w:color w:val="auto"/>
                      <w:szCs w:val="21"/>
                    </w:rPr>
                    <w:t>最大储存量</w:t>
                  </w:r>
                </w:p>
              </w:tc>
              <w:tc>
                <w:tcPr>
                  <w:tcW w:w="2625" w:type="dxa"/>
                  <w:vAlign w:val="center"/>
                </w:tcPr>
                <w:p>
                  <w:pPr>
                    <w:pStyle w:val="26"/>
                    <w:spacing w:line="360" w:lineRule="exact"/>
                    <w:rPr>
                      <w:color w:val="auto"/>
                      <w:szCs w:val="21"/>
                    </w:rPr>
                  </w:pPr>
                  <w:r>
                    <w:rPr>
                      <w:color w:val="auto"/>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restart"/>
                  <w:vAlign w:val="center"/>
                </w:tcPr>
                <w:p>
                  <w:pPr>
                    <w:pStyle w:val="26"/>
                    <w:spacing w:line="360" w:lineRule="exact"/>
                    <w:rPr>
                      <w:color w:val="auto"/>
                      <w:szCs w:val="21"/>
                    </w:rPr>
                  </w:pPr>
                  <w:r>
                    <w:rPr>
                      <w:color w:val="auto"/>
                      <w:szCs w:val="21"/>
                    </w:rPr>
                    <w:t>产生污染物</w:t>
                  </w:r>
                </w:p>
              </w:tc>
              <w:tc>
                <w:tcPr>
                  <w:tcW w:w="2053" w:type="dxa"/>
                  <w:vAlign w:val="center"/>
                </w:tcPr>
                <w:p>
                  <w:pPr>
                    <w:pStyle w:val="26"/>
                    <w:spacing w:line="360" w:lineRule="exact"/>
                    <w:rPr>
                      <w:color w:val="auto"/>
                      <w:szCs w:val="21"/>
                    </w:rPr>
                  </w:pPr>
                  <w:r>
                    <w:rPr>
                      <w:color w:val="auto"/>
                      <w:szCs w:val="21"/>
                    </w:rPr>
                    <w:t>一次性手套</w:t>
                  </w:r>
                </w:p>
              </w:tc>
              <w:tc>
                <w:tcPr>
                  <w:tcW w:w="1774" w:type="dxa"/>
                  <w:vMerge w:val="restart"/>
                  <w:vAlign w:val="center"/>
                </w:tcPr>
                <w:p>
                  <w:pPr>
                    <w:pStyle w:val="26"/>
                    <w:spacing w:line="360" w:lineRule="exact"/>
                    <w:rPr>
                      <w:color w:val="auto"/>
                      <w:szCs w:val="21"/>
                    </w:rPr>
                  </w:pPr>
                  <w:r>
                    <w:rPr>
                      <w:color w:val="auto"/>
                      <w:szCs w:val="21"/>
                    </w:rPr>
                    <w:t>0.1t/a</w:t>
                  </w:r>
                </w:p>
              </w:tc>
              <w:tc>
                <w:tcPr>
                  <w:tcW w:w="1418" w:type="dxa"/>
                  <w:vMerge w:val="restart"/>
                  <w:vAlign w:val="center"/>
                </w:tcPr>
                <w:p>
                  <w:pPr>
                    <w:pStyle w:val="26"/>
                    <w:spacing w:line="360" w:lineRule="exact"/>
                    <w:ind w:left="11"/>
                    <w:rPr>
                      <w:color w:val="auto"/>
                      <w:szCs w:val="21"/>
                    </w:rPr>
                  </w:pPr>
                  <w:r>
                    <w:rPr>
                      <w:color w:val="auto"/>
                      <w:szCs w:val="21"/>
                    </w:rPr>
                    <w:t xml:space="preserve">0.05t </w:t>
                  </w:r>
                </w:p>
              </w:tc>
              <w:tc>
                <w:tcPr>
                  <w:tcW w:w="2625" w:type="dxa"/>
                  <w:vMerge w:val="restart"/>
                  <w:vAlign w:val="center"/>
                </w:tcPr>
                <w:p>
                  <w:pPr>
                    <w:pStyle w:val="26"/>
                    <w:spacing w:line="360" w:lineRule="exact"/>
                    <w:ind w:left="11" w:firstLine="210" w:firstLineChars="100"/>
                    <w:jc w:val="left"/>
                    <w:rPr>
                      <w:color w:val="auto"/>
                    </w:rPr>
                  </w:pPr>
                  <w:r>
                    <w:rPr>
                      <w:rFonts w:eastAsiaTheme="minorEastAsia"/>
                      <w:color w:val="auto"/>
                      <w:szCs w:val="24"/>
                    </w:rPr>
                    <w:t>拟建设了1个10m²的危险废物贮存间分类暂存。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pStyle w:val="26"/>
                    <w:spacing w:line="360" w:lineRule="exact"/>
                    <w:rPr>
                      <w:color w:val="auto"/>
                      <w:szCs w:val="21"/>
                    </w:rPr>
                  </w:pPr>
                </w:p>
              </w:tc>
              <w:tc>
                <w:tcPr>
                  <w:tcW w:w="2053" w:type="dxa"/>
                  <w:vAlign w:val="center"/>
                </w:tcPr>
                <w:p>
                  <w:pPr>
                    <w:pStyle w:val="26"/>
                    <w:spacing w:line="360" w:lineRule="exact"/>
                    <w:rPr>
                      <w:color w:val="auto"/>
                      <w:szCs w:val="21"/>
                    </w:rPr>
                  </w:pPr>
                  <w:r>
                    <w:rPr>
                      <w:color w:val="auto"/>
                      <w:szCs w:val="21"/>
                    </w:rPr>
                    <w:t>废弃化妆棉</w:t>
                  </w:r>
                </w:p>
              </w:tc>
              <w:tc>
                <w:tcPr>
                  <w:tcW w:w="1774" w:type="dxa"/>
                  <w:vMerge w:val="continue"/>
                  <w:vAlign w:val="center"/>
                </w:tcPr>
                <w:p>
                  <w:pPr>
                    <w:pStyle w:val="26"/>
                    <w:spacing w:line="360" w:lineRule="exact"/>
                    <w:rPr>
                      <w:color w:val="auto"/>
                      <w:szCs w:val="21"/>
                    </w:rPr>
                  </w:pPr>
                </w:p>
              </w:tc>
              <w:tc>
                <w:tcPr>
                  <w:tcW w:w="1418" w:type="dxa"/>
                  <w:vMerge w:val="continue"/>
                  <w:vAlign w:val="center"/>
                </w:tcPr>
                <w:p>
                  <w:pPr>
                    <w:pStyle w:val="26"/>
                    <w:spacing w:line="360" w:lineRule="exact"/>
                    <w:ind w:left="11"/>
                    <w:rPr>
                      <w:color w:val="auto"/>
                      <w:szCs w:val="21"/>
                    </w:rPr>
                  </w:pPr>
                </w:p>
              </w:tc>
              <w:tc>
                <w:tcPr>
                  <w:tcW w:w="2625" w:type="dxa"/>
                  <w:vMerge w:val="continue"/>
                  <w:vAlign w:val="center"/>
                </w:tcPr>
                <w:p>
                  <w:pPr>
                    <w:pStyle w:val="26"/>
                    <w:spacing w:line="360" w:lineRule="exact"/>
                    <w:ind w:left="11" w:firstLine="210" w:firstLineChars="100"/>
                    <w:jc w:val="left"/>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pStyle w:val="26"/>
                    <w:spacing w:line="360" w:lineRule="exact"/>
                    <w:rPr>
                      <w:color w:val="auto"/>
                      <w:szCs w:val="21"/>
                    </w:rPr>
                  </w:pPr>
                </w:p>
              </w:tc>
              <w:tc>
                <w:tcPr>
                  <w:tcW w:w="2053" w:type="dxa"/>
                  <w:vAlign w:val="center"/>
                </w:tcPr>
                <w:p>
                  <w:pPr>
                    <w:pStyle w:val="26"/>
                    <w:spacing w:line="360" w:lineRule="exact"/>
                    <w:rPr>
                      <w:color w:val="auto"/>
                      <w:szCs w:val="21"/>
                    </w:rPr>
                  </w:pPr>
                  <w:r>
                    <w:rPr>
                      <w:color w:val="auto"/>
                      <w:szCs w:val="21"/>
                    </w:rPr>
                    <w:t>废活性炭</w:t>
                  </w:r>
                </w:p>
              </w:tc>
              <w:tc>
                <w:tcPr>
                  <w:tcW w:w="1774" w:type="dxa"/>
                  <w:vAlign w:val="center"/>
                </w:tcPr>
                <w:p>
                  <w:pPr>
                    <w:pStyle w:val="26"/>
                    <w:spacing w:line="360" w:lineRule="exact"/>
                    <w:rPr>
                      <w:color w:val="auto"/>
                      <w:szCs w:val="21"/>
                    </w:rPr>
                  </w:pPr>
                  <w:r>
                    <w:rPr>
                      <w:color w:val="auto"/>
                      <w:szCs w:val="21"/>
                    </w:rPr>
                    <w:t>0.3t/a</w:t>
                  </w:r>
                </w:p>
              </w:tc>
              <w:tc>
                <w:tcPr>
                  <w:tcW w:w="1418" w:type="dxa"/>
                  <w:vAlign w:val="center"/>
                </w:tcPr>
                <w:p>
                  <w:pPr>
                    <w:pStyle w:val="26"/>
                    <w:spacing w:line="360" w:lineRule="exact"/>
                    <w:ind w:left="11"/>
                    <w:rPr>
                      <w:color w:val="auto"/>
                      <w:szCs w:val="21"/>
                    </w:rPr>
                  </w:pPr>
                  <w:r>
                    <w:rPr>
                      <w:color w:val="auto"/>
                      <w:szCs w:val="21"/>
                    </w:rPr>
                    <w:t>0.3t</w:t>
                  </w:r>
                </w:p>
              </w:tc>
              <w:tc>
                <w:tcPr>
                  <w:tcW w:w="2625" w:type="dxa"/>
                  <w:vMerge w:val="continue"/>
                  <w:vAlign w:val="center"/>
                </w:tcPr>
                <w:p>
                  <w:pPr>
                    <w:pStyle w:val="26"/>
                    <w:spacing w:line="360" w:lineRule="exact"/>
                    <w:ind w:left="11" w:firstLine="210" w:firstLineChars="100"/>
                    <w:jc w:val="left"/>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pStyle w:val="26"/>
                    <w:spacing w:line="360" w:lineRule="exact"/>
                    <w:rPr>
                      <w:color w:val="auto"/>
                      <w:szCs w:val="21"/>
                    </w:rPr>
                  </w:pPr>
                </w:p>
              </w:tc>
              <w:tc>
                <w:tcPr>
                  <w:tcW w:w="2053" w:type="dxa"/>
                  <w:vAlign w:val="center"/>
                </w:tcPr>
                <w:p>
                  <w:pPr>
                    <w:pStyle w:val="26"/>
                    <w:spacing w:line="360" w:lineRule="exact"/>
                    <w:rPr>
                      <w:color w:val="auto"/>
                      <w:szCs w:val="21"/>
                    </w:rPr>
                  </w:pPr>
                  <w:r>
                    <w:rPr>
                      <w:color w:val="auto"/>
                      <w:szCs w:val="21"/>
                    </w:rPr>
                    <w:t>污水处理系统污泥</w:t>
                  </w:r>
                </w:p>
              </w:tc>
              <w:tc>
                <w:tcPr>
                  <w:tcW w:w="1774" w:type="dxa"/>
                  <w:vAlign w:val="center"/>
                </w:tcPr>
                <w:p>
                  <w:pPr>
                    <w:pStyle w:val="26"/>
                    <w:spacing w:line="360" w:lineRule="exact"/>
                    <w:rPr>
                      <w:color w:val="auto"/>
                      <w:szCs w:val="21"/>
                    </w:rPr>
                  </w:pPr>
                  <w:r>
                    <w:rPr>
                      <w:color w:val="auto"/>
                      <w:szCs w:val="21"/>
                    </w:rPr>
                    <w:t>0.24t/a</w:t>
                  </w:r>
                </w:p>
              </w:tc>
              <w:tc>
                <w:tcPr>
                  <w:tcW w:w="1418" w:type="dxa"/>
                  <w:vAlign w:val="center"/>
                </w:tcPr>
                <w:p>
                  <w:pPr>
                    <w:pStyle w:val="26"/>
                    <w:spacing w:line="360" w:lineRule="exact"/>
                    <w:rPr>
                      <w:color w:val="auto"/>
                      <w:szCs w:val="21"/>
                    </w:rPr>
                  </w:pPr>
                  <w:r>
                    <w:rPr>
                      <w:color w:val="auto"/>
                      <w:szCs w:val="21"/>
                    </w:rPr>
                    <w:t>0.24t</w:t>
                  </w:r>
                </w:p>
              </w:tc>
              <w:tc>
                <w:tcPr>
                  <w:tcW w:w="2625" w:type="dxa"/>
                  <w:vMerge w:val="continue"/>
                  <w:vAlign w:val="center"/>
                </w:tcPr>
                <w:p>
                  <w:pPr>
                    <w:pStyle w:val="26"/>
                    <w:spacing w:line="360" w:lineRule="exact"/>
                    <w:ind w:left="11" w:firstLine="210" w:firstLineChars="100"/>
                    <w:jc w:val="left"/>
                    <w:rPr>
                      <w:color w:val="auto"/>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5" w:type="dxa"/>
                  <w:vMerge w:val="continue"/>
                  <w:vAlign w:val="center"/>
                </w:tcPr>
                <w:p>
                  <w:pPr>
                    <w:pStyle w:val="26"/>
                    <w:spacing w:line="360" w:lineRule="exact"/>
                    <w:rPr>
                      <w:color w:val="auto"/>
                      <w:szCs w:val="21"/>
                    </w:rPr>
                  </w:pPr>
                </w:p>
              </w:tc>
              <w:tc>
                <w:tcPr>
                  <w:tcW w:w="2053" w:type="dxa"/>
                  <w:vAlign w:val="center"/>
                </w:tcPr>
                <w:p>
                  <w:pPr>
                    <w:pStyle w:val="26"/>
                    <w:spacing w:line="360" w:lineRule="exact"/>
                    <w:rPr>
                      <w:color w:val="auto"/>
                      <w:szCs w:val="21"/>
                    </w:rPr>
                  </w:pPr>
                  <w:r>
                    <w:rPr>
                      <w:color w:val="auto"/>
                      <w:szCs w:val="21"/>
                    </w:rPr>
                    <w:t>废机油</w:t>
                  </w:r>
                </w:p>
              </w:tc>
              <w:tc>
                <w:tcPr>
                  <w:tcW w:w="1774" w:type="dxa"/>
                  <w:vAlign w:val="center"/>
                </w:tcPr>
                <w:p>
                  <w:pPr>
                    <w:pStyle w:val="26"/>
                    <w:spacing w:line="360" w:lineRule="exact"/>
                    <w:rPr>
                      <w:color w:val="auto"/>
                      <w:szCs w:val="21"/>
                    </w:rPr>
                  </w:pPr>
                  <w:r>
                    <w:rPr>
                      <w:color w:val="auto"/>
                      <w:szCs w:val="21"/>
                    </w:rPr>
                    <w:t>5kg/a</w:t>
                  </w:r>
                </w:p>
              </w:tc>
              <w:tc>
                <w:tcPr>
                  <w:tcW w:w="1418" w:type="dxa"/>
                  <w:vAlign w:val="center"/>
                </w:tcPr>
                <w:p>
                  <w:pPr>
                    <w:pStyle w:val="26"/>
                    <w:spacing w:line="360" w:lineRule="exact"/>
                    <w:rPr>
                      <w:color w:val="auto"/>
                      <w:szCs w:val="21"/>
                    </w:rPr>
                  </w:pPr>
                  <w:r>
                    <w:rPr>
                      <w:color w:val="auto"/>
                      <w:szCs w:val="21"/>
                    </w:rPr>
                    <w:t>0.005t</w:t>
                  </w:r>
                </w:p>
              </w:tc>
              <w:tc>
                <w:tcPr>
                  <w:tcW w:w="2625" w:type="dxa"/>
                  <w:vMerge w:val="continue"/>
                  <w:vAlign w:val="center"/>
                </w:tcPr>
                <w:p>
                  <w:pPr>
                    <w:pStyle w:val="26"/>
                    <w:spacing w:line="360" w:lineRule="exact"/>
                    <w:ind w:left="11" w:firstLine="210" w:firstLineChars="100"/>
                    <w:jc w:val="left"/>
                    <w:rPr>
                      <w:color w:val="auto"/>
                    </w:rPr>
                  </w:pP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项目涉及危险物质的理化性质如下表所示。</w:t>
            </w:r>
          </w:p>
          <w:p>
            <w:pPr>
              <w:pStyle w:val="28"/>
              <w:spacing w:beforeLines="0"/>
              <w:rPr>
                <w:rFonts w:hAnsi="Times New Roman" w:eastAsiaTheme="minorEastAsia"/>
                <w:sz w:val="21"/>
                <w:szCs w:val="21"/>
              </w:rPr>
            </w:pPr>
            <w:r>
              <w:rPr>
                <w:rFonts w:hAnsi="Times New Roman" w:eastAsiaTheme="minorEastAsia"/>
                <w:sz w:val="21"/>
                <w:szCs w:val="21"/>
              </w:rPr>
              <w:t>表4.2.7-2 危险物质主要成分基本性质一览表</w:t>
            </w:r>
          </w:p>
          <w:tbl>
            <w:tblPr>
              <w:tblStyle w:val="17"/>
              <w:tblW w:w="86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44"/>
              <w:gridCol w:w="1417"/>
              <w:gridCol w:w="5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restart"/>
                  <w:vAlign w:val="center"/>
                </w:tcPr>
                <w:p>
                  <w:pPr>
                    <w:pStyle w:val="26"/>
                    <w:spacing w:line="360" w:lineRule="exact"/>
                    <w:rPr>
                      <w:color w:val="auto"/>
                      <w:szCs w:val="21"/>
                    </w:rPr>
                  </w:pPr>
                  <w:r>
                    <w:rPr>
                      <w:color w:val="auto"/>
                      <w:szCs w:val="21"/>
                    </w:rPr>
                    <w:t>一次性手套、废弃化妆棉、污水处理系统污泥</w:t>
                  </w:r>
                </w:p>
              </w:tc>
              <w:tc>
                <w:tcPr>
                  <w:tcW w:w="1417" w:type="dxa"/>
                </w:tcPr>
                <w:p>
                  <w:pPr>
                    <w:pStyle w:val="26"/>
                    <w:spacing w:line="360" w:lineRule="exact"/>
                    <w:rPr>
                      <w:color w:val="auto"/>
                      <w:szCs w:val="21"/>
                    </w:rPr>
                  </w:pPr>
                  <w:r>
                    <w:rPr>
                      <w:color w:val="auto"/>
                      <w:szCs w:val="21"/>
                    </w:rPr>
                    <w:t>废物类别</w:t>
                  </w:r>
                </w:p>
              </w:tc>
              <w:tc>
                <w:tcPr>
                  <w:tcW w:w="5744" w:type="dxa"/>
                  <w:vAlign w:val="center"/>
                </w:tcPr>
                <w:p>
                  <w:pPr>
                    <w:pStyle w:val="26"/>
                    <w:spacing w:line="360" w:lineRule="exact"/>
                    <w:ind w:left="11" w:firstLine="210" w:firstLineChars="100"/>
                    <w:jc w:val="left"/>
                    <w:rPr>
                      <w:color w:val="auto"/>
                      <w:szCs w:val="21"/>
                    </w:rPr>
                  </w:pPr>
                  <w:r>
                    <w:rPr>
                      <w:color w:val="auto"/>
                      <w:szCs w:val="21"/>
                    </w:rPr>
                    <w:t>HW01医疗废物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continue"/>
                  <w:vAlign w:val="center"/>
                </w:tcPr>
                <w:p>
                  <w:pPr>
                    <w:pStyle w:val="26"/>
                    <w:spacing w:line="360" w:lineRule="exact"/>
                    <w:rPr>
                      <w:color w:val="auto"/>
                      <w:szCs w:val="21"/>
                    </w:rPr>
                  </w:pPr>
                </w:p>
              </w:tc>
              <w:tc>
                <w:tcPr>
                  <w:tcW w:w="1417" w:type="dxa"/>
                  <w:vAlign w:val="center"/>
                </w:tcPr>
                <w:p>
                  <w:pPr>
                    <w:pStyle w:val="26"/>
                    <w:spacing w:line="360" w:lineRule="exact"/>
                    <w:rPr>
                      <w:color w:val="auto"/>
                      <w:szCs w:val="21"/>
                    </w:rPr>
                  </w:pPr>
                  <w:r>
                    <w:rPr>
                      <w:color w:val="auto"/>
                      <w:szCs w:val="21"/>
                    </w:rPr>
                    <w:t>废物代码</w:t>
                  </w:r>
                </w:p>
              </w:tc>
              <w:tc>
                <w:tcPr>
                  <w:tcW w:w="5744" w:type="dxa"/>
                  <w:vAlign w:val="center"/>
                </w:tcPr>
                <w:p>
                  <w:pPr>
                    <w:pStyle w:val="26"/>
                    <w:spacing w:line="360" w:lineRule="exact"/>
                    <w:ind w:left="11" w:firstLine="210" w:firstLineChars="100"/>
                    <w:jc w:val="left"/>
                    <w:rPr>
                      <w:color w:val="auto"/>
                      <w:szCs w:val="21"/>
                    </w:rPr>
                  </w:pPr>
                  <w:r>
                    <w:rPr>
                      <w:color w:val="auto"/>
                      <w:szCs w:val="21"/>
                    </w:rPr>
                    <w:t>841-001-01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continue"/>
                  <w:vAlign w:val="center"/>
                </w:tcPr>
                <w:p>
                  <w:pPr>
                    <w:pStyle w:val="26"/>
                    <w:spacing w:line="360" w:lineRule="exact"/>
                    <w:rPr>
                      <w:color w:val="auto"/>
                      <w:szCs w:val="21"/>
                    </w:rPr>
                  </w:pPr>
                </w:p>
              </w:tc>
              <w:tc>
                <w:tcPr>
                  <w:tcW w:w="1417" w:type="dxa"/>
                  <w:vAlign w:val="center"/>
                </w:tcPr>
                <w:p>
                  <w:pPr>
                    <w:pStyle w:val="26"/>
                    <w:spacing w:line="360" w:lineRule="exact"/>
                    <w:rPr>
                      <w:color w:val="auto"/>
                      <w:szCs w:val="21"/>
                    </w:rPr>
                  </w:pPr>
                  <w:r>
                    <w:rPr>
                      <w:color w:val="auto"/>
                      <w:szCs w:val="21"/>
                    </w:rPr>
                    <w:t>危险特征</w:t>
                  </w:r>
                </w:p>
              </w:tc>
              <w:tc>
                <w:tcPr>
                  <w:tcW w:w="5744" w:type="dxa"/>
                  <w:vAlign w:val="center"/>
                </w:tcPr>
                <w:p>
                  <w:pPr>
                    <w:pStyle w:val="26"/>
                    <w:spacing w:line="360" w:lineRule="exact"/>
                    <w:ind w:left="11" w:firstLine="210" w:firstLineChars="100"/>
                    <w:jc w:val="left"/>
                    <w:rPr>
                      <w:color w:val="auto"/>
                      <w:szCs w:val="21"/>
                    </w:rPr>
                  </w:pPr>
                  <w:r>
                    <w:rPr>
                      <w:color w:val="auto"/>
                      <w:szCs w:val="21"/>
                    </w:rPr>
                    <w:t>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continue"/>
                  <w:vAlign w:val="center"/>
                </w:tcPr>
                <w:p>
                  <w:pPr>
                    <w:pStyle w:val="26"/>
                    <w:spacing w:line="360" w:lineRule="exact"/>
                    <w:rPr>
                      <w:color w:val="auto"/>
                      <w:szCs w:val="21"/>
                    </w:rPr>
                  </w:pPr>
                </w:p>
              </w:tc>
              <w:tc>
                <w:tcPr>
                  <w:tcW w:w="1417" w:type="dxa"/>
                  <w:vAlign w:val="center"/>
                </w:tcPr>
                <w:p>
                  <w:pPr>
                    <w:pStyle w:val="26"/>
                    <w:spacing w:line="360" w:lineRule="exact"/>
                    <w:rPr>
                      <w:color w:val="auto"/>
                      <w:szCs w:val="21"/>
                    </w:rPr>
                  </w:pPr>
                  <w:r>
                    <w:rPr>
                      <w:color w:val="auto"/>
                      <w:szCs w:val="21"/>
                    </w:rPr>
                    <w:t>危险特性</w:t>
                  </w:r>
                </w:p>
              </w:tc>
              <w:tc>
                <w:tcPr>
                  <w:tcW w:w="5744" w:type="dxa"/>
                  <w:vAlign w:val="center"/>
                </w:tcPr>
                <w:p>
                  <w:pPr>
                    <w:pStyle w:val="26"/>
                    <w:spacing w:line="360" w:lineRule="exact"/>
                    <w:ind w:left="11" w:firstLine="210" w:firstLineChars="100"/>
                    <w:jc w:val="left"/>
                    <w:rPr>
                      <w:color w:val="auto"/>
                      <w:szCs w:val="21"/>
                    </w:rPr>
                  </w:pPr>
                  <w:r>
                    <w:rPr>
                      <w:color w:val="auto"/>
                      <w:szCs w:val="21"/>
                    </w:rPr>
                    <w:t>具有传播基本的可能性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restart"/>
                  <w:vAlign w:val="center"/>
                </w:tcPr>
                <w:p>
                  <w:pPr>
                    <w:pStyle w:val="26"/>
                    <w:spacing w:line="360" w:lineRule="exact"/>
                    <w:rPr>
                      <w:color w:val="auto"/>
                      <w:szCs w:val="21"/>
                    </w:rPr>
                  </w:pPr>
                  <w:r>
                    <w:rPr>
                      <w:color w:val="auto"/>
                      <w:szCs w:val="21"/>
                    </w:rPr>
                    <w:t>废活性炭</w:t>
                  </w:r>
                </w:p>
              </w:tc>
              <w:tc>
                <w:tcPr>
                  <w:tcW w:w="1417" w:type="dxa"/>
                </w:tcPr>
                <w:p>
                  <w:pPr>
                    <w:pStyle w:val="26"/>
                    <w:spacing w:line="360" w:lineRule="exact"/>
                    <w:rPr>
                      <w:color w:val="auto"/>
                      <w:szCs w:val="21"/>
                    </w:rPr>
                  </w:pPr>
                  <w:r>
                    <w:rPr>
                      <w:color w:val="auto"/>
                      <w:szCs w:val="21"/>
                    </w:rPr>
                    <w:t>废物类别</w:t>
                  </w:r>
                </w:p>
              </w:tc>
              <w:tc>
                <w:tcPr>
                  <w:tcW w:w="5744" w:type="dxa"/>
                  <w:vAlign w:val="center"/>
                </w:tcPr>
                <w:p>
                  <w:pPr>
                    <w:pStyle w:val="26"/>
                    <w:spacing w:line="360" w:lineRule="exact"/>
                    <w:ind w:left="11" w:firstLine="210" w:firstLineChars="100"/>
                    <w:jc w:val="left"/>
                    <w:rPr>
                      <w:color w:val="auto"/>
                      <w:szCs w:val="21"/>
                    </w:rPr>
                  </w:pPr>
                  <w:r>
                    <w:rPr>
                      <w:color w:val="auto"/>
                      <w:szCs w:val="21"/>
                    </w:rPr>
                    <w:t>HW18焚烧处置残渣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continue"/>
                  <w:vAlign w:val="center"/>
                </w:tcPr>
                <w:p>
                  <w:pPr>
                    <w:pStyle w:val="26"/>
                    <w:spacing w:line="360" w:lineRule="exact"/>
                    <w:rPr>
                      <w:color w:val="auto"/>
                      <w:szCs w:val="21"/>
                    </w:rPr>
                  </w:pPr>
                </w:p>
              </w:tc>
              <w:tc>
                <w:tcPr>
                  <w:tcW w:w="1417" w:type="dxa"/>
                  <w:vAlign w:val="center"/>
                </w:tcPr>
                <w:p>
                  <w:pPr>
                    <w:pStyle w:val="26"/>
                    <w:spacing w:line="360" w:lineRule="exact"/>
                    <w:rPr>
                      <w:color w:val="auto"/>
                      <w:szCs w:val="21"/>
                    </w:rPr>
                  </w:pPr>
                  <w:r>
                    <w:rPr>
                      <w:color w:val="auto"/>
                      <w:szCs w:val="21"/>
                    </w:rPr>
                    <w:t>废物代码</w:t>
                  </w:r>
                </w:p>
              </w:tc>
              <w:tc>
                <w:tcPr>
                  <w:tcW w:w="5744" w:type="dxa"/>
                  <w:vAlign w:val="center"/>
                </w:tcPr>
                <w:p>
                  <w:pPr>
                    <w:pStyle w:val="26"/>
                    <w:spacing w:line="360" w:lineRule="exact"/>
                    <w:ind w:left="11" w:firstLine="210" w:firstLineChars="100"/>
                    <w:jc w:val="left"/>
                    <w:rPr>
                      <w:color w:val="auto"/>
                      <w:szCs w:val="21"/>
                    </w:rPr>
                  </w:pPr>
                  <w:r>
                    <w:rPr>
                      <w:color w:val="auto"/>
                      <w:szCs w:val="21"/>
                    </w:rPr>
                    <w:t>772-005-18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continue"/>
                  <w:vAlign w:val="center"/>
                </w:tcPr>
                <w:p>
                  <w:pPr>
                    <w:pStyle w:val="26"/>
                    <w:spacing w:line="360" w:lineRule="exact"/>
                    <w:rPr>
                      <w:color w:val="auto"/>
                      <w:szCs w:val="21"/>
                    </w:rPr>
                  </w:pPr>
                </w:p>
              </w:tc>
              <w:tc>
                <w:tcPr>
                  <w:tcW w:w="1417" w:type="dxa"/>
                  <w:vAlign w:val="center"/>
                </w:tcPr>
                <w:p>
                  <w:pPr>
                    <w:pStyle w:val="26"/>
                    <w:spacing w:line="360" w:lineRule="exact"/>
                    <w:rPr>
                      <w:color w:val="auto"/>
                      <w:szCs w:val="21"/>
                    </w:rPr>
                  </w:pPr>
                  <w:r>
                    <w:rPr>
                      <w:color w:val="auto"/>
                      <w:szCs w:val="21"/>
                    </w:rPr>
                    <w:t>危险特征</w:t>
                  </w:r>
                </w:p>
              </w:tc>
              <w:tc>
                <w:tcPr>
                  <w:tcW w:w="5744" w:type="dxa"/>
                  <w:vAlign w:val="center"/>
                </w:tcPr>
                <w:p>
                  <w:pPr>
                    <w:pStyle w:val="26"/>
                    <w:spacing w:line="360" w:lineRule="exact"/>
                    <w:ind w:left="11" w:firstLine="210" w:firstLineChars="100"/>
                    <w:jc w:val="left"/>
                    <w:rPr>
                      <w:color w:val="auto"/>
                      <w:szCs w:val="21"/>
                    </w:rPr>
                  </w:pPr>
                  <w:r>
                    <w:rPr>
                      <w:color w:val="auto"/>
                      <w:szCs w:val="21"/>
                    </w:rPr>
                    <w:t>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continue"/>
                  <w:vAlign w:val="center"/>
                </w:tcPr>
                <w:p>
                  <w:pPr>
                    <w:pStyle w:val="26"/>
                    <w:spacing w:line="360" w:lineRule="exact"/>
                    <w:rPr>
                      <w:color w:val="auto"/>
                      <w:szCs w:val="21"/>
                    </w:rPr>
                  </w:pPr>
                </w:p>
              </w:tc>
              <w:tc>
                <w:tcPr>
                  <w:tcW w:w="1417" w:type="dxa"/>
                  <w:vAlign w:val="center"/>
                </w:tcPr>
                <w:p>
                  <w:pPr>
                    <w:pStyle w:val="26"/>
                    <w:spacing w:line="360" w:lineRule="exact"/>
                    <w:rPr>
                      <w:color w:val="auto"/>
                      <w:szCs w:val="21"/>
                    </w:rPr>
                  </w:pPr>
                  <w:r>
                    <w:rPr>
                      <w:color w:val="auto"/>
                      <w:szCs w:val="21"/>
                    </w:rPr>
                    <w:t>危险特性</w:t>
                  </w:r>
                </w:p>
              </w:tc>
              <w:tc>
                <w:tcPr>
                  <w:tcW w:w="5744" w:type="dxa"/>
                  <w:vAlign w:val="center"/>
                </w:tcPr>
                <w:p>
                  <w:pPr>
                    <w:pStyle w:val="26"/>
                    <w:spacing w:line="360" w:lineRule="exact"/>
                    <w:ind w:left="11" w:firstLine="210" w:firstLineChars="100"/>
                    <w:jc w:val="left"/>
                    <w:rPr>
                      <w:color w:val="auto"/>
                      <w:szCs w:val="21"/>
                    </w:rPr>
                  </w:pPr>
                  <w:r>
                    <w:rPr>
                      <w:color w:val="auto"/>
                      <w:szCs w:val="21"/>
                    </w:rPr>
                    <w:t>含二噁英等致癌物质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restart"/>
                  <w:vAlign w:val="center"/>
                </w:tcPr>
                <w:p>
                  <w:pPr>
                    <w:pStyle w:val="26"/>
                    <w:spacing w:line="360" w:lineRule="exact"/>
                    <w:rPr>
                      <w:color w:val="auto"/>
                      <w:szCs w:val="21"/>
                    </w:rPr>
                  </w:pPr>
                  <w:r>
                    <w:rPr>
                      <w:color w:val="auto"/>
                      <w:szCs w:val="21"/>
                    </w:rPr>
                    <w:t>废机油</w:t>
                  </w:r>
                </w:p>
              </w:tc>
              <w:tc>
                <w:tcPr>
                  <w:tcW w:w="1417" w:type="dxa"/>
                </w:tcPr>
                <w:p>
                  <w:pPr>
                    <w:pStyle w:val="26"/>
                    <w:spacing w:line="360" w:lineRule="exact"/>
                    <w:rPr>
                      <w:color w:val="auto"/>
                      <w:szCs w:val="21"/>
                    </w:rPr>
                  </w:pPr>
                  <w:r>
                    <w:rPr>
                      <w:color w:val="auto"/>
                      <w:szCs w:val="21"/>
                    </w:rPr>
                    <w:t>废物类别</w:t>
                  </w:r>
                </w:p>
              </w:tc>
              <w:tc>
                <w:tcPr>
                  <w:tcW w:w="5744" w:type="dxa"/>
                  <w:vAlign w:val="center"/>
                </w:tcPr>
                <w:p>
                  <w:pPr>
                    <w:pStyle w:val="26"/>
                    <w:spacing w:line="360" w:lineRule="exact"/>
                    <w:ind w:left="11" w:firstLine="210" w:firstLineChars="100"/>
                    <w:jc w:val="left"/>
                    <w:rPr>
                      <w:color w:val="auto"/>
                      <w:szCs w:val="21"/>
                    </w:rPr>
                  </w:pPr>
                  <w:r>
                    <w:rPr>
                      <w:color w:val="auto"/>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continue"/>
                  <w:vAlign w:val="center"/>
                </w:tcPr>
                <w:p>
                  <w:pPr>
                    <w:pStyle w:val="26"/>
                    <w:spacing w:line="360" w:lineRule="exact"/>
                    <w:rPr>
                      <w:color w:val="auto"/>
                      <w:szCs w:val="21"/>
                    </w:rPr>
                  </w:pPr>
                </w:p>
              </w:tc>
              <w:tc>
                <w:tcPr>
                  <w:tcW w:w="1417" w:type="dxa"/>
                  <w:vAlign w:val="center"/>
                </w:tcPr>
                <w:p>
                  <w:pPr>
                    <w:pStyle w:val="26"/>
                    <w:spacing w:line="360" w:lineRule="exact"/>
                    <w:rPr>
                      <w:color w:val="auto"/>
                      <w:szCs w:val="21"/>
                    </w:rPr>
                  </w:pPr>
                  <w:r>
                    <w:rPr>
                      <w:color w:val="auto"/>
                      <w:szCs w:val="21"/>
                    </w:rPr>
                    <w:t>废物代码</w:t>
                  </w:r>
                </w:p>
              </w:tc>
              <w:tc>
                <w:tcPr>
                  <w:tcW w:w="5744" w:type="dxa"/>
                  <w:vAlign w:val="center"/>
                </w:tcPr>
                <w:p>
                  <w:pPr>
                    <w:pStyle w:val="26"/>
                    <w:spacing w:line="360" w:lineRule="exact"/>
                    <w:ind w:left="11" w:firstLine="210" w:firstLineChars="100"/>
                    <w:jc w:val="left"/>
                    <w:rPr>
                      <w:color w:val="auto"/>
                      <w:szCs w:val="21"/>
                    </w:rPr>
                  </w:pPr>
                  <w:r>
                    <w:rPr>
                      <w:color w:val="auto"/>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continue"/>
                  <w:vAlign w:val="center"/>
                </w:tcPr>
                <w:p>
                  <w:pPr>
                    <w:pStyle w:val="26"/>
                    <w:spacing w:line="360" w:lineRule="exact"/>
                    <w:rPr>
                      <w:color w:val="auto"/>
                      <w:szCs w:val="21"/>
                    </w:rPr>
                  </w:pPr>
                </w:p>
              </w:tc>
              <w:tc>
                <w:tcPr>
                  <w:tcW w:w="1417" w:type="dxa"/>
                  <w:vAlign w:val="center"/>
                </w:tcPr>
                <w:p>
                  <w:pPr>
                    <w:pStyle w:val="26"/>
                    <w:spacing w:line="360" w:lineRule="exact"/>
                    <w:rPr>
                      <w:color w:val="auto"/>
                      <w:szCs w:val="21"/>
                    </w:rPr>
                  </w:pPr>
                  <w:r>
                    <w:rPr>
                      <w:color w:val="auto"/>
                      <w:szCs w:val="21"/>
                    </w:rPr>
                    <w:t>危险特征</w:t>
                  </w:r>
                </w:p>
              </w:tc>
              <w:tc>
                <w:tcPr>
                  <w:tcW w:w="5744" w:type="dxa"/>
                  <w:vAlign w:val="center"/>
                </w:tcPr>
                <w:p>
                  <w:pPr>
                    <w:pStyle w:val="26"/>
                    <w:spacing w:line="360" w:lineRule="exact"/>
                    <w:ind w:left="11" w:firstLine="210" w:firstLineChars="100"/>
                    <w:jc w:val="left"/>
                    <w:rPr>
                      <w:color w:val="auto"/>
                      <w:szCs w:val="21"/>
                    </w:rPr>
                  </w:pPr>
                  <w:r>
                    <w:rPr>
                      <w:color w:val="auto"/>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44" w:type="dxa"/>
                  <w:vMerge w:val="continue"/>
                  <w:vAlign w:val="center"/>
                </w:tcPr>
                <w:p>
                  <w:pPr>
                    <w:pStyle w:val="26"/>
                    <w:spacing w:line="360" w:lineRule="exact"/>
                    <w:rPr>
                      <w:color w:val="auto"/>
                      <w:szCs w:val="21"/>
                    </w:rPr>
                  </w:pPr>
                </w:p>
              </w:tc>
              <w:tc>
                <w:tcPr>
                  <w:tcW w:w="1417" w:type="dxa"/>
                  <w:vAlign w:val="center"/>
                </w:tcPr>
                <w:p>
                  <w:pPr>
                    <w:pStyle w:val="26"/>
                    <w:spacing w:line="360" w:lineRule="exact"/>
                    <w:rPr>
                      <w:color w:val="auto"/>
                      <w:szCs w:val="21"/>
                    </w:rPr>
                  </w:pPr>
                  <w:r>
                    <w:rPr>
                      <w:color w:val="auto"/>
                      <w:szCs w:val="21"/>
                    </w:rPr>
                    <w:t>危险特性</w:t>
                  </w:r>
                </w:p>
              </w:tc>
              <w:tc>
                <w:tcPr>
                  <w:tcW w:w="5744" w:type="dxa"/>
                  <w:vAlign w:val="center"/>
                </w:tcPr>
                <w:p>
                  <w:pPr>
                    <w:pStyle w:val="26"/>
                    <w:spacing w:line="360" w:lineRule="exact"/>
                    <w:ind w:left="11" w:firstLine="210" w:firstLineChars="100"/>
                    <w:jc w:val="left"/>
                    <w:rPr>
                      <w:color w:val="auto"/>
                      <w:szCs w:val="21"/>
                    </w:rPr>
                  </w:pPr>
                  <w:r>
                    <w:rPr>
                      <w:color w:val="auto"/>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34"/>
              <w:spacing w:beforeLines="50"/>
              <w:ind w:firstLine="361" w:firstLineChars="150"/>
              <w:rPr>
                <w:rFonts w:eastAsiaTheme="minorEastAsia"/>
                <w:b/>
                <w:szCs w:val="24"/>
              </w:rPr>
            </w:pPr>
            <w:r>
              <w:rPr>
                <w:rFonts w:eastAsiaTheme="minorEastAsia"/>
                <w:b/>
                <w:szCs w:val="24"/>
              </w:rPr>
              <w:t>（2）可能影响途径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影响途经具体如下：</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①</w:t>
            </w:r>
            <w:r>
              <w:rPr>
                <w:rFonts w:ascii="Times New Roman" w:hAnsi="Times New Roman" w:cs="Times New Roman"/>
                <w:sz w:val="24"/>
                <w:szCs w:val="24"/>
              </w:rPr>
              <w:t>医疗废物具有传播基本的可能性。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②该项目废机油在存储及运输过程中火灾、爆炸、泄露的环境风险。</w:t>
            </w:r>
          </w:p>
          <w:p>
            <w:pPr>
              <w:pStyle w:val="34"/>
              <w:ind w:firstLine="361" w:firstLineChars="150"/>
              <w:rPr>
                <w:rFonts w:eastAsiaTheme="minorEastAsia"/>
                <w:b/>
                <w:szCs w:val="24"/>
              </w:rPr>
            </w:pPr>
            <w:r>
              <w:rPr>
                <w:rFonts w:eastAsiaTheme="minorEastAsia"/>
                <w:b/>
                <w:szCs w:val="24"/>
              </w:rPr>
              <w:t>（3）环境风险防范措施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根据该项目环境影响途经，提出以下风险防范措施：</w:t>
            </w:r>
          </w:p>
          <w:p>
            <w:pPr>
              <w:spacing w:line="360" w:lineRule="auto"/>
              <w:ind w:firstLine="480" w:firstLineChars="200"/>
              <w:rPr>
                <w:rFonts w:ascii="Times New Roman" w:hAnsi="Times New Roman" w:cs="Times New Roman"/>
                <w:sz w:val="24"/>
                <w:szCs w:val="24"/>
              </w:rPr>
            </w:pPr>
            <w:bookmarkStart w:id="4" w:name="_Toc115259923"/>
            <w:bookmarkStart w:id="5" w:name="_Toc76139457"/>
            <w:bookmarkStart w:id="6" w:name="_Toc56427845"/>
            <w:bookmarkStart w:id="7" w:name="_Toc57516232"/>
            <w:bookmarkStart w:id="8" w:name="_Toc57516383"/>
            <w:bookmarkStart w:id="9" w:name="_Toc114997846"/>
            <w:bookmarkStart w:id="10" w:name="_Toc88466811"/>
            <w:bookmarkStart w:id="11" w:name="_Toc116622310"/>
            <w:bookmarkStart w:id="12" w:name="_Toc82857308"/>
            <w:bookmarkStart w:id="13" w:name="_Toc67822189"/>
            <w:r>
              <w:rPr>
                <w:rFonts w:ascii="Times New Roman" w:hAnsi="Times New Roman" w:eastAsia="宋体" w:cs="Times New Roman"/>
                <w:sz w:val="24"/>
                <w:szCs w:val="24"/>
              </w:rPr>
              <w:t>①</w:t>
            </w:r>
            <w:r>
              <w:rPr>
                <w:rFonts w:ascii="Times New Roman" w:hAnsi="Times New Roman" w:cs="Times New Roman"/>
                <w:sz w:val="24"/>
                <w:szCs w:val="24"/>
              </w:rPr>
              <w:t>危废废物应储存于规范的危险废物贮存间；入库时，严格检验物品质量、数量、包装情况、有无泄漏。</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②</w:t>
            </w:r>
            <w:r>
              <w:rPr>
                <w:rFonts w:ascii="Times New Roman" w:hAnsi="Times New Roman" w:cs="Times New Roman"/>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③</w:t>
            </w:r>
            <w:r>
              <w:rPr>
                <w:rFonts w:ascii="Times New Roman" w:hAnsi="Times New Roman" w:cs="Times New Roman"/>
                <w:sz w:val="24"/>
                <w:szCs w:val="24"/>
              </w:rPr>
              <w:t>项目区配备相应品种的消防器材。</w:t>
            </w:r>
          </w:p>
          <w:bookmarkEnd w:id="4"/>
          <w:bookmarkEnd w:id="5"/>
          <w:bookmarkEnd w:id="6"/>
          <w:bookmarkEnd w:id="7"/>
          <w:bookmarkEnd w:id="8"/>
          <w:bookmarkEnd w:id="9"/>
          <w:bookmarkEnd w:id="10"/>
          <w:bookmarkEnd w:id="11"/>
          <w:bookmarkEnd w:id="12"/>
          <w:bookmarkEnd w:id="13"/>
          <w:p>
            <w:pPr>
              <w:pStyle w:val="34"/>
              <w:ind w:firstLine="361" w:firstLineChars="150"/>
              <w:rPr>
                <w:rFonts w:eastAsiaTheme="minorEastAsia"/>
                <w:b/>
                <w:szCs w:val="24"/>
              </w:rPr>
            </w:pPr>
            <w:r>
              <w:rPr>
                <w:rFonts w:eastAsiaTheme="minorEastAsia"/>
                <w:b/>
                <w:szCs w:val="24"/>
              </w:rPr>
              <w:t>（4）环境风险结论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该项目涉及到的危险物质主要有一次性手套、废弃化妆棉、废活性炭、废机油和污水处理系统污泥等，在采取严格的防护措施后，事故发生概率较小，环境风险可接受。</w:t>
            </w:r>
          </w:p>
          <w:p>
            <w:pPr>
              <w:spacing w:line="360" w:lineRule="auto"/>
              <w:ind w:firstLine="482" w:firstLineChars="200"/>
              <w:rPr>
                <w:rFonts w:ascii="Times New Roman" w:hAnsi="Times New Roman" w:cs="Times New Roman"/>
                <w:b/>
                <w:sz w:val="24"/>
                <w:szCs w:val="24"/>
              </w:rPr>
            </w:pPr>
            <w:bookmarkStart w:id="14" w:name="_Toc72228649"/>
            <w:r>
              <w:rPr>
                <w:rFonts w:ascii="Times New Roman" w:hAnsi="Times New Roman" w:cs="Times New Roman"/>
                <w:b/>
                <w:sz w:val="24"/>
                <w:szCs w:val="24"/>
              </w:rPr>
              <w:t>4.3 环保投资估算</w:t>
            </w:r>
            <w:bookmarkEnd w:id="14"/>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项目总投资2499.60万元，其中基建环保投资为525.2万元，占总投资的21.01%。年环保投资运行费用约为30.2万元，项目拟采取措施的具体内容、责任主体、实施时段及环境保护投入资金如下表所示。</w:t>
            </w:r>
          </w:p>
          <w:p>
            <w:pPr>
              <w:pStyle w:val="28"/>
              <w:spacing w:beforeLines="0"/>
              <w:rPr>
                <w:rFonts w:hAnsi="Times New Roman" w:eastAsiaTheme="minorEastAsia"/>
                <w:sz w:val="21"/>
                <w:szCs w:val="21"/>
              </w:rPr>
            </w:pPr>
            <w:r>
              <w:rPr>
                <w:rFonts w:hAnsi="Times New Roman" w:eastAsiaTheme="minorEastAsia"/>
                <w:sz w:val="21"/>
                <w:szCs w:val="21"/>
              </w:rPr>
              <w:t>表4.3-1  项目环保投资一览表 单位：万元</w:t>
            </w:r>
          </w:p>
          <w:tbl>
            <w:tblPr>
              <w:tblStyle w:val="16"/>
              <w:tblW w:w="8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566"/>
              <w:gridCol w:w="671"/>
              <w:gridCol w:w="1346"/>
              <w:gridCol w:w="2635"/>
              <w:gridCol w:w="700"/>
              <w:gridCol w:w="143"/>
              <w:gridCol w:w="566"/>
              <w:gridCol w:w="781"/>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restart"/>
                  <w:vAlign w:val="center"/>
                </w:tcPr>
                <w:p>
                  <w:pPr>
                    <w:pStyle w:val="26"/>
                    <w:spacing w:line="360" w:lineRule="exact"/>
                    <w:rPr>
                      <w:color w:val="auto"/>
                      <w:szCs w:val="21"/>
                    </w:rPr>
                  </w:pPr>
                  <w:r>
                    <w:rPr>
                      <w:color w:val="auto"/>
                      <w:szCs w:val="21"/>
                    </w:rPr>
                    <w:t>时期</w:t>
                  </w:r>
                </w:p>
              </w:tc>
              <w:tc>
                <w:tcPr>
                  <w:tcW w:w="1237" w:type="dxa"/>
                  <w:gridSpan w:val="2"/>
                  <w:vMerge w:val="restart"/>
                  <w:vAlign w:val="center"/>
                </w:tcPr>
                <w:p>
                  <w:pPr>
                    <w:pStyle w:val="26"/>
                    <w:spacing w:line="360" w:lineRule="exact"/>
                    <w:rPr>
                      <w:color w:val="auto"/>
                      <w:szCs w:val="21"/>
                    </w:rPr>
                  </w:pPr>
                  <w:r>
                    <w:rPr>
                      <w:color w:val="auto"/>
                      <w:szCs w:val="21"/>
                    </w:rPr>
                    <w:t>类型</w:t>
                  </w:r>
                </w:p>
              </w:tc>
              <w:tc>
                <w:tcPr>
                  <w:tcW w:w="3981" w:type="dxa"/>
                  <w:gridSpan w:val="2"/>
                  <w:vAlign w:val="center"/>
                </w:tcPr>
                <w:p>
                  <w:pPr>
                    <w:pStyle w:val="26"/>
                    <w:spacing w:line="360" w:lineRule="exact"/>
                    <w:rPr>
                      <w:color w:val="auto"/>
                      <w:szCs w:val="21"/>
                    </w:rPr>
                  </w:pPr>
                  <w:r>
                    <w:rPr>
                      <w:color w:val="auto"/>
                      <w:szCs w:val="21"/>
                    </w:rPr>
                    <w:t>环保措施</w:t>
                  </w:r>
                </w:p>
              </w:tc>
              <w:tc>
                <w:tcPr>
                  <w:tcW w:w="1409" w:type="dxa"/>
                  <w:gridSpan w:val="3"/>
                  <w:vAlign w:val="center"/>
                </w:tcPr>
                <w:p>
                  <w:pPr>
                    <w:pStyle w:val="26"/>
                    <w:spacing w:line="360" w:lineRule="exact"/>
                    <w:rPr>
                      <w:color w:val="auto"/>
                      <w:szCs w:val="21"/>
                    </w:rPr>
                  </w:pPr>
                  <w:r>
                    <w:rPr>
                      <w:color w:val="auto"/>
                      <w:szCs w:val="21"/>
                    </w:rPr>
                    <w:t>建设期资金投入（万元）</w:t>
                  </w:r>
                </w:p>
              </w:tc>
              <w:tc>
                <w:tcPr>
                  <w:tcW w:w="1487" w:type="dxa"/>
                  <w:gridSpan w:val="2"/>
                  <w:vAlign w:val="center"/>
                </w:tcPr>
                <w:p>
                  <w:pPr>
                    <w:pStyle w:val="26"/>
                    <w:spacing w:line="360" w:lineRule="exact"/>
                    <w:rPr>
                      <w:color w:val="auto"/>
                      <w:szCs w:val="21"/>
                    </w:rPr>
                  </w:pPr>
                  <w:r>
                    <w:rPr>
                      <w:color w:val="auto"/>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1237" w:type="dxa"/>
                  <w:gridSpan w:val="2"/>
                  <w:vMerge w:val="continue"/>
                  <w:vAlign w:val="center"/>
                </w:tcPr>
                <w:p>
                  <w:pPr>
                    <w:pStyle w:val="26"/>
                    <w:spacing w:line="360" w:lineRule="exact"/>
                    <w:rPr>
                      <w:color w:val="auto"/>
                      <w:szCs w:val="21"/>
                    </w:rPr>
                  </w:pPr>
                </w:p>
              </w:tc>
              <w:tc>
                <w:tcPr>
                  <w:tcW w:w="1346" w:type="dxa"/>
                  <w:vAlign w:val="center"/>
                </w:tcPr>
                <w:p>
                  <w:pPr>
                    <w:pStyle w:val="26"/>
                    <w:spacing w:line="360" w:lineRule="exact"/>
                    <w:rPr>
                      <w:color w:val="auto"/>
                      <w:szCs w:val="21"/>
                    </w:rPr>
                  </w:pPr>
                  <w:r>
                    <w:rPr>
                      <w:color w:val="auto"/>
                      <w:szCs w:val="21"/>
                    </w:rPr>
                    <w:t>环保项目</w:t>
                  </w:r>
                </w:p>
              </w:tc>
              <w:tc>
                <w:tcPr>
                  <w:tcW w:w="2635" w:type="dxa"/>
                  <w:vAlign w:val="center"/>
                </w:tcPr>
                <w:p>
                  <w:pPr>
                    <w:pStyle w:val="26"/>
                    <w:spacing w:line="360" w:lineRule="exact"/>
                    <w:rPr>
                      <w:color w:val="auto"/>
                      <w:szCs w:val="21"/>
                    </w:rPr>
                  </w:pPr>
                  <w:r>
                    <w:rPr>
                      <w:color w:val="auto"/>
                      <w:szCs w:val="21"/>
                    </w:rPr>
                    <w:t>数量</w:t>
                  </w:r>
                </w:p>
              </w:tc>
              <w:tc>
                <w:tcPr>
                  <w:tcW w:w="700" w:type="dxa"/>
                  <w:vAlign w:val="center"/>
                </w:tcPr>
                <w:p>
                  <w:pPr>
                    <w:pStyle w:val="26"/>
                    <w:spacing w:line="360" w:lineRule="exact"/>
                    <w:rPr>
                      <w:color w:val="auto"/>
                      <w:szCs w:val="21"/>
                    </w:rPr>
                  </w:pPr>
                  <w:r>
                    <w:rPr>
                      <w:color w:val="auto"/>
                      <w:szCs w:val="21"/>
                    </w:rPr>
                    <w:t>建设费用</w:t>
                  </w:r>
                </w:p>
              </w:tc>
              <w:tc>
                <w:tcPr>
                  <w:tcW w:w="709" w:type="dxa"/>
                  <w:gridSpan w:val="2"/>
                  <w:vAlign w:val="center"/>
                </w:tcPr>
                <w:p>
                  <w:pPr>
                    <w:pStyle w:val="26"/>
                    <w:spacing w:line="360" w:lineRule="exact"/>
                    <w:rPr>
                      <w:color w:val="auto"/>
                      <w:szCs w:val="21"/>
                    </w:rPr>
                  </w:pPr>
                  <w:r>
                    <w:rPr>
                      <w:color w:val="auto"/>
                      <w:szCs w:val="21"/>
                    </w:rPr>
                    <w:t>责任主体</w:t>
                  </w:r>
                </w:p>
              </w:tc>
              <w:tc>
                <w:tcPr>
                  <w:tcW w:w="781" w:type="dxa"/>
                  <w:vAlign w:val="center"/>
                </w:tcPr>
                <w:p>
                  <w:pPr>
                    <w:pStyle w:val="26"/>
                    <w:spacing w:line="360" w:lineRule="exact"/>
                    <w:rPr>
                      <w:color w:val="auto"/>
                      <w:szCs w:val="21"/>
                    </w:rPr>
                  </w:pPr>
                  <w:r>
                    <w:rPr>
                      <w:color w:val="auto"/>
                      <w:szCs w:val="21"/>
                    </w:rPr>
                    <w:t>运行维护费用</w:t>
                  </w:r>
                </w:p>
              </w:tc>
              <w:tc>
                <w:tcPr>
                  <w:tcW w:w="706" w:type="dxa"/>
                  <w:vAlign w:val="center"/>
                </w:tcPr>
                <w:p>
                  <w:pPr>
                    <w:pStyle w:val="26"/>
                    <w:spacing w:line="360" w:lineRule="exact"/>
                    <w:rPr>
                      <w:color w:val="auto"/>
                      <w:szCs w:val="21"/>
                    </w:rPr>
                  </w:pPr>
                  <w:r>
                    <w:rPr>
                      <w:color w:val="auto"/>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restart"/>
                  <w:vAlign w:val="center"/>
                </w:tcPr>
                <w:p>
                  <w:pPr>
                    <w:pStyle w:val="26"/>
                    <w:spacing w:line="360" w:lineRule="exact"/>
                    <w:rPr>
                      <w:color w:val="auto"/>
                      <w:szCs w:val="21"/>
                    </w:rPr>
                  </w:pPr>
                  <w:r>
                    <w:rPr>
                      <w:color w:val="auto"/>
                      <w:szCs w:val="21"/>
                    </w:rPr>
                    <w:t>施工期污染源</w:t>
                  </w:r>
                </w:p>
              </w:tc>
              <w:tc>
                <w:tcPr>
                  <w:tcW w:w="566" w:type="dxa"/>
                  <w:vAlign w:val="center"/>
                </w:tcPr>
                <w:p>
                  <w:pPr>
                    <w:pStyle w:val="26"/>
                    <w:spacing w:line="360" w:lineRule="exact"/>
                    <w:rPr>
                      <w:color w:val="auto"/>
                      <w:szCs w:val="21"/>
                    </w:rPr>
                  </w:pPr>
                  <w:r>
                    <w:rPr>
                      <w:color w:val="auto"/>
                      <w:szCs w:val="21"/>
                    </w:rPr>
                    <w:t>废气</w:t>
                  </w:r>
                </w:p>
              </w:tc>
              <w:tc>
                <w:tcPr>
                  <w:tcW w:w="671" w:type="dxa"/>
                  <w:vAlign w:val="center"/>
                </w:tcPr>
                <w:p>
                  <w:pPr>
                    <w:pStyle w:val="26"/>
                    <w:spacing w:line="360" w:lineRule="exact"/>
                    <w:rPr>
                      <w:color w:val="auto"/>
                      <w:szCs w:val="21"/>
                    </w:rPr>
                  </w:pPr>
                  <w:r>
                    <w:rPr>
                      <w:color w:val="auto"/>
                      <w:szCs w:val="21"/>
                    </w:rPr>
                    <w:t>扬尘</w:t>
                  </w:r>
                </w:p>
              </w:tc>
              <w:tc>
                <w:tcPr>
                  <w:tcW w:w="1346" w:type="dxa"/>
                  <w:vAlign w:val="center"/>
                </w:tcPr>
                <w:p>
                  <w:pPr>
                    <w:pStyle w:val="26"/>
                    <w:spacing w:line="360" w:lineRule="exact"/>
                    <w:rPr>
                      <w:color w:val="auto"/>
                      <w:szCs w:val="21"/>
                    </w:rPr>
                  </w:pPr>
                  <w:r>
                    <w:rPr>
                      <w:color w:val="auto"/>
                      <w:szCs w:val="21"/>
                    </w:rPr>
                    <w:t>洒水抑尘设施</w:t>
                  </w:r>
                </w:p>
              </w:tc>
              <w:tc>
                <w:tcPr>
                  <w:tcW w:w="2635" w:type="dxa"/>
                  <w:vAlign w:val="center"/>
                </w:tcPr>
                <w:p>
                  <w:pPr>
                    <w:pStyle w:val="26"/>
                    <w:spacing w:line="360" w:lineRule="exact"/>
                    <w:ind w:firstLine="210" w:firstLineChars="100"/>
                    <w:jc w:val="both"/>
                    <w:rPr>
                      <w:color w:val="auto"/>
                      <w:szCs w:val="21"/>
                    </w:rPr>
                  </w:pPr>
                  <w:r>
                    <w:rPr>
                      <w:color w:val="auto"/>
                      <w:szCs w:val="21"/>
                    </w:rPr>
                    <w:t>1套</w:t>
                  </w:r>
                </w:p>
              </w:tc>
              <w:tc>
                <w:tcPr>
                  <w:tcW w:w="700" w:type="dxa"/>
                  <w:vAlign w:val="center"/>
                </w:tcPr>
                <w:p>
                  <w:pPr>
                    <w:pStyle w:val="26"/>
                    <w:spacing w:line="360" w:lineRule="exact"/>
                    <w:rPr>
                      <w:color w:val="auto"/>
                      <w:szCs w:val="21"/>
                    </w:rPr>
                  </w:pPr>
                  <w:r>
                    <w:rPr>
                      <w:color w:val="auto"/>
                      <w:szCs w:val="21"/>
                    </w:rPr>
                    <w:t>2</w:t>
                  </w:r>
                </w:p>
              </w:tc>
              <w:tc>
                <w:tcPr>
                  <w:tcW w:w="709" w:type="dxa"/>
                  <w:gridSpan w:val="2"/>
                  <w:vMerge w:val="restart"/>
                  <w:vAlign w:val="center"/>
                </w:tcPr>
                <w:p>
                  <w:pPr>
                    <w:pStyle w:val="26"/>
                    <w:spacing w:line="360" w:lineRule="exact"/>
                    <w:rPr>
                      <w:color w:val="auto"/>
                      <w:szCs w:val="21"/>
                    </w:rPr>
                  </w:pPr>
                  <w:r>
                    <w:rPr>
                      <w:color w:val="auto"/>
                      <w:szCs w:val="21"/>
                    </w:rPr>
                    <w:t>施工单位</w:t>
                  </w:r>
                </w:p>
              </w:tc>
              <w:tc>
                <w:tcPr>
                  <w:tcW w:w="781" w:type="dxa"/>
                  <w:vAlign w:val="center"/>
                </w:tcPr>
                <w:p>
                  <w:pPr>
                    <w:pStyle w:val="26"/>
                    <w:spacing w:line="360" w:lineRule="exact"/>
                    <w:rPr>
                      <w:color w:val="auto"/>
                      <w:szCs w:val="21"/>
                    </w:rPr>
                  </w:pPr>
                  <w:r>
                    <w:rPr>
                      <w:color w:val="auto"/>
                      <w:szCs w:val="21"/>
                    </w:rPr>
                    <w:t>--</w:t>
                  </w:r>
                </w:p>
              </w:tc>
              <w:tc>
                <w:tcPr>
                  <w:tcW w:w="706" w:type="dxa"/>
                  <w:vMerge w:val="restart"/>
                  <w:vAlign w:val="center"/>
                </w:tcPr>
                <w:p>
                  <w:pPr>
                    <w:pStyle w:val="26"/>
                    <w:spacing w:line="360" w:lineRule="exact"/>
                    <w:rPr>
                      <w:color w:val="auto"/>
                      <w:szCs w:val="21"/>
                    </w:rPr>
                  </w:pPr>
                  <w:r>
                    <w:rPr>
                      <w:color w:val="auto"/>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Align w:val="center"/>
                </w:tcPr>
                <w:p>
                  <w:pPr>
                    <w:pStyle w:val="26"/>
                    <w:spacing w:line="360" w:lineRule="exact"/>
                    <w:rPr>
                      <w:color w:val="auto"/>
                      <w:szCs w:val="21"/>
                    </w:rPr>
                  </w:pPr>
                  <w:r>
                    <w:rPr>
                      <w:color w:val="auto"/>
                      <w:szCs w:val="21"/>
                    </w:rPr>
                    <w:t>废水</w:t>
                  </w:r>
                </w:p>
              </w:tc>
              <w:tc>
                <w:tcPr>
                  <w:tcW w:w="671" w:type="dxa"/>
                  <w:vAlign w:val="center"/>
                </w:tcPr>
                <w:p>
                  <w:pPr>
                    <w:pStyle w:val="26"/>
                    <w:spacing w:line="360" w:lineRule="exact"/>
                    <w:rPr>
                      <w:color w:val="auto"/>
                      <w:szCs w:val="21"/>
                    </w:rPr>
                  </w:pPr>
                  <w:r>
                    <w:rPr>
                      <w:color w:val="auto"/>
                      <w:szCs w:val="21"/>
                    </w:rPr>
                    <w:t>施工废水</w:t>
                  </w:r>
                </w:p>
              </w:tc>
              <w:tc>
                <w:tcPr>
                  <w:tcW w:w="1346" w:type="dxa"/>
                  <w:vAlign w:val="center"/>
                </w:tcPr>
                <w:p>
                  <w:pPr>
                    <w:pStyle w:val="26"/>
                    <w:spacing w:line="360" w:lineRule="exact"/>
                    <w:rPr>
                      <w:color w:val="auto"/>
                      <w:szCs w:val="21"/>
                    </w:rPr>
                  </w:pPr>
                  <w:r>
                    <w:rPr>
                      <w:color w:val="auto"/>
                      <w:szCs w:val="21"/>
                    </w:rPr>
                    <w:t>临时沉淀池</w:t>
                  </w:r>
                </w:p>
              </w:tc>
              <w:tc>
                <w:tcPr>
                  <w:tcW w:w="2635" w:type="dxa"/>
                  <w:vAlign w:val="center"/>
                </w:tcPr>
                <w:p>
                  <w:pPr>
                    <w:pStyle w:val="26"/>
                    <w:spacing w:line="360" w:lineRule="exact"/>
                    <w:ind w:firstLine="210" w:firstLineChars="100"/>
                    <w:jc w:val="both"/>
                    <w:rPr>
                      <w:color w:val="auto"/>
                      <w:szCs w:val="21"/>
                    </w:rPr>
                  </w:pPr>
                  <w:r>
                    <w:rPr>
                      <w:color w:val="auto"/>
                      <w:szCs w:val="21"/>
                    </w:rPr>
                    <w:t>1个，20m³</w:t>
                  </w:r>
                </w:p>
              </w:tc>
              <w:tc>
                <w:tcPr>
                  <w:tcW w:w="700" w:type="dxa"/>
                  <w:vAlign w:val="center"/>
                </w:tcPr>
                <w:p>
                  <w:pPr>
                    <w:pStyle w:val="26"/>
                    <w:spacing w:line="360" w:lineRule="exact"/>
                    <w:rPr>
                      <w:color w:val="auto"/>
                      <w:szCs w:val="21"/>
                    </w:rPr>
                  </w:pPr>
                  <w:r>
                    <w:rPr>
                      <w:color w:val="auto"/>
                      <w:szCs w:val="21"/>
                    </w:rPr>
                    <w:t>1</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Align w:val="center"/>
                </w:tcPr>
                <w:p>
                  <w:pPr>
                    <w:pStyle w:val="26"/>
                    <w:spacing w:line="360" w:lineRule="exact"/>
                    <w:rPr>
                      <w:color w:val="auto"/>
                      <w:szCs w:val="21"/>
                    </w:rPr>
                  </w:pPr>
                  <w:r>
                    <w:rPr>
                      <w:color w:val="auto"/>
                      <w:szCs w:val="21"/>
                    </w:rPr>
                    <w:t>噪声</w:t>
                  </w:r>
                </w:p>
              </w:tc>
              <w:tc>
                <w:tcPr>
                  <w:tcW w:w="671" w:type="dxa"/>
                  <w:vAlign w:val="center"/>
                </w:tcPr>
                <w:p>
                  <w:pPr>
                    <w:pStyle w:val="26"/>
                    <w:spacing w:line="360" w:lineRule="exact"/>
                    <w:rPr>
                      <w:color w:val="auto"/>
                      <w:szCs w:val="21"/>
                    </w:rPr>
                  </w:pPr>
                  <w:r>
                    <w:rPr>
                      <w:color w:val="auto"/>
                      <w:szCs w:val="21"/>
                    </w:rPr>
                    <w:t>施工噪声</w:t>
                  </w:r>
                </w:p>
              </w:tc>
              <w:tc>
                <w:tcPr>
                  <w:tcW w:w="1346" w:type="dxa"/>
                  <w:vAlign w:val="center"/>
                </w:tcPr>
                <w:p>
                  <w:pPr>
                    <w:pStyle w:val="26"/>
                    <w:spacing w:line="360" w:lineRule="exact"/>
                    <w:rPr>
                      <w:color w:val="auto"/>
                      <w:szCs w:val="21"/>
                    </w:rPr>
                  </w:pPr>
                  <w:r>
                    <w:rPr>
                      <w:color w:val="auto"/>
                      <w:szCs w:val="21"/>
                    </w:rPr>
                    <w:t>遮挡围墙</w:t>
                  </w:r>
                </w:p>
              </w:tc>
              <w:tc>
                <w:tcPr>
                  <w:tcW w:w="2635" w:type="dxa"/>
                  <w:vAlign w:val="center"/>
                </w:tcPr>
                <w:p>
                  <w:pPr>
                    <w:pStyle w:val="26"/>
                    <w:spacing w:line="360" w:lineRule="exact"/>
                    <w:ind w:firstLine="210" w:firstLineChars="100"/>
                    <w:jc w:val="both"/>
                    <w:rPr>
                      <w:color w:val="auto"/>
                      <w:szCs w:val="21"/>
                    </w:rPr>
                  </w:pPr>
                  <w:r>
                    <w:rPr>
                      <w:color w:val="auto"/>
                      <w:szCs w:val="21"/>
                    </w:rPr>
                    <w:t>2.5m高，围挡</w:t>
                  </w:r>
                </w:p>
              </w:tc>
              <w:tc>
                <w:tcPr>
                  <w:tcW w:w="700" w:type="dxa"/>
                  <w:vAlign w:val="center"/>
                </w:tcPr>
                <w:p>
                  <w:pPr>
                    <w:pStyle w:val="26"/>
                    <w:spacing w:line="360" w:lineRule="exact"/>
                    <w:rPr>
                      <w:color w:val="auto"/>
                      <w:szCs w:val="21"/>
                    </w:rPr>
                  </w:pPr>
                  <w:r>
                    <w:rPr>
                      <w:color w:val="auto"/>
                      <w:szCs w:val="21"/>
                    </w:rPr>
                    <w:t>2</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restart"/>
                  <w:vAlign w:val="center"/>
                </w:tcPr>
                <w:p>
                  <w:pPr>
                    <w:pStyle w:val="26"/>
                    <w:spacing w:line="360" w:lineRule="exact"/>
                    <w:rPr>
                      <w:color w:val="auto"/>
                      <w:szCs w:val="21"/>
                    </w:rPr>
                  </w:pPr>
                  <w:r>
                    <w:rPr>
                      <w:color w:val="auto"/>
                      <w:szCs w:val="21"/>
                    </w:rPr>
                    <w:t>运营期污染源</w:t>
                  </w:r>
                </w:p>
              </w:tc>
              <w:tc>
                <w:tcPr>
                  <w:tcW w:w="566" w:type="dxa"/>
                  <w:vMerge w:val="restart"/>
                  <w:vAlign w:val="center"/>
                </w:tcPr>
                <w:p>
                  <w:pPr>
                    <w:pStyle w:val="26"/>
                    <w:spacing w:line="360" w:lineRule="exact"/>
                    <w:rPr>
                      <w:color w:val="auto"/>
                      <w:szCs w:val="21"/>
                    </w:rPr>
                  </w:pPr>
                  <w:r>
                    <w:rPr>
                      <w:color w:val="auto"/>
                      <w:szCs w:val="21"/>
                    </w:rPr>
                    <w:t>废气</w:t>
                  </w:r>
                </w:p>
              </w:tc>
              <w:tc>
                <w:tcPr>
                  <w:tcW w:w="671" w:type="dxa"/>
                  <w:vAlign w:val="center"/>
                </w:tcPr>
                <w:p>
                  <w:pPr>
                    <w:pStyle w:val="26"/>
                    <w:spacing w:line="360" w:lineRule="exact"/>
                    <w:rPr>
                      <w:color w:val="auto"/>
                      <w:szCs w:val="21"/>
                    </w:rPr>
                  </w:pPr>
                  <w:r>
                    <w:rPr>
                      <w:color w:val="auto"/>
                      <w:szCs w:val="21"/>
                    </w:rPr>
                    <w:t>火化废气</w:t>
                  </w:r>
                </w:p>
              </w:tc>
              <w:tc>
                <w:tcPr>
                  <w:tcW w:w="1346" w:type="dxa"/>
                  <w:vAlign w:val="center"/>
                </w:tcPr>
                <w:p>
                  <w:pPr>
                    <w:pStyle w:val="26"/>
                    <w:spacing w:line="360" w:lineRule="exact"/>
                    <w:rPr>
                      <w:color w:val="auto"/>
                      <w:szCs w:val="21"/>
                    </w:rPr>
                  </w:pPr>
                  <w:r>
                    <w:rPr>
                      <w:color w:val="auto"/>
                      <w:szCs w:val="21"/>
                    </w:rPr>
                    <w:t>火化机尾气处理系统</w:t>
                  </w:r>
                </w:p>
              </w:tc>
              <w:tc>
                <w:tcPr>
                  <w:tcW w:w="2635" w:type="dxa"/>
                  <w:vAlign w:val="center"/>
                </w:tcPr>
                <w:p>
                  <w:pPr>
                    <w:pStyle w:val="26"/>
                    <w:spacing w:line="360" w:lineRule="exact"/>
                    <w:ind w:firstLine="210" w:firstLineChars="100"/>
                    <w:jc w:val="both"/>
                    <w:rPr>
                      <w:color w:val="auto"/>
                      <w:szCs w:val="21"/>
                    </w:rPr>
                  </w:pPr>
                  <w:r>
                    <w:rPr>
                      <w:color w:val="auto"/>
                      <w:szCs w:val="21"/>
                    </w:rPr>
                    <w:t>2套火化机尾气处理装置+1根12m、Ф0.48m，编号为（DA001）的排气筒；该火化机尾气处理装置采用全干法双脉冲处理工艺，内置高效降温器+初级除尘器+脱酸脱硫二噁英喷射装置+布袋除尘器+活性炭吸附器。</w:t>
                  </w:r>
                </w:p>
              </w:tc>
              <w:tc>
                <w:tcPr>
                  <w:tcW w:w="700" w:type="dxa"/>
                  <w:vAlign w:val="center"/>
                </w:tcPr>
                <w:p>
                  <w:pPr>
                    <w:pStyle w:val="26"/>
                    <w:spacing w:line="360" w:lineRule="exact"/>
                    <w:rPr>
                      <w:color w:val="auto"/>
                      <w:szCs w:val="21"/>
                    </w:rPr>
                  </w:pPr>
                  <w:r>
                    <w:rPr>
                      <w:color w:val="auto"/>
                      <w:szCs w:val="21"/>
                    </w:rPr>
                    <w:t>186</w:t>
                  </w:r>
                </w:p>
              </w:tc>
              <w:tc>
                <w:tcPr>
                  <w:tcW w:w="709" w:type="dxa"/>
                  <w:gridSpan w:val="2"/>
                  <w:vMerge w:val="restart"/>
                  <w:vAlign w:val="center"/>
                </w:tcPr>
                <w:p>
                  <w:pPr>
                    <w:pStyle w:val="26"/>
                    <w:spacing w:line="360" w:lineRule="exact"/>
                    <w:rPr>
                      <w:color w:val="auto"/>
                      <w:szCs w:val="21"/>
                    </w:rPr>
                  </w:pPr>
                  <w:r>
                    <w:rPr>
                      <w:color w:val="auto"/>
                      <w:szCs w:val="21"/>
                    </w:rPr>
                    <w:t>施工单位</w:t>
                  </w:r>
                </w:p>
              </w:tc>
              <w:tc>
                <w:tcPr>
                  <w:tcW w:w="781" w:type="dxa"/>
                  <w:vAlign w:val="center"/>
                </w:tcPr>
                <w:p>
                  <w:pPr>
                    <w:pStyle w:val="26"/>
                    <w:spacing w:line="360" w:lineRule="exact"/>
                    <w:rPr>
                      <w:color w:val="auto"/>
                      <w:szCs w:val="21"/>
                    </w:rPr>
                  </w:pPr>
                  <w:r>
                    <w:rPr>
                      <w:color w:val="auto"/>
                      <w:szCs w:val="21"/>
                    </w:rPr>
                    <w:t>10</w:t>
                  </w:r>
                </w:p>
              </w:tc>
              <w:tc>
                <w:tcPr>
                  <w:tcW w:w="706" w:type="dxa"/>
                  <w:vMerge w:val="restart"/>
                  <w:vAlign w:val="center"/>
                </w:tcPr>
                <w:p>
                  <w:pPr>
                    <w:jc w:val="left"/>
                    <w:rPr>
                      <w:rFonts w:ascii="Times New Roman" w:hAnsi="Times New Roman" w:cs="Times New Roman"/>
                    </w:rPr>
                  </w:pPr>
                  <w:r>
                    <w:rPr>
                      <w:rFonts w:ascii="Times New Roman" w:hAnsi="Times New Roman" w:cs="Times New Roman"/>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continue"/>
                  <w:vAlign w:val="center"/>
                </w:tcPr>
                <w:p>
                  <w:pPr>
                    <w:pStyle w:val="26"/>
                    <w:spacing w:line="360" w:lineRule="exact"/>
                    <w:rPr>
                      <w:color w:val="auto"/>
                      <w:szCs w:val="21"/>
                    </w:rPr>
                  </w:pPr>
                </w:p>
              </w:tc>
              <w:tc>
                <w:tcPr>
                  <w:tcW w:w="671" w:type="dxa"/>
                  <w:vAlign w:val="center"/>
                </w:tcPr>
                <w:p>
                  <w:pPr>
                    <w:pStyle w:val="26"/>
                    <w:spacing w:line="360" w:lineRule="exact"/>
                    <w:rPr>
                      <w:color w:val="auto"/>
                      <w:szCs w:val="21"/>
                    </w:rPr>
                  </w:pPr>
                  <w:r>
                    <w:rPr>
                      <w:color w:val="auto"/>
                      <w:szCs w:val="21"/>
                    </w:rPr>
                    <w:t>遗物焚烧废气</w:t>
                  </w:r>
                </w:p>
              </w:tc>
              <w:tc>
                <w:tcPr>
                  <w:tcW w:w="1346" w:type="dxa"/>
                  <w:vAlign w:val="center"/>
                </w:tcPr>
                <w:p>
                  <w:pPr>
                    <w:pStyle w:val="26"/>
                    <w:spacing w:line="360" w:lineRule="exact"/>
                    <w:rPr>
                      <w:color w:val="auto"/>
                      <w:szCs w:val="21"/>
                    </w:rPr>
                  </w:pPr>
                  <w:r>
                    <w:rPr>
                      <w:color w:val="auto"/>
                      <w:szCs w:val="21"/>
                    </w:rPr>
                    <w:t>遗物焚烧炉尾气处理系统</w:t>
                  </w:r>
                </w:p>
              </w:tc>
              <w:tc>
                <w:tcPr>
                  <w:tcW w:w="2635" w:type="dxa"/>
                  <w:vAlign w:val="center"/>
                </w:tcPr>
                <w:p>
                  <w:pPr>
                    <w:pStyle w:val="26"/>
                    <w:spacing w:line="360" w:lineRule="exact"/>
                    <w:ind w:firstLine="210" w:firstLineChars="100"/>
                    <w:jc w:val="both"/>
                    <w:rPr>
                      <w:color w:val="auto"/>
                      <w:szCs w:val="21"/>
                    </w:rPr>
                  </w:pPr>
                  <w:r>
                    <w:rPr>
                      <w:color w:val="auto"/>
                      <w:szCs w:val="21"/>
                    </w:rPr>
                    <w:t>1套遗物焚烧炉尾气处理装置+1根12m、Ф0.30m，编号为（DA002）的排气筒；该遗物焚烧炉尾气处理装置采用全干法双脉冲处理工艺，内置高效降温器+初级除尘器+脱酸脱硫二噁英喷射装置+布袋除尘器+活性炭吸附器。</w:t>
                  </w:r>
                </w:p>
              </w:tc>
              <w:tc>
                <w:tcPr>
                  <w:tcW w:w="700" w:type="dxa"/>
                  <w:vAlign w:val="center"/>
                </w:tcPr>
                <w:p>
                  <w:pPr>
                    <w:pStyle w:val="26"/>
                    <w:spacing w:line="360" w:lineRule="exact"/>
                    <w:rPr>
                      <w:color w:val="auto"/>
                      <w:szCs w:val="21"/>
                    </w:rPr>
                  </w:pPr>
                  <w:r>
                    <w:rPr>
                      <w:color w:val="auto"/>
                      <w:szCs w:val="21"/>
                    </w:rPr>
                    <w:t>98</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5</w:t>
                  </w:r>
                </w:p>
              </w:tc>
              <w:tc>
                <w:tcPr>
                  <w:tcW w:w="706" w:type="dxa"/>
                  <w:vMerge w:val="continue"/>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continue"/>
                  <w:vAlign w:val="center"/>
                </w:tcPr>
                <w:p>
                  <w:pPr>
                    <w:pStyle w:val="26"/>
                    <w:spacing w:line="360" w:lineRule="exact"/>
                    <w:rPr>
                      <w:color w:val="auto"/>
                      <w:szCs w:val="21"/>
                    </w:rPr>
                  </w:pPr>
                </w:p>
              </w:tc>
              <w:tc>
                <w:tcPr>
                  <w:tcW w:w="671" w:type="dxa"/>
                  <w:vAlign w:val="center"/>
                </w:tcPr>
                <w:p>
                  <w:pPr>
                    <w:pStyle w:val="26"/>
                    <w:spacing w:line="360" w:lineRule="exact"/>
                    <w:rPr>
                      <w:color w:val="auto"/>
                      <w:szCs w:val="21"/>
                    </w:rPr>
                  </w:pPr>
                  <w:r>
                    <w:rPr>
                      <w:color w:val="auto"/>
                      <w:szCs w:val="21"/>
                    </w:rPr>
                    <w:t>厨房油烟</w:t>
                  </w:r>
                </w:p>
              </w:tc>
              <w:tc>
                <w:tcPr>
                  <w:tcW w:w="1346" w:type="dxa"/>
                  <w:vAlign w:val="center"/>
                </w:tcPr>
                <w:p>
                  <w:pPr>
                    <w:pStyle w:val="26"/>
                    <w:spacing w:line="360" w:lineRule="exact"/>
                    <w:rPr>
                      <w:color w:val="auto"/>
                      <w:szCs w:val="21"/>
                    </w:rPr>
                  </w:pPr>
                  <w:r>
                    <w:rPr>
                      <w:color w:val="auto"/>
                      <w:szCs w:val="21"/>
                    </w:rPr>
                    <w:t>油烟净化器</w:t>
                  </w:r>
                </w:p>
              </w:tc>
              <w:tc>
                <w:tcPr>
                  <w:tcW w:w="2635" w:type="dxa"/>
                  <w:vAlign w:val="center"/>
                </w:tcPr>
                <w:p>
                  <w:pPr>
                    <w:pStyle w:val="26"/>
                    <w:spacing w:line="360" w:lineRule="exact"/>
                    <w:ind w:firstLine="210" w:firstLineChars="100"/>
                    <w:jc w:val="both"/>
                    <w:rPr>
                      <w:color w:val="auto"/>
                      <w:szCs w:val="21"/>
                    </w:rPr>
                  </w:pPr>
                  <w:r>
                    <w:rPr>
                      <w:color w:val="auto"/>
                      <w:szCs w:val="21"/>
                    </w:rPr>
                    <w:t>1台处理效率不低于60%的油烟净化器和1.5m的烟道</w:t>
                  </w:r>
                </w:p>
              </w:tc>
              <w:tc>
                <w:tcPr>
                  <w:tcW w:w="700" w:type="dxa"/>
                  <w:vAlign w:val="center"/>
                </w:tcPr>
                <w:p>
                  <w:pPr>
                    <w:pStyle w:val="26"/>
                    <w:spacing w:line="360" w:lineRule="exact"/>
                    <w:rPr>
                      <w:color w:val="auto"/>
                      <w:szCs w:val="21"/>
                    </w:rPr>
                  </w:pPr>
                  <w:r>
                    <w:rPr>
                      <w:color w:val="auto"/>
                      <w:szCs w:val="21"/>
                    </w:rPr>
                    <w:t>3</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0.5</w:t>
                  </w:r>
                </w:p>
              </w:tc>
              <w:tc>
                <w:tcPr>
                  <w:tcW w:w="706" w:type="dxa"/>
                  <w:vMerge w:val="continue"/>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restart"/>
                  <w:vAlign w:val="center"/>
                </w:tcPr>
                <w:p>
                  <w:pPr>
                    <w:pStyle w:val="26"/>
                    <w:spacing w:line="360" w:lineRule="exact"/>
                    <w:rPr>
                      <w:color w:val="auto"/>
                      <w:szCs w:val="21"/>
                    </w:rPr>
                  </w:pPr>
                  <w:r>
                    <w:rPr>
                      <w:color w:val="auto"/>
                      <w:szCs w:val="21"/>
                    </w:rPr>
                    <w:t>废水</w:t>
                  </w:r>
                </w:p>
              </w:tc>
              <w:tc>
                <w:tcPr>
                  <w:tcW w:w="2017" w:type="dxa"/>
                  <w:gridSpan w:val="2"/>
                  <w:vAlign w:val="center"/>
                </w:tcPr>
                <w:p>
                  <w:pPr>
                    <w:pStyle w:val="26"/>
                    <w:spacing w:line="360" w:lineRule="exact"/>
                    <w:rPr>
                      <w:color w:val="auto"/>
                      <w:szCs w:val="21"/>
                    </w:rPr>
                  </w:pPr>
                  <w:r>
                    <w:rPr>
                      <w:color w:val="auto"/>
                      <w:szCs w:val="21"/>
                    </w:rPr>
                    <w:t>雨污分流</w:t>
                  </w:r>
                </w:p>
              </w:tc>
              <w:tc>
                <w:tcPr>
                  <w:tcW w:w="2635" w:type="dxa"/>
                  <w:vAlign w:val="center"/>
                </w:tcPr>
                <w:p>
                  <w:pPr>
                    <w:pStyle w:val="26"/>
                    <w:spacing w:line="360" w:lineRule="exact"/>
                    <w:ind w:firstLine="210" w:firstLineChars="100"/>
                    <w:jc w:val="left"/>
                    <w:rPr>
                      <w:color w:val="auto"/>
                      <w:szCs w:val="21"/>
                    </w:rPr>
                  </w:pPr>
                  <w:r>
                    <w:rPr>
                      <w:color w:val="auto"/>
                      <w:szCs w:val="21"/>
                    </w:rPr>
                    <w:t>雨水管网、污水管道</w:t>
                  </w:r>
                </w:p>
              </w:tc>
              <w:tc>
                <w:tcPr>
                  <w:tcW w:w="700" w:type="dxa"/>
                  <w:vAlign w:val="center"/>
                </w:tcPr>
                <w:p>
                  <w:pPr>
                    <w:pStyle w:val="26"/>
                    <w:spacing w:line="360" w:lineRule="exact"/>
                    <w:rPr>
                      <w:color w:val="auto"/>
                      <w:szCs w:val="21"/>
                    </w:rPr>
                  </w:pPr>
                  <w:r>
                    <w:rPr>
                      <w:color w:val="auto"/>
                      <w:szCs w:val="21"/>
                    </w:rPr>
                    <w:t>25</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continue"/>
                  <w:vAlign w:val="center"/>
                </w:tcPr>
                <w:p>
                  <w:pPr>
                    <w:pStyle w:val="26"/>
                    <w:spacing w:line="360" w:lineRule="exact"/>
                    <w:rPr>
                      <w:color w:val="auto"/>
                      <w:szCs w:val="21"/>
                    </w:rPr>
                  </w:pPr>
                </w:p>
              </w:tc>
              <w:tc>
                <w:tcPr>
                  <w:tcW w:w="671" w:type="dxa"/>
                  <w:vAlign w:val="center"/>
                </w:tcPr>
                <w:p>
                  <w:pPr>
                    <w:pStyle w:val="26"/>
                    <w:spacing w:line="360" w:lineRule="exact"/>
                    <w:rPr>
                      <w:color w:val="auto"/>
                      <w:szCs w:val="21"/>
                    </w:rPr>
                  </w:pPr>
                  <w:r>
                    <w:rPr>
                      <w:color w:val="auto"/>
                      <w:szCs w:val="21"/>
                    </w:rPr>
                    <w:t>厨房废水</w:t>
                  </w:r>
                </w:p>
              </w:tc>
              <w:tc>
                <w:tcPr>
                  <w:tcW w:w="1346" w:type="dxa"/>
                  <w:vAlign w:val="center"/>
                </w:tcPr>
                <w:p>
                  <w:pPr>
                    <w:pStyle w:val="26"/>
                    <w:spacing w:line="360" w:lineRule="exact"/>
                    <w:rPr>
                      <w:color w:val="auto"/>
                      <w:szCs w:val="21"/>
                    </w:rPr>
                  </w:pPr>
                  <w:r>
                    <w:rPr>
                      <w:color w:val="auto"/>
                      <w:szCs w:val="21"/>
                    </w:rPr>
                    <w:t>隔油池</w:t>
                  </w:r>
                </w:p>
              </w:tc>
              <w:tc>
                <w:tcPr>
                  <w:tcW w:w="2635" w:type="dxa"/>
                  <w:vAlign w:val="center"/>
                </w:tcPr>
                <w:p>
                  <w:pPr>
                    <w:pStyle w:val="26"/>
                    <w:spacing w:line="360" w:lineRule="exact"/>
                    <w:ind w:firstLine="210" w:firstLineChars="100"/>
                    <w:jc w:val="left"/>
                    <w:rPr>
                      <w:color w:val="auto"/>
                      <w:szCs w:val="21"/>
                    </w:rPr>
                  </w:pPr>
                  <w:r>
                    <w:rPr>
                      <w:color w:val="auto"/>
                      <w:szCs w:val="21"/>
                    </w:rPr>
                    <w:t>1个1m³</w:t>
                  </w:r>
                </w:p>
              </w:tc>
              <w:tc>
                <w:tcPr>
                  <w:tcW w:w="700" w:type="dxa"/>
                  <w:vAlign w:val="center"/>
                </w:tcPr>
                <w:p>
                  <w:pPr>
                    <w:pStyle w:val="26"/>
                    <w:spacing w:line="360" w:lineRule="exact"/>
                    <w:rPr>
                      <w:color w:val="auto"/>
                      <w:szCs w:val="21"/>
                    </w:rPr>
                  </w:pPr>
                  <w:r>
                    <w:rPr>
                      <w:color w:val="auto"/>
                      <w:szCs w:val="21"/>
                    </w:rPr>
                    <w:t>1</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0.2</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continue"/>
                  <w:vAlign w:val="center"/>
                </w:tcPr>
                <w:p>
                  <w:pPr>
                    <w:pStyle w:val="26"/>
                    <w:spacing w:line="360" w:lineRule="exact"/>
                    <w:rPr>
                      <w:color w:val="auto"/>
                      <w:szCs w:val="21"/>
                    </w:rPr>
                  </w:pPr>
                </w:p>
              </w:tc>
              <w:tc>
                <w:tcPr>
                  <w:tcW w:w="671" w:type="dxa"/>
                  <w:vAlign w:val="center"/>
                </w:tcPr>
                <w:p>
                  <w:pPr>
                    <w:pStyle w:val="26"/>
                    <w:spacing w:line="360" w:lineRule="exact"/>
                    <w:rPr>
                      <w:color w:val="auto"/>
                      <w:szCs w:val="21"/>
                    </w:rPr>
                  </w:pPr>
                  <w:r>
                    <w:rPr>
                      <w:color w:val="auto"/>
                      <w:szCs w:val="21"/>
                    </w:rPr>
                    <w:t>生活污水</w:t>
                  </w:r>
                </w:p>
              </w:tc>
              <w:tc>
                <w:tcPr>
                  <w:tcW w:w="1346" w:type="dxa"/>
                  <w:vAlign w:val="center"/>
                </w:tcPr>
                <w:p>
                  <w:pPr>
                    <w:pStyle w:val="26"/>
                    <w:spacing w:line="360" w:lineRule="exact"/>
                    <w:rPr>
                      <w:color w:val="auto"/>
                      <w:szCs w:val="21"/>
                    </w:rPr>
                  </w:pPr>
                  <w:r>
                    <w:rPr>
                      <w:color w:val="auto"/>
                      <w:szCs w:val="21"/>
                    </w:rPr>
                    <w:t>化粪池</w:t>
                  </w:r>
                </w:p>
              </w:tc>
              <w:tc>
                <w:tcPr>
                  <w:tcW w:w="2635" w:type="dxa"/>
                  <w:vAlign w:val="center"/>
                </w:tcPr>
                <w:p>
                  <w:pPr>
                    <w:pStyle w:val="26"/>
                    <w:spacing w:line="360" w:lineRule="exact"/>
                    <w:ind w:firstLine="210" w:firstLineChars="100"/>
                    <w:jc w:val="left"/>
                    <w:rPr>
                      <w:color w:val="auto"/>
                      <w:szCs w:val="21"/>
                    </w:rPr>
                  </w:pPr>
                  <w:r>
                    <w:rPr>
                      <w:color w:val="auto"/>
                      <w:szCs w:val="21"/>
                    </w:rPr>
                    <w:t xml:space="preserve">1个5m³ </w:t>
                  </w:r>
                </w:p>
              </w:tc>
              <w:tc>
                <w:tcPr>
                  <w:tcW w:w="700" w:type="dxa"/>
                  <w:vAlign w:val="center"/>
                </w:tcPr>
                <w:p>
                  <w:pPr>
                    <w:pStyle w:val="26"/>
                    <w:spacing w:line="360" w:lineRule="exact"/>
                    <w:rPr>
                      <w:color w:val="auto"/>
                      <w:szCs w:val="21"/>
                    </w:rPr>
                  </w:pPr>
                  <w:r>
                    <w:rPr>
                      <w:color w:val="auto"/>
                      <w:szCs w:val="21"/>
                    </w:rPr>
                    <w:t>3</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0.5</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continue"/>
                  <w:vAlign w:val="center"/>
                </w:tcPr>
                <w:p>
                  <w:pPr>
                    <w:pStyle w:val="26"/>
                    <w:spacing w:line="360" w:lineRule="exact"/>
                    <w:rPr>
                      <w:color w:val="auto"/>
                      <w:szCs w:val="21"/>
                    </w:rPr>
                  </w:pPr>
                </w:p>
              </w:tc>
              <w:tc>
                <w:tcPr>
                  <w:tcW w:w="671" w:type="dxa"/>
                  <w:vAlign w:val="center"/>
                </w:tcPr>
                <w:p>
                  <w:pPr>
                    <w:pStyle w:val="26"/>
                    <w:spacing w:line="360" w:lineRule="exact"/>
                    <w:rPr>
                      <w:color w:val="auto"/>
                      <w:szCs w:val="21"/>
                    </w:rPr>
                  </w:pPr>
                  <w:r>
                    <w:rPr>
                      <w:color w:val="auto"/>
                      <w:szCs w:val="21"/>
                    </w:rPr>
                    <w:t>初期雨水</w:t>
                  </w:r>
                </w:p>
              </w:tc>
              <w:tc>
                <w:tcPr>
                  <w:tcW w:w="1346" w:type="dxa"/>
                  <w:vAlign w:val="center"/>
                </w:tcPr>
                <w:p>
                  <w:pPr>
                    <w:pStyle w:val="26"/>
                    <w:spacing w:line="360" w:lineRule="exact"/>
                    <w:rPr>
                      <w:color w:val="auto"/>
                      <w:szCs w:val="21"/>
                    </w:rPr>
                  </w:pPr>
                  <w:r>
                    <w:rPr>
                      <w:color w:val="auto"/>
                      <w:szCs w:val="21"/>
                    </w:rPr>
                    <w:t>初期雨水收集池</w:t>
                  </w:r>
                </w:p>
              </w:tc>
              <w:tc>
                <w:tcPr>
                  <w:tcW w:w="2635" w:type="dxa"/>
                  <w:vAlign w:val="center"/>
                </w:tcPr>
                <w:p>
                  <w:pPr>
                    <w:pStyle w:val="26"/>
                    <w:spacing w:line="360" w:lineRule="exact"/>
                    <w:ind w:firstLine="210" w:firstLineChars="100"/>
                    <w:jc w:val="left"/>
                    <w:rPr>
                      <w:color w:val="auto"/>
                      <w:szCs w:val="21"/>
                    </w:rPr>
                  </w:pPr>
                  <w:r>
                    <w:rPr>
                      <w:color w:val="auto"/>
                      <w:szCs w:val="21"/>
                    </w:rPr>
                    <w:t>1个有效容积6m³</w:t>
                  </w:r>
                </w:p>
              </w:tc>
              <w:tc>
                <w:tcPr>
                  <w:tcW w:w="700" w:type="dxa"/>
                  <w:vAlign w:val="center"/>
                </w:tcPr>
                <w:p>
                  <w:pPr>
                    <w:pStyle w:val="26"/>
                    <w:spacing w:line="360" w:lineRule="exact"/>
                    <w:rPr>
                      <w:color w:val="auto"/>
                      <w:szCs w:val="21"/>
                    </w:rPr>
                  </w:pPr>
                  <w:r>
                    <w:rPr>
                      <w:color w:val="auto"/>
                      <w:szCs w:val="21"/>
                    </w:rPr>
                    <w:t>2</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continue"/>
                  <w:vAlign w:val="center"/>
                </w:tcPr>
                <w:p>
                  <w:pPr>
                    <w:pStyle w:val="26"/>
                    <w:spacing w:line="360" w:lineRule="exact"/>
                    <w:rPr>
                      <w:color w:val="auto"/>
                      <w:szCs w:val="21"/>
                    </w:rPr>
                  </w:pPr>
                </w:p>
              </w:tc>
              <w:tc>
                <w:tcPr>
                  <w:tcW w:w="671" w:type="dxa"/>
                  <w:vMerge w:val="restart"/>
                  <w:vAlign w:val="center"/>
                </w:tcPr>
                <w:p>
                  <w:pPr>
                    <w:pStyle w:val="26"/>
                    <w:spacing w:line="360" w:lineRule="exact"/>
                    <w:rPr>
                      <w:color w:val="auto"/>
                      <w:szCs w:val="21"/>
                    </w:rPr>
                  </w:pPr>
                  <w:r>
                    <w:rPr>
                      <w:color w:val="auto"/>
                      <w:szCs w:val="21"/>
                    </w:rPr>
                    <w:t>综合废水</w:t>
                  </w:r>
                </w:p>
              </w:tc>
              <w:tc>
                <w:tcPr>
                  <w:tcW w:w="1346" w:type="dxa"/>
                  <w:vAlign w:val="center"/>
                </w:tcPr>
                <w:p>
                  <w:pPr>
                    <w:pStyle w:val="26"/>
                    <w:spacing w:line="360" w:lineRule="exact"/>
                    <w:rPr>
                      <w:color w:val="auto"/>
                      <w:szCs w:val="21"/>
                    </w:rPr>
                  </w:pPr>
                  <w:r>
                    <w:rPr>
                      <w:color w:val="auto"/>
                      <w:szCs w:val="21"/>
                    </w:rPr>
                    <w:t>调节池</w:t>
                  </w:r>
                </w:p>
              </w:tc>
              <w:tc>
                <w:tcPr>
                  <w:tcW w:w="2635" w:type="dxa"/>
                  <w:vAlign w:val="center"/>
                </w:tcPr>
                <w:p>
                  <w:pPr>
                    <w:pStyle w:val="26"/>
                    <w:spacing w:line="360" w:lineRule="exact"/>
                    <w:ind w:firstLine="210" w:firstLineChars="100"/>
                    <w:jc w:val="left"/>
                    <w:rPr>
                      <w:color w:val="auto"/>
                      <w:szCs w:val="21"/>
                    </w:rPr>
                  </w:pPr>
                  <w:r>
                    <w:rPr>
                      <w:color w:val="auto"/>
                      <w:szCs w:val="21"/>
                    </w:rPr>
                    <w:t>1个有效容积约为8m³</w:t>
                  </w:r>
                </w:p>
              </w:tc>
              <w:tc>
                <w:tcPr>
                  <w:tcW w:w="700" w:type="dxa"/>
                  <w:vAlign w:val="center"/>
                </w:tcPr>
                <w:p>
                  <w:pPr>
                    <w:pStyle w:val="26"/>
                    <w:spacing w:line="360" w:lineRule="exact"/>
                    <w:rPr>
                      <w:color w:val="auto"/>
                      <w:szCs w:val="21"/>
                    </w:rPr>
                  </w:pPr>
                  <w:r>
                    <w:rPr>
                      <w:color w:val="auto"/>
                      <w:szCs w:val="21"/>
                    </w:rPr>
                    <w:t>4</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1</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continue"/>
                  <w:vAlign w:val="center"/>
                </w:tcPr>
                <w:p>
                  <w:pPr>
                    <w:pStyle w:val="26"/>
                    <w:spacing w:line="360" w:lineRule="exact"/>
                    <w:rPr>
                      <w:color w:val="auto"/>
                      <w:szCs w:val="21"/>
                    </w:rPr>
                  </w:pPr>
                </w:p>
              </w:tc>
              <w:tc>
                <w:tcPr>
                  <w:tcW w:w="671" w:type="dxa"/>
                  <w:vMerge w:val="continue"/>
                  <w:vAlign w:val="center"/>
                </w:tcPr>
                <w:p>
                  <w:pPr>
                    <w:pStyle w:val="26"/>
                    <w:spacing w:line="360" w:lineRule="exact"/>
                    <w:rPr>
                      <w:color w:val="auto"/>
                      <w:szCs w:val="21"/>
                    </w:rPr>
                  </w:pPr>
                </w:p>
              </w:tc>
              <w:tc>
                <w:tcPr>
                  <w:tcW w:w="1346" w:type="dxa"/>
                  <w:vAlign w:val="center"/>
                </w:tcPr>
                <w:p>
                  <w:pPr>
                    <w:pStyle w:val="26"/>
                    <w:spacing w:line="360" w:lineRule="exact"/>
                    <w:rPr>
                      <w:color w:val="auto"/>
                      <w:szCs w:val="21"/>
                    </w:rPr>
                  </w:pPr>
                  <w:r>
                    <w:rPr>
                      <w:color w:val="auto"/>
                      <w:szCs w:val="21"/>
                    </w:rPr>
                    <w:t>一体化污水处理设施</w:t>
                  </w:r>
                </w:p>
              </w:tc>
              <w:tc>
                <w:tcPr>
                  <w:tcW w:w="2635" w:type="dxa"/>
                  <w:vAlign w:val="center"/>
                </w:tcPr>
                <w:p>
                  <w:pPr>
                    <w:pStyle w:val="26"/>
                    <w:spacing w:line="360" w:lineRule="exact"/>
                    <w:ind w:firstLine="210" w:firstLineChars="100"/>
                    <w:jc w:val="left"/>
                    <w:rPr>
                      <w:color w:val="auto"/>
                      <w:szCs w:val="21"/>
                    </w:rPr>
                  </w:pPr>
                  <w:r>
                    <w:rPr>
                      <w:color w:val="auto"/>
                      <w:szCs w:val="21"/>
                    </w:rPr>
                    <w:t>1个处理能力为20m³/d。</w:t>
                  </w:r>
                </w:p>
              </w:tc>
              <w:tc>
                <w:tcPr>
                  <w:tcW w:w="700" w:type="dxa"/>
                  <w:vAlign w:val="center"/>
                </w:tcPr>
                <w:p>
                  <w:pPr>
                    <w:pStyle w:val="26"/>
                    <w:spacing w:line="360" w:lineRule="exact"/>
                    <w:rPr>
                      <w:color w:val="auto"/>
                      <w:szCs w:val="21"/>
                    </w:rPr>
                  </w:pPr>
                  <w:r>
                    <w:rPr>
                      <w:color w:val="auto"/>
                      <w:szCs w:val="21"/>
                    </w:rPr>
                    <w:t>27</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3</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continue"/>
                  <w:vAlign w:val="center"/>
                </w:tcPr>
                <w:p>
                  <w:pPr>
                    <w:pStyle w:val="26"/>
                    <w:spacing w:line="360" w:lineRule="exact"/>
                    <w:rPr>
                      <w:color w:val="auto"/>
                      <w:szCs w:val="21"/>
                    </w:rPr>
                  </w:pPr>
                </w:p>
              </w:tc>
              <w:tc>
                <w:tcPr>
                  <w:tcW w:w="671" w:type="dxa"/>
                  <w:vMerge w:val="continue"/>
                  <w:vAlign w:val="center"/>
                </w:tcPr>
                <w:p>
                  <w:pPr>
                    <w:pStyle w:val="26"/>
                    <w:spacing w:line="360" w:lineRule="exact"/>
                    <w:rPr>
                      <w:color w:val="auto"/>
                      <w:szCs w:val="21"/>
                    </w:rPr>
                  </w:pPr>
                </w:p>
              </w:tc>
              <w:tc>
                <w:tcPr>
                  <w:tcW w:w="1346" w:type="dxa"/>
                  <w:vAlign w:val="center"/>
                </w:tcPr>
                <w:p>
                  <w:pPr>
                    <w:pStyle w:val="26"/>
                    <w:spacing w:line="360" w:lineRule="exact"/>
                    <w:rPr>
                      <w:color w:val="auto"/>
                      <w:szCs w:val="21"/>
                    </w:rPr>
                  </w:pPr>
                  <w:r>
                    <w:rPr>
                      <w:color w:val="auto"/>
                      <w:szCs w:val="21"/>
                    </w:rPr>
                    <w:t>回用水池</w:t>
                  </w:r>
                </w:p>
              </w:tc>
              <w:tc>
                <w:tcPr>
                  <w:tcW w:w="2635" w:type="dxa"/>
                  <w:vAlign w:val="center"/>
                </w:tcPr>
                <w:p>
                  <w:pPr>
                    <w:pStyle w:val="26"/>
                    <w:spacing w:line="360" w:lineRule="exact"/>
                    <w:ind w:firstLine="210" w:firstLineChars="100"/>
                    <w:jc w:val="left"/>
                    <w:rPr>
                      <w:color w:val="auto"/>
                      <w:szCs w:val="21"/>
                    </w:rPr>
                  </w:pPr>
                  <w:r>
                    <w:rPr>
                      <w:color w:val="auto"/>
                      <w:szCs w:val="21"/>
                    </w:rPr>
                    <w:t>1个10m³的回用水池</w:t>
                  </w:r>
                </w:p>
              </w:tc>
              <w:tc>
                <w:tcPr>
                  <w:tcW w:w="700" w:type="dxa"/>
                  <w:vAlign w:val="center"/>
                </w:tcPr>
                <w:p>
                  <w:pPr>
                    <w:pStyle w:val="26"/>
                    <w:spacing w:line="360" w:lineRule="exact"/>
                    <w:rPr>
                      <w:color w:val="auto"/>
                      <w:szCs w:val="21"/>
                    </w:rPr>
                  </w:pPr>
                  <w:r>
                    <w:rPr>
                      <w:color w:val="auto"/>
                      <w:szCs w:val="21"/>
                    </w:rPr>
                    <w:t>2</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1</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1237" w:type="dxa"/>
                  <w:gridSpan w:val="2"/>
                  <w:vMerge w:val="restart"/>
                  <w:vAlign w:val="center"/>
                </w:tcPr>
                <w:p>
                  <w:pPr>
                    <w:pStyle w:val="26"/>
                    <w:spacing w:line="360" w:lineRule="exact"/>
                    <w:rPr>
                      <w:color w:val="auto"/>
                      <w:szCs w:val="21"/>
                    </w:rPr>
                  </w:pPr>
                  <w:r>
                    <w:rPr>
                      <w:color w:val="auto"/>
                      <w:szCs w:val="21"/>
                    </w:rPr>
                    <w:t>地下水防渗</w:t>
                  </w:r>
                </w:p>
              </w:tc>
              <w:tc>
                <w:tcPr>
                  <w:tcW w:w="1346" w:type="dxa"/>
                  <w:vAlign w:val="center"/>
                </w:tcPr>
                <w:p>
                  <w:pPr>
                    <w:pStyle w:val="26"/>
                    <w:spacing w:line="360" w:lineRule="exact"/>
                    <w:rPr>
                      <w:color w:val="auto"/>
                      <w:szCs w:val="21"/>
                    </w:rPr>
                  </w:pPr>
                  <w:r>
                    <w:rPr>
                      <w:color w:val="auto"/>
                      <w:szCs w:val="21"/>
                    </w:rPr>
                    <w:t>重点防渗区</w:t>
                  </w:r>
                </w:p>
              </w:tc>
              <w:tc>
                <w:tcPr>
                  <w:tcW w:w="2635" w:type="dxa"/>
                  <w:vAlign w:val="center"/>
                </w:tcPr>
                <w:p>
                  <w:pPr>
                    <w:pStyle w:val="26"/>
                    <w:spacing w:line="360" w:lineRule="exact"/>
                    <w:ind w:firstLine="210" w:firstLineChars="100"/>
                    <w:jc w:val="left"/>
                    <w:rPr>
                      <w:color w:val="auto"/>
                      <w:szCs w:val="21"/>
                    </w:rPr>
                  </w:pPr>
                  <w:r>
                    <w:rPr>
                      <w:color w:val="auto"/>
                      <w:szCs w:val="21"/>
                    </w:rPr>
                    <w:t>危险废物贮存间地面及裙墙、调节池池内应采用不低于2mm后的HDPE膜或其他人工防渗材料进行防渗，使其渗透系数≤10</w:t>
                  </w:r>
                  <w:r>
                    <w:rPr>
                      <w:color w:val="auto"/>
                      <w:szCs w:val="21"/>
                      <w:vertAlign w:val="superscript"/>
                    </w:rPr>
                    <w:t>-10</w:t>
                  </w:r>
                  <w:r>
                    <w:rPr>
                      <w:color w:val="auto"/>
                      <w:szCs w:val="21"/>
                    </w:rPr>
                    <w:t>cm/s；一体化污水处理设施采用一体成型钢结构设施，确保废水无渗漏。</w:t>
                  </w:r>
                </w:p>
              </w:tc>
              <w:tc>
                <w:tcPr>
                  <w:tcW w:w="700" w:type="dxa"/>
                  <w:vAlign w:val="center"/>
                </w:tcPr>
                <w:p>
                  <w:pPr>
                    <w:pStyle w:val="26"/>
                    <w:spacing w:line="360" w:lineRule="exact"/>
                    <w:rPr>
                      <w:color w:val="auto"/>
                      <w:szCs w:val="21"/>
                    </w:rPr>
                  </w:pPr>
                  <w:r>
                    <w:rPr>
                      <w:color w:val="auto"/>
                      <w:szCs w:val="21"/>
                    </w:rPr>
                    <w:t>23</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1237" w:type="dxa"/>
                  <w:gridSpan w:val="2"/>
                  <w:vMerge w:val="continue"/>
                  <w:vAlign w:val="center"/>
                </w:tcPr>
                <w:p>
                  <w:pPr>
                    <w:pStyle w:val="26"/>
                    <w:spacing w:line="360" w:lineRule="exact"/>
                    <w:rPr>
                      <w:color w:val="auto"/>
                      <w:szCs w:val="21"/>
                    </w:rPr>
                  </w:pPr>
                </w:p>
              </w:tc>
              <w:tc>
                <w:tcPr>
                  <w:tcW w:w="1346" w:type="dxa"/>
                  <w:vAlign w:val="center"/>
                </w:tcPr>
                <w:p>
                  <w:pPr>
                    <w:pStyle w:val="26"/>
                    <w:spacing w:line="360" w:lineRule="exact"/>
                    <w:rPr>
                      <w:color w:val="auto"/>
                      <w:szCs w:val="21"/>
                    </w:rPr>
                  </w:pPr>
                  <w:r>
                    <w:rPr>
                      <w:color w:val="auto"/>
                      <w:szCs w:val="21"/>
                    </w:rPr>
                    <w:t>一般防渗区</w:t>
                  </w:r>
                </w:p>
              </w:tc>
              <w:tc>
                <w:tcPr>
                  <w:tcW w:w="2635" w:type="dxa"/>
                  <w:vAlign w:val="center"/>
                </w:tcPr>
                <w:p>
                  <w:pPr>
                    <w:pStyle w:val="26"/>
                    <w:spacing w:line="360" w:lineRule="exact"/>
                    <w:ind w:firstLine="210" w:firstLineChars="100"/>
                    <w:jc w:val="left"/>
                    <w:rPr>
                      <w:color w:val="auto"/>
                      <w:szCs w:val="21"/>
                    </w:rPr>
                  </w:pPr>
                  <w:r>
                    <w:rPr>
                      <w:color w:val="auto"/>
                      <w:szCs w:val="21"/>
                    </w:rPr>
                    <w:t>火化车间及捡灰间、悼念厅及守灵厅划定为一般防渗区，应采用混凝土进行硬化，使其渗透系数≤1.0×10</w:t>
                  </w:r>
                  <w:r>
                    <w:rPr>
                      <w:color w:val="auto"/>
                      <w:szCs w:val="21"/>
                      <w:vertAlign w:val="superscript"/>
                    </w:rPr>
                    <w:t>-7</w:t>
                  </w:r>
                  <w:r>
                    <w:rPr>
                      <w:color w:val="auto"/>
                      <w:szCs w:val="21"/>
                    </w:rPr>
                    <w:t>cm/s。</w:t>
                  </w:r>
                </w:p>
              </w:tc>
              <w:tc>
                <w:tcPr>
                  <w:tcW w:w="700" w:type="dxa"/>
                  <w:vAlign w:val="center"/>
                </w:tcPr>
                <w:p>
                  <w:pPr>
                    <w:pStyle w:val="26"/>
                    <w:spacing w:line="360" w:lineRule="exact"/>
                    <w:rPr>
                      <w:color w:val="auto"/>
                      <w:szCs w:val="21"/>
                    </w:rPr>
                  </w:pPr>
                  <w:r>
                    <w:rPr>
                      <w:color w:val="auto"/>
                      <w:szCs w:val="21"/>
                    </w:rPr>
                    <w:t>56</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491" w:type="dxa"/>
                  <w:vMerge w:val="continue"/>
                  <w:vAlign w:val="center"/>
                </w:tcPr>
                <w:p>
                  <w:pPr>
                    <w:pStyle w:val="26"/>
                    <w:spacing w:line="360" w:lineRule="exact"/>
                    <w:rPr>
                      <w:color w:val="auto"/>
                      <w:szCs w:val="21"/>
                    </w:rPr>
                  </w:pPr>
                </w:p>
              </w:tc>
              <w:tc>
                <w:tcPr>
                  <w:tcW w:w="566" w:type="dxa"/>
                  <w:vAlign w:val="center"/>
                </w:tcPr>
                <w:p>
                  <w:pPr>
                    <w:pStyle w:val="26"/>
                    <w:spacing w:line="360" w:lineRule="exact"/>
                    <w:rPr>
                      <w:color w:val="auto"/>
                      <w:szCs w:val="21"/>
                    </w:rPr>
                  </w:pPr>
                  <w:r>
                    <w:rPr>
                      <w:color w:val="auto"/>
                      <w:szCs w:val="21"/>
                    </w:rPr>
                    <w:t>噪声</w:t>
                  </w:r>
                </w:p>
              </w:tc>
              <w:tc>
                <w:tcPr>
                  <w:tcW w:w="671" w:type="dxa"/>
                  <w:vAlign w:val="center"/>
                </w:tcPr>
                <w:p>
                  <w:pPr>
                    <w:pStyle w:val="26"/>
                    <w:spacing w:line="360" w:lineRule="exact"/>
                    <w:rPr>
                      <w:color w:val="auto"/>
                      <w:szCs w:val="21"/>
                    </w:rPr>
                  </w:pPr>
                  <w:r>
                    <w:rPr>
                      <w:color w:val="auto"/>
                      <w:szCs w:val="21"/>
                    </w:rPr>
                    <w:t>设备噪声</w:t>
                  </w:r>
                </w:p>
              </w:tc>
              <w:tc>
                <w:tcPr>
                  <w:tcW w:w="1346" w:type="dxa"/>
                  <w:vAlign w:val="center"/>
                </w:tcPr>
                <w:p>
                  <w:pPr>
                    <w:pStyle w:val="26"/>
                    <w:spacing w:line="360" w:lineRule="exact"/>
                    <w:rPr>
                      <w:color w:val="auto"/>
                      <w:szCs w:val="21"/>
                    </w:rPr>
                  </w:pPr>
                  <w:r>
                    <w:rPr>
                      <w:color w:val="auto"/>
                      <w:szCs w:val="21"/>
                    </w:rPr>
                    <w:t>减震垫、消声器等</w:t>
                  </w:r>
                </w:p>
              </w:tc>
              <w:tc>
                <w:tcPr>
                  <w:tcW w:w="2635" w:type="dxa"/>
                  <w:vAlign w:val="center"/>
                </w:tcPr>
                <w:p>
                  <w:pPr>
                    <w:pStyle w:val="26"/>
                    <w:spacing w:line="360" w:lineRule="exact"/>
                    <w:ind w:firstLine="210" w:firstLineChars="100"/>
                    <w:jc w:val="left"/>
                    <w:rPr>
                      <w:color w:val="auto"/>
                      <w:szCs w:val="21"/>
                    </w:rPr>
                  </w:pPr>
                  <w:r>
                    <w:rPr>
                      <w:color w:val="auto"/>
                      <w:szCs w:val="21"/>
                    </w:rPr>
                    <w:t>设备基础加装减震垫、消声器等</w:t>
                  </w:r>
                </w:p>
              </w:tc>
              <w:tc>
                <w:tcPr>
                  <w:tcW w:w="700" w:type="dxa"/>
                  <w:vAlign w:val="center"/>
                </w:tcPr>
                <w:p>
                  <w:pPr>
                    <w:pStyle w:val="26"/>
                    <w:spacing w:line="360" w:lineRule="exact"/>
                    <w:rPr>
                      <w:color w:val="auto"/>
                      <w:szCs w:val="21"/>
                    </w:rPr>
                  </w:pPr>
                  <w:r>
                    <w:rPr>
                      <w:color w:val="auto"/>
                      <w:szCs w:val="21"/>
                    </w:rPr>
                    <w:t>2</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491" w:type="dxa"/>
                  <w:vMerge w:val="continue"/>
                  <w:vAlign w:val="center"/>
                </w:tcPr>
                <w:p>
                  <w:pPr>
                    <w:pStyle w:val="26"/>
                    <w:spacing w:line="360" w:lineRule="exact"/>
                    <w:rPr>
                      <w:color w:val="auto"/>
                      <w:szCs w:val="21"/>
                    </w:rPr>
                  </w:pPr>
                </w:p>
              </w:tc>
              <w:tc>
                <w:tcPr>
                  <w:tcW w:w="566" w:type="dxa"/>
                  <w:vMerge w:val="restart"/>
                  <w:vAlign w:val="center"/>
                </w:tcPr>
                <w:p>
                  <w:pPr>
                    <w:pStyle w:val="26"/>
                    <w:spacing w:line="360" w:lineRule="exact"/>
                    <w:rPr>
                      <w:color w:val="auto"/>
                      <w:szCs w:val="21"/>
                    </w:rPr>
                  </w:pPr>
                  <w:r>
                    <w:rPr>
                      <w:color w:val="auto"/>
                      <w:szCs w:val="21"/>
                    </w:rPr>
                    <w:t>固废</w:t>
                  </w:r>
                </w:p>
              </w:tc>
              <w:tc>
                <w:tcPr>
                  <w:tcW w:w="671" w:type="dxa"/>
                  <w:vAlign w:val="center"/>
                </w:tcPr>
                <w:p>
                  <w:pPr>
                    <w:pStyle w:val="26"/>
                    <w:spacing w:line="360" w:lineRule="exact"/>
                    <w:rPr>
                      <w:color w:val="auto"/>
                      <w:szCs w:val="21"/>
                    </w:rPr>
                  </w:pPr>
                  <w:r>
                    <w:rPr>
                      <w:color w:val="auto"/>
                      <w:szCs w:val="21"/>
                    </w:rPr>
                    <w:t>危废废物</w:t>
                  </w:r>
                </w:p>
              </w:tc>
              <w:tc>
                <w:tcPr>
                  <w:tcW w:w="1346" w:type="dxa"/>
                  <w:vAlign w:val="center"/>
                </w:tcPr>
                <w:p>
                  <w:pPr>
                    <w:pStyle w:val="26"/>
                    <w:spacing w:line="360" w:lineRule="exact"/>
                    <w:rPr>
                      <w:color w:val="auto"/>
                      <w:szCs w:val="21"/>
                    </w:rPr>
                  </w:pPr>
                  <w:r>
                    <w:rPr>
                      <w:color w:val="auto"/>
                      <w:szCs w:val="21"/>
                    </w:rPr>
                    <w:t>危险废物贮存间</w:t>
                  </w:r>
                </w:p>
              </w:tc>
              <w:tc>
                <w:tcPr>
                  <w:tcW w:w="2635" w:type="dxa"/>
                  <w:vAlign w:val="center"/>
                </w:tcPr>
                <w:p>
                  <w:pPr>
                    <w:pStyle w:val="26"/>
                    <w:spacing w:line="360" w:lineRule="exact"/>
                    <w:ind w:firstLine="210" w:firstLineChars="100"/>
                    <w:jc w:val="left"/>
                    <w:rPr>
                      <w:color w:val="auto"/>
                      <w:szCs w:val="21"/>
                    </w:rPr>
                  </w:pPr>
                  <w:r>
                    <w:rPr>
                      <w:color w:val="auto"/>
                      <w:szCs w:val="21"/>
                    </w:rPr>
                    <w:t>1个10m²</w:t>
                  </w:r>
                </w:p>
              </w:tc>
              <w:tc>
                <w:tcPr>
                  <w:tcW w:w="700" w:type="dxa"/>
                  <w:vAlign w:val="center"/>
                </w:tcPr>
                <w:p>
                  <w:pPr>
                    <w:pStyle w:val="26"/>
                    <w:spacing w:line="360" w:lineRule="exact"/>
                    <w:rPr>
                      <w:color w:val="auto"/>
                      <w:szCs w:val="21"/>
                    </w:rPr>
                  </w:pPr>
                  <w:r>
                    <w:rPr>
                      <w:color w:val="auto"/>
                      <w:szCs w:val="21"/>
                    </w:rPr>
                    <w:t>5</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3</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continue"/>
                  <w:vAlign w:val="center"/>
                </w:tcPr>
                <w:p>
                  <w:pPr>
                    <w:pStyle w:val="26"/>
                    <w:spacing w:line="360" w:lineRule="exact"/>
                    <w:rPr>
                      <w:color w:val="auto"/>
                      <w:szCs w:val="21"/>
                    </w:rPr>
                  </w:pPr>
                </w:p>
              </w:tc>
              <w:tc>
                <w:tcPr>
                  <w:tcW w:w="671" w:type="dxa"/>
                  <w:vAlign w:val="center"/>
                </w:tcPr>
                <w:p>
                  <w:pPr>
                    <w:pStyle w:val="26"/>
                    <w:spacing w:line="360" w:lineRule="exact"/>
                    <w:rPr>
                      <w:color w:val="auto"/>
                      <w:szCs w:val="21"/>
                    </w:rPr>
                  </w:pPr>
                  <w:r>
                    <w:rPr>
                      <w:color w:val="auto"/>
                      <w:szCs w:val="21"/>
                    </w:rPr>
                    <w:t>生活垃圾</w:t>
                  </w:r>
                </w:p>
              </w:tc>
              <w:tc>
                <w:tcPr>
                  <w:tcW w:w="1346" w:type="dxa"/>
                  <w:vAlign w:val="center"/>
                </w:tcPr>
                <w:p>
                  <w:pPr>
                    <w:pStyle w:val="26"/>
                    <w:spacing w:line="360" w:lineRule="exact"/>
                    <w:rPr>
                      <w:color w:val="auto"/>
                      <w:szCs w:val="21"/>
                    </w:rPr>
                  </w:pPr>
                  <w:r>
                    <w:rPr>
                      <w:color w:val="auto"/>
                      <w:szCs w:val="21"/>
                    </w:rPr>
                    <w:t>垃圾桶</w:t>
                  </w:r>
                </w:p>
              </w:tc>
              <w:tc>
                <w:tcPr>
                  <w:tcW w:w="2635" w:type="dxa"/>
                  <w:vAlign w:val="center"/>
                </w:tcPr>
                <w:p>
                  <w:pPr>
                    <w:pStyle w:val="26"/>
                    <w:spacing w:line="360" w:lineRule="exact"/>
                    <w:ind w:firstLine="210" w:firstLineChars="100"/>
                    <w:jc w:val="left"/>
                    <w:rPr>
                      <w:color w:val="auto"/>
                      <w:szCs w:val="21"/>
                    </w:rPr>
                  </w:pPr>
                  <w:r>
                    <w:rPr>
                      <w:color w:val="auto"/>
                      <w:szCs w:val="21"/>
                    </w:rPr>
                    <w:t>若干</w:t>
                  </w:r>
                </w:p>
              </w:tc>
              <w:tc>
                <w:tcPr>
                  <w:tcW w:w="700" w:type="dxa"/>
                  <w:vAlign w:val="center"/>
                </w:tcPr>
                <w:p>
                  <w:pPr>
                    <w:pStyle w:val="26"/>
                    <w:spacing w:line="360" w:lineRule="exact"/>
                    <w:rPr>
                      <w:color w:val="auto"/>
                      <w:szCs w:val="21"/>
                    </w:rPr>
                  </w:pPr>
                  <w:r>
                    <w:rPr>
                      <w:color w:val="auto"/>
                      <w:szCs w:val="21"/>
                    </w:rPr>
                    <w:t>0.1</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1</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restart"/>
                  <w:vAlign w:val="center"/>
                </w:tcPr>
                <w:p>
                  <w:pPr>
                    <w:pStyle w:val="26"/>
                    <w:spacing w:line="360" w:lineRule="exact"/>
                    <w:rPr>
                      <w:color w:val="auto"/>
                      <w:szCs w:val="21"/>
                    </w:rPr>
                  </w:pPr>
                  <w:r>
                    <w:rPr>
                      <w:color w:val="auto"/>
                      <w:szCs w:val="21"/>
                    </w:rPr>
                    <w:t>其他</w:t>
                  </w:r>
                </w:p>
              </w:tc>
              <w:tc>
                <w:tcPr>
                  <w:tcW w:w="2017" w:type="dxa"/>
                  <w:gridSpan w:val="2"/>
                  <w:vAlign w:val="center"/>
                </w:tcPr>
                <w:p>
                  <w:pPr>
                    <w:pStyle w:val="26"/>
                    <w:spacing w:line="360" w:lineRule="exact"/>
                    <w:rPr>
                      <w:color w:val="auto"/>
                      <w:szCs w:val="21"/>
                    </w:rPr>
                  </w:pPr>
                  <w:r>
                    <w:rPr>
                      <w:color w:val="auto"/>
                      <w:szCs w:val="21"/>
                    </w:rPr>
                    <w:t>绿化</w:t>
                  </w:r>
                </w:p>
              </w:tc>
              <w:tc>
                <w:tcPr>
                  <w:tcW w:w="2635" w:type="dxa"/>
                  <w:vAlign w:val="center"/>
                </w:tcPr>
                <w:p>
                  <w:pPr>
                    <w:pStyle w:val="26"/>
                    <w:spacing w:line="360" w:lineRule="exact"/>
                    <w:ind w:firstLine="210" w:firstLineChars="100"/>
                    <w:jc w:val="left"/>
                    <w:rPr>
                      <w:color w:val="auto"/>
                      <w:szCs w:val="21"/>
                    </w:rPr>
                  </w:pPr>
                  <w:r>
                    <w:rPr>
                      <w:color w:val="auto"/>
                      <w:szCs w:val="21"/>
                    </w:rPr>
                    <w:t>绿化面积约为13155m²。</w:t>
                  </w:r>
                </w:p>
              </w:tc>
              <w:tc>
                <w:tcPr>
                  <w:tcW w:w="700" w:type="dxa"/>
                  <w:vAlign w:val="center"/>
                </w:tcPr>
                <w:p>
                  <w:pPr>
                    <w:pStyle w:val="26"/>
                    <w:spacing w:line="360" w:lineRule="exact"/>
                    <w:rPr>
                      <w:color w:val="auto"/>
                      <w:szCs w:val="21"/>
                    </w:rPr>
                  </w:pPr>
                  <w:r>
                    <w:rPr>
                      <w:color w:val="auto"/>
                      <w:szCs w:val="21"/>
                    </w:rPr>
                    <w:t>83</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5</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vAlign w:val="center"/>
                </w:tcPr>
                <w:p>
                  <w:pPr>
                    <w:pStyle w:val="26"/>
                    <w:spacing w:line="360" w:lineRule="exact"/>
                    <w:rPr>
                      <w:color w:val="auto"/>
                      <w:szCs w:val="21"/>
                    </w:rPr>
                  </w:pPr>
                </w:p>
              </w:tc>
              <w:tc>
                <w:tcPr>
                  <w:tcW w:w="566" w:type="dxa"/>
                  <w:vMerge w:val="continue"/>
                  <w:vAlign w:val="center"/>
                </w:tcPr>
                <w:p>
                  <w:pPr>
                    <w:pStyle w:val="26"/>
                    <w:spacing w:line="360" w:lineRule="exact"/>
                    <w:rPr>
                      <w:color w:val="auto"/>
                      <w:szCs w:val="21"/>
                    </w:rPr>
                  </w:pPr>
                </w:p>
              </w:tc>
              <w:tc>
                <w:tcPr>
                  <w:tcW w:w="2017" w:type="dxa"/>
                  <w:gridSpan w:val="2"/>
                  <w:vAlign w:val="center"/>
                </w:tcPr>
                <w:p>
                  <w:pPr>
                    <w:pStyle w:val="26"/>
                    <w:spacing w:line="360" w:lineRule="exact"/>
                    <w:rPr>
                      <w:color w:val="auto"/>
                      <w:szCs w:val="21"/>
                    </w:rPr>
                  </w:pPr>
                  <w:r>
                    <w:rPr>
                      <w:color w:val="auto"/>
                      <w:szCs w:val="21"/>
                    </w:rPr>
                    <w:t>标识牌</w:t>
                  </w:r>
                </w:p>
              </w:tc>
              <w:tc>
                <w:tcPr>
                  <w:tcW w:w="2635" w:type="dxa"/>
                  <w:vAlign w:val="center"/>
                </w:tcPr>
                <w:p>
                  <w:pPr>
                    <w:pStyle w:val="26"/>
                    <w:spacing w:line="360" w:lineRule="exact"/>
                    <w:ind w:firstLine="210" w:firstLineChars="100"/>
                    <w:jc w:val="left"/>
                    <w:rPr>
                      <w:color w:val="auto"/>
                      <w:szCs w:val="21"/>
                    </w:rPr>
                  </w:pPr>
                  <w:r>
                    <w:rPr>
                      <w:color w:val="auto"/>
                      <w:szCs w:val="21"/>
                    </w:rPr>
                    <w:t>--</w:t>
                  </w:r>
                </w:p>
              </w:tc>
              <w:tc>
                <w:tcPr>
                  <w:tcW w:w="700" w:type="dxa"/>
                  <w:vAlign w:val="center"/>
                </w:tcPr>
                <w:p>
                  <w:pPr>
                    <w:pStyle w:val="26"/>
                    <w:spacing w:line="360" w:lineRule="exact"/>
                    <w:rPr>
                      <w:color w:val="auto"/>
                      <w:szCs w:val="21"/>
                    </w:rPr>
                  </w:pPr>
                  <w:r>
                    <w:rPr>
                      <w:color w:val="auto"/>
                      <w:szCs w:val="21"/>
                    </w:rPr>
                    <w:t>0.1</w:t>
                  </w:r>
                </w:p>
              </w:tc>
              <w:tc>
                <w:tcPr>
                  <w:tcW w:w="709" w:type="dxa"/>
                  <w:gridSpan w:val="2"/>
                  <w:vMerge w:val="continue"/>
                  <w:vAlign w:val="center"/>
                </w:tcPr>
                <w:p>
                  <w:pPr>
                    <w:pStyle w:val="26"/>
                    <w:spacing w:line="360" w:lineRule="exact"/>
                    <w:rPr>
                      <w:color w:val="auto"/>
                      <w:szCs w:val="21"/>
                    </w:rPr>
                  </w:pPr>
                </w:p>
              </w:tc>
              <w:tc>
                <w:tcPr>
                  <w:tcW w:w="781" w:type="dxa"/>
                  <w:vAlign w:val="center"/>
                </w:tcPr>
                <w:p>
                  <w:pPr>
                    <w:pStyle w:val="26"/>
                    <w:spacing w:line="360" w:lineRule="exact"/>
                    <w:rPr>
                      <w:color w:val="auto"/>
                      <w:szCs w:val="21"/>
                    </w:rPr>
                  </w:pPr>
                  <w:r>
                    <w:rPr>
                      <w:color w:val="auto"/>
                      <w:szCs w:val="21"/>
                    </w:rPr>
                    <w:t>0</w:t>
                  </w:r>
                </w:p>
              </w:tc>
              <w:tc>
                <w:tcPr>
                  <w:tcW w:w="706" w:type="dxa"/>
                  <w:vMerge w:val="continue"/>
                  <w:vAlign w:val="center"/>
                </w:tcPr>
                <w:p>
                  <w:pPr>
                    <w:pStyle w:val="26"/>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9" w:type="dxa"/>
                  <w:gridSpan w:val="5"/>
                  <w:vAlign w:val="center"/>
                </w:tcPr>
                <w:p>
                  <w:pPr>
                    <w:pStyle w:val="26"/>
                    <w:spacing w:line="360" w:lineRule="exact"/>
                    <w:rPr>
                      <w:color w:val="auto"/>
                      <w:szCs w:val="21"/>
                    </w:rPr>
                  </w:pPr>
                  <w:r>
                    <w:rPr>
                      <w:color w:val="auto"/>
                      <w:szCs w:val="21"/>
                    </w:rPr>
                    <w:t>管理相关费用</w:t>
                  </w:r>
                </w:p>
              </w:tc>
              <w:tc>
                <w:tcPr>
                  <w:tcW w:w="2896" w:type="dxa"/>
                  <w:gridSpan w:val="5"/>
                  <w:vAlign w:val="center"/>
                </w:tcPr>
                <w:p>
                  <w:pPr>
                    <w:pStyle w:val="26"/>
                    <w:spacing w:line="360" w:lineRule="exact"/>
                    <w:rPr>
                      <w:color w:val="auto"/>
                      <w:szCs w:val="21"/>
                    </w:rPr>
                  </w:pPr>
                  <w:r>
                    <w:rPr>
                      <w:color w:val="auto"/>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09" w:type="dxa"/>
                  <w:gridSpan w:val="5"/>
                  <w:vAlign w:val="center"/>
                </w:tcPr>
                <w:p>
                  <w:pPr>
                    <w:pStyle w:val="26"/>
                    <w:spacing w:line="360" w:lineRule="exact"/>
                    <w:rPr>
                      <w:color w:val="auto"/>
                      <w:szCs w:val="21"/>
                    </w:rPr>
                  </w:pPr>
                  <w:r>
                    <w:rPr>
                      <w:color w:val="auto"/>
                      <w:szCs w:val="21"/>
                    </w:rPr>
                    <w:t>合计</w:t>
                  </w:r>
                </w:p>
              </w:tc>
              <w:tc>
                <w:tcPr>
                  <w:tcW w:w="843" w:type="dxa"/>
                  <w:gridSpan w:val="2"/>
                  <w:vAlign w:val="center"/>
                </w:tcPr>
                <w:p>
                  <w:pPr>
                    <w:pStyle w:val="26"/>
                    <w:spacing w:line="360" w:lineRule="exact"/>
                    <w:rPr>
                      <w:color w:val="auto"/>
                      <w:szCs w:val="21"/>
                    </w:rPr>
                  </w:pPr>
                  <w:r>
                    <w:rPr>
                      <w:color w:val="auto"/>
                      <w:szCs w:val="21"/>
                    </w:rPr>
                    <w:t>525.2</w:t>
                  </w:r>
                </w:p>
              </w:tc>
              <w:tc>
                <w:tcPr>
                  <w:tcW w:w="566" w:type="dxa"/>
                  <w:vAlign w:val="center"/>
                </w:tcPr>
                <w:p>
                  <w:pPr>
                    <w:pStyle w:val="26"/>
                    <w:spacing w:line="360" w:lineRule="exact"/>
                    <w:rPr>
                      <w:color w:val="auto"/>
                      <w:szCs w:val="21"/>
                    </w:rPr>
                  </w:pPr>
                  <w:r>
                    <w:rPr>
                      <w:color w:val="auto"/>
                      <w:szCs w:val="21"/>
                    </w:rPr>
                    <w:t>--</w:t>
                  </w:r>
                </w:p>
              </w:tc>
              <w:tc>
                <w:tcPr>
                  <w:tcW w:w="781" w:type="dxa"/>
                  <w:vAlign w:val="center"/>
                </w:tcPr>
                <w:p>
                  <w:pPr>
                    <w:pStyle w:val="26"/>
                    <w:spacing w:line="360" w:lineRule="exact"/>
                    <w:rPr>
                      <w:color w:val="auto"/>
                      <w:szCs w:val="21"/>
                    </w:rPr>
                  </w:pPr>
                  <w:r>
                    <w:rPr>
                      <w:color w:val="auto"/>
                      <w:szCs w:val="21"/>
                    </w:rPr>
                    <w:t>30.2</w:t>
                  </w:r>
                </w:p>
              </w:tc>
              <w:tc>
                <w:tcPr>
                  <w:tcW w:w="706" w:type="dxa"/>
                  <w:vAlign w:val="center"/>
                </w:tcPr>
                <w:p>
                  <w:pPr>
                    <w:pStyle w:val="26"/>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5" w:type="dxa"/>
                  <w:gridSpan w:val="10"/>
                  <w:vAlign w:val="center"/>
                </w:tcPr>
                <w:p>
                  <w:pPr>
                    <w:pStyle w:val="26"/>
                    <w:spacing w:line="360" w:lineRule="exact"/>
                    <w:ind w:firstLine="210" w:firstLineChars="100"/>
                    <w:jc w:val="left"/>
                    <w:rPr>
                      <w:color w:val="auto"/>
                      <w:szCs w:val="21"/>
                    </w:rPr>
                  </w:pPr>
                  <w:r>
                    <w:rPr>
                      <w:color w:val="auto"/>
                      <w:szCs w:val="21"/>
                    </w:rPr>
                    <w:t>备注：“”表示已投资，不进行重复计算</w:t>
                  </w:r>
                </w:p>
              </w:tc>
            </w:tr>
          </w:tbl>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p>
            <w:pPr>
              <w:pStyle w:val="34"/>
              <w:ind w:firstLine="480"/>
              <w:rPr>
                <w:rFonts w:eastAsiaTheme="minorEastAsia"/>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五、环境保护措施监督检查清单</w:t>
      </w:r>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429"/>
        <w:gridCol w:w="705"/>
        <w:gridCol w:w="709"/>
        <w:gridCol w:w="992"/>
        <w:gridCol w:w="1418"/>
        <w:gridCol w:w="2977"/>
        <w:gridCol w:w="16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gridSpan w:val="2"/>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内容</w:t>
            </w:r>
          </w:p>
          <w:p>
            <w:pPr>
              <w:spacing w:line="360" w:lineRule="exact"/>
              <w:jc w:val="left"/>
              <w:rPr>
                <w:rFonts w:ascii="Times New Roman" w:hAnsi="Times New Roman" w:cs="Times New Roman"/>
              </w:rPr>
            </w:pPr>
            <w:r>
              <w:rPr>
                <w:rFonts w:ascii="Times New Roman" w:hAnsi="Times New Roman" w:cs="Times New Roman"/>
              </w:rPr>
              <w:t>要素</w:t>
            </w:r>
          </w:p>
        </w:tc>
        <w:tc>
          <w:tcPr>
            <w:tcW w:w="2406" w:type="dxa"/>
            <w:gridSpan w:val="3"/>
            <w:vAlign w:val="center"/>
          </w:tcPr>
          <w:p>
            <w:pPr>
              <w:spacing w:line="360" w:lineRule="exact"/>
              <w:jc w:val="center"/>
              <w:rPr>
                <w:rFonts w:ascii="Times New Roman" w:hAnsi="Times New Roman" w:cs="Times New Roman"/>
              </w:rPr>
            </w:pPr>
            <w:r>
              <w:rPr>
                <w:rFonts w:ascii="Times New Roman" w:hAnsi="Times New Roman" w:cs="Times New Roman"/>
              </w:rPr>
              <w:t>排放口（编号、名称）/污染源</w:t>
            </w:r>
          </w:p>
        </w:tc>
        <w:tc>
          <w:tcPr>
            <w:tcW w:w="1418" w:type="dxa"/>
            <w:vAlign w:val="center"/>
          </w:tcPr>
          <w:p>
            <w:pPr>
              <w:spacing w:line="360" w:lineRule="exact"/>
              <w:jc w:val="center"/>
              <w:rPr>
                <w:rFonts w:ascii="Times New Roman" w:hAnsi="Times New Roman" w:cs="Times New Roman"/>
              </w:rPr>
            </w:pPr>
            <w:r>
              <w:rPr>
                <w:rFonts w:ascii="Times New Roman" w:hAnsi="Times New Roman" w:cs="Times New Roman"/>
              </w:rPr>
              <w:t>污染物项目</w:t>
            </w:r>
          </w:p>
        </w:tc>
        <w:tc>
          <w:tcPr>
            <w:tcW w:w="2977" w:type="dxa"/>
            <w:vAlign w:val="center"/>
          </w:tcPr>
          <w:p>
            <w:pPr>
              <w:spacing w:line="360" w:lineRule="exact"/>
              <w:jc w:val="center"/>
              <w:rPr>
                <w:rFonts w:ascii="Times New Roman" w:hAnsi="Times New Roman" w:cs="Times New Roman"/>
              </w:rPr>
            </w:pPr>
            <w:r>
              <w:rPr>
                <w:rFonts w:ascii="Times New Roman" w:hAnsi="Times New Roman" w:cs="Times New Roman"/>
              </w:rPr>
              <w:t>环境保护措施</w:t>
            </w:r>
          </w:p>
        </w:tc>
        <w:tc>
          <w:tcPr>
            <w:tcW w:w="1604" w:type="dxa"/>
            <w:vAlign w:val="center"/>
          </w:tcPr>
          <w:p>
            <w:pPr>
              <w:spacing w:line="360" w:lineRule="exact"/>
              <w:jc w:val="center"/>
              <w:rPr>
                <w:rFonts w:ascii="Times New Roman" w:hAnsi="Times New Roman" w:cs="Times New Roman"/>
              </w:rPr>
            </w:pPr>
            <w:r>
              <w:rPr>
                <w:rFonts w:ascii="Times New Roman" w:hAnsi="Times New Roman" w:cs="Times New Roman"/>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大气环境</w:t>
            </w:r>
          </w:p>
        </w:tc>
        <w:tc>
          <w:tcPr>
            <w:tcW w:w="429" w:type="dxa"/>
            <w:tcBorders>
              <w:left w:val="single" w:color="auto" w:sz="4" w:space="0"/>
              <w:bottom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施工期</w:t>
            </w:r>
          </w:p>
        </w:tc>
        <w:tc>
          <w:tcPr>
            <w:tcW w:w="1414" w:type="dxa"/>
            <w:gridSpan w:val="2"/>
            <w:tcBorders>
              <w:bottom w:val="single" w:color="auto" w:sz="4" w:space="0"/>
            </w:tcBorders>
            <w:vAlign w:val="center"/>
          </w:tcPr>
          <w:p>
            <w:pPr>
              <w:pStyle w:val="26"/>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施工场地</w:t>
            </w:r>
          </w:p>
        </w:tc>
        <w:tc>
          <w:tcPr>
            <w:tcW w:w="992" w:type="dxa"/>
            <w:vAlign w:val="center"/>
          </w:tcPr>
          <w:p>
            <w:pPr>
              <w:pStyle w:val="26"/>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无组织</w:t>
            </w:r>
          </w:p>
        </w:tc>
        <w:tc>
          <w:tcPr>
            <w:tcW w:w="1418" w:type="dxa"/>
            <w:vAlign w:val="center"/>
          </w:tcPr>
          <w:p>
            <w:pPr>
              <w:pStyle w:val="26"/>
              <w:spacing w:line="360" w:lineRule="exact"/>
              <w:rPr>
                <w:rFonts w:eastAsiaTheme="minorEastAsia"/>
                <w:bCs w:val="0"/>
                <w:snapToGrid/>
                <w:color w:val="auto"/>
                <w:kern w:val="2"/>
                <w:szCs w:val="21"/>
                <w:lang w:val="en-US"/>
              </w:rPr>
            </w:pPr>
            <w:r>
              <w:rPr>
                <w:rFonts w:eastAsiaTheme="minorEastAsia"/>
                <w:bCs w:val="0"/>
                <w:snapToGrid/>
                <w:color w:val="auto"/>
                <w:kern w:val="2"/>
                <w:szCs w:val="21"/>
                <w:lang w:val="en-US"/>
              </w:rPr>
              <w:t>扬尘</w:t>
            </w:r>
          </w:p>
        </w:tc>
        <w:tc>
          <w:tcPr>
            <w:tcW w:w="2977" w:type="dxa"/>
            <w:vAlign w:val="center"/>
          </w:tcPr>
          <w:p>
            <w:pPr>
              <w:pStyle w:val="26"/>
              <w:spacing w:line="360" w:lineRule="exact"/>
              <w:ind w:firstLine="210" w:firstLineChars="100"/>
              <w:jc w:val="both"/>
              <w:rPr>
                <w:color w:val="auto"/>
                <w:szCs w:val="21"/>
              </w:rPr>
            </w:pPr>
            <w:r>
              <w:rPr>
                <w:color w:val="auto"/>
                <w:szCs w:val="21"/>
              </w:rPr>
              <w:fldChar w:fldCharType="begin"/>
            </w:r>
            <w:r>
              <w:rPr>
                <w:color w:val="auto"/>
                <w:szCs w:val="21"/>
              </w:rPr>
              <w:instrText xml:space="preserve"> = 1 \* GB3 </w:instrText>
            </w:r>
            <w:r>
              <w:rPr>
                <w:color w:val="auto"/>
                <w:szCs w:val="21"/>
              </w:rPr>
              <w:fldChar w:fldCharType="separate"/>
            </w:r>
            <w:r>
              <w:rPr>
                <w:color w:val="auto"/>
                <w:szCs w:val="21"/>
              </w:rPr>
              <w:t>①</w:t>
            </w:r>
            <w:r>
              <w:rPr>
                <w:color w:val="auto"/>
                <w:szCs w:val="21"/>
              </w:rPr>
              <w:fldChar w:fldCharType="end"/>
            </w:r>
            <w:r>
              <w:rPr>
                <w:color w:val="auto"/>
                <w:szCs w:val="21"/>
              </w:rPr>
              <w:t>在施工场地安排员工定期对施工场地洒水以减少扬尘量，若遇到大风或干燥天气可适当增加洒水次数；并采取遮阴网覆盖等措施降低扬尘产生；</w:t>
            </w:r>
          </w:p>
          <w:p>
            <w:pPr>
              <w:pStyle w:val="26"/>
              <w:spacing w:line="360" w:lineRule="exact"/>
              <w:ind w:firstLine="210" w:firstLineChars="100"/>
              <w:jc w:val="both"/>
              <w:rPr>
                <w:color w:val="auto"/>
                <w:szCs w:val="21"/>
              </w:rPr>
            </w:pPr>
            <w:r>
              <w:rPr>
                <w:color w:val="auto"/>
                <w:szCs w:val="21"/>
              </w:rPr>
              <w:fldChar w:fldCharType="begin"/>
            </w:r>
            <w:r>
              <w:rPr>
                <w:color w:val="auto"/>
                <w:szCs w:val="21"/>
              </w:rPr>
              <w:instrText xml:space="preserve"> = 2 \* GB3 </w:instrText>
            </w:r>
            <w:r>
              <w:rPr>
                <w:color w:val="auto"/>
                <w:szCs w:val="21"/>
              </w:rPr>
              <w:fldChar w:fldCharType="separate"/>
            </w:r>
            <w:r>
              <w:rPr>
                <w:color w:val="auto"/>
                <w:szCs w:val="21"/>
              </w:rPr>
              <w:t>②</w:t>
            </w:r>
            <w:r>
              <w:rPr>
                <w:color w:val="auto"/>
                <w:szCs w:val="21"/>
              </w:rPr>
              <w:fldChar w:fldCharType="end"/>
            </w:r>
            <w:r>
              <w:rPr>
                <w:color w:val="auto"/>
                <w:szCs w:val="21"/>
              </w:rPr>
              <w:t>尽量避免在大风天气下进行施工作业。根据同类项目工程经验，4级以上大风天气不宜实施土方施工；</w:t>
            </w:r>
          </w:p>
          <w:p>
            <w:pPr>
              <w:pStyle w:val="26"/>
              <w:spacing w:line="360" w:lineRule="exact"/>
              <w:ind w:firstLine="210" w:firstLineChars="100"/>
              <w:jc w:val="both"/>
              <w:rPr>
                <w:color w:val="auto"/>
                <w:szCs w:val="21"/>
              </w:rPr>
            </w:pPr>
            <w:r>
              <w:rPr>
                <w:color w:val="auto"/>
                <w:szCs w:val="21"/>
              </w:rPr>
              <w:fldChar w:fldCharType="begin"/>
            </w:r>
            <w:r>
              <w:rPr>
                <w:color w:val="auto"/>
                <w:szCs w:val="21"/>
              </w:rPr>
              <w:instrText xml:space="preserve"> = 3 \* GB3 </w:instrText>
            </w:r>
            <w:r>
              <w:rPr>
                <w:color w:val="auto"/>
                <w:szCs w:val="21"/>
              </w:rPr>
              <w:fldChar w:fldCharType="separate"/>
            </w:r>
            <w:r>
              <w:rPr>
                <w:color w:val="auto"/>
                <w:szCs w:val="21"/>
              </w:rPr>
              <w:t>③</w:t>
            </w:r>
            <w:r>
              <w:rPr>
                <w:color w:val="auto"/>
                <w:szCs w:val="21"/>
              </w:rPr>
              <w:fldChar w:fldCharType="end"/>
            </w:r>
            <w:r>
              <w:rPr>
                <w:color w:val="auto"/>
                <w:szCs w:val="21"/>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tc>
        <w:tc>
          <w:tcPr>
            <w:tcW w:w="1604" w:type="dxa"/>
            <w:vAlign w:val="center"/>
          </w:tcPr>
          <w:p>
            <w:pPr>
              <w:pStyle w:val="26"/>
              <w:spacing w:line="360" w:lineRule="exact"/>
              <w:ind w:firstLine="210" w:firstLineChars="100"/>
              <w:jc w:val="both"/>
              <w:rPr>
                <w:color w:val="auto"/>
                <w:szCs w:val="21"/>
              </w:rPr>
            </w:pPr>
            <w:r>
              <w:rPr>
                <w:color w:val="auto"/>
                <w:szCs w:val="21"/>
              </w:rPr>
              <w:t>《大气污染物综合排放标准》（GB16297-1996）表2中的无组织排放监控浓度限值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运营期</w:t>
            </w:r>
          </w:p>
        </w:tc>
        <w:tc>
          <w:tcPr>
            <w:tcW w:w="705" w:type="dxa"/>
            <w:tcBorders>
              <w:top w:val="single" w:color="auto" w:sz="4" w:space="0"/>
            </w:tcBorders>
            <w:vAlign w:val="center"/>
          </w:tcPr>
          <w:p>
            <w:pPr>
              <w:pStyle w:val="26"/>
              <w:spacing w:line="360" w:lineRule="exact"/>
              <w:rPr>
                <w:color w:val="auto"/>
                <w:szCs w:val="21"/>
              </w:rPr>
            </w:pPr>
            <w:r>
              <w:rPr>
                <w:color w:val="auto"/>
                <w:szCs w:val="21"/>
              </w:rPr>
              <w:t>火化工序</w:t>
            </w:r>
          </w:p>
        </w:tc>
        <w:tc>
          <w:tcPr>
            <w:tcW w:w="709" w:type="dxa"/>
            <w:tcBorders>
              <w:top w:val="single" w:color="auto" w:sz="4" w:space="0"/>
            </w:tcBorders>
            <w:vAlign w:val="center"/>
          </w:tcPr>
          <w:p>
            <w:pPr>
              <w:pStyle w:val="26"/>
              <w:spacing w:line="360" w:lineRule="exact"/>
              <w:rPr>
                <w:color w:val="auto"/>
                <w:szCs w:val="21"/>
              </w:rPr>
            </w:pPr>
            <w:r>
              <w:rPr>
                <w:color w:val="auto"/>
                <w:szCs w:val="21"/>
              </w:rPr>
              <w:t>火化机</w:t>
            </w:r>
          </w:p>
        </w:tc>
        <w:tc>
          <w:tcPr>
            <w:tcW w:w="992" w:type="dxa"/>
            <w:vAlign w:val="center"/>
          </w:tcPr>
          <w:p>
            <w:pPr>
              <w:pStyle w:val="26"/>
              <w:spacing w:line="360" w:lineRule="exact"/>
              <w:rPr>
                <w:color w:val="auto"/>
                <w:szCs w:val="21"/>
              </w:rPr>
            </w:pPr>
            <w:r>
              <w:rPr>
                <w:rFonts w:eastAsiaTheme="minorEastAsia"/>
                <w:bCs w:val="0"/>
                <w:snapToGrid/>
                <w:color w:val="auto"/>
                <w:kern w:val="0"/>
                <w:szCs w:val="21"/>
                <w:lang w:val="en-US"/>
              </w:rPr>
              <w:t>有组织</w:t>
            </w:r>
          </w:p>
        </w:tc>
        <w:tc>
          <w:tcPr>
            <w:tcW w:w="1418" w:type="dxa"/>
            <w:vAlign w:val="center"/>
          </w:tcPr>
          <w:p>
            <w:pPr>
              <w:pStyle w:val="26"/>
              <w:spacing w:line="360" w:lineRule="exact"/>
              <w:rPr>
                <w:color w:val="auto"/>
                <w:szCs w:val="21"/>
              </w:rPr>
            </w:pPr>
            <w:r>
              <w:rPr>
                <w:color w:val="auto"/>
                <w:szCs w:val="21"/>
              </w:rPr>
              <w:t>烟尘、SO</w:t>
            </w:r>
            <w:r>
              <w:rPr>
                <w:color w:val="auto"/>
                <w:szCs w:val="21"/>
                <w:vertAlign w:val="subscript"/>
              </w:rPr>
              <w:t>2</w:t>
            </w:r>
            <w:r>
              <w:rPr>
                <w:color w:val="auto"/>
                <w:szCs w:val="21"/>
              </w:rPr>
              <w:t>、NOx、CO、HCl、汞、二噁英</w:t>
            </w:r>
          </w:p>
        </w:tc>
        <w:tc>
          <w:tcPr>
            <w:tcW w:w="2977" w:type="dxa"/>
            <w:vAlign w:val="center"/>
          </w:tcPr>
          <w:p>
            <w:pPr>
              <w:pStyle w:val="26"/>
              <w:spacing w:line="360" w:lineRule="exact"/>
              <w:ind w:firstLine="210" w:firstLineChars="100"/>
              <w:jc w:val="both"/>
              <w:rPr>
                <w:color w:val="auto"/>
                <w:szCs w:val="21"/>
              </w:rPr>
            </w:pPr>
            <w:r>
              <w:rPr>
                <w:rFonts w:eastAsiaTheme="minorEastAsia"/>
                <w:color w:val="auto"/>
                <w:szCs w:val="24"/>
              </w:rPr>
              <w:t>项目拟每两套火化机配套设置1台火化机尾气处理装置对火化机废气进行处理，处理后通过1根12m、Ф0.48m，编号为（DA001）的排气筒外排。该火化机尾气处理装置采用全干法双脉冲处理工艺，内置高效降温器+初级除尘器+脱酸脱硫二噁英喷射装置+布袋除尘器+活性炭吸附器，烟尘去除率可达到99%、SO</w:t>
            </w:r>
            <w:r>
              <w:rPr>
                <w:rFonts w:eastAsiaTheme="minorEastAsia"/>
                <w:color w:val="auto"/>
                <w:szCs w:val="24"/>
                <w:vertAlign w:val="subscript"/>
              </w:rPr>
              <w:t>2</w:t>
            </w:r>
            <w:r>
              <w:rPr>
                <w:rFonts w:eastAsiaTheme="minorEastAsia"/>
                <w:color w:val="auto"/>
                <w:szCs w:val="24"/>
              </w:rPr>
              <w:t>去除率可达到80%、CO去除率可达到35.3%、HCl去除率可达到78.7%、汞去除效率可达到80%、二噁英去除率可达到62.2%。每台火化机尾气处理装置的处理风量为5000m³/h，合计处理风量为10000m³/h。</w:t>
            </w:r>
          </w:p>
        </w:tc>
        <w:tc>
          <w:tcPr>
            <w:tcW w:w="1604" w:type="dxa"/>
            <w:vAlign w:val="center"/>
          </w:tcPr>
          <w:p>
            <w:pPr>
              <w:pStyle w:val="26"/>
              <w:spacing w:line="360" w:lineRule="exact"/>
              <w:ind w:firstLine="210" w:firstLineChars="100"/>
              <w:jc w:val="both"/>
              <w:rPr>
                <w:color w:val="auto"/>
                <w:szCs w:val="21"/>
              </w:rPr>
            </w:pPr>
            <w:r>
              <w:rPr>
                <w:rFonts w:eastAsiaTheme="minorEastAsia"/>
                <w:color w:val="auto"/>
                <w:szCs w:val="24"/>
              </w:rPr>
              <w:t>《火葬场大气污染物排放标准》（GB13801-2015）表2标准要求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rPr>
            </w:pPr>
          </w:p>
        </w:tc>
        <w:tc>
          <w:tcPr>
            <w:tcW w:w="705" w:type="dxa"/>
            <w:tcBorders>
              <w:top w:val="single" w:color="auto" w:sz="4" w:space="0"/>
            </w:tcBorders>
            <w:vAlign w:val="center"/>
          </w:tcPr>
          <w:p>
            <w:pPr>
              <w:pStyle w:val="26"/>
              <w:spacing w:line="360" w:lineRule="exact"/>
              <w:rPr>
                <w:color w:val="auto"/>
                <w:szCs w:val="21"/>
              </w:rPr>
            </w:pPr>
            <w:r>
              <w:rPr>
                <w:color w:val="auto"/>
                <w:szCs w:val="21"/>
              </w:rPr>
              <w:t>遗物焚烧工序</w:t>
            </w:r>
          </w:p>
        </w:tc>
        <w:tc>
          <w:tcPr>
            <w:tcW w:w="709" w:type="dxa"/>
            <w:tcBorders>
              <w:top w:val="single" w:color="auto" w:sz="4" w:space="0"/>
            </w:tcBorders>
            <w:vAlign w:val="center"/>
          </w:tcPr>
          <w:p>
            <w:pPr>
              <w:pStyle w:val="26"/>
              <w:spacing w:line="360" w:lineRule="exact"/>
              <w:rPr>
                <w:color w:val="auto"/>
                <w:szCs w:val="21"/>
              </w:rPr>
            </w:pPr>
            <w:r>
              <w:rPr>
                <w:color w:val="auto"/>
                <w:szCs w:val="21"/>
              </w:rPr>
              <w:t>遗物焚烧炉</w:t>
            </w:r>
          </w:p>
        </w:tc>
        <w:tc>
          <w:tcPr>
            <w:tcW w:w="992" w:type="dxa"/>
            <w:vAlign w:val="center"/>
          </w:tcPr>
          <w:p>
            <w:pPr>
              <w:pStyle w:val="26"/>
              <w:spacing w:line="360" w:lineRule="exact"/>
              <w:rPr>
                <w:color w:val="auto"/>
                <w:szCs w:val="21"/>
              </w:rPr>
            </w:pPr>
            <w:r>
              <w:rPr>
                <w:rFonts w:eastAsiaTheme="minorEastAsia"/>
                <w:bCs w:val="0"/>
                <w:snapToGrid/>
                <w:color w:val="auto"/>
                <w:kern w:val="0"/>
                <w:szCs w:val="21"/>
                <w:lang w:val="en-US"/>
              </w:rPr>
              <w:t>有组织</w:t>
            </w:r>
          </w:p>
        </w:tc>
        <w:tc>
          <w:tcPr>
            <w:tcW w:w="1418" w:type="dxa"/>
            <w:vAlign w:val="center"/>
          </w:tcPr>
          <w:p>
            <w:pPr>
              <w:pStyle w:val="26"/>
              <w:spacing w:line="360" w:lineRule="exact"/>
              <w:rPr>
                <w:color w:val="auto"/>
                <w:szCs w:val="21"/>
              </w:rPr>
            </w:pPr>
            <w:r>
              <w:rPr>
                <w:color w:val="auto"/>
                <w:szCs w:val="21"/>
              </w:rPr>
              <w:t>烟气量、烟尘、SO</w:t>
            </w:r>
            <w:r>
              <w:rPr>
                <w:color w:val="auto"/>
                <w:szCs w:val="21"/>
                <w:vertAlign w:val="subscript"/>
              </w:rPr>
              <w:t>2</w:t>
            </w:r>
            <w:r>
              <w:rPr>
                <w:color w:val="auto"/>
                <w:szCs w:val="21"/>
              </w:rPr>
              <w:t>、NOx、CO、HCl、汞、二噁英</w:t>
            </w:r>
          </w:p>
        </w:tc>
        <w:tc>
          <w:tcPr>
            <w:tcW w:w="2977" w:type="dxa"/>
            <w:vAlign w:val="center"/>
          </w:tcPr>
          <w:p>
            <w:pPr>
              <w:pStyle w:val="26"/>
              <w:spacing w:line="360" w:lineRule="exact"/>
              <w:ind w:firstLine="210" w:firstLineChars="100"/>
              <w:jc w:val="both"/>
              <w:rPr>
                <w:color w:val="auto"/>
                <w:szCs w:val="21"/>
              </w:rPr>
            </w:pPr>
            <w:r>
              <w:rPr>
                <w:rFonts w:eastAsiaTheme="minorEastAsia"/>
                <w:color w:val="auto"/>
                <w:szCs w:val="24"/>
              </w:rPr>
              <w:t>项目拟采购1套遗物焚烧炉尾气处理装置对遗物焚烧废气进行处理，经遗物焚烧炉尾气处理装置处理后的废气通过1根12m、Ф0.30m，编号为（DA002）的排气筒外排。该遗物焚烧炉尾气处理装置采用全干法双脉冲处理工艺，内置高效降温器+初级除尘器+脱酸脱硫二噁英喷射装置+布袋除尘器+活性炭吸附器，根据该设备的设计参数，烟尘去除率可达到99%、SO2去除率可达到80%、CO去除率可达到35.3%、HCl去除率可达到78.7%、汞去除效率可达到80%、二噁英去除率可达到62.2%。遗物焚烧炉尾气处理装置的处理风量为5000m³/h。</w:t>
            </w:r>
          </w:p>
        </w:tc>
        <w:tc>
          <w:tcPr>
            <w:tcW w:w="1604" w:type="dxa"/>
            <w:vAlign w:val="center"/>
          </w:tcPr>
          <w:p>
            <w:pPr>
              <w:pStyle w:val="26"/>
              <w:spacing w:line="360" w:lineRule="exact"/>
              <w:ind w:firstLine="210" w:firstLineChars="100"/>
              <w:jc w:val="both"/>
              <w:rPr>
                <w:color w:val="auto"/>
                <w:szCs w:val="21"/>
              </w:rPr>
            </w:pPr>
            <w:r>
              <w:rPr>
                <w:rFonts w:eastAsiaTheme="minorEastAsia"/>
                <w:color w:val="auto"/>
                <w:szCs w:val="24"/>
              </w:rPr>
              <w:t>《火葬场大气污染物排放标准》（GB13801-2015）表3标准要求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705" w:type="dxa"/>
            <w:vAlign w:val="center"/>
          </w:tcPr>
          <w:p>
            <w:pPr>
              <w:pStyle w:val="26"/>
              <w:spacing w:line="360" w:lineRule="exact"/>
              <w:rPr>
                <w:color w:val="auto"/>
                <w:szCs w:val="21"/>
              </w:rPr>
            </w:pPr>
            <w:r>
              <w:rPr>
                <w:color w:val="auto"/>
                <w:szCs w:val="21"/>
              </w:rPr>
              <w:t>厨房</w:t>
            </w:r>
          </w:p>
        </w:tc>
        <w:tc>
          <w:tcPr>
            <w:tcW w:w="709" w:type="dxa"/>
            <w:vAlign w:val="center"/>
          </w:tcPr>
          <w:p>
            <w:pPr>
              <w:pStyle w:val="26"/>
              <w:spacing w:line="360" w:lineRule="exact"/>
              <w:rPr>
                <w:color w:val="auto"/>
                <w:szCs w:val="21"/>
              </w:rPr>
            </w:pPr>
            <w:r>
              <w:rPr>
                <w:color w:val="auto"/>
                <w:szCs w:val="21"/>
              </w:rPr>
              <w:t>--</w:t>
            </w:r>
          </w:p>
        </w:tc>
        <w:tc>
          <w:tcPr>
            <w:tcW w:w="992" w:type="dxa"/>
            <w:vAlign w:val="center"/>
          </w:tcPr>
          <w:p>
            <w:pPr>
              <w:pStyle w:val="26"/>
              <w:spacing w:line="360" w:lineRule="exact"/>
              <w:rPr>
                <w:color w:val="auto"/>
                <w:szCs w:val="21"/>
              </w:rPr>
            </w:pPr>
            <w:r>
              <w:rPr>
                <w:color w:val="auto"/>
                <w:szCs w:val="21"/>
              </w:rPr>
              <w:t>--</w:t>
            </w:r>
          </w:p>
        </w:tc>
        <w:tc>
          <w:tcPr>
            <w:tcW w:w="1418" w:type="dxa"/>
            <w:vAlign w:val="center"/>
          </w:tcPr>
          <w:p>
            <w:pPr>
              <w:pStyle w:val="26"/>
              <w:rPr>
                <w:color w:val="auto"/>
                <w:szCs w:val="21"/>
              </w:rPr>
            </w:pPr>
            <w:r>
              <w:rPr>
                <w:color w:val="auto"/>
                <w:szCs w:val="21"/>
              </w:rPr>
              <w:t>厨房油烟</w:t>
            </w:r>
          </w:p>
        </w:tc>
        <w:tc>
          <w:tcPr>
            <w:tcW w:w="2977" w:type="dxa"/>
            <w:vAlign w:val="center"/>
          </w:tcPr>
          <w:p>
            <w:pPr>
              <w:pStyle w:val="26"/>
              <w:spacing w:line="360" w:lineRule="exact"/>
              <w:ind w:firstLine="210" w:firstLineChars="100"/>
              <w:jc w:val="both"/>
              <w:rPr>
                <w:color w:val="auto"/>
                <w:szCs w:val="21"/>
              </w:rPr>
            </w:pPr>
            <w:r>
              <w:rPr>
                <w:color w:val="auto"/>
                <w:szCs w:val="21"/>
              </w:rPr>
              <w:t>项目区厨房安装一个最低去除率60%的油烟净化器。</w:t>
            </w:r>
          </w:p>
        </w:tc>
        <w:tc>
          <w:tcPr>
            <w:tcW w:w="1604" w:type="dxa"/>
            <w:vAlign w:val="center"/>
          </w:tcPr>
          <w:p>
            <w:pPr>
              <w:pStyle w:val="26"/>
              <w:spacing w:line="360" w:lineRule="exact"/>
              <w:ind w:firstLine="210" w:firstLineChars="100"/>
              <w:jc w:val="both"/>
              <w:rPr>
                <w:color w:val="auto"/>
                <w:szCs w:val="21"/>
              </w:rPr>
            </w:pPr>
            <w:r>
              <w:rPr>
                <w:color w:val="auto"/>
                <w:szCs w:val="21"/>
              </w:rPr>
              <w:t>《饮食业油烟排放标准》（GB18483-2001）（试行）小型标准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地表水环境</w:t>
            </w:r>
          </w:p>
        </w:tc>
        <w:tc>
          <w:tcPr>
            <w:tcW w:w="429" w:type="dxa"/>
            <w:vMerge w:val="restart"/>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施工期</w:t>
            </w:r>
          </w:p>
        </w:tc>
        <w:tc>
          <w:tcPr>
            <w:tcW w:w="1414" w:type="dxa"/>
            <w:gridSpan w:val="2"/>
            <w:vMerge w:val="restart"/>
            <w:vAlign w:val="center"/>
          </w:tcPr>
          <w:p>
            <w:pPr>
              <w:pStyle w:val="26"/>
              <w:spacing w:line="360" w:lineRule="exact"/>
              <w:rPr>
                <w:color w:val="auto"/>
                <w:szCs w:val="21"/>
              </w:rPr>
            </w:pPr>
            <w:r>
              <w:rPr>
                <w:color w:val="auto"/>
                <w:szCs w:val="21"/>
              </w:rPr>
              <w:t>施工场地</w:t>
            </w:r>
          </w:p>
        </w:tc>
        <w:tc>
          <w:tcPr>
            <w:tcW w:w="992" w:type="dxa"/>
            <w:vMerge w:val="restart"/>
            <w:vAlign w:val="center"/>
          </w:tcPr>
          <w:p>
            <w:pPr>
              <w:pStyle w:val="26"/>
              <w:spacing w:line="360" w:lineRule="exact"/>
              <w:rPr>
                <w:color w:val="auto"/>
                <w:szCs w:val="21"/>
              </w:rPr>
            </w:pPr>
            <w:r>
              <w:rPr>
                <w:color w:val="auto"/>
                <w:szCs w:val="21"/>
              </w:rPr>
              <w:t>不外排</w:t>
            </w:r>
          </w:p>
        </w:tc>
        <w:tc>
          <w:tcPr>
            <w:tcW w:w="1418" w:type="dxa"/>
            <w:vAlign w:val="center"/>
          </w:tcPr>
          <w:p>
            <w:pPr>
              <w:pStyle w:val="26"/>
              <w:spacing w:line="360" w:lineRule="exact"/>
              <w:rPr>
                <w:color w:val="auto"/>
                <w:szCs w:val="21"/>
              </w:rPr>
            </w:pPr>
            <w:r>
              <w:rPr>
                <w:color w:val="auto"/>
                <w:szCs w:val="21"/>
              </w:rPr>
              <w:t>施工废水</w:t>
            </w:r>
          </w:p>
        </w:tc>
        <w:tc>
          <w:tcPr>
            <w:tcW w:w="2977" w:type="dxa"/>
            <w:vAlign w:val="center"/>
          </w:tcPr>
          <w:p>
            <w:pPr>
              <w:pStyle w:val="26"/>
              <w:spacing w:line="360" w:lineRule="exact"/>
              <w:ind w:firstLine="210" w:firstLineChars="100"/>
              <w:jc w:val="both"/>
              <w:rPr>
                <w:color w:val="auto"/>
                <w:szCs w:val="21"/>
              </w:rPr>
            </w:pPr>
            <w:r>
              <w:rPr>
                <w:color w:val="auto"/>
                <w:szCs w:val="21"/>
              </w:rPr>
              <w:t>施工废水通过施工场地的临时沉淀池沉淀处理后，回用于施工场地洒水降尘，不外排。</w:t>
            </w:r>
          </w:p>
        </w:tc>
        <w:tc>
          <w:tcPr>
            <w:tcW w:w="1604" w:type="dxa"/>
            <w:vAlign w:val="center"/>
          </w:tcPr>
          <w:p>
            <w:pPr>
              <w:pStyle w:val="26"/>
              <w:spacing w:line="360" w:lineRule="exact"/>
              <w:ind w:firstLine="210" w:firstLineChars="100"/>
              <w:jc w:val="both"/>
              <w:rPr>
                <w:color w:val="auto"/>
                <w:szCs w:val="21"/>
              </w:rPr>
            </w:pP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1414" w:type="dxa"/>
            <w:gridSpan w:val="2"/>
            <w:vMerge w:val="continue"/>
            <w:vAlign w:val="center"/>
          </w:tcPr>
          <w:p>
            <w:pPr>
              <w:pStyle w:val="26"/>
              <w:spacing w:line="360" w:lineRule="exact"/>
              <w:rPr>
                <w:color w:val="auto"/>
                <w:szCs w:val="21"/>
              </w:rPr>
            </w:pPr>
          </w:p>
        </w:tc>
        <w:tc>
          <w:tcPr>
            <w:tcW w:w="992" w:type="dxa"/>
            <w:vMerge w:val="continue"/>
            <w:vAlign w:val="center"/>
          </w:tcPr>
          <w:p>
            <w:pPr>
              <w:pStyle w:val="26"/>
              <w:spacing w:line="360" w:lineRule="exact"/>
              <w:rPr>
                <w:color w:val="auto"/>
                <w:szCs w:val="21"/>
              </w:rPr>
            </w:pPr>
          </w:p>
        </w:tc>
        <w:tc>
          <w:tcPr>
            <w:tcW w:w="1418" w:type="dxa"/>
            <w:vAlign w:val="center"/>
          </w:tcPr>
          <w:p>
            <w:pPr>
              <w:pStyle w:val="26"/>
              <w:spacing w:line="360" w:lineRule="exact"/>
              <w:rPr>
                <w:color w:val="auto"/>
                <w:szCs w:val="21"/>
              </w:rPr>
            </w:pPr>
            <w:r>
              <w:rPr>
                <w:color w:val="auto"/>
                <w:szCs w:val="21"/>
              </w:rPr>
              <w:t>生活污水</w:t>
            </w:r>
          </w:p>
        </w:tc>
        <w:tc>
          <w:tcPr>
            <w:tcW w:w="2977" w:type="dxa"/>
            <w:vAlign w:val="center"/>
          </w:tcPr>
          <w:p>
            <w:pPr>
              <w:pStyle w:val="26"/>
              <w:spacing w:line="360" w:lineRule="exact"/>
              <w:ind w:firstLine="210" w:firstLineChars="100"/>
              <w:jc w:val="both"/>
              <w:rPr>
                <w:color w:val="auto"/>
                <w:szCs w:val="21"/>
              </w:rPr>
            </w:pPr>
            <w:r>
              <w:rPr>
                <w:color w:val="auto"/>
                <w:szCs w:val="21"/>
              </w:rPr>
              <w:t>施工期施工人员不在项目区食宿，生活污水仅为洗手污水，施工生活污水通过施工场地的临时沉淀池沉淀处理后，回用于施工场地洒水降尘，不外排。</w:t>
            </w:r>
          </w:p>
        </w:tc>
        <w:tc>
          <w:tcPr>
            <w:tcW w:w="1604" w:type="dxa"/>
            <w:vAlign w:val="center"/>
          </w:tcPr>
          <w:p>
            <w:pPr>
              <w:pStyle w:val="26"/>
              <w:spacing w:line="360" w:lineRule="exact"/>
              <w:ind w:firstLine="210" w:firstLineChars="100"/>
              <w:jc w:val="both"/>
              <w:rPr>
                <w:color w:val="auto"/>
                <w:szCs w:val="21"/>
              </w:rPr>
            </w:pP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rPr>
            </w:pPr>
          </w:p>
        </w:tc>
        <w:tc>
          <w:tcPr>
            <w:tcW w:w="1414" w:type="dxa"/>
            <w:gridSpan w:val="2"/>
            <w:vMerge w:val="continue"/>
            <w:vAlign w:val="center"/>
          </w:tcPr>
          <w:p>
            <w:pPr>
              <w:pStyle w:val="26"/>
              <w:spacing w:line="360" w:lineRule="exact"/>
              <w:rPr>
                <w:color w:val="auto"/>
                <w:szCs w:val="21"/>
              </w:rPr>
            </w:pPr>
          </w:p>
        </w:tc>
        <w:tc>
          <w:tcPr>
            <w:tcW w:w="992" w:type="dxa"/>
            <w:vMerge w:val="continue"/>
            <w:tcBorders>
              <w:bottom w:val="single" w:color="auto" w:sz="4" w:space="0"/>
            </w:tcBorders>
            <w:vAlign w:val="center"/>
          </w:tcPr>
          <w:p>
            <w:pPr>
              <w:pStyle w:val="26"/>
              <w:spacing w:line="360" w:lineRule="exact"/>
              <w:rPr>
                <w:color w:val="auto"/>
                <w:szCs w:val="21"/>
              </w:rPr>
            </w:pPr>
          </w:p>
        </w:tc>
        <w:tc>
          <w:tcPr>
            <w:tcW w:w="1418" w:type="dxa"/>
            <w:vAlign w:val="center"/>
          </w:tcPr>
          <w:p>
            <w:pPr>
              <w:pStyle w:val="26"/>
              <w:spacing w:line="360" w:lineRule="exact"/>
              <w:rPr>
                <w:color w:val="auto"/>
                <w:szCs w:val="21"/>
              </w:rPr>
            </w:pPr>
            <w:r>
              <w:rPr>
                <w:color w:val="auto"/>
                <w:szCs w:val="21"/>
              </w:rPr>
              <w:t>地表径流</w:t>
            </w:r>
          </w:p>
        </w:tc>
        <w:tc>
          <w:tcPr>
            <w:tcW w:w="2977" w:type="dxa"/>
            <w:vAlign w:val="center"/>
          </w:tcPr>
          <w:p>
            <w:pPr>
              <w:pStyle w:val="26"/>
              <w:spacing w:line="360" w:lineRule="exact"/>
              <w:ind w:firstLine="210" w:firstLineChars="100"/>
              <w:jc w:val="both"/>
              <w:rPr>
                <w:color w:val="auto"/>
                <w:szCs w:val="21"/>
              </w:rPr>
            </w:pPr>
            <w:r>
              <w:rPr>
                <w:color w:val="auto"/>
                <w:szCs w:val="21"/>
              </w:rPr>
              <w:t>项目在雨季施工时容易造成局施工期应按在施工场地内设置临时截洪沟，引排施工场地雨天产生的地表径流水，施工场地地表径流经施工废水沉淀池沉淀后回用，可减少径流水对项目区域地表水体水质的污染。</w:t>
            </w:r>
          </w:p>
        </w:tc>
        <w:tc>
          <w:tcPr>
            <w:tcW w:w="1604" w:type="dxa"/>
            <w:tcBorders>
              <w:bottom w:val="single" w:color="auto" w:sz="4" w:space="0"/>
            </w:tcBorders>
            <w:vAlign w:val="center"/>
          </w:tcPr>
          <w:p>
            <w:pPr>
              <w:pStyle w:val="26"/>
              <w:spacing w:line="360" w:lineRule="exact"/>
              <w:ind w:firstLine="210" w:firstLineChars="100"/>
              <w:jc w:val="both"/>
              <w:rPr>
                <w:color w:val="auto"/>
                <w:szCs w:val="21"/>
              </w:rPr>
            </w:pPr>
            <w:r>
              <w:rPr>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运营期</w:t>
            </w:r>
          </w:p>
        </w:tc>
        <w:tc>
          <w:tcPr>
            <w:tcW w:w="1414" w:type="dxa"/>
            <w:gridSpan w:val="2"/>
            <w:vAlign w:val="center"/>
          </w:tcPr>
          <w:p>
            <w:pPr>
              <w:pStyle w:val="26"/>
              <w:spacing w:line="360" w:lineRule="exact"/>
              <w:rPr>
                <w:color w:val="auto"/>
                <w:szCs w:val="21"/>
              </w:rPr>
            </w:pPr>
            <w:r>
              <w:rPr>
                <w:color w:val="auto"/>
                <w:szCs w:val="21"/>
              </w:rPr>
              <w:t>遗体清洗</w:t>
            </w:r>
          </w:p>
        </w:tc>
        <w:tc>
          <w:tcPr>
            <w:tcW w:w="992" w:type="dxa"/>
            <w:tcBorders>
              <w:top w:val="single" w:color="auto" w:sz="4" w:space="0"/>
              <w:bottom w:val="single" w:color="auto" w:sz="4" w:space="0"/>
            </w:tcBorders>
            <w:vAlign w:val="center"/>
          </w:tcPr>
          <w:p>
            <w:pPr>
              <w:pStyle w:val="26"/>
              <w:spacing w:line="360" w:lineRule="exact"/>
              <w:rPr>
                <w:color w:val="auto"/>
                <w:szCs w:val="21"/>
              </w:rPr>
            </w:pPr>
            <w:r>
              <w:rPr>
                <w:color w:val="auto"/>
                <w:szCs w:val="21"/>
              </w:rPr>
              <w:t>不外排</w:t>
            </w:r>
          </w:p>
        </w:tc>
        <w:tc>
          <w:tcPr>
            <w:tcW w:w="1418" w:type="dxa"/>
            <w:vAlign w:val="center"/>
          </w:tcPr>
          <w:p>
            <w:pPr>
              <w:pStyle w:val="26"/>
              <w:spacing w:line="360" w:lineRule="exact"/>
              <w:rPr>
                <w:color w:val="auto"/>
                <w:szCs w:val="21"/>
              </w:rPr>
            </w:pPr>
            <w:r>
              <w:rPr>
                <w:rFonts w:eastAsiaTheme="minorEastAsia"/>
                <w:color w:val="auto"/>
                <w:szCs w:val="21"/>
              </w:rPr>
              <w:t>遗体清洗废水</w:t>
            </w:r>
            <w:r>
              <w:rPr>
                <w:rFonts w:eastAsiaTheme="minorEastAsia"/>
                <w:color w:val="auto"/>
                <w:szCs w:val="21"/>
                <w:lang w:val="en-US"/>
              </w:rPr>
              <w:t>（pH</w:t>
            </w:r>
            <w:r>
              <w:rPr>
                <w:rFonts w:eastAsiaTheme="minorEastAsia"/>
                <w:color w:val="auto"/>
                <w:szCs w:val="21"/>
              </w:rPr>
              <w:t>、</w:t>
            </w:r>
            <w:r>
              <w:rPr>
                <w:rFonts w:eastAsiaTheme="minorEastAsia"/>
                <w:color w:val="auto"/>
                <w:szCs w:val="21"/>
                <w:lang w:val="en-US"/>
              </w:rPr>
              <w:t>CODcr</w:t>
            </w:r>
            <w:r>
              <w:rPr>
                <w:rFonts w:eastAsiaTheme="minorEastAsia"/>
                <w:color w:val="auto"/>
                <w:szCs w:val="21"/>
              </w:rPr>
              <w:t>、</w:t>
            </w:r>
            <w:r>
              <w:rPr>
                <w:rFonts w:eastAsiaTheme="minorEastAsia"/>
                <w:color w:val="auto"/>
                <w:szCs w:val="21"/>
                <w:lang w:val="en-US"/>
              </w:rPr>
              <w:t>BOD</w:t>
            </w:r>
            <w:r>
              <w:rPr>
                <w:rFonts w:eastAsiaTheme="minorEastAsia"/>
                <w:color w:val="auto"/>
                <w:szCs w:val="21"/>
                <w:vertAlign w:val="subscript"/>
                <w:lang w:val="en-US"/>
              </w:rPr>
              <w:t>5</w:t>
            </w: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-NSS、总磷、总氮、粪大肠菌群数</w:t>
            </w:r>
            <w:r>
              <w:rPr>
                <w:rFonts w:eastAsiaTheme="minorEastAsia"/>
                <w:color w:val="auto"/>
                <w:szCs w:val="21"/>
                <w:lang w:val="en-US"/>
              </w:rPr>
              <w:t>）</w:t>
            </w:r>
          </w:p>
        </w:tc>
        <w:tc>
          <w:tcPr>
            <w:tcW w:w="2977" w:type="dxa"/>
            <w:vAlign w:val="center"/>
          </w:tcPr>
          <w:p>
            <w:pPr>
              <w:pStyle w:val="26"/>
              <w:spacing w:line="360" w:lineRule="exact"/>
              <w:ind w:firstLine="210" w:firstLineChars="100"/>
              <w:jc w:val="both"/>
              <w:rPr>
                <w:color w:val="auto"/>
                <w:szCs w:val="21"/>
              </w:rPr>
            </w:pPr>
            <w:r>
              <w:rPr>
                <w:color w:val="auto"/>
                <w:szCs w:val="21"/>
              </w:rPr>
              <w:t>遗体清洗废水进入1个8m³的调节池进行收集、调节后，统一进入1个处理能力为20m³/d的一体化污水处理设施进行处理，处理后回用于项目区绿化，不外排。</w:t>
            </w:r>
          </w:p>
        </w:tc>
        <w:tc>
          <w:tcPr>
            <w:tcW w:w="1604" w:type="dxa"/>
            <w:vMerge w:val="restart"/>
            <w:tcBorders>
              <w:top w:val="single" w:color="auto" w:sz="4" w:space="0"/>
            </w:tcBorders>
            <w:vAlign w:val="center"/>
          </w:tcPr>
          <w:p>
            <w:pPr>
              <w:pStyle w:val="26"/>
              <w:spacing w:line="360" w:lineRule="exact"/>
              <w:ind w:firstLine="210" w:firstLineChars="100"/>
              <w:jc w:val="both"/>
              <w:rPr>
                <w:color w:val="auto"/>
                <w:szCs w:val="21"/>
              </w:rPr>
            </w:pPr>
            <w:r>
              <w:rPr>
                <w:color w:val="auto"/>
                <w:szCs w:val="21"/>
              </w:rPr>
              <w:t>《城市污水再生利用 城市杂用水水质》（GB/T18920-2020）中城市绿化标准。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rPr>
            </w:pPr>
          </w:p>
        </w:tc>
        <w:tc>
          <w:tcPr>
            <w:tcW w:w="1414" w:type="dxa"/>
            <w:gridSpan w:val="2"/>
            <w:vAlign w:val="center"/>
          </w:tcPr>
          <w:p>
            <w:pPr>
              <w:pStyle w:val="26"/>
              <w:spacing w:line="360" w:lineRule="exact"/>
              <w:rPr>
                <w:color w:val="auto"/>
                <w:szCs w:val="21"/>
              </w:rPr>
            </w:pPr>
            <w:r>
              <w:rPr>
                <w:rFonts w:eastAsiaTheme="minorEastAsia"/>
                <w:color w:val="auto"/>
                <w:szCs w:val="21"/>
              </w:rPr>
              <w:t>员工生活</w:t>
            </w:r>
          </w:p>
        </w:tc>
        <w:tc>
          <w:tcPr>
            <w:tcW w:w="992" w:type="dxa"/>
            <w:tcBorders>
              <w:top w:val="single" w:color="auto" w:sz="4" w:space="0"/>
              <w:bottom w:val="single" w:color="auto" w:sz="4" w:space="0"/>
            </w:tcBorders>
            <w:vAlign w:val="center"/>
          </w:tcPr>
          <w:p>
            <w:pPr>
              <w:pStyle w:val="26"/>
              <w:spacing w:line="360" w:lineRule="exact"/>
              <w:rPr>
                <w:color w:val="auto"/>
                <w:szCs w:val="21"/>
              </w:rPr>
            </w:pPr>
            <w:r>
              <w:rPr>
                <w:color w:val="auto"/>
                <w:szCs w:val="21"/>
              </w:rPr>
              <w:t>不外排</w:t>
            </w:r>
          </w:p>
        </w:tc>
        <w:tc>
          <w:tcPr>
            <w:tcW w:w="1418" w:type="dxa"/>
            <w:vAlign w:val="center"/>
          </w:tcPr>
          <w:p>
            <w:pPr>
              <w:pStyle w:val="26"/>
              <w:spacing w:line="360" w:lineRule="exact"/>
              <w:rPr>
                <w:rFonts w:eastAsiaTheme="minorEastAsia"/>
                <w:color w:val="auto"/>
                <w:szCs w:val="21"/>
                <w:lang w:val="en-US"/>
              </w:rPr>
            </w:pPr>
            <w:r>
              <w:rPr>
                <w:rFonts w:eastAsiaTheme="minorEastAsia"/>
                <w:color w:val="auto"/>
                <w:szCs w:val="21"/>
              </w:rPr>
              <w:t>生活污水</w:t>
            </w:r>
            <w:r>
              <w:rPr>
                <w:rFonts w:eastAsiaTheme="minorEastAsia"/>
                <w:color w:val="auto"/>
                <w:szCs w:val="21"/>
                <w:lang w:val="en-US"/>
              </w:rPr>
              <w:t>（pH、CODcr、BOD</w:t>
            </w:r>
            <w:r>
              <w:rPr>
                <w:rFonts w:eastAsiaTheme="minorEastAsia"/>
                <w:color w:val="auto"/>
                <w:szCs w:val="21"/>
                <w:vertAlign w:val="subscript"/>
                <w:lang w:val="en-US"/>
              </w:rPr>
              <w:t>5</w:t>
            </w:r>
            <w:r>
              <w:rPr>
                <w:rFonts w:eastAsiaTheme="minorEastAsia"/>
                <w:color w:val="auto"/>
                <w:szCs w:val="21"/>
                <w:lang w:val="en-US"/>
              </w:rPr>
              <w:t>、NH</w:t>
            </w:r>
            <w:r>
              <w:rPr>
                <w:rFonts w:eastAsiaTheme="minorEastAsia"/>
                <w:color w:val="auto"/>
                <w:szCs w:val="21"/>
                <w:vertAlign w:val="subscript"/>
                <w:lang w:val="en-US"/>
              </w:rPr>
              <w:t>3</w:t>
            </w:r>
            <w:r>
              <w:rPr>
                <w:rFonts w:eastAsiaTheme="minorEastAsia"/>
                <w:color w:val="auto"/>
                <w:szCs w:val="21"/>
                <w:lang w:val="en-US"/>
              </w:rPr>
              <w:t>-N</w:t>
            </w:r>
            <w:r>
              <w:rPr>
                <w:rFonts w:eastAsiaTheme="minorEastAsia"/>
                <w:color w:val="auto"/>
                <w:szCs w:val="21"/>
              </w:rPr>
              <w:t>SS、总磷、总氮、</w:t>
            </w:r>
            <w:r>
              <w:rPr>
                <w:rFonts w:eastAsiaTheme="minorEastAsia"/>
                <w:bCs w:val="0"/>
                <w:snapToGrid/>
                <w:color w:val="auto"/>
                <w:kern w:val="0"/>
                <w:szCs w:val="21"/>
                <w:lang w:val="en-US"/>
              </w:rPr>
              <w:t>阴离子表面活性剂、动植物油、</w:t>
            </w:r>
            <w:r>
              <w:rPr>
                <w:rFonts w:eastAsiaTheme="minorEastAsia"/>
                <w:color w:val="auto"/>
                <w:szCs w:val="21"/>
              </w:rPr>
              <w:t>粪大肠菌群数</w:t>
            </w:r>
            <w:r>
              <w:rPr>
                <w:rFonts w:eastAsiaTheme="minorEastAsia"/>
                <w:color w:val="auto"/>
                <w:szCs w:val="21"/>
                <w:lang w:val="en-US"/>
              </w:rPr>
              <w:t>）</w:t>
            </w:r>
          </w:p>
        </w:tc>
        <w:tc>
          <w:tcPr>
            <w:tcW w:w="2977" w:type="dxa"/>
            <w:vAlign w:val="center"/>
          </w:tcPr>
          <w:p>
            <w:pPr>
              <w:pStyle w:val="26"/>
              <w:spacing w:line="360" w:lineRule="exact"/>
              <w:ind w:firstLine="210" w:firstLineChars="100"/>
              <w:jc w:val="both"/>
              <w:rPr>
                <w:color w:val="auto"/>
                <w:szCs w:val="21"/>
              </w:rPr>
            </w:pPr>
            <w:r>
              <w:rPr>
                <w:color w:val="auto"/>
                <w:szCs w:val="21"/>
              </w:rPr>
              <w:t>厨房废水首先进入1个1m³的隔油池进行预处理后再和其他生活污水一起进入5m³的化粪池处理，经化粪池处理后的生活污水进入1个8m³的调节池进行收集、调节，再统一进入1个处理能力为20m³/d的一体化污水处理设施进行处理，处理后回用于项目区绿化，不外排。</w:t>
            </w:r>
          </w:p>
        </w:tc>
        <w:tc>
          <w:tcPr>
            <w:tcW w:w="1604" w:type="dxa"/>
            <w:vMerge w:val="continue"/>
            <w:tcBorders>
              <w:top w:val="single" w:color="auto" w:sz="4" w:space="0"/>
            </w:tcBorders>
            <w:vAlign w:val="center"/>
          </w:tcPr>
          <w:p>
            <w:pPr>
              <w:pStyle w:val="26"/>
              <w:spacing w:line="360" w:lineRule="exact"/>
              <w:ind w:firstLine="210" w:firstLineChars="100"/>
              <w:jc w:val="both"/>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rPr>
            </w:pPr>
          </w:p>
        </w:tc>
        <w:tc>
          <w:tcPr>
            <w:tcW w:w="1414" w:type="dxa"/>
            <w:gridSpan w:val="2"/>
            <w:vAlign w:val="center"/>
          </w:tcPr>
          <w:p>
            <w:pPr>
              <w:pStyle w:val="26"/>
              <w:spacing w:line="360" w:lineRule="exact"/>
              <w:rPr>
                <w:color w:val="auto"/>
                <w:szCs w:val="21"/>
              </w:rPr>
            </w:pPr>
            <w:r>
              <w:rPr>
                <w:rFonts w:eastAsiaTheme="minorEastAsia"/>
                <w:color w:val="auto"/>
                <w:szCs w:val="21"/>
              </w:rPr>
              <w:t>灵车清洗</w:t>
            </w:r>
          </w:p>
        </w:tc>
        <w:tc>
          <w:tcPr>
            <w:tcW w:w="992" w:type="dxa"/>
            <w:tcBorders>
              <w:top w:val="single" w:color="auto" w:sz="4" w:space="0"/>
              <w:bottom w:val="single" w:color="auto" w:sz="4" w:space="0"/>
            </w:tcBorders>
            <w:vAlign w:val="center"/>
          </w:tcPr>
          <w:p>
            <w:pPr>
              <w:pStyle w:val="26"/>
              <w:spacing w:line="360" w:lineRule="exact"/>
              <w:rPr>
                <w:color w:val="auto"/>
                <w:szCs w:val="21"/>
              </w:rPr>
            </w:pPr>
            <w:r>
              <w:rPr>
                <w:color w:val="auto"/>
                <w:szCs w:val="21"/>
              </w:rPr>
              <w:t>不外排</w:t>
            </w:r>
          </w:p>
        </w:tc>
        <w:tc>
          <w:tcPr>
            <w:tcW w:w="1418" w:type="dxa"/>
            <w:vAlign w:val="center"/>
          </w:tcPr>
          <w:p>
            <w:pPr>
              <w:pStyle w:val="26"/>
              <w:spacing w:line="360" w:lineRule="exact"/>
              <w:rPr>
                <w:color w:val="auto"/>
                <w:szCs w:val="21"/>
              </w:rPr>
            </w:pPr>
            <w:r>
              <w:rPr>
                <w:rFonts w:eastAsiaTheme="minorEastAsia"/>
                <w:color w:val="auto"/>
                <w:szCs w:val="21"/>
              </w:rPr>
              <w:t>灵车清洗废水（pH、CODcr、BOD</w:t>
            </w:r>
            <w:r>
              <w:rPr>
                <w:rFonts w:eastAsiaTheme="minorEastAsia"/>
                <w:color w:val="auto"/>
                <w:szCs w:val="21"/>
                <w:vertAlign w:val="subscript"/>
              </w:rPr>
              <w:t>5</w:t>
            </w: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-N、SS、总磷、总氮、</w:t>
            </w:r>
            <w:r>
              <w:rPr>
                <w:rFonts w:eastAsiaTheme="minorEastAsia"/>
                <w:bCs w:val="0"/>
                <w:snapToGrid/>
                <w:color w:val="auto"/>
                <w:kern w:val="0"/>
                <w:szCs w:val="21"/>
                <w:lang w:val="en-US"/>
              </w:rPr>
              <w:t>阴离子表面活性剂</w:t>
            </w:r>
            <w:r>
              <w:rPr>
                <w:rFonts w:eastAsiaTheme="minorEastAsia"/>
                <w:color w:val="auto"/>
                <w:szCs w:val="21"/>
              </w:rPr>
              <w:t>、粪大肠菌群数）</w:t>
            </w:r>
          </w:p>
        </w:tc>
        <w:tc>
          <w:tcPr>
            <w:tcW w:w="2977" w:type="dxa"/>
            <w:vAlign w:val="center"/>
          </w:tcPr>
          <w:p>
            <w:pPr>
              <w:pStyle w:val="26"/>
              <w:spacing w:line="360" w:lineRule="exact"/>
              <w:ind w:firstLine="210" w:firstLineChars="100"/>
              <w:jc w:val="both"/>
              <w:rPr>
                <w:color w:val="auto"/>
                <w:szCs w:val="21"/>
              </w:rPr>
            </w:pPr>
            <w:r>
              <w:rPr>
                <w:color w:val="auto"/>
                <w:szCs w:val="21"/>
              </w:rPr>
              <w:t>灵车清洗废水进入1个8m³的调节池进行收集、调节后，统一进入1个处理能力为20m³/d的一体化污水处理设施进行处理，处理后回用于项目区绿化，不外排。</w:t>
            </w:r>
          </w:p>
        </w:tc>
        <w:tc>
          <w:tcPr>
            <w:tcW w:w="1604" w:type="dxa"/>
            <w:vMerge w:val="continue"/>
            <w:tcBorders>
              <w:top w:val="single" w:color="auto" w:sz="4" w:space="0"/>
            </w:tcBorders>
            <w:vAlign w:val="center"/>
          </w:tcPr>
          <w:p>
            <w:pPr>
              <w:pStyle w:val="26"/>
              <w:spacing w:line="360" w:lineRule="exact"/>
              <w:ind w:firstLine="210" w:firstLineChars="100"/>
              <w:jc w:val="both"/>
              <w:rPr>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1414" w:type="dxa"/>
            <w:gridSpan w:val="2"/>
            <w:vMerge w:val="restart"/>
            <w:vAlign w:val="center"/>
          </w:tcPr>
          <w:p>
            <w:pPr>
              <w:pStyle w:val="26"/>
              <w:spacing w:line="360" w:lineRule="exact"/>
              <w:rPr>
                <w:rFonts w:eastAsiaTheme="minorEastAsia"/>
                <w:color w:val="auto"/>
                <w:szCs w:val="21"/>
              </w:rPr>
            </w:pPr>
            <w:r>
              <w:rPr>
                <w:rFonts w:eastAsiaTheme="minorEastAsia"/>
                <w:color w:val="auto"/>
                <w:szCs w:val="21"/>
              </w:rPr>
              <w:t>厂区范围</w:t>
            </w:r>
          </w:p>
        </w:tc>
        <w:tc>
          <w:tcPr>
            <w:tcW w:w="992" w:type="dxa"/>
            <w:tcBorders>
              <w:top w:val="single" w:color="auto" w:sz="4" w:space="0"/>
            </w:tcBorders>
            <w:vAlign w:val="center"/>
          </w:tcPr>
          <w:p>
            <w:pPr>
              <w:pStyle w:val="26"/>
              <w:spacing w:line="360" w:lineRule="exact"/>
              <w:rPr>
                <w:rFonts w:eastAsiaTheme="minorEastAsia"/>
                <w:bCs w:val="0"/>
                <w:snapToGrid/>
                <w:color w:val="auto"/>
                <w:kern w:val="0"/>
                <w:szCs w:val="21"/>
                <w:lang w:val="en-US"/>
              </w:rPr>
            </w:pPr>
            <w:r>
              <w:rPr>
                <w:color w:val="auto"/>
                <w:szCs w:val="21"/>
              </w:rPr>
              <w:t>不外排</w:t>
            </w:r>
          </w:p>
        </w:tc>
        <w:tc>
          <w:tcPr>
            <w:tcW w:w="1418" w:type="dxa"/>
            <w:vAlign w:val="center"/>
          </w:tcPr>
          <w:p>
            <w:pPr>
              <w:pStyle w:val="26"/>
              <w:rPr>
                <w:rFonts w:eastAsiaTheme="minorEastAsia"/>
                <w:color w:val="auto"/>
                <w:szCs w:val="21"/>
                <w:lang w:val="en-US"/>
              </w:rPr>
            </w:pPr>
            <w:r>
              <w:rPr>
                <w:rFonts w:eastAsiaTheme="minorEastAsia"/>
                <w:color w:val="auto"/>
                <w:szCs w:val="21"/>
              </w:rPr>
              <w:t>初期雨水</w:t>
            </w:r>
            <w:r>
              <w:rPr>
                <w:rFonts w:eastAsiaTheme="minorEastAsia"/>
                <w:color w:val="auto"/>
                <w:szCs w:val="21"/>
                <w:lang w:val="en-US"/>
              </w:rPr>
              <w:t>（CODcr</w:t>
            </w:r>
            <w:r>
              <w:rPr>
                <w:rFonts w:eastAsiaTheme="minorEastAsia"/>
                <w:color w:val="auto"/>
                <w:szCs w:val="21"/>
              </w:rPr>
              <w:t>、</w:t>
            </w:r>
            <w:r>
              <w:rPr>
                <w:rFonts w:eastAsiaTheme="minorEastAsia"/>
                <w:color w:val="auto"/>
                <w:szCs w:val="21"/>
                <w:lang w:val="en-US"/>
              </w:rPr>
              <w:t>SS）</w:t>
            </w:r>
          </w:p>
        </w:tc>
        <w:tc>
          <w:tcPr>
            <w:tcW w:w="2977" w:type="dxa"/>
            <w:vAlign w:val="center"/>
          </w:tcPr>
          <w:p>
            <w:pPr>
              <w:pStyle w:val="26"/>
              <w:spacing w:line="360" w:lineRule="exact"/>
              <w:ind w:firstLine="210" w:firstLineChars="100"/>
              <w:jc w:val="both"/>
              <w:rPr>
                <w:color w:val="auto"/>
                <w:szCs w:val="21"/>
                <w:lang w:val="en-US"/>
              </w:rPr>
            </w:pPr>
            <w:r>
              <w:rPr>
                <w:color w:val="auto"/>
                <w:szCs w:val="21"/>
              </w:rPr>
              <w:t>初期雨水先进入1个有效容积为6m³的初期雨水收集池收集后，进入1个8m³的调节池进行收集、调节后，统一进入1个处理能力为20m³/d的一体化污水处理设施进行处理，处理后回用于项目区绿化，不外排。</w:t>
            </w:r>
          </w:p>
        </w:tc>
        <w:tc>
          <w:tcPr>
            <w:tcW w:w="1604" w:type="dxa"/>
            <w:vMerge w:val="continue"/>
            <w:vAlign w:val="center"/>
          </w:tcPr>
          <w:p>
            <w:pPr>
              <w:pStyle w:val="26"/>
              <w:spacing w:line="360" w:lineRule="exact"/>
              <w:ind w:firstLine="210" w:firstLineChars="100"/>
              <w:jc w:val="both"/>
              <w:rPr>
                <w:color w:val="auto"/>
                <w:szCs w:val="2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1414" w:type="dxa"/>
            <w:gridSpan w:val="2"/>
            <w:vMerge w:val="continue"/>
            <w:vAlign w:val="center"/>
          </w:tcPr>
          <w:p>
            <w:pPr>
              <w:rPr>
                <w:rFonts w:ascii="Times New Roman" w:hAnsi="Times New Roman" w:cs="Times New Roman"/>
              </w:rPr>
            </w:pPr>
          </w:p>
        </w:tc>
        <w:tc>
          <w:tcPr>
            <w:tcW w:w="992" w:type="dxa"/>
            <w:vAlign w:val="center"/>
          </w:tcPr>
          <w:p>
            <w:pPr>
              <w:pStyle w:val="26"/>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雨水口</w:t>
            </w:r>
          </w:p>
        </w:tc>
        <w:tc>
          <w:tcPr>
            <w:tcW w:w="1418" w:type="dxa"/>
            <w:vAlign w:val="center"/>
          </w:tcPr>
          <w:p>
            <w:pPr>
              <w:pStyle w:val="26"/>
              <w:spacing w:line="360" w:lineRule="exact"/>
              <w:rPr>
                <w:rFonts w:eastAsiaTheme="minorEastAsia"/>
                <w:bCs w:val="0"/>
                <w:snapToGrid/>
                <w:color w:val="auto"/>
                <w:kern w:val="0"/>
                <w:szCs w:val="21"/>
                <w:lang w:val="en-US"/>
              </w:rPr>
            </w:pPr>
            <w:r>
              <w:rPr>
                <w:rFonts w:eastAsiaTheme="minorEastAsia"/>
                <w:bCs w:val="0"/>
                <w:snapToGrid/>
                <w:color w:val="auto"/>
                <w:kern w:val="0"/>
                <w:szCs w:val="21"/>
                <w:lang w:val="en-US"/>
              </w:rPr>
              <w:t>雨水</w:t>
            </w:r>
          </w:p>
        </w:tc>
        <w:tc>
          <w:tcPr>
            <w:tcW w:w="2977" w:type="dxa"/>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雨水外排。</w:t>
            </w:r>
          </w:p>
        </w:tc>
        <w:tc>
          <w:tcPr>
            <w:tcW w:w="1604" w:type="dxa"/>
            <w:vAlign w:val="center"/>
          </w:tcPr>
          <w:p>
            <w:pPr>
              <w:pStyle w:val="26"/>
              <w:spacing w:line="360" w:lineRule="exact"/>
              <w:ind w:firstLine="210" w:firstLineChars="100"/>
              <w:jc w:val="both"/>
              <w:rPr>
                <w:color w:val="auto"/>
                <w:szCs w:val="21"/>
                <w:lang w:val="en-US"/>
              </w:rPr>
            </w:pPr>
            <w:r>
              <w:rPr>
                <w:color w:val="auto"/>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00" w:hRule="atLeast"/>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声环境</w:t>
            </w:r>
          </w:p>
        </w:tc>
        <w:tc>
          <w:tcPr>
            <w:tcW w:w="429" w:type="dxa"/>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施工期</w:t>
            </w:r>
          </w:p>
        </w:tc>
        <w:tc>
          <w:tcPr>
            <w:tcW w:w="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施工场地</w:t>
            </w:r>
          </w:p>
        </w:tc>
        <w:tc>
          <w:tcPr>
            <w:tcW w:w="1701"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施工设备</w:t>
            </w:r>
          </w:p>
        </w:tc>
        <w:tc>
          <w:tcPr>
            <w:tcW w:w="1418" w:type="dxa"/>
            <w:tcBorders>
              <w:bottom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LeqdB（A）</w:t>
            </w:r>
          </w:p>
        </w:tc>
        <w:tc>
          <w:tcPr>
            <w:tcW w:w="2977" w:type="dxa"/>
            <w:tcBorders>
              <w:bottom w:val="single" w:color="auto" w:sz="4" w:space="0"/>
            </w:tcBorders>
            <w:vAlign w:val="center"/>
          </w:tcPr>
          <w:p>
            <w:pPr>
              <w:pStyle w:val="26"/>
              <w:spacing w:line="360" w:lineRule="exact"/>
              <w:ind w:firstLine="210" w:firstLineChars="100"/>
              <w:jc w:val="both"/>
              <w:rPr>
                <w:color w:val="auto"/>
                <w:szCs w:val="21"/>
              </w:rPr>
            </w:pPr>
            <w:r>
              <w:rPr>
                <w:color w:val="auto"/>
                <w:szCs w:val="21"/>
              </w:rPr>
              <w:t>①加强施工期的操作规范；</w:t>
            </w:r>
          </w:p>
          <w:p>
            <w:pPr>
              <w:pStyle w:val="26"/>
              <w:spacing w:line="360" w:lineRule="exact"/>
              <w:ind w:firstLine="210" w:firstLineChars="100"/>
              <w:jc w:val="both"/>
              <w:rPr>
                <w:color w:val="auto"/>
                <w:szCs w:val="21"/>
              </w:rPr>
            </w:pPr>
            <w:r>
              <w:rPr>
                <w:color w:val="auto"/>
                <w:szCs w:val="21"/>
              </w:rPr>
              <w:t>②运输车辆进出施工场地时应控制车速，禁止鸣笛，减少车辆在施工场地的停留时间，减小运输噪声对环境的影响；</w:t>
            </w:r>
          </w:p>
          <w:p>
            <w:pPr>
              <w:pStyle w:val="26"/>
              <w:spacing w:line="360" w:lineRule="exact"/>
              <w:ind w:firstLine="210" w:firstLineChars="100"/>
              <w:jc w:val="both"/>
              <w:rPr>
                <w:color w:val="auto"/>
                <w:szCs w:val="21"/>
              </w:rPr>
            </w:pPr>
            <w:r>
              <w:rPr>
                <w:color w:val="auto"/>
                <w:szCs w:val="21"/>
              </w:rPr>
              <w:t>③加强与周围居民的沟通，避免扰民事件发生。</w:t>
            </w:r>
          </w:p>
          <w:p>
            <w:pPr>
              <w:pStyle w:val="26"/>
              <w:spacing w:line="360" w:lineRule="exact"/>
              <w:ind w:firstLine="210" w:firstLineChars="100"/>
              <w:jc w:val="both"/>
              <w:rPr>
                <w:color w:val="auto"/>
                <w:szCs w:val="21"/>
              </w:rPr>
            </w:pPr>
            <w:r>
              <w:rPr>
                <w:color w:val="auto"/>
                <w:szCs w:val="21"/>
              </w:rPr>
              <w:t>④合理安排施工工序及时间，禁止夜间施工。</w:t>
            </w:r>
          </w:p>
        </w:tc>
        <w:tc>
          <w:tcPr>
            <w:tcW w:w="1604" w:type="dxa"/>
            <w:tcBorders>
              <w:bottom w:val="single" w:color="auto" w:sz="4" w:space="0"/>
            </w:tcBorders>
            <w:vAlign w:val="center"/>
          </w:tcPr>
          <w:p>
            <w:pPr>
              <w:pStyle w:val="26"/>
              <w:spacing w:line="360" w:lineRule="exact"/>
              <w:ind w:firstLine="210" w:firstLineChars="100"/>
              <w:jc w:val="both"/>
              <w:rPr>
                <w:rFonts w:eastAsiaTheme="minorEastAsia"/>
                <w:color w:val="auto"/>
                <w:szCs w:val="21"/>
              </w:rPr>
            </w:pPr>
            <w:r>
              <w:rPr>
                <w:color w:val="auto"/>
                <w:szCs w:val="21"/>
              </w:rPr>
              <w:t>《建筑施工场界噪声环境噪声排放标准》（GB12523-2011）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restart"/>
            <w:tcBorders>
              <w:top w:val="single" w:color="auto" w:sz="4" w:space="0"/>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运营期</w:t>
            </w:r>
          </w:p>
        </w:tc>
        <w:tc>
          <w:tcPr>
            <w:tcW w:w="705"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火化车间</w:t>
            </w:r>
          </w:p>
        </w:tc>
        <w:tc>
          <w:tcPr>
            <w:tcW w:w="1701"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智能监测环保节能拣灰火化机</w:t>
            </w:r>
          </w:p>
        </w:tc>
        <w:tc>
          <w:tcPr>
            <w:tcW w:w="1418" w:type="dxa"/>
            <w:vMerge w:val="restart"/>
            <w:tcBorders>
              <w:top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LeqdB（A）</w:t>
            </w:r>
          </w:p>
        </w:tc>
        <w:tc>
          <w:tcPr>
            <w:tcW w:w="2977" w:type="dxa"/>
            <w:vMerge w:val="restart"/>
            <w:tcBorders>
              <w:top w:val="single" w:color="auto" w:sz="4" w:space="0"/>
            </w:tcBorders>
            <w:vAlign w:val="center"/>
          </w:tcPr>
          <w:p>
            <w:pPr>
              <w:pStyle w:val="26"/>
              <w:spacing w:line="360" w:lineRule="exact"/>
              <w:ind w:firstLine="210" w:firstLineChars="100"/>
              <w:jc w:val="both"/>
              <w:rPr>
                <w:rFonts w:eastAsiaTheme="minorEastAsia"/>
                <w:color w:val="auto"/>
                <w:szCs w:val="21"/>
              </w:rPr>
            </w:pPr>
            <w:r>
              <w:rPr>
                <w:color w:val="auto"/>
                <w:szCs w:val="21"/>
              </w:rPr>
              <w:t>隔音房、减震垫、消声器、墙体阻隔等</w:t>
            </w:r>
          </w:p>
        </w:tc>
        <w:tc>
          <w:tcPr>
            <w:tcW w:w="1604" w:type="dxa"/>
            <w:vMerge w:val="restart"/>
            <w:tcBorders>
              <w:top w:val="single" w:color="auto" w:sz="4" w:space="0"/>
            </w:tcBorders>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达到《工业企业厂界环境噪声排放标准》（GB12348-2008）2类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top w:val="single" w:color="auto" w:sz="4" w:space="0"/>
              <w:left w:val="single" w:color="auto" w:sz="4" w:space="0"/>
            </w:tcBorders>
            <w:vAlign w:val="center"/>
          </w:tcPr>
          <w:p>
            <w:pPr>
              <w:spacing w:line="360" w:lineRule="exact"/>
              <w:jc w:val="center"/>
              <w:rPr>
                <w:rFonts w:ascii="Times New Roman" w:hAnsi="Times New Roman" w:cs="Times New Roman"/>
              </w:rPr>
            </w:pPr>
          </w:p>
        </w:tc>
        <w:tc>
          <w:tcPr>
            <w:tcW w:w="705" w:type="dxa"/>
            <w:vMerge w:val="continue"/>
            <w:tcBorders>
              <w:bottom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p>
        </w:tc>
        <w:tc>
          <w:tcPr>
            <w:tcW w:w="1701"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电动液压升降车</w:t>
            </w:r>
          </w:p>
        </w:tc>
        <w:tc>
          <w:tcPr>
            <w:tcW w:w="1418" w:type="dxa"/>
            <w:vMerge w:val="continue"/>
            <w:tcBorders>
              <w:top w:val="single" w:color="auto" w:sz="4" w:space="0"/>
            </w:tcBorders>
            <w:vAlign w:val="center"/>
          </w:tcPr>
          <w:p>
            <w:pPr>
              <w:spacing w:line="360" w:lineRule="exact"/>
              <w:jc w:val="center"/>
              <w:rPr>
                <w:rFonts w:ascii="Times New Roman" w:hAnsi="Times New Roman" w:cs="Times New Roman"/>
                <w:kern w:val="0"/>
              </w:rPr>
            </w:pPr>
          </w:p>
        </w:tc>
        <w:tc>
          <w:tcPr>
            <w:tcW w:w="2977" w:type="dxa"/>
            <w:vMerge w:val="continue"/>
            <w:tcBorders>
              <w:top w:val="single" w:color="auto" w:sz="4" w:space="0"/>
            </w:tcBorders>
            <w:vAlign w:val="center"/>
          </w:tcPr>
          <w:p>
            <w:pPr>
              <w:pStyle w:val="26"/>
              <w:spacing w:line="360" w:lineRule="exact"/>
              <w:ind w:firstLine="210" w:firstLineChars="100"/>
              <w:jc w:val="both"/>
              <w:rPr>
                <w:color w:val="auto"/>
                <w:szCs w:val="21"/>
              </w:rPr>
            </w:pPr>
          </w:p>
        </w:tc>
        <w:tc>
          <w:tcPr>
            <w:tcW w:w="1604" w:type="dxa"/>
            <w:vMerge w:val="continue"/>
            <w:tcBorders>
              <w:top w:val="single" w:color="auto" w:sz="4" w:space="0"/>
            </w:tcBorders>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705" w:type="dxa"/>
            <w:tcBorders>
              <w:top w:val="single" w:color="auto" w:sz="4" w:space="0"/>
            </w:tcBorders>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化宝间</w:t>
            </w:r>
          </w:p>
        </w:tc>
        <w:tc>
          <w:tcPr>
            <w:tcW w:w="1701"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智能监测环保遗物焚烧炉</w:t>
            </w:r>
          </w:p>
        </w:tc>
        <w:tc>
          <w:tcPr>
            <w:tcW w:w="1418"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705"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遗体运输</w:t>
            </w:r>
          </w:p>
        </w:tc>
        <w:tc>
          <w:tcPr>
            <w:tcW w:w="1701"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殡仪车</w:t>
            </w:r>
          </w:p>
        </w:tc>
        <w:tc>
          <w:tcPr>
            <w:tcW w:w="1418"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70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1"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推尸车</w:t>
            </w:r>
          </w:p>
        </w:tc>
        <w:tc>
          <w:tcPr>
            <w:tcW w:w="1418"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705" w:type="dxa"/>
            <w:vMerge w:val="restart"/>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废气处理</w:t>
            </w:r>
          </w:p>
        </w:tc>
        <w:tc>
          <w:tcPr>
            <w:tcW w:w="1701"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火化机尾气处理装置</w:t>
            </w:r>
          </w:p>
        </w:tc>
        <w:tc>
          <w:tcPr>
            <w:tcW w:w="1418"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705" w:type="dxa"/>
            <w:vMerge w:val="continue"/>
            <w:vAlign w:val="center"/>
          </w:tcPr>
          <w:p>
            <w:pPr>
              <w:spacing w:line="360" w:lineRule="exact"/>
              <w:jc w:val="center"/>
              <w:rPr>
                <w:rFonts w:ascii="Times New Roman" w:hAnsi="Times New Roman" w:eastAsia="宋体" w:cs="Times New Roman"/>
                <w:bCs/>
                <w:snapToGrid w:val="0"/>
                <w:kern w:val="32"/>
                <w:lang w:val="zh-CN"/>
              </w:rPr>
            </w:pPr>
          </w:p>
        </w:tc>
        <w:tc>
          <w:tcPr>
            <w:tcW w:w="1701"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遗物焚烧炉尾气处理装置</w:t>
            </w:r>
          </w:p>
        </w:tc>
        <w:tc>
          <w:tcPr>
            <w:tcW w:w="1418"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705" w:type="dxa"/>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废水处理</w:t>
            </w:r>
          </w:p>
        </w:tc>
        <w:tc>
          <w:tcPr>
            <w:tcW w:w="1701" w:type="dxa"/>
            <w:gridSpan w:val="2"/>
            <w:vAlign w:val="center"/>
          </w:tcPr>
          <w:p>
            <w:pPr>
              <w:spacing w:line="360" w:lineRule="exact"/>
              <w:jc w:val="center"/>
              <w:rPr>
                <w:rFonts w:ascii="Times New Roman" w:hAnsi="Times New Roman" w:eastAsia="宋体" w:cs="Times New Roman"/>
                <w:bCs/>
                <w:snapToGrid w:val="0"/>
                <w:kern w:val="32"/>
                <w:lang w:val="zh-CN"/>
              </w:rPr>
            </w:pPr>
            <w:r>
              <w:rPr>
                <w:rFonts w:ascii="Times New Roman" w:hAnsi="Times New Roman" w:eastAsia="宋体" w:cs="Times New Roman"/>
                <w:bCs/>
                <w:snapToGrid w:val="0"/>
                <w:kern w:val="32"/>
                <w:lang w:val="zh-CN"/>
              </w:rPr>
              <w:t>一体化污水处理设施</w:t>
            </w:r>
          </w:p>
        </w:tc>
        <w:tc>
          <w:tcPr>
            <w:tcW w:w="1418" w:type="dxa"/>
            <w:vMerge w:val="continue"/>
            <w:vAlign w:val="center"/>
          </w:tcPr>
          <w:p>
            <w:pPr>
              <w:spacing w:line="360" w:lineRule="exact"/>
              <w:jc w:val="center"/>
              <w:rPr>
                <w:rFonts w:ascii="Times New Roman" w:hAnsi="Times New Roman" w:cs="Times New Roman"/>
                <w:kern w:val="0"/>
              </w:rPr>
            </w:pPr>
          </w:p>
        </w:tc>
        <w:tc>
          <w:tcPr>
            <w:tcW w:w="2977" w:type="dxa"/>
            <w:vMerge w:val="continue"/>
            <w:vAlign w:val="center"/>
          </w:tcPr>
          <w:p>
            <w:pPr>
              <w:pStyle w:val="26"/>
              <w:spacing w:line="360" w:lineRule="exact"/>
              <w:rPr>
                <w:rFonts w:eastAsiaTheme="minorEastAsia"/>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restart"/>
            <w:tcBorders>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固体废物</w:t>
            </w:r>
          </w:p>
        </w:tc>
        <w:tc>
          <w:tcPr>
            <w:tcW w:w="429" w:type="dxa"/>
            <w:vMerge w:val="restart"/>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施工期</w:t>
            </w:r>
          </w:p>
        </w:tc>
        <w:tc>
          <w:tcPr>
            <w:tcW w:w="2406" w:type="dxa"/>
            <w:gridSpan w:val="3"/>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kern w:val="0"/>
              </w:rPr>
              <w:t>施工场地</w:t>
            </w:r>
          </w:p>
        </w:tc>
        <w:tc>
          <w:tcPr>
            <w:tcW w:w="1418" w:type="dxa"/>
            <w:tcBorders>
              <w:bottom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建设垃圾</w:t>
            </w:r>
          </w:p>
        </w:tc>
        <w:tc>
          <w:tcPr>
            <w:tcW w:w="2977" w:type="dxa"/>
            <w:vAlign w:val="center"/>
          </w:tcPr>
          <w:p>
            <w:pPr>
              <w:pStyle w:val="26"/>
              <w:spacing w:line="360" w:lineRule="exact"/>
              <w:ind w:firstLine="210" w:firstLineChars="100"/>
              <w:jc w:val="both"/>
              <w:rPr>
                <w:color w:val="auto"/>
                <w:szCs w:val="21"/>
              </w:rPr>
            </w:pPr>
            <w:r>
              <w:rPr>
                <w:color w:val="auto"/>
                <w:szCs w:val="21"/>
              </w:rPr>
              <w:t>建设垃圾包括混凝土块、废木材、废钢材等，严格按照相关部门的要求，对其进行分类收集，其中废钢材收集后外售废品收购站，其他不能回收部分运至管理部门指定地点进行合理处置。</w:t>
            </w:r>
          </w:p>
        </w:tc>
        <w:tc>
          <w:tcPr>
            <w:tcW w:w="1604" w:type="dxa"/>
            <w:vMerge w:val="restart"/>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continue"/>
            <w:vAlign w:val="center"/>
          </w:tcPr>
          <w:p>
            <w:pPr>
              <w:spacing w:line="360" w:lineRule="exact"/>
              <w:jc w:val="center"/>
              <w:rPr>
                <w:rFonts w:ascii="Times New Roman" w:hAnsi="Times New Roman" w:cs="Times New Roman"/>
                <w:kern w:val="0"/>
              </w:rPr>
            </w:pPr>
          </w:p>
        </w:tc>
        <w:tc>
          <w:tcPr>
            <w:tcW w:w="1418" w:type="dxa"/>
            <w:tcBorders>
              <w:bottom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废土石方</w:t>
            </w:r>
          </w:p>
        </w:tc>
        <w:tc>
          <w:tcPr>
            <w:tcW w:w="2977" w:type="dxa"/>
            <w:vAlign w:val="center"/>
          </w:tcPr>
          <w:p>
            <w:pPr>
              <w:pStyle w:val="26"/>
              <w:spacing w:line="360" w:lineRule="exact"/>
              <w:ind w:firstLine="210" w:firstLineChars="100"/>
              <w:jc w:val="both"/>
              <w:rPr>
                <w:color w:val="auto"/>
                <w:szCs w:val="21"/>
              </w:rPr>
            </w:pPr>
            <w:r>
              <w:rPr>
                <w:color w:val="auto"/>
                <w:szCs w:val="21"/>
              </w:rPr>
              <w:t>产生的少量废土石方直接用于场地低洼处平整。</w:t>
            </w: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bottom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continue"/>
            <w:tcBorders>
              <w:bottom w:val="single" w:color="auto" w:sz="4" w:space="0"/>
            </w:tcBorders>
            <w:vAlign w:val="center"/>
          </w:tcPr>
          <w:p>
            <w:pPr>
              <w:spacing w:line="360" w:lineRule="exact"/>
              <w:jc w:val="center"/>
              <w:rPr>
                <w:rFonts w:ascii="Times New Roman" w:hAnsi="Times New Roman" w:cs="Times New Roman"/>
                <w:kern w:val="0"/>
              </w:rPr>
            </w:pPr>
          </w:p>
        </w:tc>
        <w:tc>
          <w:tcPr>
            <w:tcW w:w="1418" w:type="dxa"/>
            <w:tcBorders>
              <w:bottom w:val="single" w:color="auto" w:sz="4" w:space="0"/>
            </w:tcBorders>
            <w:vAlign w:val="center"/>
          </w:tcPr>
          <w:p>
            <w:pPr>
              <w:spacing w:line="360" w:lineRule="exact"/>
              <w:jc w:val="center"/>
              <w:rPr>
                <w:rFonts w:ascii="Times New Roman" w:hAnsi="Times New Roman" w:cs="Times New Roman"/>
                <w:kern w:val="0"/>
              </w:rPr>
            </w:pPr>
            <w:r>
              <w:rPr>
                <w:rFonts w:ascii="Times New Roman" w:hAnsi="Times New Roman" w:cs="Times New Roman"/>
                <w:kern w:val="0"/>
              </w:rPr>
              <w:t>生活垃圾</w:t>
            </w:r>
          </w:p>
        </w:tc>
        <w:tc>
          <w:tcPr>
            <w:tcW w:w="2977" w:type="dxa"/>
            <w:vAlign w:val="center"/>
          </w:tcPr>
          <w:p>
            <w:pPr>
              <w:pStyle w:val="26"/>
              <w:spacing w:line="360" w:lineRule="exact"/>
              <w:ind w:firstLine="210" w:firstLineChars="100"/>
              <w:jc w:val="both"/>
              <w:rPr>
                <w:color w:val="auto"/>
                <w:szCs w:val="21"/>
              </w:rPr>
            </w:pPr>
            <w:r>
              <w:rPr>
                <w:color w:val="auto"/>
                <w:szCs w:val="21"/>
              </w:rPr>
              <w:t>生活垃圾委托环卫部门清运处置。</w:t>
            </w:r>
          </w:p>
        </w:tc>
        <w:tc>
          <w:tcPr>
            <w:tcW w:w="1604" w:type="dxa"/>
            <w:vMerge w:val="continue"/>
            <w:tcBorders>
              <w:bottom w:val="single" w:color="auto" w:sz="4" w:space="0"/>
            </w:tcBorders>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restart"/>
            <w:tcBorders>
              <w:lef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运营期</w:t>
            </w:r>
          </w:p>
        </w:tc>
        <w:tc>
          <w:tcPr>
            <w:tcW w:w="2406" w:type="dxa"/>
            <w:gridSpan w:val="3"/>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rPr>
              <w:t>遗体处置</w:t>
            </w: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一次性手套</w:t>
            </w:r>
          </w:p>
        </w:tc>
        <w:tc>
          <w:tcPr>
            <w:tcW w:w="2977" w:type="dxa"/>
            <w:vMerge w:val="restart"/>
            <w:vAlign w:val="center"/>
          </w:tcPr>
          <w:p>
            <w:pPr>
              <w:pStyle w:val="26"/>
              <w:spacing w:line="360" w:lineRule="exact"/>
              <w:ind w:firstLine="210" w:firstLineChars="100"/>
              <w:jc w:val="both"/>
              <w:rPr>
                <w:color w:val="auto"/>
                <w:szCs w:val="21"/>
              </w:rPr>
            </w:pPr>
            <w:r>
              <w:rPr>
                <w:rFonts w:eastAsiaTheme="minorEastAsia"/>
                <w:color w:val="auto"/>
                <w:szCs w:val="24"/>
              </w:rPr>
              <w:t>委托有资质的单位进行处置。</w:t>
            </w:r>
          </w:p>
        </w:tc>
        <w:tc>
          <w:tcPr>
            <w:tcW w:w="1604" w:type="dxa"/>
            <w:vMerge w:val="restart"/>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continue"/>
            <w:vAlign w:val="center"/>
          </w:tcPr>
          <w:p>
            <w:pPr>
              <w:spacing w:line="360" w:lineRule="exact"/>
              <w:jc w:val="center"/>
              <w:rPr>
                <w:rFonts w:ascii="Times New Roman" w:hAnsi="Times New Roman" w:cs="Times New Roman"/>
                <w:kern w:val="0"/>
              </w:rPr>
            </w:pP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废弃化妆棉</w:t>
            </w:r>
          </w:p>
        </w:tc>
        <w:tc>
          <w:tcPr>
            <w:tcW w:w="2977" w:type="dxa"/>
            <w:vMerge w:val="continue"/>
            <w:vAlign w:val="center"/>
          </w:tcPr>
          <w:p>
            <w:pPr>
              <w:pStyle w:val="26"/>
              <w:spacing w:line="360" w:lineRule="exact"/>
              <w:ind w:firstLine="210" w:firstLineChars="100"/>
              <w:jc w:val="both"/>
              <w:rPr>
                <w:color w:val="auto"/>
                <w:szCs w:val="21"/>
              </w:rPr>
            </w:pP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continue"/>
            <w:tcBorders>
              <w:bottom w:val="single" w:color="auto" w:sz="4" w:space="0"/>
            </w:tcBorders>
            <w:vAlign w:val="center"/>
          </w:tcPr>
          <w:p>
            <w:pPr>
              <w:spacing w:line="360" w:lineRule="exact"/>
              <w:jc w:val="center"/>
              <w:rPr>
                <w:rFonts w:ascii="Times New Roman" w:hAnsi="Times New Roman" w:cs="Times New Roman"/>
                <w:kern w:val="0"/>
              </w:rPr>
            </w:pP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人体组织</w:t>
            </w:r>
          </w:p>
        </w:tc>
        <w:tc>
          <w:tcPr>
            <w:tcW w:w="2977" w:type="dxa"/>
            <w:vAlign w:val="center"/>
          </w:tcPr>
          <w:p>
            <w:pPr>
              <w:pStyle w:val="26"/>
              <w:spacing w:line="360" w:lineRule="exact"/>
              <w:ind w:firstLine="210" w:firstLineChars="100"/>
              <w:jc w:val="both"/>
              <w:rPr>
                <w:color w:val="auto"/>
                <w:szCs w:val="21"/>
              </w:rPr>
            </w:pPr>
            <w:r>
              <w:rPr>
                <w:rFonts w:eastAsiaTheme="minorEastAsia"/>
                <w:color w:val="auto"/>
                <w:szCs w:val="24"/>
              </w:rPr>
              <w:t>人体组织按公安机关程序进行鉴定后，同逝者遗体一起火化。</w:t>
            </w:r>
          </w:p>
        </w:tc>
        <w:tc>
          <w:tcPr>
            <w:tcW w:w="1604" w:type="dxa"/>
            <w:vMerge w:val="continue"/>
            <w:tcBorders>
              <w:bottom w:val="single" w:color="auto" w:sz="4" w:space="0"/>
            </w:tcBorders>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restart"/>
            <w:vAlign w:val="center"/>
          </w:tcPr>
          <w:p>
            <w:pPr>
              <w:spacing w:line="360" w:lineRule="exact"/>
              <w:jc w:val="center"/>
              <w:rPr>
                <w:rFonts w:ascii="Times New Roman" w:hAnsi="Times New Roman" w:cs="Times New Roman"/>
                <w:kern w:val="0"/>
              </w:rPr>
            </w:pPr>
            <w:r>
              <w:rPr>
                <w:rFonts w:ascii="Times New Roman" w:hAnsi="Times New Roman" w:cs="Times New Roman"/>
              </w:rPr>
              <w:t>废气处理设施</w:t>
            </w: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脱酸脱硫固废</w:t>
            </w:r>
          </w:p>
        </w:tc>
        <w:tc>
          <w:tcPr>
            <w:tcW w:w="2977"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委托环卫部门运输至垃圾填埋场填埋处置。</w:t>
            </w:r>
          </w:p>
        </w:tc>
        <w:tc>
          <w:tcPr>
            <w:tcW w:w="1604" w:type="dxa"/>
            <w:tcBorders>
              <w:bottom w:val="single" w:color="auto" w:sz="4" w:space="0"/>
            </w:tcBorders>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continue"/>
            <w:vAlign w:val="center"/>
          </w:tcPr>
          <w:p>
            <w:pPr>
              <w:spacing w:line="360" w:lineRule="exact"/>
              <w:jc w:val="center"/>
              <w:rPr>
                <w:rFonts w:ascii="Times New Roman" w:hAnsi="Times New Roman" w:cs="Times New Roman"/>
                <w:kern w:val="0"/>
              </w:rPr>
            </w:pP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除尘固废</w:t>
            </w:r>
          </w:p>
        </w:tc>
        <w:tc>
          <w:tcPr>
            <w:tcW w:w="2977"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定期委托环卫部门运输至垃圾填埋场填埋处置。</w:t>
            </w:r>
          </w:p>
        </w:tc>
        <w:tc>
          <w:tcPr>
            <w:tcW w:w="1604" w:type="dxa"/>
            <w:tcBorders>
              <w:bottom w:val="single" w:color="auto" w:sz="4" w:space="0"/>
            </w:tcBorders>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continue"/>
            <w:tcBorders>
              <w:bottom w:val="single" w:color="auto" w:sz="4" w:space="0"/>
            </w:tcBorders>
            <w:vAlign w:val="center"/>
          </w:tcPr>
          <w:p>
            <w:pPr>
              <w:spacing w:line="360" w:lineRule="exact"/>
              <w:jc w:val="center"/>
              <w:rPr>
                <w:rFonts w:ascii="Times New Roman" w:hAnsi="Times New Roman" w:cs="Times New Roman"/>
                <w:kern w:val="0"/>
              </w:rPr>
            </w:pP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废活性炭</w:t>
            </w:r>
          </w:p>
        </w:tc>
        <w:tc>
          <w:tcPr>
            <w:tcW w:w="2977"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委托有资质的单位进行处置。</w:t>
            </w:r>
          </w:p>
        </w:tc>
        <w:tc>
          <w:tcPr>
            <w:tcW w:w="1604" w:type="dxa"/>
            <w:tcBorders>
              <w:bottom w:val="single" w:color="auto" w:sz="4" w:space="0"/>
            </w:tcBorders>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遗物焚烧</w:t>
            </w: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遗物祭品焚烧灰渣</w:t>
            </w:r>
          </w:p>
        </w:tc>
        <w:tc>
          <w:tcPr>
            <w:tcW w:w="2977" w:type="dxa"/>
            <w:vAlign w:val="center"/>
          </w:tcPr>
          <w:p>
            <w:pPr>
              <w:pStyle w:val="26"/>
              <w:spacing w:line="360" w:lineRule="exact"/>
              <w:ind w:firstLine="210" w:firstLineChars="100"/>
              <w:jc w:val="both"/>
              <w:rPr>
                <w:rFonts w:eastAsiaTheme="minorEastAsia"/>
                <w:color w:val="auto"/>
                <w:szCs w:val="24"/>
              </w:rPr>
            </w:pPr>
            <w:r>
              <w:rPr>
                <w:color w:val="auto"/>
                <w:szCs w:val="21"/>
              </w:rPr>
              <w:t>委托环卫部门运输至垃圾填埋场填埋处置。</w:t>
            </w:r>
          </w:p>
        </w:tc>
        <w:tc>
          <w:tcPr>
            <w:tcW w:w="1604" w:type="dxa"/>
            <w:tcBorders>
              <w:bottom w:val="single" w:color="auto" w:sz="4" w:space="0"/>
            </w:tcBorders>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污水处理系统</w:t>
            </w: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污水处理系统污泥</w:t>
            </w:r>
          </w:p>
        </w:tc>
        <w:tc>
          <w:tcPr>
            <w:tcW w:w="2977" w:type="dxa"/>
            <w:vAlign w:val="center"/>
          </w:tcPr>
          <w:p>
            <w:pPr>
              <w:pStyle w:val="26"/>
              <w:spacing w:line="360" w:lineRule="exact"/>
              <w:ind w:firstLine="210" w:firstLineChars="100"/>
              <w:jc w:val="both"/>
              <w:rPr>
                <w:color w:val="auto"/>
                <w:szCs w:val="21"/>
              </w:rPr>
            </w:pPr>
            <w:r>
              <w:rPr>
                <w:rFonts w:eastAsiaTheme="minorEastAsia"/>
                <w:color w:val="auto"/>
                <w:szCs w:val="24"/>
              </w:rPr>
              <w:t>委托有资质的单位进行处置。</w:t>
            </w:r>
          </w:p>
        </w:tc>
        <w:tc>
          <w:tcPr>
            <w:tcW w:w="1604" w:type="dxa"/>
            <w:vMerge w:val="restart"/>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restart"/>
            <w:vAlign w:val="center"/>
          </w:tcPr>
          <w:p>
            <w:pPr>
              <w:pStyle w:val="26"/>
              <w:spacing w:line="360" w:lineRule="exact"/>
              <w:rPr>
                <w:rFonts w:eastAsiaTheme="minorEastAsia"/>
                <w:color w:val="auto"/>
                <w:szCs w:val="21"/>
              </w:rPr>
            </w:pPr>
            <w:r>
              <w:rPr>
                <w:rFonts w:eastAsiaTheme="minorEastAsia"/>
                <w:color w:val="auto"/>
                <w:szCs w:val="21"/>
              </w:rPr>
              <w:t>设备维护</w:t>
            </w: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废机油</w:t>
            </w:r>
          </w:p>
        </w:tc>
        <w:tc>
          <w:tcPr>
            <w:tcW w:w="2977"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委托有资质的单位处置。</w:t>
            </w:r>
          </w:p>
        </w:tc>
        <w:tc>
          <w:tcPr>
            <w:tcW w:w="1604" w:type="dxa"/>
            <w:vMerge w:val="continue"/>
            <w:tcBorders>
              <w:bottom w:val="single" w:color="auto" w:sz="4" w:space="0"/>
            </w:tcBorders>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continue"/>
            <w:tcBorders>
              <w:bottom w:val="single" w:color="auto" w:sz="4" w:space="0"/>
            </w:tcBorders>
            <w:vAlign w:val="center"/>
          </w:tcPr>
          <w:p>
            <w:pPr>
              <w:pStyle w:val="26"/>
              <w:spacing w:line="360" w:lineRule="exact"/>
              <w:rPr>
                <w:rFonts w:eastAsiaTheme="minorEastAsia"/>
                <w:color w:val="auto"/>
                <w:szCs w:val="21"/>
              </w:rPr>
            </w:pP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废弃沾油抹布</w:t>
            </w:r>
          </w:p>
        </w:tc>
        <w:tc>
          <w:tcPr>
            <w:tcW w:w="2977"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1604" w:type="dxa"/>
            <w:tcBorders>
              <w:bottom w:val="single" w:color="auto" w:sz="4" w:space="0"/>
            </w:tcBorders>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restart"/>
            <w:vAlign w:val="center"/>
          </w:tcPr>
          <w:p>
            <w:pPr>
              <w:pStyle w:val="26"/>
              <w:spacing w:line="360" w:lineRule="exact"/>
              <w:rPr>
                <w:rFonts w:eastAsiaTheme="minorEastAsia"/>
                <w:color w:val="auto"/>
                <w:szCs w:val="21"/>
              </w:rPr>
            </w:pPr>
            <w:r>
              <w:rPr>
                <w:rFonts w:eastAsiaTheme="minorEastAsia"/>
                <w:color w:val="auto"/>
                <w:szCs w:val="21"/>
              </w:rPr>
              <w:t>员工生活</w:t>
            </w: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生活垃圾</w:t>
            </w:r>
          </w:p>
        </w:tc>
        <w:tc>
          <w:tcPr>
            <w:tcW w:w="2977"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委托环卫部门定期清运处置。</w:t>
            </w:r>
          </w:p>
        </w:tc>
        <w:tc>
          <w:tcPr>
            <w:tcW w:w="1604" w:type="dxa"/>
            <w:vMerge w:val="restart"/>
            <w:tcBorders>
              <w:top w:val="single" w:color="auto" w:sz="4" w:space="0"/>
            </w:tcBorders>
            <w:vAlign w:val="center"/>
          </w:tcPr>
          <w:p>
            <w:pPr>
              <w:pStyle w:val="26"/>
              <w:spacing w:line="360" w:lineRule="exact"/>
              <w:ind w:firstLine="210" w:firstLineChars="100"/>
              <w:jc w:val="both"/>
              <w:rPr>
                <w:rFonts w:eastAsiaTheme="minorEastAsia"/>
                <w:color w:val="auto"/>
                <w:szCs w:val="21"/>
              </w:rPr>
            </w:pPr>
            <w:r>
              <w:rPr>
                <w:rFonts w:eastAsiaTheme="minorEastAsia"/>
                <w:color w:val="auto"/>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continue"/>
            <w:vAlign w:val="center"/>
          </w:tcPr>
          <w:p>
            <w:pPr>
              <w:pStyle w:val="26"/>
              <w:spacing w:line="360" w:lineRule="exact"/>
              <w:rPr>
                <w:rFonts w:eastAsiaTheme="minorEastAsia"/>
                <w:color w:val="auto"/>
                <w:szCs w:val="21"/>
              </w:rPr>
            </w:pP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餐厨废物</w:t>
            </w:r>
          </w:p>
        </w:tc>
        <w:tc>
          <w:tcPr>
            <w:tcW w:w="2977"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委托有资质的单位进行处置。</w:t>
            </w: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Merge w:val="continue"/>
            <w:tcBorders>
              <w:right w:val="single" w:color="auto" w:sz="4" w:space="0"/>
            </w:tcBorders>
            <w:vAlign w:val="center"/>
          </w:tcPr>
          <w:p>
            <w:pPr>
              <w:spacing w:line="360" w:lineRule="exact"/>
              <w:jc w:val="center"/>
              <w:rPr>
                <w:rFonts w:ascii="Times New Roman" w:hAnsi="Times New Roman" w:cs="Times New Roman"/>
              </w:rPr>
            </w:pPr>
          </w:p>
        </w:tc>
        <w:tc>
          <w:tcPr>
            <w:tcW w:w="429" w:type="dxa"/>
            <w:vMerge w:val="continue"/>
            <w:tcBorders>
              <w:left w:val="single" w:color="auto" w:sz="4" w:space="0"/>
            </w:tcBorders>
            <w:vAlign w:val="center"/>
          </w:tcPr>
          <w:p>
            <w:pPr>
              <w:spacing w:line="360" w:lineRule="exact"/>
              <w:jc w:val="center"/>
              <w:rPr>
                <w:rFonts w:ascii="Times New Roman" w:hAnsi="Times New Roman" w:cs="Times New Roman"/>
              </w:rPr>
            </w:pPr>
          </w:p>
        </w:tc>
        <w:tc>
          <w:tcPr>
            <w:tcW w:w="2406" w:type="dxa"/>
            <w:gridSpan w:val="3"/>
            <w:vMerge w:val="continue"/>
            <w:vAlign w:val="center"/>
          </w:tcPr>
          <w:p>
            <w:pPr>
              <w:pStyle w:val="26"/>
              <w:spacing w:line="360" w:lineRule="exact"/>
              <w:rPr>
                <w:rFonts w:eastAsiaTheme="minorEastAsia"/>
                <w:color w:val="auto"/>
                <w:szCs w:val="21"/>
              </w:rPr>
            </w:pPr>
          </w:p>
        </w:tc>
        <w:tc>
          <w:tcPr>
            <w:tcW w:w="1418" w:type="dxa"/>
            <w:tcBorders>
              <w:bottom w:val="single" w:color="auto" w:sz="4" w:space="0"/>
            </w:tcBorders>
            <w:vAlign w:val="center"/>
          </w:tcPr>
          <w:p>
            <w:pPr>
              <w:pStyle w:val="26"/>
              <w:spacing w:line="360" w:lineRule="exact"/>
              <w:rPr>
                <w:rFonts w:eastAsiaTheme="minorEastAsia"/>
                <w:color w:val="auto"/>
                <w:szCs w:val="21"/>
              </w:rPr>
            </w:pPr>
            <w:r>
              <w:rPr>
                <w:rFonts w:eastAsiaTheme="minorEastAsia"/>
                <w:color w:val="auto"/>
                <w:szCs w:val="21"/>
              </w:rPr>
              <w:t>隔油池浮油</w:t>
            </w:r>
          </w:p>
        </w:tc>
        <w:tc>
          <w:tcPr>
            <w:tcW w:w="2977" w:type="dxa"/>
            <w:vAlign w:val="center"/>
          </w:tcPr>
          <w:p>
            <w:pPr>
              <w:pStyle w:val="26"/>
              <w:spacing w:line="360" w:lineRule="exact"/>
              <w:ind w:firstLine="210" w:firstLineChars="100"/>
              <w:jc w:val="both"/>
              <w:rPr>
                <w:rFonts w:eastAsiaTheme="minorEastAsia"/>
                <w:color w:val="auto"/>
                <w:szCs w:val="24"/>
              </w:rPr>
            </w:pPr>
            <w:r>
              <w:rPr>
                <w:rFonts w:eastAsiaTheme="minorEastAsia"/>
                <w:color w:val="auto"/>
                <w:szCs w:val="24"/>
              </w:rPr>
              <w:t>委托有资质的单位进行清理和处置。</w:t>
            </w:r>
          </w:p>
        </w:tc>
        <w:tc>
          <w:tcPr>
            <w:tcW w:w="1604" w:type="dxa"/>
            <w:vMerge w:val="continue"/>
            <w:vAlign w:val="center"/>
          </w:tcPr>
          <w:p>
            <w:pPr>
              <w:pStyle w:val="26"/>
              <w:spacing w:line="360" w:lineRule="exact"/>
              <w:ind w:firstLine="210" w:firstLineChars="100"/>
              <w:jc w:val="both"/>
              <w:rPr>
                <w:rFonts w:eastAsia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gridSpan w:val="2"/>
            <w:vAlign w:val="center"/>
          </w:tcPr>
          <w:p>
            <w:pPr>
              <w:spacing w:line="360" w:lineRule="exact"/>
              <w:jc w:val="center"/>
              <w:rPr>
                <w:rFonts w:ascii="Times New Roman" w:hAnsi="Times New Roman" w:cs="Times New Roman"/>
              </w:rPr>
            </w:pPr>
            <w:r>
              <w:rPr>
                <w:rFonts w:ascii="Times New Roman" w:hAnsi="Times New Roman" w:cs="Times New Roman"/>
              </w:rPr>
              <w:t>土壤及地下水污染防治措施</w:t>
            </w:r>
          </w:p>
        </w:tc>
        <w:tc>
          <w:tcPr>
            <w:tcW w:w="8405" w:type="dxa"/>
            <w:gridSpan w:val="6"/>
            <w:vAlign w:val="center"/>
          </w:tcPr>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1 \* GB2 </w:instrText>
            </w:r>
            <w:r>
              <w:rPr>
                <w:rFonts w:eastAsiaTheme="minorEastAsia"/>
                <w:color w:val="auto"/>
                <w:sz w:val="24"/>
                <w:szCs w:val="21"/>
              </w:rPr>
              <w:fldChar w:fldCharType="separate"/>
            </w:r>
            <w:r>
              <w:rPr>
                <w:color w:val="auto"/>
                <w:sz w:val="24"/>
                <w:szCs w:val="21"/>
              </w:rPr>
              <w:t>⑴</w:t>
            </w:r>
            <w:r>
              <w:rPr>
                <w:rFonts w:eastAsiaTheme="minorEastAsia"/>
                <w:color w:val="auto"/>
                <w:sz w:val="24"/>
                <w:szCs w:val="21"/>
              </w:rPr>
              <w:fldChar w:fldCharType="end"/>
            </w:r>
            <w:r>
              <w:rPr>
                <w:rFonts w:eastAsiaTheme="minorEastAsia"/>
                <w:color w:val="auto"/>
                <w:sz w:val="24"/>
                <w:szCs w:val="21"/>
              </w:rPr>
              <w:t>重点防渗区</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t>项目重点防渗区为危险废物贮存间和调节池、一体化污水处理设施。具体防渗措施如下：危险废物贮存间地面及裙墙、调节池池内应采用不低于2mm后的HDPE膜或其他人工防渗材料进行防渗，使其渗透系数≤10</w:t>
            </w:r>
            <w:r>
              <w:rPr>
                <w:rFonts w:eastAsiaTheme="minorEastAsia"/>
                <w:color w:val="auto"/>
                <w:sz w:val="24"/>
                <w:szCs w:val="21"/>
                <w:vertAlign w:val="superscript"/>
              </w:rPr>
              <w:t>-10</w:t>
            </w:r>
            <w:r>
              <w:rPr>
                <w:rFonts w:eastAsiaTheme="minorEastAsia"/>
                <w:color w:val="auto"/>
                <w:sz w:val="24"/>
                <w:szCs w:val="21"/>
              </w:rPr>
              <w:t>cm/s；一体化污水处理设施采用一体成型钢结构设施，确保废水无渗漏。</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2 \* GB2 </w:instrText>
            </w:r>
            <w:r>
              <w:rPr>
                <w:rFonts w:eastAsiaTheme="minorEastAsia"/>
                <w:color w:val="auto"/>
                <w:sz w:val="24"/>
                <w:szCs w:val="21"/>
              </w:rPr>
              <w:fldChar w:fldCharType="separate"/>
            </w:r>
            <w:r>
              <w:rPr>
                <w:color w:val="auto"/>
                <w:sz w:val="24"/>
                <w:szCs w:val="21"/>
              </w:rPr>
              <w:t>⑵</w:t>
            </w:r>
            <w:r>
              <w:rPr>
                <w:rFonts w:eastAsiaTheme="minorEastAsia"/>
                <w:color w:val="auto"/>
                <w:sz w:val="24"/>
                <w:szCs w:val="21"/>
              </w:rPr>
              <w:fldChar w:fldCharType="end"/>
            </w:r>
            <w:r>
              <w:rPr>
                <w:rFonts w:eastAsiaTheme="minorEastAsia"/>
                <w:color w:val="auto"/>
                <w:sz w:val="24"/>
                <w:szCs w:val="21"/>
              </w:rPr>
              <w:t>一般防渗区</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t>一般防渗区主要包括：火化车间及捡灰间、悼念厅及守灵厅，应采用混凝土进行硬化，使其渗透系数≤1.0×10</w:t>
            </w:r>
            <w:r>
              <w:rPr>
                <w:rFonts w:eastAsiaTheme="minorEastAsia"/>
                <w:color w:val="auto"/>
                <w:sz w:val="24"/>
                <w:szCs w:val="21"/>
                <w:vertAlign w:val="superscript"/>
              </w:rPr>
              <w:t>-7</w:t>
            </w:r>
            <w:r>
              <w:rPr>
                <w:rFonts w:eastAsiaTheme="minorEastAsia"/>
                <w:color w:val="auto"/>
                <w:sz w:val="24"/>
                <w:szCs w:val="21"/>
              </w:rPr>
              <w:t>cm/s。</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fldChar w:fldCharType="begin"/>
            </w:r>
            <w:r>
              <w:rPr>
                <w:rFonts w:eastAsiaTheme="minorEastAsia"/>
                <w:color w:val="auto"/>
                <w:sz w:val="24"/>
                <w:szCs w:val="21"/>
              </w:rPr>
              <w:instrText xml:space="preserve"> = 3 \* GB2 </w:instrText>
            </w:r>
            <w:r>
              <w:rPr>
                <w:rFonts w:eastAsiaTheme="minorEastAsia"/>
                <w:color w:val="auto"/>
                <w:sz w:val="24"/>
                <w:szCs w:val="21"/>
              </w:rPr>
              <w:fldChar w:fldCharType="separate"/>
            </w:r>
            <w:r>
              <w:rPr>
                <w:color w:val="auto"/>
                <w:sz w:val="24"/>
                <w:szCs w:val="21"/>
              </w:rPr>
              <w:t>⑶</w:t>
            </w:r>
            <w:r>
              <w:rPr>
                <w:rFonts w:eastAsiaTheme="minorEastAsia"/>
                <w:color w:val="auto"/>
                <w:sz w:val="24"/>
                <w:szCs w:val="21"/>
              </w:rPr>
              <w:fldChar w:fldCharType="end"/>
            </w:r>
            <w:r>
              <w:rPr>
                <w:rFonts w:eastAsiaTheme="minorEastAsia"/>
                <w:color w:val="auto"/>
                <w:sz w:val="24"/>
                <w:szCs w:val="21"/>
              </w:rPr>
              <w:t>简单防渗区</w:t>
            </w:r>
          </w:p>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gridSpan w:val="2"/>
            <w:vAlign w:val="center"/>
          </w:tcPr>
          <w:p>
            <w:pPr>
              <w:spacing w:line="360" w:lineRule="exact"/>
              <w:jc w:val="center"/>
              <w:rPr>
                <w:rFonts w:ascii="Times New Roman" w:hAnsi="Times New Roman" w:cs="Times New Roman"/>
              </w:rPr>
            </w:pPr>
            <w:r>
              <w:rPr>
                <w:rFonts w:ascii="Times New Roman" w:hAnsi="Times New Roman" w:cs="Times New Roman"/>
              </w:rPr>
              <w:t>生态保护措施</w:t>
            </w:r>
          </w:p>
        </w:tc>
        <w:tc>
          <w:tcPr>
            <w:tcW w:w="8405" w:type="dxa"/>
            <w:gridSpan w:val="6"/>
            <w:vAlign w:val="center"/>
          </w:tcPr>
          <w:p>
            <w:pPr>
              <w:pStyle w:val="26"/>
              <w:spacing w:line="360" w:lineRule="auto"/>
              <w:ind w:firstLine="240" w:firstLineChars="100"/>
              <w:jc w:val="both"/>
              <w:rPr>
                <w:rFonts w:eastAsiaTheme="minorEastAsia"/>
                <w:color w:val="auto"/>
                <w:szCs w:val="21"/>
              </w:rPr>
            </w:pPr>
            <w:r>
              <w:rPr>
                <w:rFonts w:eastAsiaTheme="minorEastAsia"/>
                <w:color w:val="auto"/>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gridSpan w:val="2"/>
            <w:vAlign w:val="center"/>
          </w:tcPr>
          <w:p>
            <w:pPr>
              <w:spacing w:line="360" w:lineRule="exact"/>
              <w:jc w:val="center"/>
              <w:rPr>
                <w:rFonts w:ascii="Times New Roman" w:hAnsi="Times New Roman" w:cs="Times New Roman"/>
              </w:rPr>
            </w:pPr>
            <w:r>
              <w:rPr>
                <w:rFonts w:ascii="Times New Roman" w:hAnsi="Times New Roman" w:cs="Times New Roman"/>
              </w:rPr>
              <w:t>环境风险防范措施</w:t>
            </w:r>
          </w:p>
        </w:tc>
        <w:tc>
          <w:tcPr>
            <w:tcW w:w="8405" w:type="dxa"/>
            <w:gridSpan w:val="6"/>
            <w:vAlign w:val="center"/>
          </w:tcPr>
          <w:p>
            <w:pPr>
              <w:pStyle w:val="26"/>
              <w:spacing w:line="360" w:lineRule="auto"/>
              <w:ind w:firstLine="240" w:firstLineChars="100"/>
              <w:jc w:val="both"/>
              <w:rPr>
                <w:rFonts w:eastAsiaTheme="minorEastAsia"/>
                <w:color w:val="auto"/>
                <w:sz w:val="24"/>
                <w:szCs w:val="21"/>
              </w:rPr>
            </w:pPr>
            <w:r>
              <w:rPr>
                <w:rFonts w:eastAsiaTheme="minorEastAsia"/>
                <w:color w:val="auto"/>
                <w:sz w:val="24"/>
                <w:szCs w:val="21"/>
              </w:rPr>
              <w:t>根据该项目环境影响途经，提出以下风险防范措施：</w:t>
            </w:r>
          </w:p>
          <w:p>
            <w:pPr>
              <w:pStyle w:val="26"/>
              <w:spacing w:line="360" w:lineRule="auto"/>
              <w:ind w:firstLine="240" w:firstLineChars="100"/>
              <w:jc w:val="both"/>
              <w:rPr>
                <w:rFonts w:eastAsiaTheme="minorEastAsia"/>
                <w:color w:val="auto"/>
                <w:sz w:val="24"/>
                <w:szCs w:val="21"/>
              </w:rPr>
            </w:pPr>
            <w:r>
              <w:rPr>
                <w:color w:val="auto"/>
                <w:sz w:val="24"/>
                <w:szCs w:val="21"/>
              </w:rPr>
              <w:t>①</w:t>
            </w:r>
            <w:r>
              <w:rPr>
                <w:rFonts w:eastAsiaTheme="minorEastAsia"/>
                <w:color w:val="auto"/>
                <w:sz w:val="24"/>
                <w:szCs w:val="21"/>
              </w:rPr>
              <w:t>危废废物应储存于规范的危险废物贮存间；入库时，严格检验物品质量、数量、包装情况、有无泄漏。</w:t>
            </w:r>
          </w:p>
          <w:p>
            <w:pPr>
              <w:pStyle w:val="26"/>
              <w:spacing w:line="360" w:lineRule="auto"/>
              <w:ind w:firstLine="240" w:firstLineChars="100"/>
              <w:jc w:val="both"/>
              <w:rPr>
                <w:rFonts w:eastAsiaTheme="minorEastAsia"/>
                <w:color w:val="auto"/>
                <w:sz w:val="24"/>
                <w:szCs w:val="21"/>
              </w:rPr>
            </w:pPr>
            <w:r>
              <w:rPr>
                <w:color w:val="auto"/>
                <w:sz w:val="24"/>
                <w:szCs w:val="21"/>
              </w:rPr>
              <w:t>②</w:t>
            </w:r>
            <w:r>
              <w:rPr>
                <w:rFonts w:eastAsiaTheme="minorEastAsia"/>
                <w:color w:val="auto"/>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6"/>
              <w:spacing w:line="360" w:lineRule="auto"/>
              <w:ind w:firstLine="240" w:firstLineChars="100"/>
              <w:jc w:val="both"/>
              <w:rPr>
                <w:rFonts w:eastAsiaTheme="minorEastAsia"/>
                <w:color w:val="auto"/>
                <w:sz w:val="24"/>
                <w:szCs w:val="21"/>
              </w:rPr>
            </w:pPr>
            <w:r>
              <w:rPr>
                <w:color w:val="auto"/>
                <w:sz w:val="24"/>
                <w:szCs w:val="21"/>
              </w:rPr>
              <w:t>③</w:t>
            </w:r>
            <w:r>
              <w:rPr>
                <w:rFonts w:eastAsiaTheme="minorEastAsia"/>
                <w:color w:val="auto"/>
                <w:sz w:val="24"/>
                <w:szCs w:val="21"/>
              </w:rPr>
              <w:t>项目区配备相应品种的消防器材。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1" w:type="dxa"/>
            <w:gridSpan w:val="2"/>
            <w:vAlign w:val="center"/>
          </w:tcPr>
          <w:p>
            <w:pPr>
              <w:spacing w:line="360" w:lineRule="exact"/>
              <w:jc w:val="center"/>
              <w:rPr>
                <w:rFonts w:ascii="Times New Roman" w:hAnsi="Times New Roman" w:cs="Times New Roman"/>
              </w:rPr>
            </w:pPr>
            <w:r>
              <w:rPr>
                <w:rFonts w:ascii="Times New Roman" w:hAnsi="Times New Roman" w:cs="Times New Roman"/>
              </w:rPr>
              <w:t>其他环境管理要求</w:t>
            </w:r>
          </w:p>
        </w:tc>
        <w:tc>
          <w:tcPr>
            <w:tcW w:w="8405" w:type="dxa"/>
            <w:gridSpan w:val="6"/>
            <w:vAlign w:val="center"/>
          </w:tcPr>
          <w:p>
            <w:pPr>
              <w:pStyle w:val="26"/>
              <w:spacing w:line="360" w:lineRule="auto"/>
              <w:ind w:firstLine="240" w:firstLineChars="100"/>
              <w:jc w:val="both"/>
              <w:rPr>
                <w:rFonts w:eastAsiaTheme="minorEastAsia"/>
                <w:color w:val="auto"/>
                <w:sz w:val="24"/>
                <w:szCs w:val="21"/>
              </w:rPr>
            </w:pPr>
            <w:r>
              <w:rPr>
                <w:color w:val="auto"/>
                <w:sz w:val="24"/>
                <w:szCs w:val="21"/>
              </w:rPr>
              <w:t>①</w:t>
            </w:r>
            <w:r>
              <w:rPr>
                <w:rFonts w:eastAsiaTheme="minorEastAsia"/>
                <w:color w:val="auto"/>
                <w:sz w:val="24"/>
                <w:szCs w:val="21"/>
              </w:rPr>
              <w:t>建设单位按照规范要求，设置环境保护图形标志。</w:t>
            </w:r>
          </w:p>
          <w:p>
            <w:pPr>
              <w:pStyle w:val="26"/>
              <w:spacing w:line="360" w:lineRule="auto"/>
              <w:ind w:firstLine="240" w:firstLineChars="100"/>
              <w:jc w:val="both"/>
              <w:rPr>
                <w:rFonts w:eastAsiaTheme="minorEastAsia"/>
                <w:color w:val="auto"/>
                <w:sz w:val="24"/>
                <w:szCs w:val="21"/>
              </w:rPr>
            </w:pPr>
            <w:r>
              <w:rPr>
                <w:color w:val="auto"/>
                <w:sz w:val="24"/>
                <w:szCs w:val="21"/>
              </w:rPr>
              <w:t>②</w:t>
            </w:r>
            <w:r>
              <w:rPr>
                <w:rFonts w:eastAsiaTheme="minorEastAsia"/>
                <w:color w:val="auto"/>
                <w:sz w:val="24"/>
                <w:szCs w:val="21"/>
              </w:rPr>
              <w:t>要求建设单位制定突发环境事件应急预案，报所在地县级以上环境保护行政主管部门备案并按照预案要求每年组织演练。</w:t>
            </w: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jc w:val="both"/>
              <w:rPr>
                <w:rFonts w:eastAsiaTheme="minorEastAsia"/>
                <w:color w:val="auto"/>
                <w:szCs w:val="21"/>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六、结论</w:t>
      </w:r>
    </w:p>
    <w:tbl>
      <w:tblPr>
        <w:tblStyle w:val="17"/>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昆明市东川区民政局拟建设的东川区殡仪馆项目符合国家产业政策，符合相关规划，选址合理，项目建设满足“三线一单”的管理要求，项目选址区域环境空气、地表水环境和声环境质量现状均可达到相应的质量标准要求，该项目采取整改措施后，污染物均可得到合理处置，建设单位在项目运行过程中严格执行环境管理和监测计划，项目对外环境影响较小，环境风险可控；从环境影响的角度分析，项目建设可行。</w:t>
            </w: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pStyle w:val="26"/>
              <w:spacing w:line="360" w:lineRule="auto"/>
              <w:ind w:firstLine="240" w:firstLineChars="100"/>
              <w:jc w:val="both"/>
              <w:rPr>
                <w:rFonts w:eastAsiaTheme="minorEastAsia"/>
                <w:color w:val="auto"/>
                <w:sz w:val="24"/>
                <w:szCs w:val="21"/>
              </w:rPr>
            </w:pPr>
          </w:p>
          <w:p>
            <w:pPr>
              <w:spacing w:line="360" w:lineRule="auto"/>
              <w:ind w:firstLine="480" w:firstLineChars="200"/>
              <w:rPr>
                <w:rFonts w:ascii="Times New Roman" w:hAnsi="Times New Roman" w:cs="Times New Roman"/>
                <w:sz w:val="24"/>
                <w:szCs w:val="24"/>
              </w:rPr>
            </w:pPr>
          </w:p>
        </w:tc>
      </w:tr>
    </w:tbl>
    <w:p>
      <w:pPr>
        <w:spacing w:line="360" w:lineRule="auto"/>
        <w:rPr>
          <w:rFonts w:ascii="Times New Roman" w:hAnsi="Times New Roman" w:cs="Times New Roman"/>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附表</w:t>
      </w:r>
    </w:p>
    <w:p>
      <w:pPr>
        <w:jc w:val="center"/>
        <w:rPr>
          <w:rFonts w:ascii="Times New Roman" w:hAnsi="Times New Roman" w:cs="Times New Roman"/>
          <w:b/>
        </w:rPr>
      </w:pPr>
      <w:r>
        <w:rPr>
          <w:rFonts w:ascii="Times New Roman" w:hAnsi="Times New Roman" w:cs="Times New Roman"/>
          <w:b/>
        </w:rPr>
        <w:t>建设项目污染物排放量汇总表</w:t>
      </w:r>
    </w:p>
    <w:tbl>
      <w:tblPr>
        <w:tblStyle w:val="17"/>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3"/>
        <w:gridCol w:w="1948"/>
        <w:gridCol w:w="1514"/>
        <w:gridCol w:w="1367"/>
        <w:gridCol w:w="1647"/>
        <w:gridCol w:w="1816"/>
        <w:gridCol w:w="1528"/>
        <w:gridCol w:w="1829"/>
        <w:gridCol w:w="15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tcBorders>
              <w:tl2br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项目</w:t>
            </w:r>
          </w:p>
          <w:p>
            <w:pPr>
              <w:spacing w:line="360" w:lineRule="exact"/>
              <w:jc w:val="left"/>
              <w:rPr>
                <w:rFonts w:ascii="Times New Roman" w:hAnsi="Times New Roman" w:cs="Times New Roman"/>
              </w:rPr>
            </w:pPr>
            <w:r>
              <w:rPr>
                <w:rFonts w:ascii="Times New Roman" w:hAnsi="Times New Roman" w:cs="Times New Roman"/>
              </w:rPr>
              <w:t>分类</w:t>
            </w:r>
          </w:p>
        </w:tc>
        <w:tc>
          <w:tcPr>
            <w:tcW w:w="1948" w:type="dxa"/>
            <w:vAlign w:val="center"/>
          </w:tcPr>
          <w:p>
            <w:pPr>
              <w:spacing w:line="360" w:lineRule="exact"/>
              <w:jc w:val="center"/>
              <w:rPr>
                <w:rFonts w:ascii="Times New Roman" w:hAnsi="Times New Roman" w:cs="Times New Roman"/>
              </w:rPr>
            </w:pPr>
            <w:r>
              <w:rPr>
                <w:rFonts w:ascii="Times New Roman" w:hAnsi="Times New Roman" w:cs="Times New Roman"/>
              </w:rPr>
              <w:t>污染物名称</w:t>
            </w:r>
          </w:p>
        </w:tc>
        <w:tc>
          <w:tcPr>
            <w:tcW w:w="1514" w:type="dxa"/>
            <w:vAlign w:val="center"/>
          </w:tcPr>
          <w:p>
            <w:pPr>
              <w:spacing w:line="360" w:lineRule="exact"/>
              <w:jc w:val="center"/>
              <w:rPr>
                <w:rFonts w:ascii="Times New Roman" w:hAnsi="Times New Roman" w:cs="Times New Roman"/>
              </w:rPr>
            </w:pPr>
            <w:r>
              <w:rPr>
                <w:rFonts w:ascii="Times New Roman" w:hAnsi="Times New Roman" w:cs="Times New Roman"/>
              </w:rPr>
              <w:t>现有工程排放量（固体废物产生量）</w:t>
            </w:r>
            <w:r>
              <w:rPr>
                <w:rFonts w:ascii="Times New Roman" w:hAnsi="Times New Roman" w:eastAsia="宋体" w:cs="Times New Roman"/>
              </w:rPr>
              <w:t>①</w:t>
            </w:r>
          </w:p>
        </w:tc>
        <w:tc>
          <w:tcPr>
            <w:tcW w:w="1367" w:type="dxa"/>
            <w:vAlign w:val="center"/>
          </w:tcPr>
          <w:p>
            <w:pPr>
              <w:spacing w:line="360" w:lineRule="exact"/>
              <w:jc w:val="center"/>
              <w:rPr>
                <w:rFonts w:ascii="Times New Roman" w:hAnsi="Times New Roman" w:cs="Times New Roman"/>
              </w:rPr>
            </w:pPr>
            <w:r>
              <w:rPr>
                <w:rFonts w:ascii="Times New Roman" w:hAnsi="Times New Roman" w:cs="Times New Roman"/>
              </w:rPr>
              <w:t>现有工程许可排放量</w:t>
            </w:r>
            <w:r>
              <w:rPr>
                <w:rFonts w:ascii="Times New Roman" w:hAnsi="Times New Roman" w:eastAsia="宋体" w:cs="Times New Roman"/>
              </w:rPr>
              <w:t>②</w:t>
            </w:r>
          </w:p>
        </w:tc>
        <w:tc>
          <w:tcPr>
            <w:tcW w:w="1647" w:type="dxa"/>
            <w:vAlign w:val="center"/>
          </w:tcPr>
          <w:p>
            <w:pPr>
              <w:spacing w:line="360" w:lineRule="exact"/>
              <w:jc w:val="center"/>
              <w:rPr>
                <w:rFonts w:ascii="Times New Roman" w:hAnsi="Times New Roman" w:cs="Times New Roman"/>
              </w:rPr>
            </w:pPr>
            <w:r>
              <w:rPr>
                <w:rFonts w:ascii="Times New Roman" w:hAnsi="Times New Roman" w:cs="Times New Roman"/>
              </w:rPr>
              <w:t>在建工程排放量（固体废物产生量）</w:t>
            </w:r>
            <w:r>
              <w:rPr>
                <w:rFonts w:ascii="Times New Roman" w:hAnsi="Times New Roman" w:eastAsia="宋体" w:cs="Times New Roman"/>
              </w:rPr>
              <w:t>③</w:t>
            </w:r>
          </w:p>
        </w:tc>
        <w:tc>
          <w:tcPr>
            <w:tcW w:w="1816" w:type="dxa"/>
            <w:vAlign w:val="center"/>
          </w:tcPr>
          <w:p>
            <w:pPr>
              <w:spacing w:line="360" w:lineRule="exact"/>
              <w:jc w:val="center"/>
              <w:rPr>
                <w:rFonts w:ascii="Times New Roman" w:hAnsi="Times New Roman" w:cs="Times New Roman"/>
              </w:rPr>
            </w:pPr>
            <w:r>
              <w:rPr>
                <w:rFonts w:ascii="Times New Roman" w:hAnsi="Times New Roman" w:cs="Times New Roman"/>
              </w:rPr>
              <w:t>该项目排放量（固体废物产生量）</w:t>
            </w:r>
            <w:r>
              <w:rPr>
                <w:rFonts w:ascii="Times New Roman" w:hAnsi="Times New Roman" w:eastAsia="宋体" w:cs="Times New Roman"/>
              </w:rPr>
              <w:t>④</w:t>
            </w:r>
          </w:p>
        </w:tc>
        <w:tc>
          <w:tcPr>
            <w:tcW w:w="1528" w:type="dxa"/>
            <w:vAlign w:val="center"/>
          </w:tcPr>
          <w:p>
            <w:pPr>
              <w:spacing w:line="360" w:lineRule="exact"/>
              <w:jc w:val="center"/>
              <w:rPr>
                <w:rFonts w:ascii="Times New Roman" w:hAnsi="Times New Roman" w:cs="Times New Roman"/>
              </w:rPr>
            </w:pPr>
            <w:r>
              <w:rPr>
                <w:rFonts w:ascii="Times New Roman" w:hAnsi="Times New Roman" w:cs="Times New Roman"/>
              </w:rPr>
              <w:t>以新带老削减量（已建项目不填）</w:t>
            </w:r>
            <w:r>
              <w:rPr>
                <w:rFonts w:ascii="Times New Roman" w:hAnsi="Times New Roman" w:eastAsia="宋体" w:cs="Times New Roman"/>
              </w:rPr>
              <w:t>⑤</w:t>
            </w:r>
          </w:p>
        </w:tc>
        <w:tc>
          <w:tcPr>
            <w:tcW w:w="1829" w:type="dxa"/>
            <w:vAlign w:val="center"/>
          </w:tcPr>
          <w:p>
            <w:pPr>
              <w:spacing w:line="360" w:lineRule="exact"/>
              <w:jc w:val="center"/>
              <w:rPr>
                <w:rFonts w:ascii="Times New Roman" w:hAnsi="Times New Roman" w:cs="Times New Roman"/>
              </w:rPr>
            </w:pPr>
            <w:r>
              <w:rPr>
                <w:rFonts w:ascii="Times New Roman" w:hAnsi="Times New Roman" w:cs="Times New Roman"/>
              </w:rPr>
              <w:t>该项目建成后全厂排放量（固体废物产生量）</w:t>
            </w:r>
            <w:r>
              <w:rPr>
                <w:rFonts w:ascii="Times New Roman" w:hAnsi="Times New Roman" w:eastAsia="宋体" w:cs="Times New Roman"/>
              </w:rPr>
              <w:t>⑥</w:t>
            </w:r>
          </w:p>
        </w:tc>
        <w:tc>
          <w:tcPr>
            <w:tcW w:w="1592" w:type="dxa"/>
            <w:vAlign w:val="center"/>
          </w:tcPr>
          <w:p>
            <w:pPr>
              <w:spacing w:line="360" w:lineRule="exact"/>
              <w:jc w:val="center"/>
              <w:rPr>
                <w:rFonts w:ascii="Times New Roman" w:hAnsi="Times New Roman" w:cs="Times New Roman"/>
              </w:rPr>
            </w:pPr>
            <w:r>
              <w:rPr>
                <w:rFonts w:ascii="Times New Roman" w:hAnsi="Times New Roman" w:cs="Times New Roman"/>
              </w:rPr>
              <w:t>变化量</w:t>
            </w:r>
            <w:r>
              <w:rPr>
                <w:rFonts w:ascii="Times New Roman" w:hAnsi="Times New Roman" w:eastAsia="宋体" w:cs="Times New Roman"/>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restart"/>
            <w:vAlign w:val="center"/>
          </w:tcPr>
          <w:p>
            <w:pPr>
              <w:pStyle w:val="26"/>
              <w:spacing w:line="360" w:lineRule="exact"/>
              <w:rPr>
                <w:rFonts w:eastAsiaTheme="minorEastAsia"/>
                <w:color w:val="auto"/>
                <w:szCs w:val="21"/>
              </w:rPr>
            </w:pPr>
            <w:r>
              <w:rPr>
                <w:rFonts w:eastAsiaTheme="minorEastAsia"/>
                <w:color w:val="auto"/>
                <w:szCs w:val="21"/>
              </w:rPr>
              <w:t>废气</w:t>
            </w:r>
          </w:p>
        </w:tc>
        <w:tc>
          <w:tcPr>
            <w:tcW w:w="1948" w:type="dxa"/>
            <w:vAlign w:val="center"/>
          </w:tcPr>
          <w:p>
            <w:pPr>
              <w:pStyle w:val="26"/>
              <w:spacing w:line="360" w:lineRule="exact"/>
              <w:rPr>
                <w:color w:val="auto"/>
                <w:szCs w:val="21"/>
              </w:rPr>
            </w:pPr>
            <w:r>
              <w:rPr>
                <w:color w:val="auto"/>
                <w:szCs w:val="21"/>
              </w:rPr>
              <w:t>烟尘</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0.0051</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0.0051</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0.0051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26"/>
              <w:spacing w:line="360" w:lineRule="exact"/>
              <w:rPr>
                <w:color w:val="auto"/>
                <w:szCs w:val="21"/>
              </w:rPr>
            </w:pPr>
            <w:r>
              <w:rPr>
                <w:color w:val="auto"/>
                <w:szCs w:val="21"/>
              </w:rPr>
              <w:t>SO</w:t>
            </w:r>
            <w:r>
              <w:rPr>
                <w:color w:val="auto"/>
                <w:szCs w:val="21"/>
                <w:vertAlign w:val="subscript"/>
              </w:rPr>
              <w:t>2</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0.3636</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0.3636</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0.3636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26"/>
              <w:spacing w:line="360" w:lineRule="exact"/>
              <w:rPr>
                <w:color w:val="auto"/>
                <w:szCs w:val="21"/>
              </w:rPr>
            </w:pPr>
            <w:r>
              <w:rPr>
                <w:color w:val="auto"/>
                <w:szCs w:val="21"/>
              </w:rPr>
              <w:t>NOx</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0.2956</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0.2956</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0.2956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26"/>
              <w:spacing w:line="360" w:lineRule="exact"/>
              <w:rPr>
                <w:color w:val="auto"/>
                <w:szCs w:val="21"/>
              </w:rPr>
            </w:pPr>
            <w:r>
              <w:rPr>
                <w:color w:val="auto"/>
                <w:szCs w:val="21"/>
              </w:rPr>
              <w:t>CO</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0.7806</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0.7806</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0.7806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26"/>
              <w:spacing w:line="360" w:lineRule="exact"/>
              <w:rPr>
                <w:color w:val="auto"/>
                <w:szCs w:val="21"/>
              </w:rPr>
            </w:pPr>
            <w:r>
              <w:rPr>
                <w:color w:val="auto"/>
                <w:szCs w:val="21"/>
              </w:rPr>
              <w:t>HCl</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0.021</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0.021</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26"/>
              <w:spacing w:line="360" w:lineRule="exact"/>
              <w:rPr>
                <w:color w:val="auto"/>
                <w:szCs w:val="21"/>
              </w:rPr>
            </w:pPr>
            <w:r>
              <w:rPr>
                <w:color w:val="auto"/>
                <w:szCs w:val="21"/>
              </w:rPr>
              <w:t>汞</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0.0002</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0.0002</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0.0002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26"/>
              <w:spacing w:line="360" w:lineRule="exact"/>
              <w:rPr>
                <w:color w:val="auto"/>
                <w:szCs w:val="21"/>
              </w:rPr>
            </w:pPr>
            <w:r>
              <w:rPr>
                <w:color w:val="auto"/>
                <w:szCs w:val="21"/>
              </w:rPr>
              <w:t>二噁英</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rFonts w:hint="eastAsia"/>
                <w:color w:val="auto"/>
                <w:sz w:val="21"/>
              </w:rPr>
              <w:t>8.2194</w:t>
            </w:r>
            <w:r>
              <w:rPr>
                <w:color w:val="auto"/>
                <w:kern w:val="2"/>
                <w:sz w:val="21"/>
              </w:rPr>
              <w:t>×10</w:t>
            </w:r>
            <w:r>
              <w:rPr>
                <w:color w:val="auto"/>
                <w:kern w:val="2"/>
                <w:sz w:val="21"/>
                <w:vertAlign w:val="superscript"/>
              </w:rPr>
              <w:t>-</w:t>
            </w:r>
            <w:r>
              <w:rPr>
                <w:rFonts w:hint="eastAsia"/>
                <w:color w:val="auto"/>
                <w:sz w:val="21"/>
                <w:vertAlign w:val="superscript"/>
              </w:rPr>
              <w:t>9</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rFonts w:hint="eastAsia"/>
                <w:color w:val="auto"/>
                <w:sz w:val="21"/>
              </w:rPr>
              <w:t>8.2194</w:t>
            </w:r>
            <w:r>
              <w:rPr>
                <w:color w:val="auto"/>
                <w:kern w:val="2"/>
                <w:sz w:val="21"/>
              </w:rPr>
              <w:t>×10</w:t>
            </w:r>
            <w:r>
              <w:rPr>
                <w:color w:val="auto"/>
                <w:kern w:val="2"/>
                <w:sz w:val="21"/>
                <w:vertAlign w:val="superscript"/>
              </w:rPr>
              <w:t>-</w:t>
            </w:r>
            <w:r>
              <w:rPr>
                <w:rFonts w:hint="eastAsia"/>
                <w:color w:val="auto"/>
                <w:sz w:val="21"/>
                <w:vertAlign w:val="superscript"/>
              </w:rPr>
              <w:t>9</w:t>
            </w:r>
          </w:p>
        </w:tc>
        <w:tc>
          <w:tcPr>
            <w:tcW w:w="1592" w:type="dxa"/>
            <w:vAlign w:val="center"/>
          </w:tcPr>
          <w:p>
            <w:pPr>
              <w:pStyle w:val="53"/>
              <w:spacing w:line="360" w:lineRule="atLeast"/>
              <w:jc w:val="center"/>
              <w:rPr>
                <w:bCs/>
                <w:snapToGrid w:val="0"/>
                <w:color w:val="auto"/>
                <w:kern w:val="32"/>
                <w:sz w:val="21"/>
                <w:szCs w:val="21"/>
                <w:lang w:val="zh-CN"/>
              </w:rPr>
            </w:pPr>
            <w:r>
              <w:rPr>
                <w:rFonts w:hint="eastAsia"/>
                <w:color w:val="auto"/>
                <w:sz w:val="21"/>
              </w:rPr>
              <w:t>8.2194</w:t>
            </w:r>
            <w:r>
              <w:rPr>
                <w:color w:val="auto"/>
                <w:kern w:val="2"/>
                <w:sz w:val="21"/>
              </w:rPr>
              <w:t>×10</w:t>
            </w:r>
            <w:r>
              <w:rPr>
                <w:color w:val="auto"/>
                <w:kern w:val="2"/>
                <w:sz w:val="21"/>
                <w:vertAlign w:val="superscript"/>
              </w:rPr>
              <w:t>-</w:t>
            </w:r>
            <w:r>
              <w:rPr>
                <w:rFonts w:hint="eastAsia"/>
                <w:color w:val="auto"/>
                <w:sz w:val="21"/>
                <w:vertAlign w:val="superscript"/>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restar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综合废水量</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pH</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CODcr</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BOD</w:t>
            </w:r>
            <w:r>
              <w:rPr>
                <w:rFonts w:eastAsiaTheme="minorEastAsia"/>
                <w:color w:val="auto"/>
                <w:szCs w:val="21"/>
                <w:vertAlign w:val="subscript"/>
              </w:rPr>
              <w:t>5</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SS</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NH</w:t>
            </w:r>
            <w:r>
              <w:rPr>
                <w:rFonts w:eastAsiaTheme="minorEastAsia"/>
                <w:color w:val="auto"/>
                <w:szCs w:val="21"/>
                <w:vertAlign w:val="subscript"/>
              </w:rPr>
              <w:t>3</w:t>
            </w:r>
            <w:r>
              <w:rPr>
                <w:rFonts w:eastAsiaTheme="minorEastAsia"/>
                <w:color w:val="auto"/>
                <w:szCs w:val="21"/>
              </w:rPr>
              <w:t>-N</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总氮</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总磷</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动植物油</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阴离子表面活性剂</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粪大肠菌群数（MPN/L）</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spacing w:line="360" w:lineRule="exact"/>
              <w:jc w:val="center"/>
              <w:rPr>
                <w:rFonts w:ascii="Times New Roman" w:hAnsi="Times New Roman" w:cs="Times New Roman"/>
              </w:rPr>
            </w:pPr>
          </w:p>
        </w:tc>
        <w:tc>
          <w:tcPr>
            <w:tcW w:w="1948" w:type="dxa"/>
            <w:vAlign w:val="center"/>
          </w:tcPr>
          <w:p>
            <w:pPr>
              <w:pStyle w:val="26"/>
              <w:spacing w:line="360" w:lineRule="exact"/>
              <w:rPr>
                <w:rFonts w:eastAsiaTheme="minorEastAsia"/>
                <w:color w:val="auto"/>
                <w:szCs w:val="21"/>
              </w:rPr>
            </w:pPr>
            <w:r>
              <w:rPr>
                <w:rFonts w:eastAsiaTheme="minorEastAsia"/>
                <w:color w:val="auto"/>
                <w:szCs w:val="21"/>
              </w:rPr>
              <w:t>总氯</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restart"/>
            <w:vAlign w:val="center"/>
          </w:tcPr>
          <w:p>
            <w:pPr>
              <w:pStyle w:val="26"/>
              <w:spacing w:line="360" w:lineRule="exact"/>
              <w:rPr>
                <w:rFonts w:eastAsiaTheme="minorEastAsia"/>
                <w:color w:val="auto"/>
                <w:szCs w:val="21"/>
              </w:rPr>
            </w:pPr>
            <w:r>
              <w:rPr>
                <w:rFonts w:eastAsiaTheme="minorEastAsia"/>
                <w:color w:val="auto"/>
                <w:szCs w:val="21"/>
              </w:rPr>
              <w:t>一般工业固废</w:t>
            </w:r>
          </w:p>
        </w:tc>
        <w:tc>
          <w:tcPr>
            <w:tcW w:w="194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脱酸脱硫固废</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3.5t/a</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3.5t/a</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除尘固废</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0.5t/a</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0.5t/a</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0.5t/a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遗物祭品焚烧灰渣</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3.2t/a</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3.2t/a</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3.2t/a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废弃沾油抹布</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2kg/a</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2kg/a</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2kg/a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restart"/>
            <w:vAlign w:val="center"/>
          </w:tcPr>
          <w:p>
            <w:pPr>
              <w:pStyle w:val="26"/>
              <w:spacing w:line="360" w:lineRule="exact"/>
              <w:rPr>
                <w:rFonts w:eastAsiaTheme="minorEastAsia"/>
                <w:color w:val="auto"/>
                <w:szCs w:val="21"/>
              </w:rPr>
            </w:pPr>
            <w:r>
              <w:rPr>
                <w:rFonts w:eastAsiaTheme="minorEastAsia"/>
                <w:color w:val="auto"/>
                <w:szCs w:val="21"/>
              </w:rPr>
              <w:t>危险废物</w:t>
            </w:r>
          </w:p>
        </w:tc>
        <w:tc>
          <w:tcPr>
            <w:tcW w:w="194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一次性手套、废弃化妆棉</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0.1t/a</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0.1t/a</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人体组织</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废活性炭</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0.3t/a</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0.3t/a</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污水处理系统污泥</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0.24t/a</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0.24t/a</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0.24t/a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33" w:type="dxa"/>
            <w:vMerge w:val="continue"/>
            <w:vAlign w:val="center"/>
          </w:tcPr>
          <w:p>
            <w:pPr>
              <w:pStyle w:val="26"/>
              <w:spacing w:line="360" w:lineRule="exact"/>
              <w:rPr>
                <w:rFonts w:eastAsiaTheme="minorEastAsia"/>
                <w:color w:val="auto"/>
                <w:szCs w:val="21"/>
              </w:rPr>
            </w:pPr>
          </w:p>
        </w:tc>
        <w:tc>
          <w:tcPr>
            <w:tcW w:w="194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废机油</w:t>
            </w:r>
          </w:p>
        </w:tc>
        <w:tc>
          <w:tcPr>
            <w:tcW w:w="1514"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36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647"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16"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5kg/a</w:t>
            </w:r>
          </w:p>
        </w:tc>
        <w:tc>
          <w:tcPr>
            <w:tcW w:w="1528"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0</w:t>
            </w:r>
          </w:p>
        </w:tc>
        <w:tc>
          <w:tcPr>
            <w:tcW w:w="1829"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5kg/a</w:t>
            </w:r>
          </w:p>
        </w:tc>
        <w:tc>
          <w:tcPr>
            <w:tcW w:w="1592" w:type="dxa"/>
            <w:vAlign w:val="center"/>
          </w:tcPr>
          <w:p>
            <w:pPr>
              <w:pStyle w:val="53"/>
              <w:spacing w:line="360" w:lineRule="atLeast"/>
              <w:jc w:val="center"/>
              <w:rPr>
                <w:bCs/>
                <w:snapToGrid w:val="0"/>
                <w:color w:val="auto"/>
                <w:kern w:val="32"/>
                <w:sz w:val="21"/>
                <w:szCs w:val="21"/>
                <w:lang w:val="zh-CN"/>
              </w:rPr>
            </w:pPr>
            <w:r>
              <w:rPr>
                <w:bCs/>
                <w:snapToGrid w:val="0"/>
                <w:color w:val="auto"/>
                <w:kern w:val="32"/>
                <w:sz w:val="21"/>
                <w:szCs w:val="21"/>
                <w:lang w:val="zh-CN"/>
              </w:rPr>
              <w:t>5kg/a</w:t>
            </w:r>
          </w:p>
        </w:tc>
      </w:tr>
    </w:tbl>
    <w:p>
      <w:pPr>
        <w:ind w:firstLine="420" w:firstLineChars="200"/>
        <w:jc w:val="left"/>
        <w:rPr>
          <w:rFonts w:ascii="Times New Roman" w:hAnsi="Times New Roman" w:cs="Times New Roman"/>
          <w:b/>
        </w:rPr>
      </w:pPr>
      <w:r>
        <w:rPr>
          <w:rFonts w:ascii="Times New Roman" w:hAnsi="Times New Roman" w:cs="Times New Roman"/>
          <w:b/>
        </w:rPr>
        <w:t>注：</w:t>
      </w:r>
      <w:r>
        <w:rPr>
          <w:rFonts w:ascii="Times New Roman" w:hAnsi="Times New Roman" w:eastAsia="宋体" w:cs="Times New Roman"/>
          <w:b/>
        </w:rPr>
        <w:t>⑥</w:t>
      </w:r>
      <w:r>
        <w:rPr>
          <w:rFonts w:ascii="Times New Roman" w:hAnsi="Times New Roman" w:cs="Times New Roman"/>
          <w:b/>
        </w:rPr>
        <w:t>=</w:t>
      </w:r>
      <w:r>
        <w:rPr>
          <w:rFonts w:ascii="Times New Roman" w:hAnsi="Times New Roman" w:eastAsia="宋体" w:cs="Times New Roman"/>
          <w:b/>
        </w:rPr>
        <w:t>①</w:t>
      </w:r>
      <w:r>
        <w:rPr>
          <w:rFonts w:ascii="Times New Roman" w:hAnsi="Times New Roman" w:cs="Times New Roman"/>
          <w:b/>
        </w:rPr>
        <w:t>+</w:t>
      </w:r>
      <w:r>
        <w:rPr>
          <w:rFonts w:ascii="Times New Roman" w:hAnsi="Times New Roman" w:eastAsia="宋体" w:cs="Times New Roman"/>
          <w:b/>
        </w:rPr>
        <w:t>③</w:t>
      </w:r>
      <w:r>
        <w:rPr>
          <w:rFonts w:ascii="Times New Roman" w:hAnsi="Times New Roman" w:cs="Times New Roman"/>
          <w:b/>
        </w:rPr>
        <w:t>+</w:t>
      </w:r>
      <w:r>
        <w:rPr>
          <w:rFonts w:ascii="Times New Roman" w:hAnsi="Times New Roman" w:eastAsia="宋体" w:cs="Times New Roman"/>
          <w:b/>
        </w:rPr>
        <w:t>④</w:t>
      </w:r>
      <w:r>
        <w:rPr>
          <w:rFonts w:ascii="Times New Roman" w:hAnsi="Times New Roman" w:cs="Times New Roman"/>
          <w:b/>
        </w:rPr>
        <w:t>-</w:t>
      </w:r>
      <w:r>
        <w:rPr>
          <w:rFonts w:ascii="Times New Roman" w:hAnsi="Times New Roman" w:eastAsia="宋体" w:cs="Times New Roman"/>
          <w:b/>
        </w:rPr>
        <w:t>⑤</w:t>
      </w:r>
      <w:r>
        <w:rPr>
          <w:rFonts w:ascii="Times New Roman" w:hAnsi="Times New Roman" w:cs="Times New Roman"/>
          <w:b/>
        </w:rPr>
        <w:t>；</w:t>
      </w:r>
      <w:r>
        <w:rPr>
          <w:rFonts w:ascii="Times New Roman" w:hAnsi="Times New Roman" w:eastAsia="宋体" w:cs="Times New Roman"/>
          <w:b/>
        </w:rPr>
        <w:t>⑦</w:t>
      </w:r>
      <w:r>
        <w:rPr>
          <w:rFonts w:ascii="Times New Roman" w:hAnsi="Times New Roman" w:cs="Times New Roman"/>
          <w:b/>
        </w:rPr>
        <w:t>=</w:t>
      </w:r>
      <w:r>
        <w:rPr>
          <w:rFonts w:ascii="Times New Roman" w:hAnsi="Times New Roman" w:eastAsia="宋体" w:cs="Times New Roman"/>
          <w:b/>
        </w:rPr>
        <w:t>⑥</w:t>
      </w:r>
      <w:r>
        <w:rPr>
          <w:rFonts w:ascii="Times New Roman" w:hAnsi="Times New Roman" w:cs="Times New Roman"/>
          <w:b/>
        </w:rPr>
        <w:t>-</w:t>
      </w:r>
      <w:r>
        <w:rPr>
          <w:rFonts w:ascii="Times New Roman" w:hAnsi="Times New Roman" w:eastAsia="宋体" w:cs="Times New Roman"/>
          <w:b/>
        </w:rPr>
        <w:t>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yEqTDZaXhT3plILDUm6fOjuNrCs=" w:salt="oMYOCHbuj2qGFyU9ch6ku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06DA2"/>
    <w:rsid w:val="00010A49"/>
    <w:rsid w:val="00010F13"/>
    <w:rsid w:val="00012C80"/>
    <w:rsid w:val="00013833"/>
    <w:rsid w:val="00017C92"/>
    <w:rsid w:val="00021721"/>
    <w:rsid w:val="0002285A"/>
    <w:rsid w:val="00022ADC"/>
    <w:rsid w:val="00030569"/>
    <w:rsid w:val="00031A59"/>
    <w:rsid w:val="00032B08"/>
    <w:rsid w:val="000344EF"/>
    <w:rsid w:val="00034809"/>
    <w:rsid w:val="00035576"/>
    <w:rsid w:val="00036444"/>
    <w:rsid w:val="00040A28"/>
    <w:rsid w:val="00040D99"/>
    <w:rsid w:val="00046D9B"/>
    <w:rsid w:val="00050E55"/>
    <w:rsid w:val="00054F28"/>
    <w:rsid w:val="0005744F"/>
    <w:rsid w:val="00060D87"/>
    <w:rsid w:val="00062FAD"/>
    <w:rsid w:val="000636D1"/>
    <w:rsid w:val="00067BF4"/>
    <w:rsid w:val="00070F66"/>
    <w:rsid w:val="00075754"/>
    <w:rsid w:val="00075FFD"/>
    <w:rsid w:val="000760FE"/>
    <w:rsid w:val="00082602"/>
    <w:rsid w:val="000868F4"/>
    <w:rsid w:val="000932A5"/>
    <w:rsid w:val="00093C79"/>
    <w:rsid w:val="000954A9"/>
    <w:rsid w:val="00095C65"/>
    <w:rsid w:val="000962B4"/>
    <w:rsid w:val="000A3BE3"/>
    <w:rsid w:val="000A4031"/>
    <w:rsid w:val="000A40EB"/>
    <w:rsid w:val="000A4E88"/>
    <w:rsid w:val="000B04E4"/>
    <w:rsid w:val="000B35C4"/>
    <w:rsid w:val="000B38ED"/>
    <w:rsid w:val="000B419E"/>
    <w:rsid w:val="000B4E2B"/>
    <w:rsid w:val="000B6EE8"/>
    <w:rsid w:val="000B7547"/>
    <w:rsid w:val="000C59AF"/>
    <w:rsid w:val="000D1B94"/>
    <w:rsid w:val="000D4D91"/>
    <w:rsid w:val="000E4039"/>
    <w:rsid w:val="000E500A"/>
    <w:rsid w:val="000E6F05"/>
    <w:rsid w:val="000F48E5"/>
    <w:rsid w:val="000F51F2"/>
    <w:rsid w:val="000F5DE9"/>
    <w:rsid w:val="000F68C5"/>
    <w:rsid w:val="0010241D"/>
    <w:rsid w:val="00103EA2"/>
    <w:rsid w:val="00105901"/>
    <w:rsid w:val="00105B5A"/>
    <w:rsid w:val="001068B5"/>
    <w:rsid w:val="00111F14"/>
    <w:rsid w:val="00113A8B"/>
    <w:rsid w:val="00116200"/>
    <w:rsid w:val="001201E0"/>
    <w:rsid w:val="001218DF"/>
    <w:rsid w:val="00121AAE"/>
    <w:rsid w:val="00122036"/>
    <w:rsid w:val="001250CA"/>
    <w:rsid w:val="00125B5D"/>
    <w:rsid w:val="00126836"/>
    <w:rsid w:val="001307E7"/>
    <w:rsid w:val="00137141"/>
    <w:rsid w:val="0014721C"/>
    <w:rsid w:val="00150F0D"/>
    <w:rsid w:val="0015464F"/>
    <w:rsid w:val="00163524"/>
    <w:rsid w:val="00165F39"/>
    <w:rsid w:val="0017180C"/>
    <w:rsid w:val="001719D1"/>
    <w:rsid w:val="00171AF4"/>
    <w:rsid w:val="00172D3E"/>
    <w:rsid w:val="001731F9"/>
    <w:rsid w:val="0017344B"/>
    <w:rsid w:val="001750E1"/>
    <w:rsid w:val="0017574F"/>
    <w:rsid w:val="00176356"/>
    <w:rsid w:val="001801DD"/>
    <w:rsid w:val="0018089D"/>
    <w:rsid w:val="00182D5B"/>
    <w:rsid w:val="001845EC"/>
    <w:rsid w:val="001864CE"/>
    <w:rsid w:val="00187327"/>
    <w:rsid w:val="00187B44"/>
    <w:rsid w:val="001914AC"/>
    <w:rsid w:val="00191C25"/>
    <w:rsid w:val="00197070"/>
    <w:rsid w:val="001977B7"/>
    <w:rsid w:val="00197C78"/>
    <w:rsid w:val="001A70EF"/>
    <w:rsid w:val="001B0138"/>
    <w:rsid w:val="001B30A4"/>
    <w:rsid w:val="001B4D27"/>
    <w:rsid w:val="001C0A81"/>
    <w:rsid w:val="001C3FC6"/>
    <w:rsid w:val="001C5EB3"/>
    <w:rsid w:val="001C7F90"/>
    <w:rsid w:val="001D3CCB"/>
    <w:rsid w:val="001E1D94"/>
    <w:rsid w:val="001E5DB5"/>
    <w:rsid w:val="001F03FE"/>
    <w:rsid w:val="001F0A05"/>
    <w:rsid w:val="001F2DED"/>
    <w:rsid w:val="001F522D"/>
    <w:rsid w:val="00203A93"/>
    <w:rsid w:val="00203C83"/>
    <w:rsid w:val="0021020E"/>
    <w:rsid w:val="002210A0"/>
    <w:rsid w:val="00223D91"/>
    <w:rsid w:val="0023054C"/>
    <w:rsid w:val="002305AE"/>
    <w:rsid w:val="00240067"/>
    <w:rsid w:val="00243824"/>
    <w:rsid w:val="00245CA3"/>
    <w:rsid w:val="00252D41"/>
    <w:rsid w:val="00263589"/>
    <w:rsid w:val="002666BE"/>
    <w:rsid w:val="00266FFA"/>
    <w:rsid w:val="00272BDE"/>
    <w:rsid w:val="002735A4"/>
    <w:rsid w:val="002746CB"/>
    <w:rsid w:val="00274CD2"/>
    <w:rsid w:val="002750D5"/>
    <w:rsid w:val="00277862"/>
    <w:rsid w:val="00283568"/>
    <w:rsid w:val="0028492E"/>
    <w:rsid w:val="00292269"/>
    <w:rsid w:val="002931E6"/>
    <w:rsid w:val="002963A7"/>
    <w:rsid w:val="00296512"/>
    <w:rsid w:val="002A07FC"/>
    <w:rsid w:val="002A1028"/>
    <w:rsid w:val="002A1BFA"/>
    <w:rsid w:val="002A1DB1"/>
    <w:rsid w:val="002A3B80"/>
    <w:rsid w:val="002A718C"/>
    <w:rsid w:val="002B2BE4"/>
    <w:rsid w:val="002B333A"/>
    <w:rsid w:val="002B3E5C"/>
    <w:rsid w:val="002B40E5"/>
    <w:rsid w:val="002B4685"/>
    <w:rsid w:val="002B4EA6"/>
    <w:rsid w:val="002B5B05"/>
    <w:rsid w:val="002C07C0"/>
    <w:rsid w:val="002C0F39"/>
    <w:rsid w:val="002C2901"/>
    <w:rsid w:val="002C3853"/>
    <w:rsid w:val="002C6B6E"/>
    <w:rsid w:val="002C7F62"/>
    <w:rsid w:val="002D5E57"/>
    <w:rsid w:val="002D63B6"/>
    <w:rsid w:val="002E25DE"/>
    <w:rsid w:val="002E3C02"/>
    <w:rsid w:val="002E3E71"/>
    <w:rsid w:val="002E3F5D"/>
    <w:rsid w:val="002E4EE2"/>
    <w:rsid w:val="002E5628"/>
    <w:rsid w:val="002F052A"/>
    <w:rsid w:val="002F37F6"/>
    <w:rsid w:val="003012BB"/>
    <w:rsid w:val="003015F9"/>
    <w:rsid w:val="003078BC"/>
    <w:rsid w:val="003126D3"/>
    <w:rsid w:val="00312DF2"/>
    <w:rsid w:val="00315F53"/>
    <w:rsid w:val="0031765F"/>
    <w:rsid w:val="00317F26"/>
    <w:rsid w:val="003203D0"/>
    <w:rsid w:val="00322DCE"/>
    <w:rsid w:val="00323170"/>
    <w:rsid w:val="0033060F"/>
    <w:rsid w:val="00332BCA"/>
    <w:rsid w:val="0033556B"/>
    <w:rsid w:val="0034317D"/>
    <w:rsid w:val="003473CD"/>
    <w:rsid w:val="003515D4"/>
    <w:rsid w:val="003519CC"/>
    <w:rsid w:val="0035309D"/>
    <w:rsid w:val="00354B52"/>
    <w:rsid w:val="0035599F"/>
    <w:rsid w:val="0035773D"/>
    <w:rsid w:val="00361CF9"/>
    <w:rsid w:val="00370B08"/>
    <w:rsid w:val="00371986"/>
    <w:rsid w:val="00371B13"/>
    <w:rsid w:val="00372247"/>
    <w:rsid w:val="00372641"/>
    <w:rsid w:val="003852E6"/>
    <w:rsid w:val="00385DE6"/>
    <w:rsid w:val="00386D49"/>
    <w:rsid w:val="003879AF"/>
    <w:rsid w:val="00390401"/>
    <w:rsid w:val="00393433"/>
    <w:rsid w:val="00394E91"/>
    <w:rsid w:val="003A04F9"/>
    <w:rsid w:val="003A1A97"/>
    <w:rsid w:val="003A2C94"/>
    <w:rsid w:val="003A4F39"/>
    <w:rsid w:val="003B149E"/>
    <w:rsid w:val="003B6B9D"/>
    <w:rsid w:val="003C12EC"/>
    <w:rsid w:val="003C3D79"/>
    <w:rsid w:val="003C4D0F"/>
    <w:rsid w:val="003D03A2"/>
    <w:rsid w:val="003D15BD"/>
    <w:rsid w:val="003D17DA"/>
    <w:rsid w:val="003D23AF"/>
    <w:rsid w:val="003D25E7"/>
    <w:rsid w:val="003D37F1"/>
    <w:rsid w:val="003D4831"/>
    <w:rsid w:val="003E09C9"/>
    <w:rsid w:val="003E1314"/>
    <w:rsid w:val="003E1A39"/>
    <w:rsid w:val="003E24A1"/>
    <w:rsid w:val="003E2878"/>
    <w:rsid w:val="003E4647"/>
    <w:rsid w:val="003E4DB9"/>
    <w:rsid w:val="003F0CB4"/>
    <w:rsid w:val="003F4B40"/>
    <w:rsid w:val="003F5310"/>
    <w:rsid w:val="003F6C3F"/>
    <w:rsid w:val="00405DB9"/>
    <w:rsid w:val="00411E9A"/>
    <w:rsid w:val="00412056"/>
    <w:rsid w:val="004164F1"/>
    <w:rsid w:val="0042165D"/>
    <w:rsid w:val="0042483F"/>
    <w:rsid w:val="00425256"/>
    <w:rsid w:val="00425EB3"/>
    <w:rsid w:val="00430769"/>
    <w:rsid w:val="004329BC"/>
    <w:rsid w:val="004369B4"/>
    <w:rsid w:val="004431BA"/>
    <w:rsid w:val="004459AB"/>
    <w:rsid w:val="00445CD5"/>
    <w:rsid w:val="004512FE"/>
    <w:rsid w:val="004521CF"/>
    <w:rsid w:val="00452F00"/>
    <w:rsid w:val="0045440C"/>
    <w:rsid w:val="00455894"/>
    <w:rsid w:val="00461CD7"/>
    <w:rsid w:val="00465080"/>
    <w:rsid w:val="004720B1"/>
    <w:rsid w:val="004752A5"/>
    <w:rsid w:val="004760CF"/>
    <w:rsid w:val="004763B3"/>
    <w:rsid w:val="00476FFB"/>
    <w:rsid w:val="00477A89"/>
    <w:rsid w:val="004813EA"/>
    <w:rsid w:val="004840C4"/>
    <w:rsid w:val="00484777"/>
    <w:rsid w:val="00484BFF"/>
    <w:rsid w:val="00490ECA"/>
    <w:rsid w:val="00492448"/>
    <w:rsid w:val="00495EA8"/>
    <w:rsid w:val="004A06CC"/>
    <w:rsid w:val="004A0E4C"/>
    <w:rsid w:val="004A1EEA"/>
    <w:rsid w:val="004A2FFF"/>
    <w:rsid w:val="004A37C5"/>
    <w:rsid w:val="004A4E36"/>
    <w:rsid w:val="004A7486"/>
    <w:rsid w:val="004A7B89"/>
    <w:rsid w:val="004B318F"/>
    <w:rsid w:val="004C5749"/>
    <w:rsid w:val="004C65B8"/>
    <w:rsid w:val="004C78EB"/>
    <w:rsid w:val="004C7D2E"/>
    <w:rsid w:val="004D3DA8"/>
    <w:rsid w:val="004D5133"/>
    <w:rsid w:val="004D6F09"/>
    <w:rsid w:val="004E0B6A"/>
    <w:rsid w:val="004E10CB"/>
    <w:rsid w:val="004E70CB"/>
    <w:rsid w:val="004F046C"/>
    <w:rsid w:val="004F0C05"/>
    <w:rsid w:val="004F79F0"/>
    <w:rsid w:val="004F7ED7"/>
    <w:rsid w:val="00502A28"/>
    <w:rsid w:val="00505002"/>
    <w:rsid w:val="0050608A"/>
    <w:rsid w:val="00511B6E"/>
    <w:rsid w:val="005164B3"/>
    <w:rsid w:val="00516F69"/>
    <w:rsid w:val="00525306"/>
    <w:rsid w:val="00525473"/>
    <w:rsid w:val="00531AD8"/>
    <w:rsid w:val="00531E5D"/>
    <w:rsid w:val="00531ED9"/>
    <w:rsid w:val="00532280"/>
    <w:rsid w:val="00533467"/>
    <w:rsid w:val="005340F1"/>
    <w:rsid w:val="005344D8"/>
    <w:rsid w:val="00535E4F"/>
    <w:rsid w:val="00535FE2"/>
    <w:rsid w:val="00542078"/>
    <w:rsid w:val="00543C10"/>
    <w:rsid w:val="00544F28"/>
    <w:rsid w:val="0055140E"/>
    <w:rsid w:val="00551B30"/>
    <w:rsid w:val="00551E76"/>
    <w:rsid w:val="005528F5"/>
    <w:rsid w:val="0055331A"/>
    <w:rsid w:val="0055687A"/>
    <w:rsid w:val="005568AC"/>
    <w:rsid w:val="005571AA"/>
    <w:rsid w:val="005604B1"/>
    <w:rsid w:val="00561F16"/>
    <w:rsid w:val="00564756"/>
    <w:rsid w:val="00567F84"/>
    <w:rsid w:val="00570AC5"/>
    <w:rsid w:val="00570B7C"/>
    <w:rsid w:val="00572A09"/>
    <w:rsid w:val="00575638"/>
    <w:rsid w:val="00586942"/>
    <w:rsid w:val="00587139"/>
    <w:rsid w:val="0059041A"/>
    <w:rsid w:val="00591C3D"/>
    <w:rsid w:val="0059583C"/>
    <w:rsid w:val="00595DFB"/>
    <w:rsid w:val="00595DFF"/>
    <w:rsid w:val="005A040B"/>
    <w:rsid w:val="005A0EA5"/>
    <w:rsid w:val="005A34BF"/>
    <w:rsid w:val="005A468F"/>
    <w:rsid w:val="005A796A"/>
    <w:rsid w:val="005B5075"/>
    <w:rsid w:val="005B5BB8"/>
    <w:rsid w:val="005B60E2"/>
    <w:rsid w:val="005C2743"/>
    <w:rsid w:val="005C3240"/>
    <w:rsid w:val="005C358A"/>
    <w:rsid w:val="005C38F9"/>
    <w:rsid w:val="005C5209"/>
    <w:rsid w:val="005C6ECF"/>
    <w:rsid w:val="005C76AA"/>
    <w:rsid w:val="005D1BB5"/>
    <w:rsid w:val="005D2878"/>
    <w:rsid w:val="005D2DAC"/>
    <w:rsid w:val="005D400C"/>
    <w:rsid w:val="005D40A7"/>
    <w:rsid w:val="005D6D94"/>
    <w:rsid w:val="005E189B"/>
    <w:rsid w:val="005E43DF"/>
    <w:rsid w:val="005E7578"/>
    <w:rsid w:val="005F67AF"/>
    <w:rsid w:val="006000D0"/>
    <w:rsid w:val="00606B48"/>
    <w:rsid w:val="00607B6F"/>
    <w:rsid w:val="00611350"/>
    <w:rsid w:val="006136F1"/>
    <w:rsid w:val="00613C50"/>
    <w:rsid w:val="00617A01"/>
    <w:rsid w:val="0062045F"/>
    <w:rsid w:val="0062070A"/>
    <w:rsid w:val="00623A6B"/>
    <w:rsid w:val="006247E8"/>
    <w:rsid w:val="0062535E"/>
    <w:rsid w:val="00626057"/>
    <w:rsid w:val="0063583F"/>
    <w:rsid w:val="00636BF7"/>
    <w:rsid w:val="006379C6"/>
    <w:rsid w:val="00647344"/>
    <w:rsid w:val="00653E67"/>
    <w:rsid w:val="00660A67"/>
    <w:rsid w:val="00663A36"/>
    <w:rsid w:val="0066431F"/>
    <w:rsid w:val="00670600"/>
    <w:rsid w:val="00671B26"/>
    <w:rsid w:val="0067422A"/>
    <w:rsid w:val="006826DF"/>
    <w:rsid w:val="00685451"/>
    <w:rsid w:val="0068738A"/>
    <w:rsid w:val="00687D0A"/>
    <w:rsid w:val="006908E2"/>
    <w:rsid w:val="0069133B"/>
    <w:rsid w:val="0069181A"/>
    <w:rsid w:val="006946BA"/>
    <w:rsid w:val="006952FD"/>
    <w:rsid w:val="006A0148"/>
    <w:rsid w:val="006A310F"/>
    <w:rsid w:val="006A5256"/>
    <w:rsid w:val="006A7586"/>
    <w:rsid w:val="006B219A"/>
    <w:rsid w:val="006B30E2"/>
    <w:rsid w:val="006C0272"/>
    <w:rsid w:val="006C0B93"/>
    <w:rsid w:val="006C1364"/>
    <w:rsid w:val="006C1666"/>
    <w:rsid w:val="006C1D02"/>
    <w:rsid w:val="006C52A7"/>
    <w:rsid w:val="006C58CF"/>
    <w:rsid w:val="006C58DC"/>
    <w:rsid w:val="006C5D8A"/>
    <w:rsid w:val="006C640B"/>
    <w:rsid w:val="006D1F47"/>
    <w:rsid w:val="006D449A"/>
    <w:rsid w:val="006D469B"/>
    <w:rsid w:val="006E20AC"/>
    <w:rsid w:val="006E2C47"/>
    <w:rsid w:val="006E3BBE"/>
    <w:rsid w:val="006E4148"/>
    <w:rsid w:val="006E5529"/>
    <w:rsid w:val="006E69D9"/>
    <w:rsid w:val="006F2742"/>
    <w:rsid w:val="006F31A9"/>
    <w:rsid w:val="006F404F"/>
    <w:rsid w:val="006F6817"/>
    <w:rsid w:val="00702658"/>
    <w:rsid w:val="00702A5D"/>
    <w:rsid w:val="00703019"/>
    <w:rsid w:val="00710575"/>
    <w:rsid w:val="00712452"/>
    <w:rsid w:val="00715081"/>
    <w:rsid w:val="00717FE2"/>
    <w:rsid w:val="007205B9"/>
    <w:rsid w:val="00720F23"/>
    <w:rsid w:val="007217E0"/>
    <w:rsid w:val="007313B1"/>
    <w:rsid w:val="00734F3E"/>
    <w:rsid w:val="0073558A"/>
    <w:rsid w:val="00735823"/>
    <w:rsid w:val="00740A4F"/>
    <w:rsid w:val="007431C8"/>
    <w:rsid w:val="00743547"/>
    <w:rsid w:val="00744126"/>
    <w:rsid w:val="00745C1E"/>
    <w:rsid w:val="007502C2"/>
    <w:rsid w:val="00751732"/>
    <w:rsid w:val="00754067"/>
    <w:rsid w:val="0075551E"/>
    <w:rsid w:val="00756F3F"/>
    <w:rsid w:val="0075717F"/>
    <w:rsid w:val="00760397"/>
    <w:rsid w:val="0076139C"/>
    <w:rsid w:val="007620A6"/>
    <w:rsid w:val="00766340"/>
    <w:rsid w:val="00766AE0"/>
    <w:rsid w:val="00766D22"/>
    <w:rsid w:val="0077006B"/>
    <w:rsid w:val="00771CD1"/>
    <w:rsid w:val="007736DF"/>
    <w:rsid w:val="00774EAD"/>
    <w:rsid w:val="007752A9"/>
    <w:rsid w:val="007809B0"/>
    <w:rsid w:val="00784888"/>
    <w:rsid w:val="00785FBC"/>
    <w:rsid w:val="00786705"/>
    <w:rsid w:val="007867D4"/>
    <w:rsid w:val="0079096A"/>
    <w:rsid w:val="007923CD"/>
    <w:rsid w:val="00793033"/>
    <w:rsid w:val="00793C8B"/>
    <w:rsid w:val="00797D3A"/>
    <w:rsid w:val="007A17E9"/>
    <w:rsid w:val="007A1811"/>
    <w:rsid w:val="007A2B02"/>
    <w:rsid w:val="007A4B48"/>
    <w:rsid w:val="007A6586"/>
    <w:rsid w:val="007A7A0B"/>
    <w:rsid w:val="007B296B"/>
    <w:rsid w:val="007B741C"/>
    <w:rsid w:val="007C037E"/>
    <w:rsid w:val="007C0DE2"/>
    <w:rsid w:val="007C2FE5"/>
    <w:rsid w:val="007C48B8"/>
    <w:rsid w:val="007C6F93"/>
    <w:rsid w:val="007D01C3"/>
    <w:rsid w:val="007D01EC"/>
    <w:rsid w:val="007D35F3"/>
    <w:rsid w:val="007D440B"/>
    <w:rsid w:val="007D66D8"/>
    <w:rsid w:val="007D68CC"/>
    <w:rsid w:val="007D7ADE"/>
    <w:rsid w:val="007E29CE"/>
    <w:rsid w:val="007E5568"/>
    <w:rsid w:val="007E739C"/>
    <w:rsid w:val="007F01D2"/>
    <w:rsid w:val="007F4217"/>
    <w:rsid w:val="007F5BBD"/>
    <w:rsid w:val="008002F5"/>
    <w:rsid w:val="00800713"/>
    <w:rsid w:val="0080313A"/>
    <w:rsid w:val="008037FF"/>
    <w:rsid w:val="00804005"/>
    <w:rsid w:val="00805197"/>
    <w:rsid w:val="0081057B"/>
    <w:rsid w:val="00814387"/>
    <w:rsid w:val="00814FC0"/>
    <w:rsid w:val="00820EEF"/>
    <w:rsid w:val="00821766"/>
    <w:rsid w:val="008278FC"/>
    <w:rsid w:val="00834F18"/>
    <w:rsid w:val="008404CF"/>
    <w:rsid w:val="0084109A"/>
    <w:rsid w:val="00842D93"/>
    <w:rsid w:val="00844558"/>
    <w:rsid w:val="00845525"/>
    <w:rsid w:val="00847A3B"/>
    <w:rsid w:val="00853681"/>
    <w:rsid w:val="00856A7C"/>
    <w:rsid w:val="008572F9"/>
    <w:rsid w:val="00857DB7"/>
    <w:rsid w:val="00862146"/>
    <w:rsid w:val="00862A78"/>
    <w:rsid w:val="0086311F"/>
    <w:rsid w:val="008673AB"/>
    <w:rsid w:val="00870E57"/>
    <w:rsid w:val="00876278"/>
    <w:rsid w:val="008769AB"/>
    <w:rsid w:val="0087758A"/>
    <w:rsid w:val="00877DC6"/>
    <w:rsid w:val="00884880"/>
    <w:rsid w:val="008870BC"/>
    <w:rsid w:val="00887B10"/>
    <w:rsid w:val="008902AE"/>
    <w:rsid w:val="00891912"/>
    <w:rsid w:val="0089344B"/>
    <w:rsid w:val="008948EB"/>
    <w:rsid w:val="00897E97"/>
    <w:rsid w:val="008A10D6"/>
    <w:rsid w:val="008A1159"/>
    <w:rsid w:val="008A34B3"/>
    <w:rsid w:val="008A4E85"/>
    <w:rsid w:val="008A6FD6"/>
    <w:rsid w:val="008A72EB"/>
    <w:rsid w:val="008B21E0"/>
    <w:rsid w:val="008B4A7B"/>
    <w:rsid w:val="008B631C"/>
    <w:rsid w:val="008B702B"/>
    <w:rsid w:val="008C08AB"/>
    <w:rsid w:val="008C08ED"/>
    <w:rsid w:val="008C1FB7"/>
    <w:rsid w:val="008C50F0"/>
    <w:rsid w:val="008C7652"/>
    <w:rsid w:val="008D15CE"/>
    <w:rsid w:val="008D164F"/>
    <w:rsid w:val="008E375A"/>
    <w:rsid w:val="008E56A4"/>
    <w:rsid w:val="008F4CE6"/>
    <w:rsid w:val="008F5F3E"/>
    <w:rsid w:val="008F74C5"/>
    <w:rsid w:val="008F7660"/>
    <w:rsid w:val="008F7AE0"/>
    <w:rsid w:val="00903A8B"/>
    <w:rsid w:val="00904F18"/>
    <w:rsid w:val="009050A1"/>
    <w:rsid w:val="00913BBF"/>
    <w:rsid w:val="009206AC"/>
    <w:rsid w:val="009252EF"/>
    <w:rsid w:val="00925E63"/>
    <w:rsid w:val="00926F3E"/>
    <w:rsid w:val="00927433"/>
    <w:rsid w:val="009279CD"/>
    <w:rsid w:val="00927C70"/>
    <w:rsid w:val="00931F67"/>
    <w:rsid w:val="00935E07"/>
    <w:rsid w:val="00936AFA"/>
    <w:rsid w:val="009371D8"/>
    <w:rsid w:val="00940DBD"/>
    <w:rsid w:val="00942786"/>
    <w:rsid w:val="00945ED1"/>
    <w:rsid w:val="00954268"/>
    <w:rsid w:val="009545F8"/>
    <w:rsid w:val="00955FBB"/>
    <w:rsid w:val="00957082"/>
    <w:rsid w:val="009633F2"/>
    <w:rsid w:val="00966221"/>
    <w:rsid w:val="00972E8E"/>
    <w:rsid w:val="00973DC5"/>
    <w:rsid w:val="009745FC"/>
    <w:rsid w:val="00974646"/>
    <w:rsid w:val="009800F5"/>
    <w:rsid w:val="00980F29"/>
    <w:rsid w:val="00982B4F"/>
    <w:rsid w:val="00984D4B"/>
    <w:rsid w:val="00987D4A"/>
    <w:rsid w:val="00993FE0"/>
    <w:rsid w:val="0099505A"/>
    <w:rsid w:val="00996A65"/>
    <w:rsid w:val="009A28F3"/>
    <w:rsid w:val="009A30DC"/>
    <w:rsid w:val="009A570D"/>
    <w:rsid w:val="009A6B88"/>
    <w:rsid w:val="009B7740"/>
    <w:rsid w:val="009C091A"/>
    <w:rsid w:val="009C166B"/>
    <w:rsid w:val="009C37FA"/>
    <w:rsid w:val="009D0DBD"/>
    <w:rsid w:val="009D26CB"/>
    <w:rsid w:val="009D27CC"/>
    <w:rsid w:val="009D368A"/>
    <w:rsid w:val="009D41A3"/>
    <w:rsid w:val="009E20A5"/>
    <w:rsid w:val="009E329B"/>
    <w:rsid w:val="009E33D7"/>
    <w:rsid w:val="009E461F"/>
    <w:rsid w:val="009E4666"/>
    <w:rsid w:val="009F1793"/>
    <w:rsid w:val="009F2273"/>
    <w:rsid w:val="009F2D07"/>
    <w:rsid w:val="009F760C"/>
    <w:rsid w:val="00A0564F"/>
    <w:rsid w:val="00A05998"/>
    <w:rsid w:val="00A06B38"/>
    <w:rsid w:val="00A12758"/>
    <w:rsid w:val="00A1335C"/>
    <w:rsid w:val="00A158CC"/>
    <w:rsid w:val="00A21FD8"/>
    <w:rsid w:val="00A22965"/>
    <w:rsid w:val="00A249A6"/>
    <w:rsid w:val="00A307AD"/>
    <w:rsid w:val="00A327E4"/>
    <w:rsid w:val="00A37D8D"/>
    <w:rsid w:val="00A4202F"/>
    <w:rsid w:val="00A4354F"/>
    <w:rsid w:val="00A4616E"/>
    <w:rsid w:val="00A46678"/>
    <w:rsid w:val="00A46859"/>
    <w:rsid w:val="00A46AFB"/>
    <w:rsid w:val="00A46F3A"/>
    <w:rsid w:val="00A472AA"/>
    <w:rsid w:val="00A475BE"/>
    <w:rsid w:val="00A52AFE"/>
    <w:rsid w:val="00A53E67"/>
    <w:rsid w:val="00A61AE2"/>
    <w:rsid w:val="00A62E3E"/>
    <w:rsid w:val="00A65C04"/>
    <w:rsid w:val="00A707E4"/>
    <w:rsid w:val="00A719DE"/>
    <w:rsid w:val="00A71DD8"/>
    <w:rsid w:val="00A77714"/>
    <w:rsid w:val="00A80A3E"/>
    <w:rsid w:val="00A923EE"/>
    <w:rsid w:val="00A92F34"/>
    <w:rsid w:val="00A94F19"/>
    <w:rsid w:val="00A96334"/>
    <w:rsid w:val="00A96F07"/>
    <w:rsid w:val="00AA4585"/>
    <w:rsid w:val="00AA5A9C"/>
    <w:rsid w:val="00AA6787"/>
    <w:rsid w:val="00AA7709"/>
    <w:rsid w:val="00AB0A22"/>
    <w:rsid w:val="00AB571D"/>
    <w:rsid w:val="00AB58ED"/>
    <w:rsid w:val="00AB68A8"/>
    <w:rsid w:val="00AB6D1E"/>
    <w:rsid w:val="00AB6D48"/>
    <w:rsid w:val="00AC07DE"/>
    <w:rsid w:val="00AC36F8"/>
    <w:rsid w:val="00AC5327"/>
    <w:rsid w:val="00AC5A69"/>
    <w:rsid w:val="00AC6D60"/>
    <w:rsid w:val="00AD1259"/>
    <w:rsid w:val="00AD1B30"/>
    <w:rsid w:val="00AD21FC"/>
    <w:rsid w:val="00AD33DB"/>
    <w:rsid w:val="00AD3B4D"/>
    <w:rsid w:val="00AD46FA"/>
    <w:rsid w:val="00AD5A01"/>
    <w:rsid w:val="00AD5C73"/>
    <w:rsid w:val="00AD70C8"/>
    <w:rsid w:val="00AE1FB4"/>
    <w:rsid w:val="00AE258B"/>
    <w:rsid w:val="00AE2950"/>
    <w:rsid w:val="00AE48A8"/>
    <w:rsid w:val="00AE6373"/>
    <w:rsid w:val="00AE7BD0"/>
    <w:rsid w:val="00AF0DF7"/>
    <w:rsid w:val="00AF4582"/>
    <w:rsid w:val="00AF684B"/>
    <w:rsid w:val="00AF7020"/>
    <w:rsid w:val="00B0436F"/>
    <w:rsid w:val="00B0633D"/>
    <w:rsid w:val="00B11487"/>
    <w:rsid w:val="00B11780"/>
    <w:rsid w:val="00B11E79"/>
    <w:rsid w:val="00B12184"/>
    <w:rsid w:val="00B1473D"/>
    <w:rsid w:val="00B1487D"/>
    <w:rsid w:val="00B1596E"/>
    <w:rsid w:val="00B16021"/>
    <w:rsid w:val="00B2010D"/>
    <w:rsid w:val="00B20232"/>
    <w:rsid w:val="00B21DB0"/>
    <w:rsid w:val="00B25E95"/>
    <w:rsid w:val="00B26954"/>
    <w:rsid w:val="00B26AB9"/>
    <w:rsid w:val="00B31882"/>
    <w:rsid w:val="00B33013"/>
    <w:rsid w:val="00B36D8A"/>
    <w:rsid w:val="00B42C9E"/>
    <w:rsid w:val="00B43C74"/>
    <w:rsid w:val="00B4575C"/>
    <w:rsid w:val="00B45987"/>
    <w:rsid w:val="00B45CFC"/>
    <w:rsid w:val="00B46E0F"/>
    <w:rsid w:val="00B5125D"/>
    <w:rsid w:val="00B527AD"/>
    <w:rsid w:val="00B53D4D"/>
    <w:rsid w:val="00B54497"/>
    <w:rsid w:val="00B56333"/>
    <w:rsid w:val="00B620DD"/>
    <w:rsid w:val="00B636CF"/>
    <w:rsid w:val="00B7079A"/>
    <w:rsid w:val="00B717F5"/>
    <w:rsid w:val="00B72267"/>
    <w:rsid w:val="00B77F51"/>
    <w:rsid w:val="00B80331"/>
    <w:rsid w:val="00B8119B"/>
    <w:rsid w:val="00B8386A"/>
    <w:rsid w:val="00B8599C"/>
    <w:rsid w:val="00B87833"/>
    <w:rsid w:val="00B907BE"/>
    <w:rsid w:val="00B9102E"/>
    <w:rsid w:val="00B92AC0"/>
    <w:rsid w:val="00B95134"/>
    <w:rsid w:val="00B9657F"/>
    <w:rsid w:val="00BA2032"/>
    <w:rsid w:val="00BA232B"/>
    <w:rsid w:val="00BA39DB"/>
    <w:rsid w:val="00BA4DC1"/>
    <w:rsid w:val="00BA5F3E"/>
    <w:rsid w:val="00BA6601"/>
    <w:rsid w:val="00BA79D2"/>
    <w:rsid w:val="00BB5F36"/>
    <w:rsid w:val="00BB623D"/>
    <w:rsid w:val="00BB6894"/>
    <w:rsid w:val="00BB6C40"/>
    <w:rsid w:val="00BB79EE"/>
    <w:rsid w:val="00BC42B9"/>
    <w:rsid w:val="00BC4C15"/>
    <w:rsid w:val="00BC5093"/>
    <w:rsid w:val="00BD0523"/>
    <w:rsid w:val="00BD0FFC"/>
    <w:rsid w:val="00BD2BAE"/>
    <w:rsid w:val="00BD317E"/>
    <w:rsid w:val="00BD3204"/>
    <w:rsid w:val="00BD3956"/>
    <w:rsid w:val="00BE0032"/>
    <w:rsid w:val="00BE0C4F"/>
    <w:rsid w:val="00BE1C7D"/>
    <w:rsid w:val="00BE4393"/>
    <w:rsid w:val="00BE716A"/>
    <w:rsid w:val="00BF02FA"/>
    <w:rsid w:val="00BF0309"/>
    <w:rsid w:val="00BF0650"/>
    <w:rsid w:val="00BF117C"/>
    <w:rsid w:val="00BF2B17"/>
    <w:rsid w:val="00BF5489"/>
    <w:rsid w:val="00BF592F"/>
    <w:rsid w:val="00BF739D"/>
    <w:rsid w:val="00BF7C1F"/>
    <w:rsid w:val="00C023BF"/>
    <w:rsid w:val="00C05850"/>
    <w:rsid w:val="00C11EC6"/>
    <w:rsid w:val="00C134A6"/>
    <w:rsid w:val="00C148D5"/>
    <w:rsid w:val="00C21282"/>
    <w:rsid w:val="00C238AD"/>
    <w:rsid w:val="00C23DA0"/>
    <w:rsid w:val="00C2445F"/>
    <w:rsid w:val="00C316D4"/>
    <w:rsid w:val="00C31F22"/>
    <w:rsid w:val="00C337D6"/>
    <w:rsid w:val="00C36564"/>
    <w:rsid w:val="00C36A53"/>
    <w:rsid w:val="00C37163"/>
    <w:rsid w:val="00C37B5B"/>
    <w:rsid w:val="00C37EB4"/>
    <w:rsid w:val="00C416AA"/>
    <w:rsid w:val="00C4312F"/>
    <w:rsid w:val="00C458C4"/>
    <w:rsid w:val="00C45ED1"/>
    <w:rsid w:val="00C466EA"/>
    <w:rsid w:val="00C46C54"/>
    <w:rsid w:val="00C51B28"/>
    <w:rsid w:val="00C5657F"/>
    <w:rsid w:val="00C5703D"/>
    <w:rsid w:val="00C6020A"/>
    <w:rsid w:val="00C62458"/>
    <w:rsid w:val="00C6321B"/>
    <w:rsid w:val="00C63515"/>
    <w:rsid w:val="00C635BA"/>
    <w:rsid w:val="00C63B71"/>
    <w:rsid w:val="00C64149"/>
    <w:rsid w:val="00C646B8"/>
    <w:rsid w:val="00C71B72"/>
    <w:rsid w:val="00C72737"/>
    <w:rsid w:val="00C72DAD"/>
    <w:rsid w:val="00C73BC3"/>
    <w:rsid w:val="00C77C13"/>
    <w:rsid w:val="00C80E14"/>
    <w:rsid w:val="00C847C0"/>
    <w:rsid w:val="00C85C5E"/>
    <w:rsid w:val="00C85CB3"/>
    <w:rsid w:val="00C92CDF"/>
    <w:rsid w:val="00C9314B"/>
    <w:rsid w:val="00C93160"/>
    <w:rsid w:val="00C94C27"/>
    <w:rsid w:val="00CA1213"/>
    <w:rsid w:val="00CA32FF"/>
    <w:rsid w:val="00CA4BB4"/>
    <w:rsid w:val="00CA4DD5"/>
    <w:rsid w:val="00CA6CE9"/>
    <w:rsid w:val="00CB20C7"/>
    <w:rsid w:val="00CB2F29"/>
    <w:rsid w:val="00CC2BD0"/>
    <w:rsid w:val="00CC3974"/>
    <w:rsid w:val="00CC5962"/>
    <w:rsid w:val="00CC600C"/>
    <w:rsid w:val="00CC6A19"/>
    <w:rsid w:val="00CD10E5"/>
    <w:rsid w:val="00CD485D"/>
    <w:rsid w:val="00CD511C"/>
    <w:rsid w:val="00CD7634"/>
    <w:rsid w:val="00CE1754"/>
    <w:rsid w:val="00CE2306"/>
    <w:rsid w:val="00CE25BB"/>
    <w:rsid w:val="00CE3245"/>
    <w:rsid w:val="00CE32C0"/>
    <w:rsid w:val="00CE373F"/>
    <w:rsid w:val="00CE3B2B"/>
    <w:rsid w:val="00CE4D56"/>
    <w:rsid w:val="00CF2AC6"/>
    <w:rsid w:val="00CF31B0"/>
    <w:rsid w:val="00CF36FE"/>
    <w:rsid w:val="00CF467A"/>
    <w:rsid w:val="00CF64FE"/>
    <w:rsid w:val="00CF7FB1"/>
    <w:rsid w:val="00D02159"/>
    <w:rsid w:val="00D11CB4"/>
    <w:rsid w:val="00D13852"/>
    <w:rsid w:val="00D1449F"/>
    <w:rsid w:val="00D2157C"/>
    <w:rsid w:val="00D21A6D"/>
    <w:rsid w:val="00D21E22"/>
    <w:rsid w:val="00D23738"/>
    <w:rsid w:val="00D2536F"/>
    <w:rsid w:val="00D30069"/>
    <w:rsid w:val="00D303CE"/>
    <w:rsid w:val="00D31A2B"/>
    <w:rsid w:val="00D333A8"/>
    <w:rsid w:val="00D33CC5"/>
    <w:rsid w:val="00D33F3C"/>
    <w:rsid w:val="00D426F0"/>
    <w:rsid w:val="00D51D28"/>
    <w:rsid w:val="00D51EA8"/>
    <w:rsid w:val="00D52226"/>
    <w:rsid w:val="00D524C5"/>
    <w:rsid w:val="00D53199"/>
    <w:rsid w:val="00D54364"/>
    <w:rsid w:val="00D554CF"/>
    <w:rsid w:val="00D62262"/>
    <w:rsid w:val="00D638B0"/>
    <w:rsid w:val="00D66B7D"/>
    <w:rsid w:val="00D7076F"/>
    <w:rsid w:val="00D707F7"/>
    <w:rsid w:val="00D708CF"/>
    <w:rsid w:val="00D71E9C"/>
    <w:rsid w:val="00D72434"/>
    <w:rsid w:val="00D731D2"/>
    <w:rsid w:val="00D73B45"/>
    <w:rsid w:val="00D811ED"/>
    <w:rsid w:val="00D834F9"/>
    <w:rsid w:val="00D911B2"/>
    <w:rsid w:val="00D96026"/>
    <w:rsid w:val="00D965D5"/>
    <w:rsid w:val="00D976CF"/>
    <w:rsid w:val="00DA0018"/>
    <w:rsid w:val="00DA1769"/>
    <w:rsid w:val="00DA248C"/>
    <w:rsid w:val="00DA2B65"/>
    <w:rsid w:val="00DA2FBA"/>
    <w:rsid w:val="00DA3BD5"/>
    <w:rsid w:val="00DA6C99"/>
    <w:rsid w:val="00DA707D"/>
    <w:rsid w:val="00DB4D33"/>
    <w:rsid w:val="00DB6353"/>
    <w:rsid w:val="00DB680A"/>
    <w:rsid w:val="00DC0764"/>
    <w:rsid w:val="00DC3B42"/>
    <w:rsid w:val="00DC6481"/>
    <w:rsid w:val="00DC67B5"/>
    <w:rsid w:val="00DD0426"/>
    <w:rsid w:val="00DD08FC"/>
    <w:rsid w:val="00DD5B4E"/>
    <w:rsid w:val="00DD7A9F"/>
    <w:rsid w:val="00DE0E96"/>
    <w:rsid w:val="00DE1255"/>
    <w:rsid w:val="00DE1AA3"/>
    <w:rsid w:val="00DE4B23"/>
    <w:rsid w:val="00DE5247"/>
    <w:rsid w:val="00DE7250"/>
    <w:rsid w:val="00DF1B54"/>
    <w:rsid w:val="00DF50BB"/>
    <w:rsid w:val="00DF5A36"/>
    <w:rsid w:val="00E042C0"/>
    <w:rsid w:val="00E1063F"/>
    <w:rsid w:val="00E16C74"/>
    <w:rsid w:val="00E21113"/>
    <w:rsid w:val="00E2185D"/>
    <w:rsid w:val="00E21960"/>
    <w:rsid w:val="00E27815"/>
    <w:rsid w:val="00E303D4"/>
    <w:rsid w:val="00E306AB"/>
    <w:rsid w:val="00E30DEA"/>
    <w:rsid w:val="00E32338"/>
    <w:rsid w:val="00E41D72"/>
    <w:rsid w:val="00E42FBC"/>
    <w:rsid w:val="00E46858"/>
    <w:rsid w:val="00E478FA"/>
    <w:rsid w:val="00E50041"/>
    <w:rsid w:val="00E50AA6"/>
    <w:rsid w:val="00E519CE"/>
    <w:rsid w:val="00E51BFD"/>
    <w:rsid w:val="00E52D9D"/>
    <w:rsid w:val="00E52FDC"/>
    <w:rsid w:val="00E56810"/>
    <w:rsid w:val="00E63B58"/>
    <w:rsid w:val="00E6487F"/>
    <w:rsid w:val="00E66D1F"/>
    <w:rsid w:val="00E66F58"/>
    <w:rsid w:val="00E67620"/>
    <w:rsid w:val="00E7474A"/>
    <w:rsid w:val="00E75E2F"/>
    <w:rsid w:val="00E8129E"/>
    <w:rsid w:val="00E8453C"/>
    <w:rsid w:val="00E86B5E"/>
    <w:rsid w:val="00E87BC1"/>
    <w:rsid w:val="00E914AF"/>
    <w:rsid w:val="00E9156B"/>
    <w:rsid w:val="00E91797"/>
    <w:rsid w:val="00E93158"/>
    <w:rsid w:val="00E93E09"/>
    <w:rsid w:val="00E964EA"/>
    <w:rsid w:val="00E9735A"/>
    <w:rsid w:val="00E97413"/>
    <w:rsid w:val="00EA0CF8"/>
    <w:rsid w:val="00EA3639"/>
    <w:rsid w:val="00EA3913"/>
    <w:rsid w:val="00EA7D37"/>
    <w:rsid w:val="00EB0DD5"/>
    <w:rsid w:val="00EB0E32"/>
    <w:rsid w:val="00EB1CB2"/>
    <w:rsid w:val="00EB297D"/>
    <w:rsid w:val="00EB6410"/>
    <w:rsid w:val="00EB6CFB"/>
    <w:rsid w:val="00EC0172"/>
    <w:rsid w:val="00EC0446"/>
    <w:rsid w:val="00ED16BA"/>
    <w:rsid w:val="00ED2EC4"/>
    <w:rsid w:val="00ED35F4"/>
    <w:rsid w:val="00ED3A56"/>
    <w:rsid w:val="00ED71D0"/>
    <w:rsid w:val="00EE14D0"/>
    <w:rsid w:val="00EE5884"/>
    <w:rsid w:val="00EE7DD7"/>
    <w:rsid w:val="00EF36F5"/>
    <w:rsid w:val="00EF3C0E"/>
    <w:rsid w:val="00EF4749"/>
    <w:rsid w:val="00EF62C3"/>
    <w:rsid w:val="00EF713A"/>
    <w:rsid w:val="00F003D2"/>
    <w:rsid w:val="00F02D22"/>
    <w:rsid w:val="00F03A5F"/>
    <w:rsid w:val="00F070EF"/>
    <w:rsid w:val="00F10A03"/>
    <w:rsid w:val="00F12E9C"/>
    <w:rsid w:val="00F13C2E"/>
    <w:rsid w:val="00F1433A"/>
    <w:rsid w:val="00F153FF"/>
    <w:rsid w:val="00F17968"/>
    <w:rsid w:val="00F20D66"/>
    <w:rsid w:val="00F218C8"/>
    <w:rsid w:val="00F234D9"/>
    <w:rsid w:val="00F249CA"/>
    <w:rsid w:val="00F2526D"/>
    <w:rsid w:val="00F278A0"/>
    <w:rsid w:val="00F32629"/>
    <w:rsid w:val="00F32EDE"/>
    <w:rsid w:val="00F3592B"/>
    <w:rsid w:val="00F35C3F"/>
    <w:rsid w:val="00F41EA4"/>
    <w:rsid w:val="00F47B52"/>
    <w:rsid w:val="00F500E4"/>
    <w:rsid w:val="00F540CC"/>
    <w:rsid w:val="00F600C0"/>
    <w:rsid w:val="00F60F88"/>
    <w:rsid w:val="00F6192B"/>
    <w:rsid w:val="00F624A7"/>
    <w:rsid w:val="00F63B25"/>
    <w:rsid w:val="00F66966"/>
    <w:rsid w:val="00F670D4"/>
    <w:rsid w:val="00F772AB"/>
    <w:rsid w:val="00F80C21"/>
    <w:rsid w:val="00F81460"/>
    <w:rsid w:val="00F82262"/>
    <w:rsid w:val="00F82308"/>
    <w:rsid w:val="00F82771"/>
    <w:rsid w:val="00F827AD"/>
    <w:rsid w:val="00F82C79"/>
    <w:rsid w:val="00F83B32"/>
    <w:rsid w:val="00F83F93"/>
    <w:rsid w:val="00F91ABB"/>
    <w:rsid w:val="00F924C3"/>
    <w:rsid w:val="00F93088"/>
    <w:rsid w:val="00F968CF"/>
    <w:rsid w:val="00FA0B2F"/>
    <w:rsid w:val="00FA1481"/>
    <w:rsid w:val="00FA5A35"/>
    <w:rsid w:val="00FA7D82"/>
    <w:rsid w:val="00FB01E5"/>
    <w:rsid w:val="00FB1246"/>
    <w:rsid w:val="00FB484A"/>
    <w:rsid w:val="00FB5B45"/>
    <w:rsid w:val="00FB61EA"/>
    <w:rsid w:val="00FD064D"/>
    <w:rsid w:val="00FD20FF"/>
    <w:rsid w:val="00FD2BFA"/>
    <w:rsid w:val="00FD5372"/>
    <w:rsid w:val="00FD62E6"/>
    <w:rsid w:val="00FD675C"/>
    <w:rsid w:val="00FD7052"/>
    <w:rsid w:val="00FD7BFA"/>
    <w:rsid w:val="00FE27FD"/>
    <w:rsid w:val="00FE4015"/>
    <w:rsid w:val="00FE596E"/>
    <w:rsid w:val="00FF3F71"/>
    <w:rsid w:val="00FF727E"/>
    <w:rsid w:val="567B6ADB"/>
    <w:rsid w:val="6E05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40"/>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2"/>
    <w:semiHidden/>
    <w:unhideWhenUsed/>
    <w:qFormat/>
    <w:uiPriority w:val="9"/>
    <w:pPr>
      <w:keepNext/>
      <w:keepLines/>
      <w:spacing w:before="260" w:after="260" w:line="416" w:lineRule="auto"/>
      <w:outlineLvl w:val="2"/>
    </w:pPr>
    <w:rPr>
      <w:b/>
      <w:bCs/>
      <w:sz w:val="32"/>
      <w:szCs w:val="32"/>
    </w:rPr>
  </w:style>
  <w:style w:type="paragraph" w:styleId="4">
    <w:name w:val="heading 8"/>
    <w:basedOn w:val="1"/>
    <w:next w:val="1"/>
    <w:link w:val="44"/>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46"/>
    <w:uiPriority w:val="99"/>
    <w:pPr>
      <w:widowControl/>
      <w:ind w:firstLine="420" w:firstLineChars="200"/>
      <w:jc w:val="left"/>
    </w:pPr>
    <w:rPr>
      <w:rFonts w:ascii="Calibri" w:hAnsi="Calibri" w:eastAsia="宋体" w:cs="Times New Roman"/>
      <w:sz w:val="28"/>
      <w:szCs w:val="20"/>
    </w:rPr>
  </w:style>
  <w:style w:type="paragraph" w:styleId="6">
    <w:name w:val="Document Map"/>
    <w:basedOn w:val="1"/>
    <w:link w:val="23"/>
    <w:semiHidden/>
    <w:unhideWhenUsed/>
    <w:qFormat/>
    <w:uiPriority w:val="99"/>
    <w:rPr>
      <w:rFonts w:ascii="宋体" w:eastAsia="宋体"/>
      <w:sz w:val="20"/>
      <w:szCs w:val="18"/>
    </w:rPr>
  </w:style>
  <w:style w:type="paragraph" w:styleId="7">
    <w:name w:val="annotation text"/>
    <w:basedOn w:val="1"/>
    <w:link w:val="30"/>
    <w:semiHidden/>
    <w:unhideWhenUsed/>
    <w:uiPriority w:val="99"/>
    <w:pPr>
      <w:jc w:val="left"/>
    </w:pPr>
  </w:style>
  <w:style w:type="paragraph" w:styleId="8">
    <w:name w:val="Body Text"/>
    <w:basedOn w:val="1"/>
    <w:link w:val="39"/>
    <w:semiHidden/>
    <w:unhideWhenUsed/>
    <w:uiPriority w:val="99"/>
    <w:pPr>
      <w:spacing w:after="120"/>
    </w:pPr>
  </w:style>
  <w:style w:type="paragraph" w:styleId="9">
    <w:name w:val="Balloon Text"/>
    <w:basedOn w:val="1"/>
    <w:link w:val="22"/>
    <w:unhideWhenUsed/>
    <w:uiPriority w:val="99"/>
    <w:rPr>
      <w:sz w:val="18"/>
      <w:szCs w:val="18"/>
    </w:rPr>
  </w:style>
  <w:style w:type="paragraph" w:styleId="10">
    <w:name w:val="footer"/>
    <w:basedOn w:val="1"/>
    <w:link w:val="25"/>
    <w:semiHidden/>
    <w:unhideWhenUsed/>
    <w:uiPriority w:val="99"/>
    <w:pPr>
      <w:tabs>
        <w:tab w:val="center" w:pos="4153"/>
        <w:tab w:val="right" w:pos="8306"/>
      </w:tabs>
      <w:snapToGrid w:val="0"/>
      <w:jc w:val="left"/>
    </w:pPr>
    <w:rPr>
      <w:sz w:val="18"/>
      <w:szCs w:val="18"/>
    </w:rPr>
  </w:style>
  <w:style w:type="paragraph" w:styleId="11">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szCs w:val="22"/>
    </w:rPr>
  </w:style>
  <w:style w:type="paragraph" w:styleId="13">
    <w:name w:val="Body Text Indent 3"/>
    <w:basedOn w:val="1"/>
    <w:link w:val="27"/>
    <w:uiPriority w:val="0"/>
    <w:pPr>
      <w:spacing w:after="120"/>
      <w:ind w:left="420" w:leftChars="200"/>
    </w:pPr>
    <w:rPr>
      <w:rFonts w:ascii="Times New Roman" w:hAnsi="Times New Roman" w:eastAsia="宋体" w:cs="Times New Roman"/>
      <w:sz w:val="16"/>
      <w:szCs w:val="16"/>
    </w:rPr>
  </w:style>
  <w:style w:type="paragraph" w:styleId="14">
    <w:name w:val="Title"/>
    <w:basedOn w:val="1"/>
    <w:next w:val="1"/>
    <w:link w:val="50"/>
    <w:qFormat/>
    <w:uiPriority w:val="0"/>
    <w:pPr>
      <w:spacing w:before="300" w:after="300" w:line="520" w:lineRule="exact"/>
      <w:jc w:val="center"/>
      <w:outlineLvl w:val="0"/>
    </w:pPr>
    <w:rPr>
      <w:rFonts w:ascii="Times New Roman" w:hAnsi="Times New Roman" w:eastAsia="黑体" w:cs="Times New Roman"/>
      <w:b/>
      <w:bCs/>
      <w:sz w:val="36"/>
      <w:szCs w:val="32"/>
    </w:rPr>
  </w:style>
  <w:style w:type="paragraph" w:styleId="15">
    <w:name w:val="annotation subject"/>
    <w:basedOn w:val="7"/>
    <w:next w:val="7"/>
    <w:link w:val="31"/>
    <w:semiHidden/>
    <w:unhideWhenUsed/>
    <w:uiPriority w:val="99"/>
    <w:rPr>
      <w:b/>
      <w:bCs/>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9">
    <w:name w:val="page number"/>
    <w:basedOn w:val="18"/>
    <w:uiPriority w:val="0"/>
  </w:style>
  <w:style w:type="character" w:styleId="20">
    <w:name w:val="Hyperlink"/>
    <w:basedOn w:val="18"/>
    <w:semiHidden/>
    <w:unhideWhenUsed/>
    <w:uiPriority w:val="99"/>
    <w:rPr>
      <w:color w:val="0000FF"/>
      <w:u w:val="single"/>
    </w:rPr>
  </w:style>
  <w:style w:type="character" w:styleId="21">
    <w:name w:val="annotation reference"/>
    <w:basedOn w:val="18"/>
    <w:semiHidden/>
    <w:unhideWhenUsed/>
    <w:uiPriority w:val="99"/>
    <w:rPr>
      <w:sz w:val="21"/>
      <w:szCs w:val="21"/>
    </w:rPr>
  </w:style>
  <w:style w:type="character" w:customStyle="1" w:styleId="22">
    <w:name w:val="批注框文本 Char"/>
    <w:basedOn w:val="18"/>
    <w:link w:val="9"/>
    <w:uiPriority w:val="99"/>
    <w:rPr>
      <w:sz w:val="18"/>
      <w:szCs w:val="18"/>
    </w:rPr>
  </w:style>
  <w:style w:type="character" w:customStyle="1" w:styleId="23">
    <w:name w:val="文档结构图 Char"/>
    <w:basedOn w:val="18"/>
    <w:link w:val="6"/>
    <w:semiHidden/>
    <w:uiPriority w:val="99"/>
    <w:rPr>
      <w:rFonts w:ascii="宋体" w:eastAsia="宋体"/>
      <w:sz w:val="20"/>
      <w:szCs w:val="18"/>
    </w:rPr>
  </w:style>
  <w:style w:type="character" w:customStyle="1" w:styleId="24">
    <w:name w:val="页眉 Char"/>
    <w:basedOn w:val="18"/>
    <w:link w:val="11"/>
    <w:semiHidden/>
    <w:uiPriority w:val="99"/>
    <w:rPr>
      <w:sz w:val="18"/>
      <w:szCs w:val="18"/>
    </w:rPr>
  </w:style>
  <w:style w:type="character" w:customStyle="1" w:styleId="25">
    <w:name w:val="页脚 Char"/>
    <w:basedOn w:val="18"/>
    <w:link w:val="10"/>
    <w:semiHidden/>
    <w:uiPriority w:val="99"/>
    <w:rPr>
      <w:sz w:val="18"/>
      <w:szCs w:val="18"/>
    </w:rPr>
  </w:style>
  <w:style w:type="paragraph" w:customStyle="1" w:styleId="26">
    <w:name w:val="表体"/>
    <w:basedOn w:val="1"/>
    <w:link w:val="38"/>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7">
    <w:name w:val="正文文本缩进 3 Char"/>
    <w:basedOn w:val="18"/>
    <w:link w:val="13"/>
    <w:qFormat/>
    <w:uiPriority w:val="0"/>
    <w:rPr>
      <w:rFonts w:ascii="Times New Roman" w:hAnsi="Times New Roman" w:eastAsia="宋体" w:cs="Times New Roman"/>
      <w:sz w:val="16"/>
      <w:szCs w:val="16"/>
    </w:rPr>
  </w:style>
  <w:style w:type="paragraph" w:customStyle="1" w:styleId="28">
    <w:name w:val="表头"/>
    <w:basedOn w:val="1"/>
    <w:link w:val="29"/>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29">
    <w:name w:val="表头 Char Char"/>
    <w:link w:val="28"/>
    <w:uiPriority w:val="0"/>
    <w:rPr>
      <w:rFonts w:ascii="Times New Roman" w:hAnsi="宋体" w:eastAsia="FangSong_GB2312" w:cs="Times New Roman"/>
      <w:b/>
      <w:kern w:val="0"/>
      <w:sz w:val="28"/>
      <w:szCs w:val="28"/>
    </w:rPr>
  </w:style>
  <w:style w:type="character" w:customStyle="1" w:styleId="30">
    <w:name w:val="批注文字 Char"/>
    <w:basedOn w:val="18"/>
    <w:link w:val="7"/>
    <w:semiHidden/>
    <w:uiPriority w:val="99"/>
  </w:style>
  <w:style w:type="character" w:customStyle="1" w:styleId="31">
    <w:name w:val="批注主题 Char"/>
    <w:basedOn w:val="30"/>
    <w:link w:val="15"/>
    <w:semiHidden/>
    <w:uiPriority w:val="99"/>
    <w:rPr>
      <w:b/>
      <w:bCs/>
    </w:rPr>
  </w:style>
  <w:style w:type="character" w:customStyle="1" w:styleId="32">
    <w:name w:val="题注1 Char"/>
    <w:link w:val="33"/>
    <w:uiPriority w:val="0"/>
    <w:rPr>
      <w:rFonts w:cs="宋体"/>
      <w:b/>
      <w:bCs/>
      <w:spacing w:val="10"/>
      <w:szCs w:val="24"/>
    </w:rPr>
  </w:style>
  <w:style w:type="paragraph" w:customStyle="1" w:styleId="33">
    <w:name w:val="题注1"/>
    <w:basedOn w:val="1"/>
    <w:link w:val="32"/>
    <w:qFormat/>
    <w:uiPriority w:val="0"/>
    <w:pPr>
      <w:spacing w:beforeLines="20" w:afterLines="20"/>
      <w:jc w:val="center"/>
    </w:pPr>
    <w:rPr>
      <w:rFonts w:cs="宋体"/>
      <w:b/>
      <w:bCs/>
      <w:spacing w:val="10"/>
      <w:szCs w:val="24"/>
    </w:rPr>
  </w:style>
  <w:style w:type="paragraph" w:customStyle="1" w:styleId="34">
    <w:name w:val="赵"/>
    <w:basedOn w:val="1"/>
    <w:link w:val="35"/>
    <w:uiPriority w:val="0"/>
    <w:pPr>
      <w:spacing w:line="360" w:lineRule="auto"/>
      <w:ind w:firstLine="200" w:firstLineChars="200"/>
    </w:pPr>
    <w:rPr>
      <w:rFonts w:ascii="Times New Roman" w:hAnsi="Times New Roman" w:eastAsia="宋体" w:cs="Times New Roman"/>
      <w:sz w:val="24"/>
      <w:szCs w:val="30"/>
    </w:rPr>
  </w:style>
  <w:style w:type="character" w:customStyle="1" w:styleId="35">
    <w:name w:val="赵 Char"/>
    <w:basedOn w:val="18"/>
    <w:link w:val="34"/>
    <w:qFormat/>
    <w:uiPriority w:val="0"/>
    <w:rPr>
      <w:rFonts w:ascii="Times New Roman" w:hAnsi="Times New Roman" w:eastAsia="宋体" w:cs="Times New Roman"/>
      <w:sz w:val="24"/>
      <w:szCs w:val="30"/>
    </w:rPr>
  </w:style>
  <w:style w:type="paragraph" w:customStyle="1" w:styleId="36">
    <w:name w:val="【表头】"/>
    <w:basedOn w:val="1"/>
    <w:link w:val="37"/>
    <w:uiPriority w:val="0"/>
    <w:pPr>
      <w:jc w:val="center"/>
    </w:pPr>
    <w:rPr>
      <w:rFonts w:ascii="Times New Roman" w:hAnsi="Times New Roman" w:eastAsia="宋体" w:cs="Times New Roman"/>
      <w:b/>
      <w:szCs w:val="24"/>
    </w:rPr>
  </w:style>
  <w:style w:type="character" w:customStyle="1" w:styleId="37">
    <w:name w:val="【表头】 Char"/>
    <w:link w:val="36"/>
    <w:qFormat/>
    <w:uiPriority w:val="0"/>
    <w:rPr>
      <w:rFonts w:ascii="Times New Roman" w:hAnsi="Times New Roman" w:eastAsia="宋体" w:cs="Times New Roman"/>
      <w:b/>
      <w:szCs w:val="24"/>
    </w:rPr>
  </w:style>
  <w:style w:type="character" w:customStyle="1" w:styleId="38">
    <w:name w:val="表体 Char Char"/>
    <w:link w:val="26"/>
    <w:qFormat/>
    <w:locked/>
    <w:uiPriority w:val="0"/>
    <w:rPr>
      <w:rFonts w:ascii="Times New Roman" w:hAnsi="Times New Roman" w:eastAsia="宋体" w:cs="Times New Roman"/>
      <w:bCs/>
      <w:snapToGrid w:val="0"/>
      <w:color w:val="000000"/>
      <w:kern w:val="32"/>
      <w:szCs w:val="20"/>
      <w:lang w:val="zh-CN"/>
    </w:rPr>
  </w:style>
  <w:style w:type="character" w:customStyle="1" w:styleId="39">
    <w:name w:val="正文文本 Char"/>
    <w:basedOn w:val="18"/>
    <w:link w:val="8"/>
    <w:semiHidden/>
    <w:uiPriority w:val="99"/>
  </w:style>
  <w:style w:type="character" w:customStyle="1" w:styleId="40">
    <w:name w:val="标题 2 Char"/>
    <w:basedOn w:val="18"/>
    <w:link w:val="2"/>
    <w:uiPriority w:val="0"/>
    <w:rPr>
      <w:rFonts w:ascii="Times New Roman" w:hAnsi="Times New Roman" w:eastAsia="黑体" w:cs="Times New Roman"/>
      <w:color w:val="000000" w:themeColor="text1"/>
      <w:sz w:val="30"/>
      <w:szCs w:val="24"/>
    </w:rPr>
  </w:style>
  <w:style w:type="character" w:customStyle="1" w:styleId="41">
    <w:name w:val="表头 Char1"/>
    <w:basedOn w:val="18"/>
    <w:uiPriority w:val="0"/>
    <w:rPr>
      <w:rFonts w:ascii="Times New Roman" w:hAnsi="Times New Roman" w:eastAsia="宋体" w:cs="Times New Roman"/>
      <w:b/>
      <w:bCs/>
      <w:kern w:val="0"/>
      <w:szCs w:val="28"/>
    </w:rPr>
  </w:style>
  <w:style w:type="character" w:customStyle="1" w:styleId="42">
    <w:name w:val="标题 3 Char"/>
    <w:basedOn w:val="18"/>
    <w:link w:val="3"/>
    <w:uiPriority w:val="0"/>
    <w:rPr>
      <w:b/>
      <w:bCs/>
      <w:sz w:val="32"/>
      <w:szCs w:val="32"/>
    </w:rPr>
  </w:style>
  <w:style w:type="table" w:customStyle="1" w:styleId="43">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44">
    <w:name w:val="标题 8 Char"/>
    <w:basedOn w:val="18"/>
    <w:link w:val="4"/>
    <w:uiPriority w:val="99"/>
    <w:rPr>
      <w:rFonts w:asciiTheme="majorHAnsi" w:hAnsiTheme="majorHAnsi" w:eastAsiaTheme="majorEastAsia" w:cstheme="majorBidi"/>
      <w:sz w:val="24"/>
      <w:szCs w:val="24"/>
    </w:rPr>
  </w:style>
  <w:style w:type="paragraph" w:customStyle="1" w:styleId="45">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46">
    <w:name w:val="正文缩进 Char1"/>
    <w:link w:val="5"/>
    <w:uiPriority w:val="99"/>
    <w:rPr>
      <w:rFonts w:ascii="Calibri" w:hAnsi="Calibri" w:eastAsia="宋体" w:cs="Times New Roman"/>
      <w:sz w:val="28"/>
      <w:szCs w:val="20"/>
    </w:rPr>
  </w:style>
  <w:style w:type="paragraph" w:customStyle="1" w:styleId="47">
    <w:name w:val="样式1"/>
    <w:basedOn w:val="1"/>
    <w:link w:val="48"/>
    <w:qFormat/>
    <w:uiPriority w:val="0"/>
    <w:pPr>
      <w:spacing w:line="360" w:lineRule="auto"/>
      <w:ind w:firstLine="510"/>
    </w:pPr>
    <w:rPr>
      <w:rFonts w:ascii="Times New Roman" w:hAnsi="Times New Roman" w:eastAsia="宋体" w:cs="Times New Roman"/>
      <w:sz w:val="24"/>
      <w:szCs w:val="20"/>
    </w:rPr>
  </w:style>
  <w:style w:type="character" w:customStyle="1" w:styleId="48">
    <w:name w:val="样式1 Char"/>
    <w:link w:val="47"/>
    <w:locked/>
    <w:uiPriority w:val="0"/>
    <w:rPr>
      <w:rFonts w:ascii="Times New Roman" w:hAnsi="Times New Roman" w:eastAsia="宋体" w:cs="Times New Roman"/>
      <w:sz w:val="24"/>
      <w:szCs w:val="20"/>
    </w:rPr>
  </w:style>
  <w:style w:type="paragraph" w:customStyle="1" w:styleId="49">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0">
    <w:name w:val="标题 Char"/>
    <w:basedOn w:val="18"/>
    <w:link w:val="14"/>
    <w:qFormat/>
    <w:uiPriority w:val="0"/>
    <w:rPr>
      <w:rFonts w:ascii="Times New Roman" w:hAnsi="Times New Roman" w:eastAsia="黑体" w:cs="Times New Roman"/>
      <w:b/>
      <w:bCs/>
      <w:sz w:val="36"/>
      <w:szCs w:val="32"/>
    </w:rPr>
  </w:style>
  <w:style w:type="character" w:customStyle="1" w:styleId="51">
    <w:name w:val="NormalCharacter"/>
    <w:qFormat/>
    <w:uiPriority w:val="0"/>
  </w:style>
  <w:style w:type="character" w:customStyle="1" w:styleId="52">
    <w:name w:val="表格 Char Char"/>
    <w:basedOn w:val="18"/>
    <w:uiPriority w:val="0"/>
    <w:rPr>
      <w:sz w:val="21"/>
      <w:szCs w:val="21"/>
      <w:lang w:bidi="ar-SA"/>
    </w:rPr>
  </w:style>
  <w:style w:type="paragraph" w:customStyle="1" w:styleId="53">
    <w:name w:val="Default"/>
    <w:link w:val="54"/>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54">
    <w:name w:val="Default Char Char"/>
    <w:link w:val="53"/>
    <w:uiPriority w:val="0"/>
    <w:rPr>
      <w:rFonts w:ascii="Times New Roman" w:hAnsi="Times New Roman" w:cs="Times New Roman"/>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08A82-7580-4D26-9C3F-5D4561EE2C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7948</Words>
  <Characters>45305</Characters>
  <Lines>377</Lines>
  <Paragraphs>106</Paragraphs>
  <TotalTime>15965</TotalTime>
  <ScaleCrop>false</ScaleCrop>
  <LinksUpToDate>false</LinksUpToDate>
  <CharactersWithSpaces>53147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admin</cp:lastModifiedBy>
  <cp:lastPrinted>2021-08-10T03:45:00Z</cp:lastPrinted>
  <dcterms:modified xsi:type="dcterms:W3CDTF">2022-09-27T01:52:49Z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