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outlineLvl w:val="0"/>
        <w:rPr>
          <w:rFonts w:ascii="Times New Roman" w:hAnsi="Times New Roman" w:cs="Times New Roman"/>
          <w:b/>
          <w:color w:val="000000" w:themeColor="text1"/>
          <w:sz w:val="28"/>
          <w:szCs w:val="20"/>
          <w14:textFill>
            <w14:solidFill>
              <w14:schemeClr w14:val="tx1"/>
            </w14:solidFill>
          </w14:textFill>
        </w:rPr>
      </w:pPr>
      <w:bookmarkStart w:id="23" w:name="_GoBack"/>
      <w:bookmarkEnd w:id="23"/>
      <w:bookmarkStart w:id="0" w:name="_Toc29532"/>
      <w:r>
        <w:rPr>
          <w:rFonts w:ascii="Times New Roman" w:hAnsi="Times New Roman" w:cs="Times New Roman"/>
          <w:b/>
          <w:color w:val="000000" w:themeColor="text1"/>
          <w:sz w:val="28"/>
          <w:szCs w:val="20"/>
          <w14:textFill>
            <w14:solidFill>
              <w14:schemeClr w14:val="tx1"/>
            </w14:solidFill>
          </w14:textFill>
        </w:rPr>
        <w:t>一、建设项目基本情况</w:t>
      </w:r>
      <w:bookmarkEnd w:id="0"/>
    </w:p>
    <w:tbl>
      <w:tblPr>
        <w:tblStyle w:val="17"/>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08"/>
        <w:gridCol w:w="1132"/>
        <w:gridCol w:w="2126"/>
        <w:gridCol w:w="2118"/>
        <w:gridCol w:w="6"/>
        <w:gridCol w:w="1420"/>
        <w:gridCol w:w="17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940" w:type="dxa"/>
            <w:gridSpan w:val="2"/>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建设项目名称</w:t>
            </w:r>
          </w:p>
        </w:tc>
        <w:tc>
          <w:tcPr>
            <w:tcW w:w="7416" w:type="dxa"/>
            <w:gridSpan w:val="5"/>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东川区再利用废石废渣生产建筑用石用砂小李庄加工厂建设项目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940" w:type="dxa"/>
            <w:gridSpan w:val="2"/>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建设单位</w:t>
            </w:r>
          </w:p>
        </w:tc>
        <w:tc>
          <w:tcPr>
            <w:tcW w:w="7416" w:type="dxa"/>
            <w:gridSpan w:val="5"/>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昆明滇中浩翊新型建材有限公司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940" w:type="dxa"/>
            <w:gridSpan w:val="2"/>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项目代码</w:t>
            </w:r>
          </w:p>
        </w:tc>
        <w:tc>
          <w:tcPr>
            <w:tcW w:w="7416" w:type="dxa"/>
            <w:gridSpan w:val="5"/>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2020-530113-42-03-046938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940" w:type="dxa"/>
            <w:gridSpan w:val="2"/>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联系人</w:t>
            </w:r>
          </w:p>
        </w:tc>
        <w:tc>
          <w:tcPr>
            <w:tcW w:w="2126" w:type="dxa"/>
            <w:tcBorders>
              <w:right w:val="single" w:color="auto" w:sz="4" w:space="0"/>
            </w:tcBorders>
            <w:vAlign w:val="center"/>
          </w:tcPr>
          <w:p>
            <w:pPr>
              <w:spacing w:line="360" w:lineRule="auto"/>
              <w:jc w:val="center"/>
              <w:rPr>
                <w:rFonts w:hint="default" w:ascii="Times New Roman" w:hAnsi="Times New Roman" w:eastAsia="宋体" w:cs="Times New Roman"/>
                <w:sz w:val="24"/>
                <w:szCs w:val="24"/>
                <w:lang w:val="en-US" w:eastAsia="zh-CN"/>
              </w:rPr>
            </w:pPr>
            <w:r>
              <w:rPr>
                <w:rFonts w:ascii="Times New Roman" w:hAnsi="Times New Roman" w:eastAsia="宋体" w:cs="Times New Roman"/>
                <w:sz w:val="24"/>
                <w:szCs w:val="24"/>
              </w:rPr>
              <w:t>摆</w:t>
            </w:r>
            <w:r>
              <w:rPr>
                <w:rFonts w:hint="eastAsia" w:ascii="Times New Roman" w:hAnsi="Times New Roman" w:eastAsia="宋体" w:cs="Times New Roman"/>
                <w:sz w:val="24"/>
                <w:szCs w:val="24"/>
                <w:lang w:val="en-US" w:eastAsia="zh-CN"/>
              </w:rPr>
              <w:t>**</w:t>
            </w:r>
          </w:p>
        </w:tc>
        <w:tc>
          <w:tcPr>
            <w:tcW w:w="2124" w:type="dxa"/>
            <w:gridSpan w:val="2"/>
            <w:tcBorders>
              <w:left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联系方式</w:t>
            </w:r>
          </w:p>
        </w:tc>
        <w:tc>
          <w:tcPr>
            <w:tcW w:w="3166" w:type="dxa"/>
            <w:gridSpan w:val="2"/>
            <w:tcBorders>
              <w:left w:val="single" w:color="auto" w:sz="4" w:space="0"/>
            </w:tcBorders>
            <w:vAlign w:val="center"/>
          </w:tcPr>
          <w:p>
            <w:pPr>
              <w:spacing w:line="360" w:lineRule="auto"/>
              <w:jc w:val="center"/>
              <w:rPr>
                <w:rFonts w:hint="default" w:ascii="Times New Roman" w:hAnsi="Times New Roman" w:eastAsia="宋体" w:cs="Times New Roman"/>
                <w:sz w:val="24"/>
                <w:szCs w:val="24"/>
                <w:lang w:val="en-US" w:eastAsia="zh-CN"/>
              </w:rPr>
            </w:pPr>
            <w:r>
              <w:rPr>
                <w:rFonts w:ascii="Times New Roman" w:hAnsi="Times New Roman" w:eastAsia="宋体" w:cs="Times New Roman"/>
                <w:sz w:val="24"/>
                <w:szCs w:val="24"/>
              </w:rPr>
              <w:t>188</w:t>
            </w:r>
            <w:r>
              <w:rPr>
                <w:rFonts w:hint="eastAsia" w:ascii="Times New Roman" w:hAnsi="Times New Roman" w:eastAsia="宋体" w:cs="Times New Roman"/>
                <w:sz w:val="24"/>
                <w:szCs w:val="24"/>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940" w:type="dxa"/>
            <w:gridSpan w:val="2"/>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建设地点</w:t>
            </w:r>
          </w:p>
        </w:tc>
        <w:tc>
          <w:tcPr>
            <w:tcW w:w="7416" w:type="dxa"/>
            <w:gridSpan w:val="5"/>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昆明市东川区铜都镇小李庄村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940" w:type="dxa"/>
            <w:gridSpan w:val="2"/>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地理坐标</w:t>
            </w:r>
          </w:p>
        </w:tc>
        <w:tc>
          <w:tcPr>
            <w:tcW w:w="7416" w:type="dxa"/>
            <w:gridSpan w:val="5"/>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东经103°08'9.834"，北纬26°8'20.810"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940" w:type="dxa"/>
            <w:gridSpan w:val="2"/>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国民经济行业类别</w:t>
            </w:r>
          </w:p>
        </w:tc>
        <w:tc>
          <w:tcPr>
            <w:tcW w:w="2126" w:type="dxa"/>
            <w:tcBorders>
              <w:right w:val="single" w:color="auto" w:sz="4" w:space="0"/>
            </w:tcBorders>
            <w:vAlign w:val="center"/>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C3039</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其它建筑材料制造</w:t>
            </w:r>
          </w:p>
        </w:tc>
        <w:tc>
          <w:tcPr>
            <w:tcW w:w="2124" w:type="dxa"/>
            <w:gridSpan w:val="2"/>
            <w:tcBorders>
              <w:left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建设项目行业类别</w:t>
            </w:r>
          </w:p>
        </w:tc>
        <w:tc>
          <w:tcPr>
            <w:tcW w:w="3166" w:type="dxa"/>
            <w:gridSpan w:val="2"/>
            <w:tcBorders>
              <w:left w:val="single" w:color="auto" w:sz="4" w:space="0"/>
            </w:tcBorders>
            <w:vAlign w:val="center"/>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56、砖瓦、石材等建筑材料制造303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940" w:type="dxa"/>
            <w:gridSpan w:val="2"/>
            <w:vAlign w:val="center"/>
          </w:tcPr>
          <w:p>
            <w:pPr>
              <w:spacing w:line="360" w:lineRule="auto"/>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建设性质</w:t>
            </w:r>
          </w:p>
        </w:tc>
        <w:tc>
          <w:tcPr>
            <w:tcW w:w="2126" w:type="dxa"/>
            <w:tcBorders>
              <w:right w:val="single" w:color="auto" w:sz="4" w:space="0"/>
            </w:tcBorders>
            <w:vAlign w:val="center"/>
          </w:tcPr>
          <w:p>
            <w:pPr>
              <w:spacing w:line="360" w:lineRule="auto"/>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新建</w:t>
            </w:r>
          </w:p>
        </w:tc>
        <w:tc>
          <w:tcPr>
            <w:tcW w:w="2124" w:type="dxa"/>
            <w:gridSpan w:val="2"/>
            <w:tcBorders>
              <w:left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建设项目申报情形</w:t>
            </w:r>
          </w:p>
        </w:tc>
        <w:tc>
          <w:tcPr>
            <w:tcW w:w="3166" w:type="dxa"/>
            <w:gridSpan w:val="2"/>
            <w:tcBorders>
              <w:left w:val="single" w:color="auto" w:sz="4" w:space="0"/>
            </w:tcBorders>
            <w:vAlign w:val="center"/>
          </w:tcPr>
          <w:p>
            <w:pPr>
              <w:spacing w:line="360" w:lineRule="auto"/>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首次申报项目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940" w:type="dxa"/>
            <w:gridSpan w:val="2"/>
            <w:vAlign w:val="center"/>
          </w:tcPr>
          <w:p>
            <w:pPr>
              <w:spacing w:line="360" w:lineRule="auto"/>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项目审批（核准/备案）部门（选填）</w:t>
            </w:r>
          </w:p>
        </w:tc>
        <w:tc>
          <w:tcPr>
            <w:tcW w:w="2126" w:type="dxa"/>
            <w:tcBorders>
              <w:right w:val="single" w:color="auto" w:sz="4" w:space="0"/>
            </w:tcBorders>
            <w:vAlign w:val="center"/>
          </w:tcPr>
          <w:p>
            <w:pPr>
              <w:spacing w:line="360" w:lineRule="auto"/>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昆明市东川区发展和改革局</w:t>
            </w:r>
          </w:p>
        </w:tc>
        <w:tc>
          <w:tcPr>
            <w:tcW w:w="2124" w:type="dxa"/>
            <w:gridSpan w:val="2"/>
            <w:tcBorders>
              <w:left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项目审批（核准/备案）文号（选填）</w:t>
            </w:r>
          </w:p>
        </w:tc>
        <w:tc>
          <w:tcPr>
            <w:tcW w:w="3166" w:type="dxa"/>
            <w:gridSpan w:val="2"/>
            <w:tcBorders>
              <w:left w:val="single" w:color="auto" w:sz="4" w:space="0"/>
            </w:tcBorders>
            <w:vAlign w:val="center"/>
          </w:tcPr>
          <w:p>
            <w:pPr>
              <w:spacing w:line="360" w:lineRule="auto"/>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2020-530113-42-03-007586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940" w:type="dxa"/>
            <w:gridSpan w:val="2"/>
            <w:vAlign w:val="center"/>
          </w:tcPr>
          <w:p>
            <w:pPr>
              <w:spacing w:line="360" w:lineRule="auto"/>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总投资（万元）</w:t>
            </w:r>
          </w:p>
        </w:tc>
        <w:tc>
          <w:tcPr>
            <w:tcW w:w="2126" w:type="dxa"/>
            <w:tcBorders>
              <w:right w:val="single" w:color="auto" w:sz="4" w:space="0"/>
            </w:tcBorders>
            <w:vAlign w:val="center"/>
          </w:tcPr>
          <w:p>
            <w:pPr>
              <w:spacing w:line="360" w:lineRule="auto"/>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4683.17</w:t>
            </w:r>
          </w:p>
        </w:tc>
        <w:tc>
          <w:tcPr>
            <w:tcW w:w="2124" w:type="dxa"/>
            <w:gridSpan w:val="2"/>
            <w:tcBorders>
              <w:left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环保投资（万元）</w:t>
            </w:r>
          </w:p>
        </w:tc>
        <w:tc>
          <w:tcPr>
            <w:tcW w:w="3166" w:type="dxa"/>
            <w:gridSpan w:val="2"/>
            <w:tcBorders>
              <w:left w:val="single" w:color="auto" w:sz="4" w:space="0"/>
            </w:tcBorders>
            <w:vAlign w:val="center"/>
          </w:tcPr>
          <w:p>
            <w:pPr>
              <w:spacing w:line="360" w:lineRule="auto"/>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203.5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940" w:type="dxa"/>
            <w:gridSpan w:val="2"/>
            <w:vAlign w:val="center"/>
          </w:tcPr>
          <w:p>
            <w:pPr>
              <w:spacing w:line="360" w:lineRule="auto"/>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环保投资占比</w:t>
            </w:r>
          </w:p>
        </w:tc>
        <w:tc>
          <w:tcPr>
            <w:tcW w:w="2126" w:type="dxa"/>
            <w:tcBorders>
              <w:right w:val="single" w:color="auto" w:sz="4" w:space="0"/>
            </w:tcBorders>
            <w:vAlign w:val="center"/>
          </w:tcPr>
          <w:p>
            <w:pPr>
              <w:spacing w:line="360" w:lineRule="auto"/>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4.345%</w:t>
            </w:r>
          </w:p>
        </w:tc>
        <w:tc>
          <w:tcPr>
            <w:tcW w:w="2124" w:type="dxa"/>
            <w:gridSpan w:val="2"/>
            <w:tcBorders>
              <w:left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施工工期</w:t>
            </w:r>
          </w:p>
        </w:tc>
        <w:tc>
          <w:tcPr>
            <w:tcW w:w="3166" w:type="dxa"/>
            <w:gridSpan w:val="2"/>
            <w:tcBorders>
              <w:left w:val="single" w:color="auto" w:sz="4" w:space="0"/>
            </w:tcBorders>
            <w:vAlign w:val="center"/>
          </w:tcPr>
          <w:p>
            <w:pPr>
              <w:spacing w:line="360" w:lineRule="auto"/>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10个月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940" w:type="dxa"/>
            <w:gridSpan w:val="2"/>
            <w:vAlign w:val="center"/>
          </w:tcPr>
          <w:p>
            <w:pPr>
              <w:spacing w:line="360" w:lineRule="auto"/>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是否开工建设</w:t>
            </w:r>
          </w:p>
        </w:tc>
        <w:tc>
          <w:tcPr>
            <w:tcW w:w="4244" w:type="dxa"/>
            <w:gridSpan w:val="2"/>
            <w:tcBorders>
              <w:right w:val="single" w:color="auto" w:sz="4" w:space="0"/>
            </w:tcBorders>
            <w:vAlign w:val="center"/>
          </w:tcPr>
          <w:p>
            <w:pPr>
              <w:spacing w:line="360" w:lineRule="auto"/>
              <w:ind w:firstLine="480" w:firstLineChars="20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否</w:t>
            </w:r>
          </w:p>
        </w:tc>
        <w:tc>
          <w:tcPr>
            <w:tcW w:w="1426" w:type="dxa"/>
            <w:gridSpan w:val="2"/>
            <w:tcBorders>
              <w:left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用地（用海）面积</w:t>
            </w:r>
          </w:p>
        </w:tc>
        <w:tc>
          <w:tcPr>
            <w:tcW w:w="1746" w:type="dxa"/>
            <w:tcBorders>
              <w:left w:val="single" w:color="auto" w:sz="4" w:space="0"/>
            </w:tcBorders>
            <w:vAlign w:val="center"/>
          </w:tcPr>
          <w:p>
            <w:pPr>
              <w:spacing w:line="360" w:lineRule="auto"/>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6222.06m²</w:t>
            </w:r>
            <w:r>
              <w:rPr>
                <w:rFonts w:hint="eastAsia" w:ascii="Times New Roman" w:hAnsi="Times New Roman" w:eastAsia="宋体" w:cs="Times New Roman"/>
                <w:color w:val="auto"/>
                <w:sz w:val="24"/>
                <w:szCs w:val="24"/>
              </w:rPr>
              <w:t>（29.97亩）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066" w:type="dxa"/>
            <w:gridSpan w:val="3"/>
            <w:tcBorders>
              <w:right w:val="single" w:color="auto" w:sz="4" w:space="0"/>
            </w:tcBorders>
            <w:vAlign w:val="center"/>
          </w:tcPr>
          <w:p>
            <w:pPr>
              <w:spacing w:line="360" w:lineRule="auto"/>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专项评价设置情况</w:t>
            </w:r>
          </w:p>
        </w:tc>
        <w:tc>
          <w:tcPr>
            <w:tcW w:w="5290" w:type="dxa"/>
            <w:gridSpan w:val="4"/>
            <w:tcBorders>
              <w:left w:val="single" w:color="auto" w:sz="4" w:space="0"/>
            </w:tcBorders>
            <w:vAlign w:val="center"/>
          </w:tcPr>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066" w:type="dxa"/>
            <w:gridSpan w:val="3"/>
            <w:tcBorders>
              <w:right w:val="single" w:color="auto" w:sz="4" w:space="0"/>
            </w:tcBorders>
            <w:vAlign w:val="center"/>
          </w:tcPr>
          <w:p>
            <w:pPr>
              <w:spacing w:line="360" w:lineRule="auto"/>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规划情况</w:t>
            </w:r>
          </w:p>
        </w:tc>
        <w:tc>
          <w:tcPr>
            <w:tcW w:w="5290" w:type="dxa"/>
            <w:gridSpan w:val="4"/>
            <w:tcBorders>
              <w:left w:val="single" w:color="auto" w:sz="4" w:space="0"/>
            </w:tcBorders>
            <w:vAlign w:val="center"/>
          </w:tcPr>
          <w:p>
            <w:pPr>
              <w:spacing w:line="360" w:lineRule="auto"/>
              <w:ind w:firstLine="480" w:firstLineChars="200"/>
              <w:rPr>
                <w:rFonts w:hint="eastAsia"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rPr>
              <w:t>本项目位于昆明市东川区铜都镇小李庄村，本项目选址不在工业园区内，项目所在区域无相关规划</w:t>
            </w:r>
            <w:r>
              <w:rPr>
                <w:rFonts w:hint="eastAsia" w:ascii="Times New Roman" w:hAnsi="Times New Roman" w:eastAsia="宋体" w:cs="Times New Roman"/>
                <w:color w:val="auto"/>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066" w:type="dxa"/>
            <w:gridSpan w:val="3"/>
            <w:tcBorders>
              <w:right w:val="single" w:color="auto" w:sz="4" w:space="0"/>
            </w:tcBorders>
            <w:vAlign w:val="center"/>
          </w:tcPr>
          <w:p>
            <w:pPr>
              <w:spacing w:line="360" w:lineRule="auto"/>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规划环境影响评价情况</w:t>
            </w:r>
          </w:p>
        </w:tc>
        <w:tc>
          <w:tcPr>
            <w:tcW w:w="5290" w:type="dxa"/>
            <w:gridSpan w:val="4"/>
            <w:tcBorders>
              <w:left w:val="single" w:color="auto" w:sz="4" w:space="0"/>
            </w:tcBorders>
            <w:vAlign w:val="center"/>
          </w:tcPr>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066" w:type="dxa"/>
            <w:gridSpan w:val="3"/>
            <w:tcBorders>
              <w:right w:val="single" w:color="auto" w:sz="4" w:space="0"/>
            </w:tcBorders>
            <w:vAlign w:val="center"/>
          </w:tcPr>
          <w:p>
            <w:pPr>
              <w:spacing w:line="360" w:lineRule="auto"/>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规划及规划环境影响评价符合性分析</w:t>
            </w:r>
          </w:p>
        </w:tc>
        <w:tc>
          <w:tcPr>
            <w:tcW w:w="5290" w:type="dxa"/>
            <w:gridSpan w:val="4"/>
            <w:tcBorders>
              <w:left w:val="single" w:color="auto" w:sz="4" w:space="0"/>
            </w:tcBorders>
            <w:vAlign w:val="center"/>
          </w:tcPr>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8" w:type="dxa"/>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其他符合性分析</w:t>
            </w:r>
          </w:p>
        </w:tc>
        <w:tc>
          <w:tcPr>
            <w:tcW w:w="8548" w:type="dxa"/>
            <w:gridSpan w:val="6"/>
            <w:vAlign w:val="center"/>
          </w:tcPr>
          <w:p>
            <w:pPr>
              <w:spacing w:before="156" w:beforeLines="50"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根据《建设项目环境影响报告表编制技术指南》（污染影响类）（试行）的要求，其他符合性包括“三线一单”符合性、生态环境保护法律法规政策符合性和生态环境保护规划的符合性，具体如下：</w:t>
            </w:r>
          </w:p>
          <w:p>
            <w:pPr>
              <w:spacing w:line="360" w:lineRule="auto"/>
              <w:ind w:firstLine="361" w:firstLineChars="150"/>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（1）“三线一单”符合性分析</w:t>
            </w:r>
          </w:p>
          <w:p>
            <w:pPr>
              <w:tabs>
                <w:tab w:val="left" w:pos="3195"/>
              </w:tabs>
              <w:spacing w:line="480" w:lineRule="exact"/>
              <w:ind w:firstLine="482" w:firstLineChars="200"/>
              <w:rPr>
                <w:rFonts w:ascii="Times New Roman" w:hAnsi="Times New Roman" w:cs="Times New Roman"/>
                <w:b/>
                <w:bCs/>
                <w:color w:val="auto"/>
                <w:sz w:val="24"/>
                <w:szCs w:val="24"/>
              </w:rPr>
            </w:pPr>
            <w:r>
              <w:rPr>
                <w:rFonts w:ascii="Times New Roman" w:hAnsi="Times New Roman" w:cs="Times New Roman"/>
                <w:b/>
                <w:bCs/>
                <w:color w:val="auto"/>
                <w:sz w:val="24"/>
                <w:szCs w:val="24"/>
              </w:rPr>
              <w:fldChar w:fldCharType="begin"/>
            </w:r>
            <w:r>
              <w:rPr>
                <w:rFonts w:ascii="Times New Roman" w:hAnsi="Times New Roman" w:cs="Times New Roman"/>
                <w:b/>
                <w:bCs/>
                <w:color w:val="auto"/>
                <w:sz w:val="24"/>
                <w:szCs w:val="24"/>
              </w:rPr>
              <w:instrText xml:space="preserve"> = 1 \* GB3 \* MERGEFORMAT </w:instrText>
            </w:r>
            <w:r>
              <w:rPr>
                <w:rFonts w:ascii="Times New Roman" w:hAnsi="Times New Roman" w:cs="Times New Roman"/>
                <w:b/>
                <w:bCs/>
                <w:color w:val="auto"/>
                <w:sz w:val="24"/>
                <w:szCs w:val="24"/>
              </w:rPr>
              <w:fldChar w:fldCharType="separate"/>
            </w:r>
            <w:r>
              <w:rPr>
                <w:rFonts w:ascii="Times New Roman" w:hAnsi="Times New Roman" w:cs="Times New Roman"/>
                <w:color w:val="auto"/>
                <w:sz w:val="24"/>
                <w:szCs w:val="24"/>
              </w:rPr>
              <w:t>①</w:t>
            </w:r>
            <w:r>
              <w:rPr>
                <w:rFonts w:ascii="Times New Roman" w:hAnsi="Times New Roman" w:cs="Times New Roman"/>
                <w:b/>
                <w:bCs/>
                <w:color w:val="auto"/>
                <w:sz w:val="24"/>
                <w:szCs w:val="24"/>
              </w:rPr>
              <w:fldChar w:fldCharType="end"/>
            </w:r>
            <w:r>
              <w:rPr>
                <w:rFonts w:ascii="Times New Roman" w:hAnsi="Times New Roman" w:cs="Times New Roman"/>
                <w:b/>
                <w:bCs/>
                <w:color w:val="auto"/>
                <w:sz w:val="24"/>
                <w:szCs w:val="24"/>
              </w:rPr>
              <w:t>生态保护红线符合性分析</w:t>
            </w:r>
          </w:p>
          <w:p>
            <w:pPr>
              <w:tabs>
                <w:tab w:val="left" w:pos="3195"/>
              </w:tabs>
              <w:spacing w:line="480" w:lineRule="exact"/>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根据《昆明市人民政府关于昆明市“三线一单”生态环境分区管控的实施意见》（昆政发[2021]21号）：生态保护红线区严格执行云南省人民政府发布的《云南省生态保护红线》，全市生态保护红线总面积为4662.53km</w:t>
            </w:r>
            <w:r>
              <w:rPr>
                <w:rFonts w:ascii="Times New Roman" w:hAnsi="Times New Roman" w:cs="Times New Roman"/>
                <w:color w:val="auto"/>
                <w:sz w:val="24"/>
                <w:szCs w:val="24"/>
                <w:vertAlign w:val="superscript"/>
              </w:rPr>
              <w:t>2</w:t>
            </w:r>
            <w:r>
              <w:rPr>
                <w:rFonts w:ascii="Times New Roman" w:hAnsi="Times New Roman" w:cs="Times New Roman"/>
                <w:color w:val="auto"/>
                <w:sz w:val="24"/>
                <w:szCs w:val="24"/>
              </w:rPr>
              <w:t>，占全市国土面积的22.19%。生态保护红线区按照国家和云南省颁布的生态保护红线有关管控政策办法执行，原则上按禁止开发区域的 要求进行管理，严禁不符合主体功能定位的各类开发活动，严禁任意改变用途，确保生态保护红线生态功能不降低、面积不减少、性质不改变。将未划入生态保护红线的自然保护地、饮用水水源保护区、重要湿地、基本草原、生态公益林、天然林等生态功能重要、生态环境敏感区域划为一般生态空间，全市一般生态空间面积为 4606.43平方公里，占全市国土面积的21.92%。一般生态空间参照主体功能区中重点生态功能区的开发和管制原则进行管控，以保护和修复生态环境、提供生态产品为首要任务，依法限制大规模高强度的工业化和城镇化开发建设活动。</w:t>
            </w:r>
          </w:p>
          <w:p>
            <w:pPr>
              <w:spacing w:line="480" w:lineRule="exact"/>
              <w:ind w:firstLine="480" w:firstLineChars="200"/>
              <w:rPr>
                <w:rFonts w:ascii="Times New Roman" w:hAnsi="Times New Roman" w:cs="Times New Roman"/>
                <w:color w:val="auto"/>
                <w:sz w:val="24"/>
                <w:szCs w:val="24"/>
              </w:rPr>
            </w:pPr>
            <w:r>
              <w:rPr>
                <w:rFonts w:ascii="Times New Roman" w:hAnsi="Times New Roman" w:eastAsia="宋体" w:cs="Times New Roman"/>
                <w:color w:val="auto"/>
                <w:sz w:val="24"/>
                <w:szCs w:val="24"/>
              </w:rPr>
              <w:t>本项目位于昆明市东川区铜都镇小李庄村，</w:t>
            </w:r>
            <w:r>
              <w:rPr>
                <w:rFonts w:ascii="Times New Roman" w:hAnsi="Times New Roman" w:cs="Times New Roman"/>
                <w:color w:val="auto"/>
                <w:sz w:val="24"/>
                <w:szCs w:val="24"/>
              </w:rPr>
              <w:t>项目区域不涉及</w:t>
            </w:r>
            <w:r>
              <w:rPr>
                <w:rFonts w:ascii="Times New Roman" w:hAnsi="Times New Roman" w:eastAsia="宋体" w:cs="Times New Roman"/>
                <w:color w:val="auto"/>
                <w:sz w:val="24"/>
                <w:szCs w:val="24"/>
              </w:rPr>
              <w:t>不涉及生态红线、</w:t>
            </w:r>
            <w:r>
              <w:rPr>
                <w:rFonts w:ascii="Times New Roman" w:hAnsi="Times New Roman" w:cs="Times New Roman"/>
                <w:color w:val="auto"/>
                <w:sz w:val="24"/>
                <w:szCs w:val="24"/>
              </w:rPr>
              <w:t>自然保护地、饮用水水源保护区、重要湿地、基本草原、生态公益林、天然林等一般生态空间。</w:t>
            </w:r>
          </w:p>
          <w:p>
            <w:pPr>
              <w:tabs>
                <w:tab w:val="left" w:pos="3195"/>
              </w:tabs>
              <w:spacing w:line="480" w:lineRule="exact"/>
              <w:ind w:firstLine="482" w:firstLineChars="200"/>
              <w:rPr>
                <w:rFonts w:ascii="Times New Roman" w:hAnsi="Times New Roman" w:cs="Times New Roman"/>
                <w:b/>
                <w:bCs/>
                <w:color w:val="auto"/>
                <w:sz w:val="24"/>
                <w:szCs w:val="24"/>
              </w:rPr>
            </w:pPr>
            <w:r>
              <w:rPr>
                <w:rFonts w:ascii="Times New Roman" w:hAnsi="Times New Roman" w:cs="Times New Roman"/>
                <w:b/>
                <w:bCs/>
                <w:color w:val="auto"/>
                <w:sz w:val="24"/>
                <w:szCs w:val="24"/>
              </w:rPr>
              <w:fldChar w:fldCharType="begin"/>
            </w:r>
            <w:r>
              <w:rPr>
                <w:rFonts w:ascii="Times New Roman" w:hAnsi="Times New Roman" w:cs="Times New Roman"/>
                <w:b/>
                <w:bCs/>
                <w:color w:val="auto"/>
                <w:sz w:val="24"/>
                <w:szCs w:val="24"/>
              </w:rPr>
              <w:instrText xml:space="preserve"> = 2 \* GB3 \* MERGEFORMAT </w:instrText>
            </w:r>
            <w:r>
              <w:rPr>
                <w:rFonts w:ascii="Times New Roman" w:hAnsi="Times New Roman" w:cs="Times New Roman"/>
                <w:b/>
                <w:bCs/>
                <w:color w:val="auto"/>
                <w:sz w:val="24"/>
                <w:szCs w:val="24"/>
              </w:rPr>
              <w:fldChar w:fldCharType="separate"/>
            </w:r>
            <w:r>
              <w:rPr>
                <w:rFonts w:ascii="Times New Roman" w:hAnsi="Times New Roman" w:cs="Times New Roman"/>
                <w:color w:val="auto"/>
              </w:rPr>
              <w:t>②</w:t>
            </w:r>
            <w:r>
              <w:rPr>
                <w:rFonts w:ascii="Times New Roman" w:hAnsi="Times New Roman" w:cs="Times New Roman"/>
                <w:b/>
                <w:bCs/>
                <w:color w:val="auto"/>
                <w:sz w:val="24"/>
                <w:szCs w:val="24"/>
              </w:rPr>
              <w:fldChar w:fldCharType="end"/>
            </w:r>
            <w:r>
              <w:rPr>
                <w:rFonts w:ascii="Times New Roman" w:hAnsi="Times New Roman" w:cs="Times New Roman"/>
                <w:b/>
                <w:bCs/>
                <w:color w:val="auto"/>
                <w:sz w:val="24"/>
                <w:szCs w:val="24"/>
              </w:rPr>
              <w:t>环境质量底线符合性分析</w:t>
            </w:r>
          </w:p>
          <w:p>
            <w:pPr>
              <w:tabs>
                <w:tab w:val="left" w:pos="3195"/>
              </w:tabs>
              <w:spacing w:line="480" w:lineRule="exact"/>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根据《昆明市人民政府关于昆明市“三线一单”生态环境分区管控的实施意见》（昆政发[2021]21号）：到2025年，全市生态环境质量持续改善，生态空间得到优化和有效保护，区域生态安全屏障更加牢固。全市环境空气质量总体保持优良，主城建成区空气质量优良天数占比达99%以上，二氧化硫（SO</w:t>
            </w:r>
            <w:r>
              <w:rPr>
                <w:rFonts w:ascii="Times New Roman" w:hAnsi="Times New Roman" w:cs="Times New Roman"/>
                <w:color w:val="auto"/>
                <w:sz w:val="24"/>
                <w:szCs w:val="24"/>
                <w:vertAlign w:val="subscript"/>
              </w:rPr>
              <w:t>2</w:t>
            </w:r>
            <w:r>
              <w:rPr>
                <w:rFonts w:ascii="Times New Roman" w:hAnsi="Times New Roman" w:cs="Times New Roman"/>
                <w:color w:val="auto"/>
                <w:sz w:val="24"/>
                <w:szCs w:val="24"/>
              </w:rPr>
              <w:t>）和氮氧化物（NO</w:t>
            </w:r>
            <w:r>
              <w:rPr>
                <w:rFonts w:ascii="Times New Roman" w:hAnsi="Times New Roman" w:cs="Times New Roman"/>
                <w:color w:val="auto"/>
                <w:sz w:val="24"/>
                <w:szCs w:val="24"/>
                <w:vertAlign w:val="subscript"/>
              </w:rPr>
              <w:t>X</w:t>
            </w:r>
            <w:r>
              <w:rPr>
                <w:rFonts w:ascii="Times New Roman" w:hAnsi="Times New Roman" w:cs="Times New Roman"/>
                <w:color w:val="auto"/>
                <w:sz w:val="24"/>
                <w:szCs w:val="24"/>
              </w:rPr>
              <w:t>）排放总量控制在省下达的目标以内，主城区空气中颗粒物（PM</w:t>
            </w:r>
            <w:r>
              <w:rPr>
                <w:rFonts w:ascii="Times New Roman" w:hAnsi="Times New Roman" w:cs="Times New Roman"/>
                <w:color w:val="auto"/>
                <w:sz w:val="24"/>
                <w:szCs w:val="24"/>
                <w:vertAlign w:val="subscript"/>
              </w:rPr>
              <w:t>10</w:t>
            </w:r>
            <w:r>
              <w:rPr>
                <w:rFonts w:ascii="Times New Roman" w:hAnsi="Times New Roman" w:cs="Times New Roman"/>
                <w:color w:val="auto"/>
                <w:sz w:val="24"/>
                <w:szCs w:val="24"/>
              </w:rPr>
              <w:t>、PM</w:t>
            </w:r>
            <w:r>
              <w:rPr>
                <w:rFonts w:ascii="Times New Roman" w:hAnsi="Times New Roman" w:cs="Times New Roman"/>
                <w:color w:val="auto"/>
                <w:sz w:val="24"/>
                <w:szCs w:val="24"/>
                <w:vertAlign w:val="subscript"/>
              </w:rPr>
              <w:t>2.5</w:t>
            </w:r>
            <w:r>
              <w:rPr>
                <w:rFonts w:ascii="Times New Roman" w:hAnsi="Times New Roman" w:cs="Times New Roman"/>
                <w:color w:val="auto"/>
                <w:sz w:val="24"/>
                <w:szCs w:val="24"/>
              </w:rPr>
              <w:t>）稳定达《环境空气质量标准》二级标准以上。纳入国家和省级考核的地表水监测断面水质优良率稳步提升，滇池流域、阳宗海流域水环境质量明显改善，水生态系统功能逐步恢复，滇池草海水质达Ⅳ类，滇池外海水质达Ⅳ类（化学需氧量≤40毫克/升），阳宗海水质达Ⅲ类，集中式饮用水源水质巩固改善。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w:t>
            </w:r>
          </w:p>
          <w:p>
            <w:pPr>
              <w:tabs>
                <w:tab w:val="left" w:pos="3195"/>
              </w:tabs>
              <w:spacing w:line="480" w:lineRule="exact"/>
              <w:ind w:firstLine="480" w:firstLineChars="200"/>
              <w:rPr>
                <w:rFonts w:ascii="Times New Roman" w:hAnsi="Times New Roman" w:cs="Times New Roman"/>
                <w:color w:val="auto"/>
                <w:sz w:val="24"/>
                <w:szCs w:val="24"/>
              </w:rPr>
            </w:pPr>
            <w:r>
              <w:rPr>
                <w:rFonts w:ascii="Times New Roman" w:hAnsi="Times New Roman" w:eastAsia="宋体" w:cs="Times New Roman"/>
                <w:color w:val="auto"/>
                <w:sz w:val="24"/>
                <w:szCs w:val="24"/>
              </w:rPr>
              <w:t>根据</w:t>
            </w:r>
            <w:r>
              <w:rPr>
                <w:rFonts w:hint="eastAsia" w:ascii="Times New Roman" w:hAnsi="Times New Roman" w:eastAsia="宋体" w:cs="Times New Roman"/>
                <w:color w:val="auto"/>
                <w:sz w:val="24"/>
                <w:szCs w:val="24"/>
              </w:rPr>
              <w:t>2020年度昆明市生态环境状况公报</w:t>
            </w:r>
            <w:r>
              <w:rPr>
                <w:rFonts w:ascii="Times New Roman" w:hAnsi="Times New Roman" w:eastAsia="宋体" w:cs="Times New Roman"/>
                <w:color w:val="auto"/>
                <w:sz w:val="24"/>
                <w:szCs w:val="24"/>
              </w:rPr>
              <w:t>，现目区域空气环境可达到《环境空气质量标准》（GB3095-2012）二级标准，属于空气达标区；地表水体小江板河口断面水质均满足《地表水环境质量标准》（GB3838-2002）III类标准；区域噪声可满足《声环境质量标准》（GB3096-2008）2类标准。项目所在地环境质量现状均满足相应执行标准，且本项目的建设不会改变区域环境质量功能要求。</w:t>
            </w:r>
            <w:r>
              <w:rPr>
                <w:rFonts w:ascii="Times New Roman" w:hAnsi="Times New Roman" w:cs="Times New Roman"/>
                <w:color w:val="auto"/>
                <w:sz w:val="24"/>
                <w:szCs w:val="24"/>
              </w:rPr>
              <w:t>在落实本次环评提出的各项污染物防治措施的情况下，本项目运行不会对周围环境造成较大影响，不会降低周围环境质量，能够满足环境功能区要求，满足环境质量底线要求。</w:t>
            </w:r>
          </w:p>
          <w:p>
            <w:pPr>
              <w:tabs>
                <w:tab w:val="left" w:pos="3195"/>
              </w:tabs>
              <w:spacing w:line="480" w:lineRule="exact"/>
              <w:ind w:firstLine="482" w:firstLineChars="200"/>
              <w:rPr>
                <w:rFonts w:ascii="Times New Roman" w:hAnsi="Times New Roman" w:cs="Times New Roman"/>
                <w:b/>
                <w:bCs/>
                <w:color w:val="auto"/>
                <w:sz w:val="24"/>
                <w:szCs w:val="24"/>
              </w:rPr>
            </w:pPr>
            <w:r>
              <w:rPr>
                <w:rFonts w:ascii="Times New Roman" w:hAnsi="Times New Roman" w:cs="Times New Roman"/>
                <w:b/>
                <w:bCs/>
                <w:color w:val="auto"/>
                <w:sz w:val="24"/>
                <w:szCs w:val="24"/>
              </w:rPr>
              <w:fldChar w:fldCharType="begin"/>
            </w:r>
            <w:r>
              <w:rPr>
                <w:rFonts w:ascii="Times New Roman" w:hAnsi="Times New Roman" w:cs="Times New Roman"/>
                <w:b/>
                <w:bCs/>
                <w:color w:val="auto"/>
                <w:sz w:val="24"/>
                <w:szCs w:val="24"/>
              </w:rPr>
              <w:instrText xml:space="preserve"> = 3 \* GB3 \* MERGEFORMAT </w:instrText>
            </w:r>
            <w:r>
              <w:rPr>
                <w:rFonts w:ascii="Times New Roman" w:hAnsi="Times New Roman" w:cs="Times New Roman"/>
                <w:b/>
                <w:bCs/>
                <w:color w:val="auto"/>
                <w:sz w:val="24"/>
                <w:szCs w:val="24"/>
              </w:rPr>
              <w:fldChar w:fldCharType="separate"/>
            </w:r>
            <w:r>
              <w:rPr>
                <w:rFonts w:ascii="Times New Roman" w:hAnsi="Times New Roman" w:cs="Times New Roman"/>
                <w:color w:val="auto"/>
              </w:rPr>
              <w:t>③</w:t>
            </w:r>
            <w:r>
              <w:rPr>
                <w:rFonts w:ascii="Times New Roman" w:hAnsi="Times New Roman" w:cs="Times New Roman"/>
                <w:b/>
                <w:bCs/>
                <w:color w:val="auto"/>
                <w:sz w:val="24"/>
                <w:szCs w:val="24"/>
              </w:rPr>
              <w:fldChar w:fldCharType="end"/>
            </w:r>
            <w:r>
              <w:rPr>
                <w:rFonts w:ascii="Times New Roman" w:hAnsi="Times New Roman" w:cs="Times New Roman"/>
                <w:b/>
                <w:bCs/>
                <w:color w:val="auto"/>
                <w:sz w:val="24"/>
                <w:szCs w:val="24"/>
              </w:rPr>
              <w:t>资源利用上线符合性分析</w:t>
            </w:r>
          </w:p>
          <w:p>
            <w:pPr>
              <w:spacing w:line="480" w:lineRule="exact"/>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根据《昆明市人民政府关于昆明市“三线一单”生态环境分区管控的实施意见》（昆政发[2021]21号）：按照国家、省、市有关要求和规划，按时完成全市用水总量、用水效率、限制纳污“三条红线”水资源上限控制指标；按时完成耕地保有量、基本农田保护面积、建设用地总规模等土地资源利用上限控制指标；按时完成单位 GDP 能耗下降率、能源消费总量等能源控制指标。</w:t>
            </w:r>
          </w:p>
          <w:p>
            <w:pPr>
              <w:spacing w:line="480" w:lineRule="exact"/>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本项目属于对小江清淤物进行综合利用生产建筑用砂项目，不存在资源制约因素。本项目的水、电、土地等资源利用不会突破区域资源利用上限。</w:t>
            </w:r>
          </w:p>
          <w:p>
            <w:pPr>
              <w:spacing w:line="480" w:lineRule="exact"/>
              <w:ind w:firstLine="482" w:firstLineChars="200"/>
              <w:rPr>
                <w:rFonts w:ascii="Times New Roman" w:hAnsi="Times New Roman" w:cs="Times New Roman"/>
                <w:b/>
                <w:bCs/>
                <w:color w:val="auto"/>
                <w:sz w:val="24"/>
                <w:szCs w:val="24"/>
              </w:rPr>
            </w:pPr>
            <w:r>
              <w:rPr>
                <w:rFonts w:ascii="Times New Roman" w:hAnsi="Times New Roman" w:cs="Times New Roman"/>
                <w:b/>
                <w:bCs/>
                <w:color w:val="auto"/>
                <w:sz w:val="24"/>
                <w:szCs w:val="24"/>
              </w:rPr>
              <w:fldChar w:fldCharType="begin"/>
            </w:r>
            <w:r>
              <w:rPr>
                <w:rFonts w:ascii="Times New Roman" w:hAnsi="Times New Roman" w:cs="Times New Roman"/>
                <w:b/>
                <w:bCs/>
                <w:color w:val="auto"/>
                <w:sz w:val="24"/>
                <w:szCs w:val="24"/>
              </w:rPr>
              <w:instrText xml:space="preserve"> = 4 \* GB3 \* MERGEFORMAT </w:instrText>
            </w:r>
            <w:r>
              <w:rPr>
                <w:rFonts w:ascii="Times New Roman" w:hAnsi="Times New Roman" w:cs="Times New Roman"/>
                <w:b/>
                <w:bCs/>
                <w:color w:val="auto"/>
                <w:sz w:val="24"/>
                <w:szCs w:val="24"/>
              </w:rPr>
              <w:fldChar w:fldCharType="separate"/>
            </w:r>
            <w:r>
              <w:rPr>
                <w:rFonts w:ascii="Times New Roman" w:hAnsi="Times New Roman" w:cs="Times New Roman"/>
                <w:color w:val="auto"/>
              </w:rPr>
              <w:t>④</w:t>
            </w:r>
            <w:r>
              <w:rPr>
                <w:rFonts w:ascii="Times New Roman" w:hAnsi="Times New Roman" w:cs="Times New Roman"/>
                <w:b/>
                <w:bCs/>
                <w:color w:val="auto"/>
                <w:sz w:val="24"/>
                <w:szCs w:val="24"/>
              </w:rPr>
              <w:fldChar w:fldCharType="end"/>
            </w:r>
            <w:r>
              <w:rPr>
                <w:rFonts w:ascii="Times New Roman" w:hAnsi="Times New Roman" w:cs="Times New Roman"/>
                <w:b/>
                <w:bCs/>
                <w:color w:val="auto"/>
                <w:sz w:val="24"/>
                <w:szCs w:val="24"/>
              </w:rPr>
              <w:t>环境准入负面清单符合性分析</w:t>
            </w:r>
          </w:p>
          <w:p>
            <w:pPr>
              <w:spacing w:line="480" w:lineRule="exact"/>
              <w:ind w:firstLine="482" w:firstLineChars="200"/>
              <w:rPr>
                <w:rFonts w:ascii="Times New Roman" w:hAnsi="Times New Roman" w:cs="Times New Roman"/>
                <w:b/>
                <w:bCs/>
                <w:color w:val="auto"/>
                <w:sz w:val="24"/>
                <w:szCs w:val="24"/>
              </w:rPr>
            </w:pPr>
            <w:r>
              <w:rPr>
                <w:rFonts w:ascii="Times New Roman" w:hAnsi="Times New Roman" w:cs="Times New Roman"/>
                <w:b/>
                <w:bCs/>
                <w:color w:val="auto"/>
                <w:sz w:val="24"/>
                <w:szCs w:val="24"/>
              </w:rPr>
              <w:t>与昆明市环境管控单元生态环境准入清单符合性分析</w:t>
            </w:r>
          </w:p>
          <w:p>
            <w:pPr>
              <w:spacing w:line="480" w:lineRule="exact"/>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本项目位于昆明市东川区铜都镇小李庄村，根据《昆明市人民政府关于昆明市“三线一单”生态环境分区管控的实施意见》（昆政发[2021]21号），本项目所在区域属于昆明市东川区一般管控单元（单元编码ZH53011330001），项目符合性分析见下表：</w:t>
            </w:r>
          </w:p>
          <w:p>
            <w:pPr>
              <w:pStyle w:val="52"/>
              <w:spacing w:line="480" w:lineRule="exact"/>
              <w:ind w:firstLine="422"/>
              <w:jc w:val="center"/>
              <w:rPr>
                <w:rFonts w:ascii="Times New Roman" w:hAnsi="Times New Roman" w:cs="Times New Roman"/>
                <w:b/>
                <w:bCs/>
                <w:color w:val="auto"/>
              </w:rPr>
            </w:pPr>
            <w:r>
              <w:rPr>
                <w:rFonts w:ascii="Times New Roman" w:hAnsi="Times New Roman" w:cs="Times New Roman"/>
                <w:b/>
                <w:bCs/>
                <w:color w:val="auto"/>
              </w:rPr>
              <w:t>表1-</w:t>
            </w:r>
            <w:r>
              <w:rPr>
                <w:rFonts w:ascii="Times New Roman" w:hAnsi="Times New Roman" w:cs="Times New Roman"/>
                <w:b/>
                <w:bCs/>
                <w:color w:val="auto"/>
                <w:lang w:val="en-US"/>
              </w:rPr>
              <w:t>1</w:t>
            </w:r>
            <w:r>
              <w:rPr>
                <w:rFonts w:ascii="Times New Roman" w:hAnsi="Times New Roman" w:cs="Times New Roman"/>
                <w:b/>
                <w:bCs/>
                <w:color w:val="auto"/>
              </w:rPr>
              <w:t xml:space="preserve"> 项目与“昆明市生态环境准入清单（东川区一般管控单元）”符合性分析表</w:t>
            </w:r>
          </w:p>
          <w:tbl>
            <w:tblPr>
              <w:tblStyle w:val="16"/>
              <w:tblW w:w="814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38"/>
              <w:gridCol w:w="3542"/>
              <w:gridCol w:w="2972"/>
              <w:gridCol w:w="99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9" w:hRule="atLeast"/>
                <w:jc w:val="center"/>
              </w:trPr>
              <w:tc>
                <w:tcPr>
                  <w:tcW w:w="638" w:type="dxa"/>
                  <w:tcBorders>
                    <w:tl2br w:val="nil"/>
                    <w:tr2bl w:val="nil"/>
                  </w:tcBorders>
                  <w:vAlign w:val="center"/>
                </w:tcPr>
                <w:p>
                  <w:pPr>
                    <w:pStyle w:val="52"/>
                    <w:spacing w:line="320" w:lineRule="exac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序</w:t>
                  </w:r>
                </w:p>
              </w:tc>
              <w:tc>
                <w:tcPr>
                  <w:tcW w:w="3542" w:type="dxa"/>
                  <w:tcBorders>
                    <w:tl2br w:val="nil"/>
                    <w:tr2bl w:val="nil"/>
                  </w:tcBorders>
                  <w:vAlign w:val="center"/>
                </w:tcPr>
                <w:p>
                  <w:pPr>
                    <w:pStyle w:val="52"/>
                    <w:spacing w:line="320" w:lineRule="exac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管控要求</w:t>
                  </w:r>
                </w:p>
              </w:tc>
              <w:tc>
                <w:tcPr>
                  <w:tcW w:w="2972" w:type="dxa"/>
                  <w:tcBorders>
                    <w:tl2br w:val="nil"/>
                    <w:tr2bl w:val="nil"/>
                  </w:tcBorders>
                  <w:vAlign w:val="center"/>
                </w:tcPr>
                <w:p>
                  <w:pPr>
                    <w:pStyle w:val="52"/>
                    <w:spacing w:line="320" w:lineRule="exac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本项目情况</w:t>
                  </w:r>
                </w:p>
              </w:tc>
              <w:tc>
                <w:tcPr>
                  <w:tcW w:w="996" w:type="dxa"/>
                  <w:tcBorders>
                    <w:tl2br w:val="nil"/>
                    <w:tr2bl w:val="nil"/>
                  </w:tcBorders>
                  <w:vAlign w:val="center"/>
                </w:tcPr>
                <w:p>
                  <w:pPr>
                    <w:pStyle w:val="52"/>
                    <w:spacing w:line="320" w:lineRule="exac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符合性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21" w:hRule="atLeast"/>
                <w:jc w:val="center"/>
              </w:trPr>
              <w:tc>
                <w:tcPr>
                  <w:tcW w:w="638" w:type="dxa"/>
                  <w:tcBorders>
                    <w:tl2br w:val="nil"/>
                    <w:tr2bl w:val="nil"/>
                  </w:tcBorders>
                  <w:vAlign w:val="center"/>
                </w:tcPr>
                <w:p>
                  <w:pPr>
                    <w:pStyle w:val="52"/>
                    <w:spacing w:line="320" w:lineRule="exac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一</w:t>
                  </w:r>
                </w:p>
              </w:tc>
              <w:tc>
                <w:tcPr>
                  <w:tcW w:w="6514" w:type="dxa"/>
                  <w:gridSpan w:val="2"/>
                  <w:tcBorders>
                    <w:tl2br w:val="nil"/>
                    <w:tr2bl w:val="nil"/>
                  </w:tcBorders>
                  <w:vAlign w:val="center"/>
                </w:tcPr>
                <w:p>
                  <w:pPr>
                    <w:pStyle w:val="52"/>
                    <w:spacing w:line="320" w:lineRule="exac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空间布局约束</w:t>
                  </w:r>
                </w:p>
              </w:tc>
              <w:tc>
                <w:tcPr>
                  <w:tcW w:w="996" w:type="dxa"/>
                  <w:tcBorders>
                    <w:tl2br w:val="nil"/>
                    <w:tr2bl w:val="nil"/>
                  </w:tcBorders>
                  <w:vAlign w:val="center"/>
                </w:tcPr>
                <w:p>
                  <w:pPr>
                    <w:pStyle w:val="52"/>
                    <w:spacing w:line="320" w:lineRule="exact"/>
                    <w:jc w:val="center"/>
                    <w:rPr>
                      <w:rFonts w:ascii="Times New Roman" w:hAnsi="Times New Roman" w:cs="Times New Roman"/>
                      <w:b/>
                      <w:bCs/>
                      <w:color w:val="auto"/>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583" w:hRule="atLeast"/>
                <w:jc w:val="center"/>
              </w:trPr>
              <w:tc>
                <w:tcPr>
                  <w:tcW w:w="638" w:type="dxa"/>
                  <w:tcBorders>
                    <w:tl2br w:val="nil"/>
                    <w:tr2bl w:val="nil"/>
                  </w:tcBorders>
                  <w:vAlign w:val="center"/>
                </w:tcPr>
                <w:p>
                  <w:pPr>
                    <w:snapToGrid w:val="0"/>
                    <w:spacing w:line="320" w:lineRule="exact"/>
                    <w:jc w:val="center"/>
                    <w:rPr>
                      <w:rFonts w:ascii="Times New Roman" w:hAnsi="Times New Roman" w:cs="Times New Roman"/>
                      <w:color w:val="auto"/>
                      <w:sz w:val="22"/>
                      <w:szCs w:val="22"/>
                    </w:rPr>
                  </w:pPr>
                  <w:r>
                    <w:rPr>
                      <w:rFonts w:ascii="Times New Roman" w:hAnsi="Times New Roman" w:cs="Times New Roman"/>
                      <w:color w:val="auto"/>
                      <w:sz w:val="22"/>
                      <w:szCs w:val="22"/>
                    </w:rPr>
                    <w:t>1</w:t>
                  </w:r>
                </w:p>
              </w:tc>
              <w:tc>
                <w:tcPr>
                  <w:tcW w:w="3542" w:type="dxa"/>
                  <w:tcBorders>
                    <w:tl2br w:val="nil"/>
                    <w:tr2bl w:val="nil"/>
                  </w:tcBorders>
                  <w:vAlign w:val="center"/>
                </w:tcPr>
                <w:p>
                  <w:pPr>
                    <w:snapToGrid w:val="0"/>
                    <w:spacing w:line="320" w:lineRule="exact"/>
                    <w:rPr>
                      <w:rFonts w:ascii="Times New Roman" w:hAnsi="Times New Roman" w:cs="Times New Roman"/>
                      <w:color w:val="auto"/>
                      <w:sz w:val="22"/>
                      <w:szCs w:val="22"/>
                    </w:rPr>
                  </w:pPr>
                  <w:r>
                    <w:rPr>
                      <w:rFonts w:ascii="Times New Roman" w:hAnsi="Times New Roman" w:cs="Times New Roman"/>
                      <w:color w:val="auto"/>
                      <w:sz w:val="22"/>
                      <w:szCs w:val="22"/>
                    </w:rPr>
                    <w:t>禁止在林地、河湖管理范围内新建、改建、扩建房地产开发项目。禁止围湖造田和侵占江河滩地。</w:t>
                  </w:r>
                </w:p>
              </w:tc>
              <w:tc>
                <w:tcPr>
                  <w:tcW w:w="2972" w:type="dxa"/>
                  <w:tcBorders>
                    <w:tl2br w:val="nil"/>
                    <w:tr2bl w:val="nil"/>
                  </w:tcBorders>
                  <w:vAlign w:val="center"/>
                </w:tcPr>
                <w:p>
                  <w:pPr>
                    <w:snapToGrid w:val="0"/>
                    <w:spacing w:line="320" w:lineRule="exact"/>
                    <w:jc w:val="center"/>
                    <w:rPr>
                      <w:rFonts w:ascii="Times New Roman" w:hAnsi="Times New Roman" w:cs="Times New Roman"/>
                      <w:color w:val="auto"/>
                      <w:sz w:val="22"/>
                      <w:szCs w:val="22"/>
                    </w:rPr>
                  </w:pPr>
                  <w:r>
                    <w:rPr>
                      <w:rFonts w:ascii="Times New Roman" w:hAnsi="Times New Roman" w:cs="Times New Roman"/>
                      <w:color w:val="auto"/>
                      <w:sz w:val="22"/>
                      <w:szCs w:val="22"/>
                    </w:rPr>
                    <w:t>本项目不属于房地产开发项目</w:t>
                  </w:r>
                </w:p>
              </w:tc>
              <w:tc>
                <w:tcPr>
                  <w:tcW w:w="996" w:type="dxa"/>
                  <w:tcBorders>
                    <w:tl2br w:val="nil"/>
                    <w:tr2bl w:val="nil"/>
                  </w:tcBorders>
                  <w:vAlign w:val="center"/>
                </w:tcPr>
                <w:p>
                  <w:pPr>
                    <w:snapToGrid w:val="0"/>
                    <w:spacing w:line="320" w:lineRule="exact"/>
                    <w:jc w:val="center"/>
                    <w:rPr>
                      <w:rFonts w:ascii="Times New Roman" w:hAnsi="Times New Roman" w:cs="Times New Roman"/>
                      <w:color w:val="auto"/>
                      <w:sz w:val="22"/>
                      <w:szCs w:val="22"/>
                    </w:rPr>
                  </w:pPr>
                  <w:r>
                    <w:rPr>
                      <w:rFonts w:ascii="Times New Roman" w:hAnsi="Times New Roman" w:cs="Times New Roman"/>
                      <w:color w:val="auto"/>
                      <w:sz w:val="22"/>
                      <w:szCs w:val="22"/>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31" w:hRule="atLeast"/>
                <w:jc w:val="center"/>
              </w:trPr>
              <w:tc>
                <w:tcPr>
                  <w:tcW w:w="638" w:type="dxa"/>
                  <w:tcBorders>
                    <w:tl2br w:val="nil"/>
                    <w:tr2bl w:val="nil"/>
                  </w:tcBorders>
                  <w:vAlign w:val="center"/>
                </w:tcPr>
                <w:p>
                  <w:pPr>
                    <w:snapToGrid w:val="0"/>
                    <w:spacing w:line="320" w:lineRule="exac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3542" w:type="dxa"/>
                  <w:tcBorders>
                    <w:tl2br w:val="nil"/>
                    <w:tr2bl w:val="nil"/>
                  </w:tcBorders>
                  <w:vAlign w:val="center"/>
                </w:tcPr>
                <w:p>
                  <w:pPr>
                    <w:snapToGrid w:val="0"/>
                    <w:spacing w:line="320" w:lineRule="exact"/>
                    <w:rPr>
                      <w:rFonts w:ascii="Times New Roman" w:hAnsi="Times New Roman" w:cs="Times New Roman"/>
                      <w:color w:val="auto"/>
                      <w:sz w:val="22"/>
                      <w:szCs w:val="22"/>
                    </w:rPr>
                  </w:pPr>
                  <w:r>
                    <w:rPr>
                      <w:rFonts w:ascii="Times New Roman" w:hAnsi="Times New Roman" w:cs="Times New Roman"/>
                      <w:color w:val="auto"/>
                      <w:sz w:val="22"/>
                      <w:szCs w:val="22"/>
                    </w:rPr>
                    <w:t>禁止破坏珍稀野生动植物的重要栖息地，不得阻碍野生动物的重要迁徙通道。</w:t>
                  </w:r>
                </w:p>
              </w:tc>
              <w:tc>
                <w:tcPr>
                  <w:tcW w:w="2972" w:type="dxa"/>
                  <w:tcBorders>
                    <w:tl2br w:val="nil"/>
                    <w:tr2bl w:val="nil"/>
                  </w:tcBorders>
                  <w:vAlign w:val="center"/>
                </w:tcPr>
                <w:p>
                  <w:pPr>
                    <w:snapToGrid w:val="0"/>
                    <w:spacing w:line="320" w:lineRule="exact"/>
                    <w:jc w:val="center"/>
                    <w:rPr>
                      <w:rFonts w:ascii="Times New Roman" w:hAnsi="Times New Roman" w:cs="Times New Roman"/>
                      <w:color w:val="auto"/>
                      <w:sz w:val="22"/>
                      <w:szCs w:val="22"/>
                    </w:rPr>
                  </w:pPr>
                  <w:r>
                    <w:rPr>
                      <w:rFonts w:ascii="Times New Roman" w:hAnsi="Times New Roman" w:cs="Times New Roman"/>
                      <w:color w:val="auto"/>
                      <w:sz w:val="22"/>
                      <w:szCs w:val="22"/>
                    </w:rPr>
                    <w:t>项目为对小江清淤物进行综合利用生产建筑用砂项目，项目区域不涉及珍稀野生动植物中药栖息地及重要迁徙通道</w:t>
                  </w:r>
                </w:p>
              </w:tc>
              <w:tc>
                <w:tcPr>
                  <w:tcW w:w="996" w:type="dxa"/>
                  <w:tcBorders>
                    <w:tl2br w:val="nil"/>
                    <w:tr2bl w:val="nil"/>
                  </w:tcBorders>
                  <w:vAlign w:val="center"/>
                </w:tcPr>
                <w:p>
                  <w:pPr>
                    <w:snapToGrid w:val="0"/>
                    <w:spacing w:line="320" w:lineRule="exact"/>
                    <w:jc w:val="center"/>
                    <w:rPr>
                      <w:rFonts w:ascii="Times New Roman" w:hAnsi="Times New Roman" w:cs="Times New Roman"/>
                      <w:color w:val="auto"/>
                      <w:sz w:val="22"/>
                      <w:szCs w:val="22"/>
                    </w:rPr>
                  </w:pPr>
                  <w:r>
                    <w:rPr>
                      <w:rFonts w:ascii="Times New Roman" w:hAnsi="Times New Roman" w:cs="Times New Roman"/>
                      <w:color w:val="auto"/>
                      <w:sz w:val="22"/>
                      <w:szCs w:val="22"/>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583" w:hRule="atLeast"/>
                <w:jc w:val="center"/>
              </w:trPr>
              <w:tc>
                <w:tcPr>
                  <w:tcW w:w="638" w:type="dxa"/>
                  <w:tcBorders>
                    <w:tl2br w:val="nil"/>
                    <w:tr2bl w:val="nil"/>
                  </w:tcBorders>
                  <w:vAlign w:val="center"/>
                </w:tcPr>
                <w:p>
                  <w:pPr>
                    <w:snapToGrid w:val="0"/>
                    <w:spacing w:line="320" w:lineRule="exact"/>
                    <w:jc w:val="center"/>
                    <w:rPr>
                      <w:rFonts w:ascii="Times New Roman" w:hAnsi="Times New Roman" w:cs="Times New Roman"/>
                      <w:color w:val="auto"/>
                      <w:sz w:val="22"/>
                      <w:szCs w:val="22"/>
                    </w:rPr>
                  </w:pPr>
                  <w:r>
                    <w:rPr>
                      <w:rFonts w:ascii="Times New Roman" w:hAnsi="Times New Roman" w:cs="Times New Roman"/>
                      <w:color w:val="auto"/>
                      <w:sz w:val="22"/>
                      <w:szCs w:val="22"/>
                    </w:rPr>
                    <w:t>3</w:t>
                  </w:r>
                </w:p>
              </w:tc>
              <w:tc>
                <w:tcPr>
                  <w:tcW w:w="3542" w:type="dxa"/>
                  <w:tcBorders>
                    <w:tl2br w:val="nil"/>
                    <w:tr2bl w:val="nil"/>
                  </w:tcBorders>
                  <w:vAlign w:val="center"/>
                </w:tcPr>
                <w:p>
                  <w:pPr>
                    <w:snapToGrid w:val="0"/>
                    <w:spacing w:line="320" w:lineRule="exact"/>
                    <w:rPr>
                      <w:rFonts w:ascii="Times New Roman" w:hAnsi="Times New Roman" w:cs="Times New Roman"/>
                      <w:color w:val="auto"/>
                      <w:sz w:val="22"/>
                      <w:szCs w:val="22"/>
                    </w:rPr>
                  </w:pPr>
                  <w:r>
                    <w:rPr>
                      <w:rFonts w:ascii="Times New Roman" w:hAnsi="Times New Roman" w:cs="Times New Roman"/>
                      <w:color w:val="auto"/>
                      <w:sz w:val="22"/>
                      <w:szCs w:val="22"/>
                    </w:rPr>
                    <w:t>禁止猎捕国家重点保护陆生野生动物，因特殊需要捕猎的，按照国家有关法规办理。</w:t>
                  </w:r>
                </w:p>
              </w:tc>
              <w:tc>
                <w:tcPr>
                  <w:tcW w:w="2972" w:type="dxa"/>
                  <w:tcBorders>
                    <w:tl2br w:val="nil"/>
                    <w:tr2bl w:val="nil"/>
                  </w:tcBorders>
                  <w:vAlign w:val="center"/>
                </w:tcPr>
                <w:p>
                  <w:pPr>
                    <w:snapToGrid w:val="0"/>
                    <w:spacing w:line="320" w:lineRule="exact"/>
                    <w:jc w:val="center"/>
                    <w:rPr>
                      <w:rFonts w:ascii="Times New Roman" w:hAnsi="Times New Roman" w:cs="Times New Roman"/>
                      <w:color w:val="auto"/>
                      <w:sz w:val="22"/>
                      <w:szCs w:val="22"/>
                    </w:rPr>
                  </w:pPr>
                  <w:r>
                    <w:rPr>
                      <w:rFonts w:ascii="Times New Roman" w:hAnsi="Times New Roman" w:cs="Times New Roman"/>
                      <w:color w:val="auto"/>
                      <w:sz w:val="22"/>
                      <w:szCs w:val="22"/>
                    </w:rPr>
                    <w:t>本项目为对小江清淤物进行综合利用生产建筑用砂项目，不涉及捕猎活动</w:t>
                  </w:r>
                </w:p>
              </w:tc>
              <w:tc>
                <w:tcPr>
                  <w:tcW w:w="996" w:type="dxa"/>
                  <w:tcBorders>
                    <w:tl2br w:val="nil"/>
                    <w:tr2bl w:val="nil"/>
                  </w:tcBorders>
                  <w:vAlign w:val="center"/>
                </w:tcPr>
                <w:p>
                  <w:pPr>
                    <w:snapToGrid w:val="0"/>
                    <w:spacing w:line="320" w:lineRule="exact"/>
                    <w:jc w:val="center"/>
                    <w:rPr>
                      <w:rFonts w:ascii="Times New Roman" w:hAnsi="Times New Roman" w:cs="Times New Roman"/>
                      <w:color w:val="auto"/>
                      <w:sz w:val="22"/>
                      <w:szCs w:val="22"/>
                    </w:rPr>
                  </w:pPr>
                  <w:r>
                    <w:rPr>
                      <w:rFonts w:ascii="Times New Roman" w:hAnsi="Times New Roman" w:cs="Times New Roman"/>
                      <w:color w:val="auto"/>
                      <w:sz w:val="22"/>
                      <w:szCs w:val="22"/>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31" w:hRule="atLeast"/>
                <w:jc w:val="center"/>
              </w:trPr>
              <w:tc>
                <w:tcPr>
                  <w:tcW w:w="638" w:type="dxa"/>
                  <w:tcBorders>
                    <w:tl2br w:val="nil"/>
                    <w:tr2bl w:val="nil"/>
                  </w:tcBorders>
                  <w:vAlign w:val="center"/>
                </w:tcPr>
                <w:p>
                  <w:pPr>
                    <w:snapToGrid w:val="0"/>
                    <w:spacing w:line="320" w:lineRule="exact"/>
                    <w:jc w:val="center"/>
                    <w:rPr>
                      <w:rFonts w:ascii="Times New Roman" w:hAnsi="Times New Roman" w:cs="Times New Roman"/>
                      <w:color w:val="auto"/>
                      <w:sz w:val="22"/>
                      <w:szCs w:val="22"/>
                    </w:rPr>
                  </w:pPr>
                  <w:r>
                    <w:rPr>
                      <w:rFonts w:ascii="Times New Roman" w:hAnsi="Times New Roman" w:cs="Times New Roman"/>
                      <w:color w:val="auto"/>
                      <w:sz w:val="22"/>
                      <w:szCs w:val="22"/>
                    </w:rPr>
                    <w:t>4</w:t>
                  </w:r>
                </w:p>
              </w:tc>
              <w:tc>
                <w:tcPr>
                  <w:tcW w:w="3542" w:type="dxa"/>
                  <w:tcBorders>
                    <w:tl2br w:val="nil"/>
                    <w:tr2bl w:val="nil"/>
                  </w:tcBorders>
                  <w:vAlign w:val="center"/>
                </w:tcPr>
                <w:p>
                  <w:pPr>
                    <w:snapToGrid w:val="0"/>
                    <w:spacing w:line="320" w:lineRule="exact"/>
                    <w:rPr>
                      <w:rFonts w:ascii="Times New Roman" w:hAnsi="Times New Roman" w:cs="Times New Roman"/>
                      <w:color w:val="auto"/>
                      <w:sz w:val="22"/>
                      <w:szCs w:val="22"/>
                    </w:rPr>
                  </w:pPr>
                  <w:r>
                    <w:rPr>
                      <w:rFonts w:ascii="Times New Roman" w:hAnsi="Times New Roman" w:cs="Times New Roman"/>
                      <w:color w:val="auto"/>
                      <w:sz w:val="22"/>
                      <w:szCs w:val="22"/>
                    </w:rPr>
                    <w:t>禁止企业向滩涂、沼泽、荒地等未利用地非法排污、倾倒有毒有害物质。</w:t>
                  </w:r>
                </w:p>
              </w:tc>
              <w:tc>
                <w:tcPr>
                  <w:tcW w:w="2972" w:type="dxa"/>
                  <w:tcBorders>
                    <w:tl2br w:val="nil"/>
                    <w:tr2bl w:val="nil"/>
                  </w:tcBorders>
                  <w:vAlign w:val="center"/>
                </w:tcPr>
                <w:p>
                  <w:pPr>
                    <w:snapToGrid w:val="0"/>
                    <w:spacing w:line="320" w:lineRule="exact"/>
                    <w:jc w:val="center"/>
                    <w:rPr>
                      <w:rFonts w:ascii="Times New Roman" w:hAnsi="Times New Roman" w:cs="Times New Roman"/>
                      <w:color w:val="auto"/>
                      <w:sz w:val="22"/>
                      <w:szCs w:val="22"/>
                    </w:rPr>
                  </w:pPr>
                  <w:r>
                    <w:rPr>
                      <w:rFonts w:ascii="Times New Roman" w:hAnsi="Times New Roman" w:cs="Times New Roman"/>
                      <w:color w:val="auto"/>
                      <w:sz w:val="22"/>
                      <w:szCs w:val="22"/>
                    </w:rPr>
                    <w:t>本项目为对小江清淤物进行综合利用生产建筑用砂项目，不涉及有毒有害物质的使用及排放</w:t>
                  </w:r>
                </w:p>
              </w:tc>
              <w:tc>
                <w:tcPr>
                  <w:tcW w:w="996" w:type="dxa"/>
                  <w:tcBorders>
                    <w:tl2br w:val="nil"/>
                    <w:tr2bl w:val="nil"/>
                  </w:tcBorders>
                  <w:vAlign w:val="center"/>
                </w:tcPr>
                <w:p>
                  <w:pPr>
                    <w:snapToGrid w:val="0"/>
                    <w:spacing w:line="320" w:lineRule="exact"/>
                    <w:jc w:val="center"/>
                    <w:rPr>
                      <w:rFonts w:ascii="Times New Roman" w:hAnsi="Times New Roman" w:cs="Times New Roman"/>
                      <w:color w:val="auto"/>
                      <w:sz w:val="22"/>
                      <w:szCs w:val="22"/>
                    </w:rPr>
                  </w:pPr>
                  <w:r>
                    <w:rPr>
                      <w:rFonts w:ascii="Times New Roman" w:hAnsi="Times New Roman" w:cs="Times New Roman"/>
                      <w:color w:val="auto"/>
                      <w:sz w:val="22"/>
                      <w:szCs w:val="22"/>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21" w:hRule="atLeast"/>
                <w:jc w:val="center"/>
              </w:trPr>
              <w:tc>
                <w:tcPr>
                  <w:tcW w:w="638" w:type="dxa"/>
                  <w:tcBorders>
                    <w:tl2br w:val="nil"/>
                    <w:tr2bl w:val="nil"/>
                  </w:tcBorders>
                  <w:vAlign w:val="center"/>
                </w:tcPr>
                <w:p>
                  <w:pPr>
                    <w:snapToGrid w:val="0"/>
                    <w:spacing w:line="320" w:lineRule="exac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二</w:t>
                  </w:r>
                </w:p>
              </w:tc>
              <w:tc>
                <w:tcPr>
                  <w:tcW w:w="6514" w:type="dxa"/>
                  <w:gridSpan w:val="2"/>
                  <w:tcBorders>
                    <w:tl2br w:val="nil"/>
                    <w:tr2bl w:val="nil"/>
                  </w:tcBorders>
                  <w:vAlign w:val="center"/>
                </w:tcPr>
                <w:p>
                  <w:pPr>
                    <w:pStyle w:val="52"/>
                    <w:spacing w:line="320" w:lineRule="exact"/>
                    <w:jc w:val="center"/>
                    <w:rPr>
                      <w:rFonts w:ascii="Times New Roman" w:hAnsi="Times New Roman" w:cs="Times New Roman"/>
                      <w:color w:val="auto"/>
                      <w:sz w:val="22"/>
                      <w:szCs w:val="22"/>
                    </w:rPr>
                  </w:pPr>
                  <w:r>
                    <w:rPr>
                      <w:rFonts w:ascii="Times New Roman" w:hAnsi="Times New Roman" w:cs="Times New Roman"/>
                      <w:b/>
                      <w:bCs/>
                      <w:color w:val="auto"/>
                      <w:sz w:val="22"/>
                      <w:szCs w:val="22"/>
                    </w:rPr>
                    <w:t>污染物排放管控</w:t>
                  </w:r>
                </w:p>
              </w:tc>
              <w:tc>
                <w:tcPr>
                  <w:tcW w:w="996" w:type="dxa"/>
                  <w:tcBorders>
                    <w:tl2br w:val="nil"/>
                    <w:tr2bl w:val="nil"/>
                  </w:tcBorders>
                  <w:vAlign w:val="center"/>
                </w:tcPr>
                <w:p>
                  <w:pPr>
                    <w:pStyle w:val="52"/>
                    <w:spacing w:line="320" w:lineRule="exact"/>
                    <w:jc w:val="center"/>
                    <w:rPr>
                      <w:rFonts w:ascii="Times New Roman" w:hAnsi="Times New Roman" w:cs="Times New Roman"/>
                      <w:b/>
                      <w:bCs/>
                      <w:color w:val="auto"/>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17" w:hRule="atLeast"/>
                <w:jc w:val="center"/>
              </w:trPr>
              <w:tc>
                <w:tcPr>
                  <w:tcW w:w="638" w:type="dxa"/>
                  <w:tcBorders>
                    <w:tl2br w:val="nil"/>
                    <w:tr2bl w:val="nil"/>
                  </w:tcBorders>
                  <w:vAlign w:val="center"/>
                </w:tcPr>
                <w:p>
                  <w:pPr>
                    <w:snapToGrid w:val="0"/>
                    <w:spacing w:line="320" w:lineRule="exact"/>
                    <w:jc w:val="center"/>
                    <w:rPr>
                      <w:rFonts w:ascii="Times New Roman" w:hAnsi="Times New Roman" w:cs="Times New Roman"/>
                      <w:color w:val="auto"/>
                      <w:sz w:val="22"/>
                      <w:szCs w:val="22"/>
                    </w:rPr>
                  </w:pPr>
                  <w:r>
                    <w:rPr>
                      <w:rFonts w:ascii="Times New Roman" w:hAnsi="Times New Roman" w:cs="Times New Roman"/>
                      <w:color w:val="auto"/>
                      <w:sz w:val="22"/>
                      <w:szCs w:val="22"/>
                    </w:rPr>
                    <w:t>1</w:t>
                  </w:r>
                </w:p>
              </w:tc>
              <w:tc>
                <w:tcPr>
                  <w:tcW w:w="3542" w:type="dxa"/>
                  <w:tcBorders>
                    <w:tl2br w:val="nil"/>
                    <w:tr2bl w:val="nil"/>
                  </w:tcBorders>
                  <w:vAlign w:val="center"/>
                </w:tcPr>
                <w:p>
                  <w:pPr>
                    <w:snapToGrid w:val="0"/>
                    <w:spacing w:line="320" w:lineRule="exact"/>
                    <w:rPr>
                      <w:rFonts w:ascii="Times New Roman" w:hAnsi="Times New Roman" w:cs="Times New Roman"/>
                      <w:color w:val="auto"/>
                      <w:sz w:val="22"/>
                      <w:szCs w:val="22"/>
                    </w:rPr>
                  </w:pPr>
                  <w:r>
                    <w:rPr>
                      <w:rFonts w:ascii="Times New Roman" w:hAnsi="Times New Roman" w:cs="Times New Roman"/>
                      <w:color w:val="auto"/>
                      <w:sz w:val="22"/>
                      <w:szCs w:val="22"/>
                    </w:rPr>
                    <w:t>严格控制“两高”行业新增产能，新、改、扩建项目要实行产能等量或减量置换。</w:t>
                  </w:r>
                </w:p>
              </w:tc>
              <w:tc>
                <w:tcPr>
                  <w:tcW w:w="2972" w:type="dxa"/>
                  <w:tcBorders>
                    <w:tl2br w:val="nil"/>
                    <w:tr2bl w:val="nil"/>
                  </w:tcBorders>
                  <w:vAlign w:val="center"/>
                </w:tcPr>
                <w:p>
                  <w:pPr>
                    <w:snapToGrid w:val="0"/>
                    <w:spacing w:line="320" w:lineRule="exact"/>
                    <w:jc w:val="center"/>
                    <w:rPr>
                      <w:rFonts w:ascii="Times New Roman" w:hAnsi="Times New Roman" w:cs="Times New Roman"/>
                      <w:color w:val="auto"/>
                      <w:sz w:val="22"/>
                      <w:szCs w:val="22"/>
                    </w:rPr>
                  </w:pPr>
                  <w:r>
                    <w:rPr>
                      <w:rFonts w:ascii="Times New Roman" w:hAnsi="Times New Roman" w:cs="Times New Roman"/>
                      <w:color w:val="auto"/>
                      <w:sz w:val="22"/>
                      <w:szCs w:val="22"/>
                    </w:rPr>
                    <w:t>本项目为对小江清淤物进行综合利用生产建筑用砂项目，不涉及“高污染、高环境风险”的产品与工艺装备</w:t>
                  </w:r>
                </w:p>
              </w:tc>
              <w:tc>
                <w:tcPr>
                  <w:tcW w:w="996" w:type="dxa"/>
                  <w:tcBorders>
                    <w:tl2br w:val="nil"/>
                    <w:tr2bl w:val="nil"/>
                  </w:tcBorders>
                  <w:vAlign w:val="center"/>
                </w:tcPr>
                <w:p>
                  <w:pPr>
                    <w:snapToGrid w:val="0"/>
                    <w:spacing w:line="320" w:lineRule="exact"/>
                    <w:jc w:val="center"/>
                    <w:rPr>
                      <w:rFonts w:ascii="Times New Roman" w:hAnsi="Times New Roman" w:cs="Times New Roman"/>
                      <w:color w:val="auto"/>
                      <w:sz w:val="22"/>
                      <w:szCs w:val="22"/>
                    </w:rPr>
                  </w:pPr>
                  <w:r>
                    <w:rPr>
                      <w:rFonts w:ascii="Times New Roman" w:hAnsi="Times New Roman" w:cs="Times New Roman"/>
                      <w:color w:val="auto"/>
                      <w:sz w:val="22"/>
                      <w:szCs w:val="22"/>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0" w:hRule="atLeast"/>
                <w:jc w:val="center"/>
              </w:trPr>
              <w:tc>
                <w:tcPr>
                  <w:tcW w:w="638" w:type="dxa"/>
                  <w:tcBorders>
                    <w:tl2br w:val="nil"/>
                    <w:tr2bl w:val="nil"/>
                  </w:tcBorders>
                  <w:vAlign w:val="center"/>
                </w:tcPr>
                <w:p>
                  <w:pPr>
                    <w:snapToGrid w:val="0"/>
                    <w:spacing w:line="320" w:lineRule="exac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3542" w:type="dxa"/>
                  <w:tcBorders>
                    <w:tl2br w:val="nil"/>
                    <w:tr2bl w:val="nil"/>
                  </w:tcBorders>
                  <w:vAlign w:val="center"/>
                </w:tcPr>
                <w:p>
                  <w:pPr>
                    <w:snapToGrid w:val="0"/>
                    <w:spacing w:line="320" w:lineRule="exact"/>
                    <w:rPr>
                      <w:rFonts w:ascii="Times New Roman" w:hAnsi="Times New Roman" w:cs="Times New Roman"/>
                      <w:color w:val="auto"/>
                      <w:sz w:val="22"/>
                      <w:szCs w:val="22"/>
                    </w:rPr>
                  </w:pPr>
                  <w:r>
                    <w:rPr>
                      <w:rFonts w:ascii="Times New Roman" w:hAnsi="Times New Roman" w:cs="Times New Roman"/>
                      <w:color w:val="auto"/>
                      <w:sz w:val="22"/>
                      <w:szCs w:val="22"/>
                    </w:rPr>
                    <w:t>严格用地准入，工业用地及物流仓储用地供地前，国土部门需对拟供地块进行土壤环境状况调查，评估环境污染风险后方可供地。</w:t>
                  </w:r>
                </w:p>
              </w:tc>
              <w:tc>
                <w:tcPr>
                  <w:tcW w:w="2972" w:type="dxa"/>
                  <w:tcBorders>
                    <w:tl2br w:val="nil"/>
                    <w:tr2bl w:val="nil"/>
                  </w:tcBorders>
                  <w:vAlign w:val="center"/>
                </w:tcPr>
                <w:p>
                  <w:pPr>
                    <w:snapToGrid w:val="0"/>
                    <w:spacing w:line="320" w:lineRule="exact"/>
                    <w:jc w:val="center"/>
                    <w:rPr>
                      <w:rFonts w:ascii="Times New Roman" w:hAnsi="Times New Roman" w:cs="Times New Roman"/>
                      <w:color w:val="auto"/>
                      <w:sz w:val="22"/>
                      <w:szCs w:val="22"/>
                    </w:rPr>
                  </w:pPr>
                  <w:r>
                    <w:rPr>
                      <w:rFonts w:ascii="Times New Roman" w:hAnsi="Times New Roman" w:cs="Times New Roman"/>
                      <w:color w:val="auto"/>
                      <w:sz w:val="22"/>
                      <w:szCs w:val="22"/>
                    </w:rPr>
                    <w:t>本项目为对小江清淤物进行综合利用生产建筑用砂项目，已取得相关部门的用地许可</w:t>
                  </w:r>
                </w:p>
              </w:tc>
              <w:tc>
                <w:tcPr>
                  <w:tcW w:w="996" w:type="dxa"/>
                  <w:tcBorders>
                    <w:tl2br w:val="nil"/>
                    <w:tr2bl w:val="nil"/>
                  </w:tcBorders>
                  <w:vAlign w:val="center"/>
                </w:tcPr>
                <w:p>
                  <w:pPr>
                    <w:snapToGrid w:val="0"/>
                    <w:spacing w:line="320" w:lineRule="exact"/>
                    <w:jc w:val="center"/>
                    <w:rPr>
                      <w:rFonts w:ascii="Times New Roman" w:hAnsi="Times New Roman" w:cs="Times New Roman"/>
                      <w:color w:val="auto"/>
                      <w:sz w:val="22"/>
                      <w:szCs w:val="22"/>
                    </w:rPr>
                  </w:pPr>
                  <w:r>
                    <w:rPr>
                      <w:rFonts w:ascii="Times New Roman" w:hAnsi="Times New Roman" w:cs="Times New Roman"/>
                      <w:color w:val="auto"/>
                      <w:sz w:val="22"/>
                      <w:szCs w:val="22"/>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0" w:hRule="atLeast"/>
                <w:jc w:val="center"/>
              </w:trPr>
              <w:tc>
                <w:tcPr>
                  <w:tcW w:w="638" w:type="dxa"/>
                  <w:tcBorders>
                    <w:tl2br w:val="nil"/>
                    <w:tr2bl w:val="nil"/>
                  </w:tcBorders>
                  <w:vAlign w:val="center"/>
                </w:tcPr>
                <w:p>
                  <w:pPr>
                    <w:snapToGrid w:val="0"/>
                    <w:spacing w:line="320" w:lineRule="exact"/>
                    <w:jc w:val="center"/>
                    <w:rPr>
                      <w:rFonts w:ascii="Times New Roman" w:hAnsi="Times New Roman" w:cs="Times New Roman"/>
                      <w:color w:val="auto"/>
                      <w:sz w:val="22"/>
                      <w:szCs w:val="22"/>
                    </w:rPr>
                  </w:pPr>
                  <w:r>
                    <w:rPr>
                      <w:rFonts w:ascii="Times New Roman" w:hAnsi="Times New Roman" w:cs="Times New Roman"/>
                      <w:color w:val="auto"/>
                      <w:sz w:val="22"/>
                      <w:szCs w:val="22"/>
                    </w:rPr>
                    <w:t>3</w:t>
                  </w:r>
                </w:p>
              </w:tc>
              <w:tc>
                <w:tcPr>
                  <w:tcW w:w="3542" w:type="dxa"/>
                  <w:tcBorders>
                    <w:tl2br w:val="nil"/>
                    <w:tr2bl w:val="nil"/>
                  </w:tcBorders>
                  <w:vAlign w:val="center"/>
                </w:tcPr>
                <w:p>
                  <w:pPr>
                    <w:snapToGrid w:val="0"/>
                    <w:spacing w:line="320" w:lineRule="exact"/>
                    <w:rPr>
                      <w:rFonts w:ascii="Times New Roman" w:hAnsi="Times New Roman" w:cs="Times New Roman"/>
                      <w:color w:val="auto"/>
                      <w:sz w:val="22"/>
                      <w:szCs w:val="22"/>
                    </w:rPr>
                  </w:pPr>
                  <w:r>
                    <w:rPr>
                      <w:rFonts w:ascii="Times New Roman" w:hAnsi="Times New Roman" w:cs="Times New Roman"/>
                      <w:color w:val="auto"/>
                      <w:sz w:val="22"/>
                      <w:szCs w:val="22"/>
                    </w:rPr>
                    <w:t>受重金属污染物或者其他有毒有害污染的农用场地，达不到国家有关标准的，禁止种植使用农产品。</w:t>
                  </w:r>
                </w:p>
              </w:tc>
              <w:tc>
                <w:tcPr>
                  <w:tcW w:w="2972" w:type="dxa"/>
                  <w:tcBorders>
                    <w:tl2br w:val="nil"/>
                    <w:tr2bl w:val="nil"/>
                  </w:tcBorders>
                  <w:vAlign w:val="center"/>
                </w:tcPr>
                <w:p>
                  <w:pPr>
                    <w:snapToGrid w:val="0"/>
                    <w:spacing w:line="320" w:lineRule="exact"/>
                    <w:jc w:val="center"/>
                    <w:rPr>
                      <w:rFonts w:ascii="Times New Roman" w:hAnsi="Times New Roman" w:cs="Times New Roman"/>
                      <w:color w:val="auto"/>
                      <w:sz w:val="22"/>
                      <w:szCs w:val="22"/>
                    </w:rPr>
                  </w:pPr>
                  <w:r>
                    <w:rPr>
                      <w:rFonts w:ascii="Times New Roman" w:hAnsi="Times New Roman" w:cs="Times New Roman"/>
                      <w:color w:val="auto"/>
                      <w:sz w:val="22"/>
                      <w:szCs w:val="22"/>
                    </w:rPr>
                    <w:t>本项目为对小江清淤物进行综合利用生产建筑用砂项目，不涉及农产品种植</w:t>
                  </w:r>
                </w:p>
              </w:tc>
              <w:tc>
                <w:tcPr>
                  <w:tcW w:w="996" w:type="dxa"/>
                  <w:tcBorders>
                    <w:tl2br w:val="nil"/>
                    <w:tr2bl w:val="nil"/>
                  </w:tcBorders>
                  <w:vAlign w:val="center"/>
                </w:tcPr>
                <w:p>
                  <w:pPr>
                    <w:snapToGrid w:val="0"/>
                    <w:spacing w:line="320" w:lineRule="exact"/>
                    <w:jc w:val="center"/>
                    <w:rPr>
                      <w:rFonts w:ascii="Times New Roman" w:hAnsi="Times New Roman" w:cs="Times New Roman"/>
                      <w:color w:val="auto"/>
                      <w:sz w:val="22"/>
                      <w:szCs w:val="22"/>
                    </w:rPr>
                  </w:pPr>
                  <w:r>
                    <w:rPr>
                      <w:rFonts w:ascii="Times New Roman" w:hAnsi="Times New Roman" w:cs="Times New Roman"/>
                      <w:color w:val="auto"/>
                      <w:sz w:val="22"/>
                      <w:szCs w:val="22"/>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0" w:hRule="atLeast"/>
                <w:jc w:val="center"/>
              </w:trPr>
              <w:tc>
                <w:tcPr>
                  <w:tcW w:w="638" w:type="dxa"/>
                  <w:tcBorders>
                    <w:tl2br w:val="nil"/>
                    <w:tr2bl w:val="nil"/>
                  </w:tcBorders>
                  <w:vAlign w:val="center"/>
                </w:tcPr>
                <w:p>
                  <w:pPr>
                    <w:snapToGrid w:val="0"/>
                    <w:spacing w:line="320" w:lineRule="exact"/>
                    <w:jc w:val="center"/>
                    <w:rPr>
                      <w:rFonts w:ascii="Times New Roman" w:hAnsi="Times New Roman" w:cs="Times New Roman"/>
                      <w:color w:val="auto"/>
                      <w:sz w:val="22"/>
                      <w:szCs w:val="22"/>
                    </w:rPr>
                  </w:pPr>
                  <w:r>
                    <w:rPr>
                      <w:rFonts w:ascii="Times New Roman" w:hAnsi="Times New Roman" w:cs="Times New Roman"/>
                      <w:color w:val="auto"/>
                      <w:sz w:val="22"/>
                      <w:szCs w:val="22"/>
                    </w:rPr>
                    <w:t>4</w:t>
                  </w:r>
                </w:p>
              </w:tc>
              <w:tc>
                <w:tcPr>
                  <w:tcW w:w="3542" w:type="dxa"/>
                  <w:tcBorders>
                    <w:tl2br w:val="nil"/>
                    <w:tr2bl w:val="nil"/>
                  </w:tcBorders>
                  <w:vAlign w:val="center"/>
                </w:tcPr>
                <w:p>
                  <w:pPr>
                    <w:snapToGrid w:val="0"/>
                    <w:spacing w:line="320" w:lineRule="exact"/>
                    <w:rPr>
                      <w:rFonts w:ascii="Times New Roman" w:hAnsi="Times New Roman" w:cs="Times New Roman"/>
                      <w:color w:val="auto"/>
                      <w:sz w:val="22"/>
                      <w:szCs w:val="22"/>
                    </w:rPr>
                  </w:pPr>
                  <w:r>
                    <w:rPr>
                      <w:rFonts w:ascii="Times New Roman" w:hAnsi="Times New Roman" w:cs="Times New Roman"/>
                      <w:color w:val="auto"/>
                      <w:sz w:val="22"/>
                      <w:szCs w:val="22"/>
                    </w:rPr>
                    <w:t>禁止在禁渔区、禁渔期进行捕捞。禁止使用小于最小网目尺寸的网具进行捕捞，未依法取得捕捞许可证擅自捕捞。</w:t>
                  </w:r>
                </w:p>
              </w:tc>
              <w:tc>
                <w:tcPr>
                  <w:tcW w:w="2972" w:type="dxa"/>
                  <w:tcBorders>
                    <w:tl2br w:val="nil"/>
                    <w:tr2bl w:val="nil"/>
                  </w:tcBorders>
                  <w:vAlign w:val="center"/>
                </w:tcPr>
                <w:p>
                  <w:pPr>
                    <w:snapToGrid w:val="0"/>
                    <w:spacing w:line="320" w:lineRule="exact"/>
                    <w:jc w:val="center"/>
                    <w:rPr>
                      <w:rFonts w:ascii="Times New Roman" w:hAnsi="Times New Roman" w:cs="Times New Roman"/>
                      <w:color w:val="auto"/>
                      <w:sz w:val="22"/>
                      <w:szCs w:val="22"/>
                    </w:rPr>
                  </w:pPr>
                  <w:r>
                    <w:rPr>
                      <w:rFonts w:ascii="Times New Roman" w:hAnsi="Times New Roman" w:cs="Times New Roman"/>
                      <w:color w:val="auto"/>
                      <w:sz w:val="22"/>
                      <w:szCs w:val="22"/>
                    </w:rPr>
                    <w:t>本项目为对小江清淤物进行综合利用生产建筑用砂项目，不涉及捕捞活动</w:t>
                  </w:r>
                </w:p>
              </w:tc>
              <w:tc>
                <w:tcPr>
                  <w:tcW w:w="996" w:type="dxa"/>
                  <w:tcBorders>
                    <w:tl2br w:val="nil"/>
                    <w:tr2bl w:val="nil"/>
                  </w:tcBorders>
                  <w:vAlign w:val="center"/>
                </w:tcPr>
                <w:p>
                  <w:pPr>
                    <w:snapToGrid w:val="0"/>
                    <w:spacing w:line="320" w:lineRule="exact"/>
                    <w:jc w:val="center"/>
                    <w:rPr>
                      <w:rFonts w:ascii="Times New Roman" w:hAnsi="Times New Roman" w:cs="Times New Roman"/>
                      <w:color w:val="auto"/>
                      <w:sz w:val="22"/>
                      <w:szCs w:val="22"/>
                    </w:rPr>
                  </w:pPr>
                  <w:r>
                    <w:rPr>
                      <w:rFonts w:ascii="Times New Roman" w:hAnsi="Times New Roman" w:cs="Times New Roman"/>
                      <w:color w:val="auto"/>
                      <w:sz w:val="22"/>
                      <w:szCs w:val="22"/>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9" w:hRule="atLeast"/>
                <w:jc w:val="center"/>
              </w:trPr>
              <w:tc>
                <w:tcPr>
                  <w:tcW w:w="638" w:type="dxa"/>
                  <w:tcBorders>
                    <w:tl2br w:val="nil"/>
                    <w:tr2bl w:val="nil"/>
                  </w:tcBorders>
                  <w:vAlign w:val="center"/>
                </w:tcPr>
                <w:p>
                  <w:pPr>
                    <w:snapToGrid w:val="0"/>
                    <w:spacing w:line="320" w:lineRule="exac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三</w:t>
                  </w:r>
                </w:p>
              </w:tc>
              <w:tc>
                <w:tcPr>
                  <w:tcW w:w="6514" w:type="dxa"/>
                  <w:gridSpan w:val="2"/>
                  <w:tcBorders>
                    <w:tl2br w:val="nil"/>
                    <w:tr2bl w:val="nil"/>
                  </w:tcBorders>
                  <w:vAlign w:val="center"/>
                </w:tcPr>
                <w:p>
                  <w:pPr>
                    <w:snapToGrid w:val="0"/>
                    <w:spacing w:line="320" w:lineRule="exact"/>
                    <w:jc w:val="center"/>
                    <w:rPr>
                      <w:rFonts w:ascii="Times New Roman" w:hAnsi="Times New Roman" w:cs="Times New Roman"/>
                      <w:color w:val="auto"/>
                      <w:sz w:val="22"/>
                      <w:szCs w:val="22"/>
                    </w:rPr>
                  </w:pPr>
                  <w:r>
                    <w:rPr>
                      <w:rFonts w:ascii="Times New Roman" w:hAnsi="Times New Roman" w:cs="Times New Roman"/>
                      <w:b/>
                      <w:bCs/>
                      <w:color w:val="auto"/>
                      <w:sz w:val="22"/>
                      <w:szCs w:val="22"/>
                    </w:rPr>
                    <w:t>环境风险防控</w:t>
                  </w:r>
                </w:p>
              </w:tc>
              <w:tc>
                <w:tcPr>
                  <w:tcW w:w="996" w:type="dxa"/>
                  <w:tcBorders>
                    <w:tl2br w:val="nil"/>
                    <w:tr2bl w:val="nil"/>
                  </w:tcBorders>
                  <w:vAlign w:val="center"/>
                </w:tcPr>
                <w:p>
                  <w:pPr>
                    <w:snapToGrid w:val="0"/>
                    <w:spacing w:line="320" w:lineRule="exact"/>
                    <w:jc w:val="center"/>
                    <w:rPr>
                      <w:rFonts w:ascii="Times New Roman" w:hAnsi="Times New Roman" w:cs="Times New Roman"/>
                      <w:b/>
                      <w:bCs/>
                      <w:color w:val="auto"/>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52" w:hRule="atLeast"/>
                <w:jc w:val="center"/>
              </w:trPr>
              <w:tc>
                <w:tcPr>
                  <w:tcW w:w="638" w:type="dxa"/>
                  <w:tcBorders>
                    <w:tl2br w:val="nil"/>
                    <w:tr2bl w:val="nil"/>
                  </w:tcBorders>
                  <w:vAlign w:val="center"/>
                </w:tcPr>
                <w:p>
                  <w:pPr>
                    <w:snapToGrid w:val="0"/>
                    <w:spacing w:line="320" w:lineRule="exact"/>
                    <w:jc w:val="center"/>
                    <w:rPr>
                      <w:rFonts w:ascii="Times New Roman" w:hAnsi="Times New Roman" w:cs="Times New Roman"/>
                      <w:color w:val="auto"/>
                      <w:sz w:val="22"/>
                      <w:szCs w:val="22"/>
                    </w:rPr>
                  </w:pPr>
                  <w:r>
                    <w:rPr>
                      <w:rFonts w:ascii="Times New Roman" w:hAnsi="Times New Roman" w:cs="Times New Roman"/>
                      <w:color w:val="auto"/>
                      <w:sz w:val="22"/>
                      <w:szCs w:val="22"/>
                    </w:rPr>
                    <w:t>1</w:t>
                  </w:r>
                </w:p>
              </w:tc>
              <w:tc>
                <w:tcPr>
                  <w:tcW w:w="3542" w:type="dxa"/>
                  <w:tcBorders>
                    <w:tl2br w:val="nil"/>
                    <w:tr2bl w:val="nil"/>
                  </w:tcBorders>
                  <w:vAlign w:val="center"/>
                </w:tcPr>
                <w:p>
                  <w:pPr>
                    <w:snapToGrid w:val="0"/>
                    <w:spacing w:line="320" w:lineRule="exact"/>
                    <w:rPr>
                      <w:rFonts w:ascii="Times New Roman" w:hAnsi="Times New Roman" w:cs="Times New Roman"/>
                      <w:color w:val="auto"/>
                      <w:sz w:val="22"/>
                      <w:szCs w:val="22"/>
                    </w:rPr>
                  </w:pPr>
                  <w:r>
                    <w:rPr>
                      <w:rFonts w:ascii="Times New Roman" w:hAnsi="Times New Roman" w:cs="Times New Roman"/>
                      <w:color w:val="auto"/>
                      <w:sz w:val="22"/>
                      <w:szCs w:val="22"/>
                    </w:rPr>
                    <w:t>环境风险防控严格限制《环境保护综合名录》（2017年版）中“高污染、高环境风险”产品与工艺装备。</w:t>
                  </w:r>
                </w:p>
              </w:tc>
              <w:tc>
                <w:tcPr>
                  <w:tcW w:w="2972" w:type="dxa"/>
                  <w:tcBorders>
                    <w:tl2br w:val="nil"/>
                    <w:tr2bl w:val="nil"/>
                  </w:tcBorders>
                  <w:vAlign w:val="center"/>
                </w:tcPr>
                <w:p>
                  <w:pPr>
                    <w:snapToGrid w:val="0"/>
                    <w:spacing w:line="320" w:lineRule="exact"/>
                    <w:jc w:val="center"/>
                    <w:rPr>
                      <w:rFonts w:ascii="Times New Roman" w:hAnsi="Times New Roman" w:cs="Times New Roman"/>
                      <w:color w:val="auto"/>
                      <w:sz w:val="22"/>
                      <w:szCs w:val="22"/>
                    </w:rPr>
                  </w:pPr>
                  <w:r>
                    <w:rPr>
                      <w:rFonts w:ascii="Times New Roman" w:hAnsi="Times New Roman" w:cs="Times New Roman"/>
                      <w:color w:val="auto"/>
                      <w:sz w:val="22"/>
                      <w:szCs w:val="22"/>
                    </w:rPr>
                    <w:t>本项目为对小江清淤物进行综合利用生产建筑用砂项目，不涉及“高污染、高环境风险”的产品与工艺装备</w:t>
                  </w:r>
                </w:p>
              </w:tc>
              <w:tc>
                <w:tcPr>
                  <w:tcW w:w="996" w:type="dxa"/>
                  <w:tcBorders>
                    <w:tl2br w:val="nil"/>
                    <w:tr2bl w:val="nil"/>
                  </w:tcBorders>
                  <w:vAlign w:val="center"/>
                </w:tcPr>
                <w:p>
                  <w:pPr>
                    <w:snapToGrid w:val="0"/>
                    <w:spacing w:line="320" w:lineRule="exact"/>
                    <w:jc w:val="center"/>
                    <w:rPr>
                      <w:rFonts w:ascii="Times New Roman" w:hAnsi="Times New Roman" w:cs="Times New Roman"/>
                      <w:color w:val="auto"/>
                      <w:sz w:val="22"/>
                      <w:szCs w:val="22"/>
                    </w:rPr>
                  </w:pPr>
                  <w:r>
                    <w:rPr>
                      <w:rFonts w:ascii="Times New Roman" w:hAnsi="Times New Roman" w:cs="Times New Roman"/>
                      <w:color w:val="auto"/>
                      <w:sz w:val="22"/>
                      <w:szCs w:val="22"/>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31" w:hRule="atLeast"/>
                <w:jc w:val="center"/>
              </w:trPr>
              <w:tc>
                <w:tcPr>
                  <w:tcW w:w="638" w:type="dxa"/>
                  <w:tcBorders>
                    <w:tl2br w:val="nil"/>
                    <w:tr2bl w:val="nil"/>
                  </w:tcBorders>
                  <w:vAlign w:val="center"/>
                </w:tcPr>
                <w:p>
                  <w:pPr>
                    <w:snapToGrid w:val="0"/>
                    <w:spacing w:line="320" w:lineRule="exac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3542" w:type="dxa"/>
                  <w:tcBorders>
                    <w:tl2br w:val="nil"/>
                    <w:tr2bl w:val="nil"/>
                  </w:tcBorders>
                  <w:vAlign w:val="center"/>
                </w:tcPr>
                <w:p>
                  <w:pPr>
                    <w:snapToGrid w:val="0"/>
                    <w:spacing w:line="320" w:lineRule="exact"/>
                    <w:rPr>
                      <w:rFonts w:ascii="Times New Roman" w:hAnsi="Times New Roman" w:cs="Times New Roman"/>
                      <w:color w:val="auto"/>
                      <w:sz w:val="22"/>
                      <w:szCs w:val="22"/>
                    </w:rPr>
                  </w:pPr>
                  <w:r>
                    <w:rPr>
                      <w:rFonts w:ascii="Times New Roman" w:hAnsi="Times New Roman" w:cs="Times New Roman"/>
                      <w:color w:val="auto"/>
                      <w:sz w:val="22"/>
                      <w:szCs w:val="22"/>
                    </w:rPr>
                    <w:t>禁止使用剧毒、高残留以及可能二次中毒的农药。</w:t>
                  </w:r>
                </w:p>
              </w:tc>
              <w:tc>
                <w:tcPr>
                  <w:tcW w:w="2972" w:type="dxa"/>
                  <w:tcBorders>
                    <w:tl2br w:val="nil"/>
                    <w:tr2bl w:val="nil"/>
                  </w:tcBorders>
                  <w:vAlign w:val="center"/>
                </w:tcPr>
                <w:p>
                  <w:pPr>
                    <w:snapToGrid w:val="0"/>
                    <w:spacing w:line="320" w:lineRule="exact"/>
                    <w:jc w:val="center"/>
                    <w:rPr>
                      <w:rFonts w:ascii="Times New Roman" w:hAnsi="Times New Roman" w:cs="Times New Roman"/>
                      <w:color w:val="auto"/>
                      <w:sz w:val="22"/>
                      <w:szCs w:val="22"/>
                    </w:rPr>
                  </w:pPr>
                  <w:r>
                    <w:rPr>
                      <w:rFonts w:ascii="Times New Roman" w:hAnsi="Times New Roman" w:cs="Times New Roman"/>
                      <w:color w:val="auto"/>
                      <w:sz w:val="22"/>
                      <w:szCs w:val="22"/>
                    </w:rPr>
                    <w:t>本项目不使用剧毒、高残留及可能二次污染中毒的农药</w:t>
                  </w:r>
                </w:p>
              </w:tc>
              <w:tc>
                <w:tcPr>
                  <w:tcW w:w="996" w:type="dxa"/>
                  <w:tcBorders>
                    <w:tl2br w:val="nil"/>
                    <w:tr2bl w:val="nil"/>
                  </w:tcBorders>
                  <w:vAlign w:val="center"/>
                </w:tcPr>
                <w:p>
                  <w:pPr>
                    <w:snapToGrid w:val="0"/>
                    <w:spacing w:line="320" w:lineRule="exact"/>
                    <w:jc w:val="center"/>
                    <w:rPr>
                      <w:rFonts w:ascii="Times New Roman" w:hAnsi="Times New Roman" w:cs="Times New Roman"/>
                      <w:color w:val="auto"/>
                      <w:sz w:val="22"/>
                      <w:szCs w:val="22"/>
                    </w:rPr>
                  </w:pPr>
                  <w:r>
                    <w:rPr>
                      <w:rFonts w:ascii="Times New Roman" w:hAnsi="Times New Roman" w:cs="Times New Roman"/>
                      <w:color w:val="auto"/>
                      <w:sz w:val="22"/>
                      <w:szCs w:val="22"/>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52" w:hRule="atLeast"/>
                <w:jc w:val="center"/>
              </w:trPr>
              <w:tc>
                <w:tcPr>
                  <w:tcW w:w="638" w:type="dxa"/>
                  <w:tcBorders>
                    <w:tl2br w:val="nil"/>
                    <w:tr2bl w:val="nil"/>
                  </w:tcBorders>
                  <w:vAlign w:val="center"/>
                </w:tcPr>
                <w:p>
                  <w:pPr>
                    <w:snapToGrid w:val="0"/>
                    <w:spacing w:line="320" w:lineRule="exact"/>
                    <w:jc w:val="center"/>
                    <w:rPr>
                      <w:rFonts w:ascii="Times New Roman" w:hAnsi="Times New Roman" w:cs="Times New Roman"/>
                      <w:color w:val="auto"/>
                      <w:sz w:val="22"/>
                      <w:szCs w:val="22"/>
                    </w:rPr>
                  </w:pPr>
                  <w:r>
                    <w:rPr>
                      <w:rFonts w:ascii="Times New Roman" w:hAnsi="Times New Roman" w:cs="Times New Roman"/>
                      <w:color w:val="auto"/>
                      <w:sz w:val="22"/>
                      <w:szCs w:val="22"/>
                    </w:rPr>
                    <w:t>3</w:t>
                  </w:r>
                </w:p>
              </w:tc>
              <w:tc>
                <w:tcPr>
                  <w:tcW w:w="3542" w:type="dxa"/>
                  <w:tcBorders>
                    <w:tl2br w:val="nil"/>
                    <w:tr2bl w:val="nil"/>
                  </w:tcBorders>
                  <w:vAlign w:val="center"/>
                </w:tcPr>
                <w:p>
                  <w:pPr>
                    <w:snapToGrid w:val="0"/>
                    <w:spacing w:line="320" w:lineRule="exact"/>
                    <w:rPr>
                      <w:rFonts w:ascii="Times New Roman" w:hAnsi="Times New Roman" w:cs="Times New Roman"/>
                      <w:color w:val="auto"/>
                      <w:sz w:val="22"/>
                      <w:szCs w:val="22"/>
                    </w:rPr>
                  </w:pPr>
                  <w:r>
                    <w:rPr>
                      <w:rFonts w:ascii="Times New Roman" w:hAnsi="Times New Roman" w:cs="Times New Roman"/>
                      <w:color w:val="auto"/>
                      <w:sz w:val="22"/>
                      <w:szCs w:val="22"/>
                    </w:rPr>
                    <w:t>严格污染场地开发利用和流转审批，在影响健康地块修复达标之前，禁止建设居民区、学校、医疗和养老机构。</w:t>
                  </w:r>
                </w:p>
              </w:tc>
              <w:tc>
                <w:tcPr>
                  <w:tcW w:w="2972" w:type="dxa"/>
                  <w:tcBorders>
                    <w:tl2br w:val="nil"/>
                    <w:tr2bl w:val="nil"/>
                  </w:tcBorders>
                  <w:vAlign w:val="center"/>
                </w:tcPr>
                <w:p>
                  <w:pPr>
                    <w:snapToGrid w:val="0"/>
                    <w:spacing w:line="320" w:lineRule="exact"/>
                    <w:jc w:val="center"/>
                    <w:rPr>
                      <w:rFonts w:ascii="Times New Roman" w:hAnsi="Times New Roman" w:cs="Times New Roman"/>
                      <w:color w:val="auto"/>
                      <w:sz w:val="22"/>
                      <w:szCs w:val="22"/>
                    </w:rPr>
                  </w:pPr>
                  <w:r>
                    <w:rPr>
                      <w:rFonts w:ascii="Times New Roman" w:hAnsi="Times New Roman" w:cs="Times New Roman"/>
                      <w:color w:val="auto"/>
                      <w:sz w:val="22"/>
                      <w:szCs w:val="22"/>
                    </w:rPr>
                    <w:t>本项目为对小江清淤物进行综合利用生产建筑用砂项目，不属于污染场地的开发利用项目</w:t>
                  </w:r>
                </w:p>
              </w:tc>
              <w:tc>
                <w:tcPr>
                  <w:tcW w:w="996" w:type="dxa"/>
                  <w:tcBorders>
                    <w:tl2br w:val="nil"/>
                    <w:tr2bl w:val="nil"/>
                  </w:tcBorders>
                  <w:vAlign w:val="center"/>
                </w:tcPr>
                <w:p>
                  <w:pPr>
                    <w:snapToGrid w:val="0"/>
                    <w:spacing w:line="320" w:lineRule="exact"/>
                    <w:jc w:val="center"/>
                    <w:rPr>
                      <w:rFonts w:ascii="Times New Roman" w:hAnsi="Times New Roman" w:cs="Times New Roman"/>
                      <w:color w:val="auto"/>
                      <w:sz w:val="22"/>
                      <w:szCs w:val="22"/>
                    </w:rPr>
                  </w:pPr>
                  <w:r>
                    <w:rPr>
                      <w:rFonts w:ascii="Times New Roman" w:hAnsi="Times New Roman" w:cs="Times New Roman"/>
                      <w:color w:val="auto"/>
                      <w:sz w:val="22"/>
                      <w:szCs w:val="22"/>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21" w:hRule="atLeast"/>
                <w:jc w:val="center"/>
              </w:trPr>
              <w:tc>
                <w:tcPr>
                  <w:tcW w:w="638" w:type="dxa"/>
                  <w:tcBorders>
                    <w:tl2br w:val="nil"/>
                    <w:tr2bl w:val="nil"/>
                  </w:tcBorders>
                  <w:vAlign w:val="center"/>
                </w:tcPr>
                <w:p>
                  <w:pPr>
                    <w:snapToGrid w:val="0"/>
                    <w:spacing w:line="320" w:lineRule="exac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四</w:t>
                  </w:r>
                </w:p>
              </w:tc>
              <w:tc>
                <w:tcPr>
                  <w:tcW w:w="6514" w:type="dxa"/>
                  <w:gridSpan w:val="2"/>
                  <w:tcBorders>
                    <w:tl2br w:val="nil"/>
                    <w:tr2bl w:val="nil"/>
                  </w:tcBorders>
                  <w:vAlign w:val="center"/>
                </w:tcPr>
                <w:p>
                  <w:pPr>
                    <w:snapToGrid w:val="0"/>
                    <w:spacing w:line="320" w:lineRule="exact"/>
                    <w:jc w:val="center"/>
                    <w:rPr>
                      <w:rFonts w:ascii="Times New Roman" w:hAnsi="Times New Roman" w:cs="Times New Roman"/>
                      <w:color w:val="auto"/>
                      <w:sz w:val="22"/>
                      <w:szCs w:val="22"/>
                    </w:rPr>
                  </w:pPr>
                  <w:r>
                    <w:rPr>
                      <w:rFonts w:ascii="Times New Roman" w:hAnsi="Times New Roman" w:cs="Times New Roman"/>
                      <w:b/>
                      <w:bCs/>
                      <w:color w:val="auto"/>
                      <w:sz w:val="22"/>
                      <w:szCs w:val="22"/>
                    </w:rPr>
                    <w:t>资源开发效率要求</w:t>
                  </w:r>
                </w:p>
              </w:tc>
              <w:tc>
                <w:tcPr>
                  <w:tcW w:w="996" w:type="dxa"/>
                  <w:tcBorders>
                    <w:tl2br w:val="nil"/>
                    <w:tr2bl w:val="nil"/>
                  </w:tcBorders>
                  <w:vAlign w:val="center"/>
                </w:tcPr>
                <w:p>
                  <w:pPr>
                    <w:snapToGrid w:val="0"/>
                    <w:spacing w:line="320" w:lineRule="exact"/>
                    <w:jc w:val="center"/>
                    <w:rPr>
                      <w:rFonts w:ascii="Times New Roman" w:hAnsi="Times New Roman" w:cs="Times New Roman"/>
                      <w:b/>
                      <w:bCs/>
                      <w:color w:val="auto"/>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40" w:hRule="atLeast"/>
                <w:jc w:val="center"/>
              </w:trPr>
              <w:tc>
                <w:tcPr>
                  <w:tcW w:w="638" w:type="dxa"/>
                  <w:tcBorders>
                    <w:tl2br w:val="nil"/>
                    <w:tr2bl w:val="nil"/>
                  </w:tcBorders>
                  <w:vAlign w:val="center"/>
                </w:tcPr>
                <w:p>
                  <w:pPr>
                    <w:snapToGrid w:val="0"/>
                    <w:spacing w:line="320" w:lineRule="exact"/>
                    <w:jc w:val="center"/>
                    <w:rPr>
                      <w:rFonts w:ascii="Times New Roman" w:hAnsi="Times New Roman" w:cs="Times New Roman"/>
                      <w:color w:val="auto"/>
                      <w:sz w:val="22"/>
                      <w:szCs w:val="22"/>
                    </w:rPr>
                  </w:pPr>
                  <w:r>
                    <w:rPr>
                      <w:rFonts w:ascii="Times New Roman" w:hAnsi="Times New Roman" w:cs="Times New Roman"/>
                      <w:color w:val="auto"/>
                      <w:sz w:val="22"/>
                      <w:szCs w:val="22"/>
                    </w:rPr>
                    <w:t>1</w:t>
                  </w:r>
                </w:p>
              </w:tc>
              <w:tc>
                <w:tcPr>
                  <w:tcW w:w="3542" w:type="dxa"/>
                  <w:tcBorders>
                    <w:tl2br w:val="nil"/>
                    <w:tr2bl w:val="nil"/>
                  </w:tcBorders>
                  <w:vAlign w:val="center"/>
                </w:tcPr>
                <w:p>
                  <w:pPr>
                    <w:snapToGrid w:val="0"/>
                    <w:spacing w:line="320" w:lineRule="exact"/>
                    <w:rPr>
                      <w:rFonts w:ascii="Times New Roman" w:hAnsi="Times New Roman" w:cs="Times New Roman"/>
                      <w:color w:val="auto"/>
                      <w:sz w:val="22"/>
                      <w:szCs w:val="22"/>
                    </w:rPr>
                  </w:pPr>
                  <w:r>
                    <w:rPr>
                      <w:rFonts w:ascii="Times New Roman" w:hAnsi="Times New Roman" w:cs="Times New Roman"/>
                      <w:color w:val="auto"/>
                      <w:sz w:val="22"/>
                      <w:szCs w:val="22"/>
                    </w:rPr>
                    <w:t>禁止新建、改扩建《高耗水工艺、技术和装备淘汰目录》中项目，现有企业应限期关停退出。</w:t>
                  </w:r>
                </w:p>
              </w:tc>
              <w:tc>
                <w:tcPr>
                  <w:tcW w:w="2972" w:type="dxa"/>
                  <w:tcBorders>
                    <w:tl2br w:val="nil"/>
                    <w:tr2bl w:val="nil"/>
                  </w:tcBorders>
                  <w:vAlign w:val="center"/>
                </w:tcPr>
                <w:p>
                  <w:pPr>
                    <w:snapToGrid w:val="0"/>
                    <w:spacing w:line="320" w:lineRule="exact"/>
                    <w:jc w:val="center"/>
                    <w:rPr>
                      <w:rFonts w:ascii="Times New Roman" w:hAnsi="Times New Roman" w:cs="Times New Roman"/>
                      <w:color w:val="auto"/>
                      <w:sz w:val="22"/>
                      <w:szCs w:val="22"/>
                    </w:rPr>
                  </w:pPr>
                  <w:r>
                    <w:rPr>
                      <w:rFonts w:ascii="Times New Roman" w:hAnsi="Times New Roman" w:cs="Times New Roman"/>
                      <w:color w:val="auto"/>
                      <w:sz w:val="22"/>
                      <w:szCs w:val="22"/>
                    </w:rPr>
                    <w:t>本项目为对小江清淤物进行综合利用生产建筑用砂项目，项目不属于《高耗水工艺、技术和装备淘汰目录》中项目</w:t>
                  </w:r>
                </w:p>
              </w:tc>
              <w:tc>
                <w:tcPr>
                  <w:tcW w:w="996" w:type="dxa"/>
                  <w:tcBorders>
                    <w:tl2br w:val="nil"/>
                    <w:tr2bl w:val="nil"/>
                  </w:tcBorders>
                  <w:vAlign w:val="center"/>
                </w:tcPr>
                <w:p>
                  <w:pPr>
                    <w:snapToGrid w:val="0"/>
                    <w:spacing w:line="320" w:lineRule="exact"/>
                    <w:jc w:val="center"/>
                    <w:rPr>
                      <w:rFonts w:ascii="Times New Roman" w:hAnsi="Times New Roman" w:cs="Times New Roman"/>
                      <w:color w:val="auto"/>
                      <w:sz w:val="22"/>
                      <w:szCs w:val="22"/>
                    </w:rPr>
                  </w:pPr>
                  <w:r>
                    <w:rPr>
                      <w:rFonts w:ascii="Times New Roman" w:hAnsi="Times New Roman" w:cs="Times New Roman"/>
                      <w:color w:val="auto"/>
                      <w:sz w:val="22"/>
                      <w:szCs w:val="22"/>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40" w:hRule="atLeast"/>
                <w:jc w:val="center"/>
              </w:trPr>
              <w:tc>
                <w:tcPr>
                  <w:tcW w:w="638" w:type="dxa"/>
                  <w:tcBorders>
                    <w:tl2br w:val="nil"/>
                    <w:tr2bl w:val="nil"/>
                  </w:tcBorders>
                  <w:vAlign w:val="center"/>
                </w:tcPr>
                <w:p>
                  <w:pPr>
                    <w:snapToGrid w:val="0"/>
                    <w:spacing w:line="320" w:lineRule="exac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3542" w:type="dxa"/>
                  <w:tcBorders>
                    <w:tl2br w:val="nil"/>
                    <w:tr2bl w:val="nil"/>
                  </w:tcBorders>
                  <w:vAlign w:val="center"/>
                </w:tcPr>
                <w:p>
                  <w:pPr>
                    <w:snapToGrid w:val="0"/>
                    <w:spacing w:line="320" w:lineRule="exact"/>
                    <w:rPr>
                      <w:rFonts w:ascii="Times New Roman" w:hAnsi="Times New Roman" w:cs="Times New Roman"/>
                      <w:color w:val="auto"/>
                      <w:sz w:val="22"/>
                      <w:szCs w:val="22"/>
                    </w:rPr>
                  </w:pPr>
                  <w:r>
                    <w:rPr>
                      <w:rFonts w:ascii="Times New Roman" w:hAnsi="Times New Roman" w:cs="Times New Roman"/>
                      <w:color w:val="auto"/>
                      <w:sz w:val="22"/>
                      <w:szCs w:val="22"/>
                    </w:rPr>
                    <w:t>新建、改建和扩建《产业结构调整指导目录（2019年本）》（发改委发〔2019〕29号）明令淘汰的落后工艺技术，装备或者生产明令淘汰产品的建设项目，国土资源管理部门和投资管理部门一律不得办理相关手续。</w:t>
                  </w:r>
                </w:p>
              </w:tc>
              <w:tc>
                <w:tcPr>
                  <w:tcW w:w="2972" w:type="dxa"/>
                  <w:tcBorders>
                    <w:tl2br w:val="nil"/>
                    <w:tr2bl w:val="nil"/>
                  </w:tcBorders>
                  <w:vAlign w:val="center"/>
                </w:tcPr>
                <w:p>
                  <w:pPr>
                    <w:snapToGrid w:val="0"/>
                    <w:spacing w:line="320" w:lineRule="exact"/>
                    <w:jc w:val="center"/>
                    <w:rPr>
                      <w:rFonts w:ascii="Times New Roman" w:hAnsi="Times New Roman" w:cs="Times New Roman"/>
                      <w:color w:val="auto"/>
                      <w:sz w:val="22"/>
                      <w:szCs w:val="22"/>
                    </w:rPr>
                  </w:pPr>
                  <w:r>
                    <w:rPr>
                      <w:rFonts w:ascii="Times New Roman" w:hAnsi="Times New Roman" w:cs="Times New Roman"/>
                      <w:color w:val="auto"/>
                      <w:sz w:val="22"/>
                      <w:szCs w:val="22"/>
                    </w:rPr>
                    <w:t>本项目为对小江清淤物进行综合利用生产建筑用砂项目，不属于《产业结构调整指导目录（2019年本）》（发改委发〔2019〕29号）明令淘汰的落后工艺技术，装备或者生产明令淘汰产品的建设项目</w:t>
                  </w:r>
                </w:p>
              </w:tc>
              <w:tc>
                <w:tcPr>
                  <w:tcW w:w="996" w:type="dxa"/>
                  <w:tcBorders>
                    <w:tl2br w:val="nil"/>
                    <w:tr2bl w:val="nil"/>
                  </w:tcBorders>
                  <w:vAlign w:val="center"/>
                </w:tcPr>
                <w:p>
                  <w:pPr>
                    <w:snapToGrid w:val="0"/>
                    <w:spacing w:line="320" w:lineRule="exact"/>
                    <w:jc w:val="center"/>
                    <w:rPr>
                      <w:rFonts w:ascii="Times New Roman" w:hAnsi="Times New Roman" w:cs="Times New Roman"/>
                      <w:color w:val="auto"/>
                      <w:sz w:val="22"/>
                      <w:szCs w:val="22"/>
                    </w:rPr>
                  </w:pPr>
                  <w:r>
                    <w:rPr>
                      <w:rFonts w:ascii="Times New Roman" w:hAnsi="Times New Roman" w:cs="Times New Roman"/>
                      <w:color w:val="auto"/>
                      <w:sz w:val="22"/>
                      <w:szCs w:val="22"/>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40" w:hRule="atLeast"/>
                <w:jc w:val="center"/>
              </w:trPr>
              <w:tc>
                <w:tcPr>
                  <w:tcW w:w="638" w:type="dxa"/>
                  <w:tcBorders>
                    <w:tl2br w:val="nil"/>
                    <w:tr2bl w:val="nil"/>
                  </w:tcBorders>
                  <w:vAlign w:val="center"/>
                </w:tcPr>
                <w:p>
                  <w:pPr>
                    <w:snapToGrid w:val="0"/>
                    <w:spacing w:line="320" w:lineRule="exact"/>
                    <w:jc w:val="center"/>
                    <w:rPr>
                      <w:rFonts w:ascii="Times New Roman" w:hAnsi="Times New Roman" w:cs="Times New Roman"/>
                      <w:color w:val="auto"/>
                      <w:sz w:val="22"/>
                      <w:szCs w:val="22"/>
                    </w:rPr>
                  </w:pPr>
                  <w:r>
                    <w:rPr>
                      <w:rFonts w:ascii="Times New Roman" w:hAnsi="Times New Roman" w:cs="Times New Roman"/>
                      <w:color w:val="auto"/>
                      <w:sz w:val="22"/>
                      <w:szCs w:val="22"/>
                    </w:rPr>
                    <w:t>3</w:t>
                  </w:r>
                </w:p>
              </w:tc>
              <w:tc>
                <w:tcPr>
                  <w:tcW w:w="3542" w:type="dxa"/>
                  <w:tcBorders>
                    <w:tl2br w:val="nil"/>
                    <w:tr2bl w:val="nil"/>
                  </w:tcBorders>
                  <w:vAlign w:val="center"/>
                </w:tcPr>
                <w:p>
                  <w:pPr>
                    <w:snapToGrid w:val="0"/>
                    <w:spacing w:line="320" w:lineRule="exact"/>
                    <w:rPr>
                      <w:rFonts w:ascii="Times New Roman" w:hAnsi="Times New Roman" w:cs="Times New Roman"/>
                      <w:color w:val="auto"/>
                      <w:sz w:val="22"/>
                      <w:szCs w:val="22"/>
                    </w:rPr>
                  </w:pPr>
                  <w:r>
                    <w:rPr>
                      <w:rFonts w:ascii="Times New Roman" w:hAnsi="Times New Roman" w:cs="Times New Roman"/>
                      <w:color w:val="auto"/>
                      <w:sz w:val="22"/>
                      <w:szCs w:val="22"/>
                    </w:rPr>
                    <w:t>新建、扩建和改建《限制用地项目目录（2012年本）》（国土资发〔2012〕）中建设项目，必须符合目录规定条件，国土资源管理部门和投资管理部门方可办理相关手续。</w:t>
                  </w:r>
                </w:p>
              </w:tc>
              <w:tc>
                <w:tcPr>
                  <w:tcW w:w="2972" w:type="dxa"/>
                  <w:tcBorders>
                    <w:tl2br w:val="nil"/>
                    <w:tr2bl w:val="nil"/>
                  </w:tcBorders>
                  <w:vAlign w:val="center"/>
                </w:tcPr>
                <w:p>
                  <w:pPr>
                    <w:snapToGrid w:val="0"/>
                    <w:spacing w:line="320" w:lineRule="exact"/>
                    <w:jc w:val="center"/>
                    <w:rPr>
                      <w:rFonts w:ascii="Times New Roman" w:hAnsi="Times New Roman" w:cs="Times New Roman"/>
                      <w:color w:val="auto"/>
                      <w:sz w:val="22"/>
                      <w:szCs w:val="22"/>
                    </w:rPr>
                  </w:pPr>
                  <w:r>
                    <w:rPr>
                      <w:rFonts w:ascii="Times New Roman" w:hAnsi="Times New Roman" w:cs="Times New Roman"/>
                      <w:color w:val="auto"/>
                      <w:sz w:val="22"/>
                      <w:szCs w:val="22"/>
                    </w:rPr>
                    <w:t>本项目不属于《限制用地项目目录（2012年本）》（国土资发〔2012〕）中的建设项目</w:t>
                  </w:r>
                </w:p>
              </w:tc>
              <w:tc>
                <w:tcPr>
                  <w:tcW w:w="996" w:type="dxa"/>
                  <w:tcBorders>
                    <w:tl2br w:val="nil"/>
                    <w:tr2bl w:val="nil"/>
                  </w:tcBorders>
                  <w:vAlign w:val="center"/>
                </w:tcPr>
                <w:p>
                  <w:pPr>
                    <w:snapToGrid w:val="0"/>
                    <w:spacing w:line="320" w:lineRule="exact"/>
                    <w:jc w:val="center"/>
                    <w:rPr>
                      <w:rFonts w:ascii="Times New Roman" w:hAnsi="Times New Roman" w:cs="Times New Roman"/>
                      <w:color w:val="auto"/>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3" w:hRule="atLeast"/>
                <w:jc w:val="center"/>
              </w:trPr>
              <w:tc>
                <w:tcPr>
                  <w:tcW w:w="638" w:type="dxa"/>
                  <w:tcBorders>
                    <w:tl2br w:val="nil"/>
                    <w:tr2bl w:val="nil"/>
                  </w:tcBorders>
                  <w:vAlign w:val="center"/>
                </w:tcPr>
                <w:p>
                  <w:pPr>
                    <w:snapToGrid w:val="0"/>
                    <w:spacing w:line="320" w:lineRule="exac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3542" w:type="dxa"/>
                  <w:tcBorders>
                    <w:tl2br w:val="nil"/>
                    <w:tr2bl w:val="nil"/>
                  </w:tcBorders>
                  <w:vAlign w:val="center"/>
                </w:tcPr>
                <w:p>
                  <w:pPr>
                    <w:snapToGrid w:val="0"/>
                    <w:spacing w:line="320" w:lineRule="exact"/>
                    <w:rPr>
                      <w:rFonts w:ascii="Times New Roman" w:hAnsi="Times New Roman" w:cs="Times New Roman"/>
                      <w:color w:val="auto"/>
                      <w:sz w:val="22"/>
                      <w:szCs w:val="22"/>
                    </w:rPr>
                  </w:pPr>
                  <w:r>
                    <w:rPr>
                      <w:rFonts w:ascii="Times New Roman" w:hAnsi="Times New Roman" w:cs="Times New Roman"/>
                      <w:color w:val="auto"/>
                      <w:sz w:val="22"/>
                      <w:szCs w:val="22"/>
                    </w:rPr>
                    <w:t>新建、改建、扩建工业项目投资强度、容积率、建筑系数、行政办公及生活服务设施用地所占比重应符合《工业项目建设用地控制指标》（国土资发〔2008〕24号）。</w:t>
                  </w:r>
                </w:p>
              </w:tc>
              <w:tc>
                <w:tcPr>
                  <w:tcW w:w="2972" w:type="dxa"/>
                  <w:tcBorders>
                    <w:tl2br w:val="nil"/>
                    <w:tr2bl w:val="nil"/>
                  </w:tcBorders>
                  <w:vAlign w:val="center"/>
                </w:tcPr>
                <w:p>
                  <w:pPr>
                    <w:snapToGrid w:val="0"/>
                    <w:spacing w:line="320" w:lineRule="exact"/>
                    <w:jc w:val="center"/>
                    <w:rPr>
                      <w:rFonts w:ascii="Times New Roman" w:hAnsi="Times New Roman" w:cs="Times New Roman"/>
                      <w:color w:val="auto"/>
                      <w:sz w:val="22"/>
                      <w:szCs w:val="22"/>
                    </w:rPr>
                  </w:pPr>
                  <w:r>
                    <w:rPr>
                      <w:rFonts w:ascii="Times New Roman" w:hAnsi="Times New Roman" w:cs="Times New Roman"/>
                      <w:color w:val="auto"/>
                      <w:sz w:val="22"/>
                      <w:szCs w:val="22"/>
                    </w:rPr>
                    <w:t>本项目建设符合《工业项目建设用地控制指标》（国土资发〔2008〕24号）</w:t>
                  </w:r>
                </w:p>
              </w:tc>
              <w:tc>
                <w:tcPr>
                  <w:tcW w:w="996" w:type="dxa"/>
                  <w:tcBorders>
                    <w:tl2br w:val="nil"/>
                    <w:tr2bl w:val="nil"/>
                  </w:tcBorders>
                  <w:vAlign w:val="center"/>
                </w:tcPr>
                <w:p>
                  <w:pPr>
                    <w:snapToGrid w:val="0"/>
                    <w:spacing w:line="320" w:lineRule="exact"/>
                    <w:jc w:val="center"/>
                    <w:rPr>
                      <w:rFonts w:ascii="Times New Roman" w:hAnsi="Times New Roman" w:cs="Times New Roman"/>
                      <w:color w:val="auto"/>
                      <w:sz w:val="22"/>
                      <w:szCs w:val="22"/>
                    </w:rPr>
                  </w:pPr>
                  <w:r>
                    <w:rPr>
                      <w:rFonts w:ascii="Times New Roman" w:hAnsi="Times New Roman" w:cs="Times New Roman"/>
                      <w:color w:val="auto"/>
                      <w:sz w:val="22"/>
                      <w:szCs w:val="22"/>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40" w:hRule="atLeast"/>
                <w:jc w:val="center"/>
              </w:trPr>
              <w:tc>
                <w:tcPr>
                  <w:tcW w:w="638" w:type="dxa"/>
                  <w:tcBorders>
                    <w:tl2br w:val="nil"/>
                    <w:tr2bl w:val="nil"/>
                  </w:tcBorders>
                  <w:vAlign w:val="center"/>
                </w:tcPr>
                <w:p>
                  <w:pPr>
                    <w:snapToGrid w:val="0"/>
                    <w:spacing w:line="320" w:lineRule="exact"/>
                    <w:jc w:val="center"/>
                    <w:rPr>
                      <w:rFonts w:ascii="Times New Roman" w:hAnsi="Times New Roman" w:cs="Times New Roman"/>
                      <w:color w:val="auto"/>
                      <w:sz w:val="22"/>
                      <w:szCs w:val="22"/>
                    </w:rPr>
                  </w:pPr>
                  <w:r>
                    <w:rPr>
                      <w:rFonts w:ascii="Times New Roman" w:hAnsi="Times New Roman" w:cs="Times New Roman"/>
                      <w:color w:val="auto"/>
                      <w:sz w:val="22"/>
                      <w:szCs w:val="22"/>
                    </w:rPr>
                    <w:t>3</w:t>
                  </w:r>
                </w:p>
              </w:tc>
              <w:tc>
                <w:tcPr>
                  <w:tcW w:w="3542" w:type="dxa"/>
                  <w:tcBorders>
                    <w:tl2br w:val="nil"/>
                    <w:tr2bl w:val="nil"/>
                  </w:tcBorders>
                  <w:vAlign w:val="center"/>
                </w:tcPr>
                <w:p>
                  <w:pPr>
                    <w:snapToGrid w:val="0"/>
                    <w:spacing w:line="320" w:lineRule="exact"/>
                    <w:rPr>
                      <w:rFonts w:ascii="Times New Roman" w:hAnsi="Times New Roman" w:cs="Times New Roman"/>
                      <w:color w:val="auto"/>
                      <w:sz w:val="22"/>
                      <w:szCs w:val="22"/>
                    </w:rPr>
                  </w:pPr>
                  <w:r>
                    <w:rPr>
                      <w:rFonts w:ascii="Times New Roman" w:hAnsi="Times New Roman" w:cs="Times New Roman"/>
                      <w:color w:val="auto"/>
                      <w:sz w:val="22"/>
                      <w:szCs w:val="22"/>
                    </w:rPr>
                    <w:t>禁止生产高耗能落后设备产品，现有工业企业应限期关停退出。</w:t>
                  </w:r>
                </w:p>
              </w:tc>
              <w:tc>
                <w:tcPr>
                  <w:tcW w:w="2972" w:type="dxa"/>
                  <w:tcBorders>
                    <w:tl2br w:val="nil"/>
                    <w:tr2bl w:val="nil"/>
                  </w:tcBorders>
                  <w:vAlign w:val="center"/>
                </w:tcPr>
                <w:p>
                  <w:pPr>
                    <w:snapToGrid w:val="0"/>
                    <w:spacing w:line="320" w:lineRule="exact"/>
                    <w:jc w:val="center"/>
                    <w:rPr>
                      <w:rFonts w:ascii="Times New Roman" w:hAnsi="Times New Roman" w:cs="Times New Roman"/>
                      <w:color w:val="auto"/>
                      <w:sz w:val="22"/>
                      <w:szCs w:val="22"/>
                    </w:rPr>
                  </w:pPr>
                  <w:r>
                    <w:rPr>
                      <w:rFonts w:ascii="Times New Roman" w:hAnsi="Times New Roman" w:cs="Times New Roman"/>
                      <w:color w:val="auto"/>
                      <w:sz w:val="22"/>
                      <w:szCs w:val="22"/>
                    </w:rPr>
                    <w:t>本项目不涉及生产高耗能落后设备产品</w:t>
                  </w:r>
                </w:p>
              </w:tc>
              <w:tc>
                <w:tcPr>
                  <w:tcW w:w="996" w:type="dxa"/>
                  <w:tcBorders>
                    <w:tl2br w:val="nil"/>
                    <w:tr2bl w:val="nil"/>
                  </w:tcBorders>
                  <w:vAlign w:val="center"/>
                </w:tcPr>
                <w:p>
                  <w:pPr>
                    <w:snapToGrid w:val="0"/>
                    <w:spacing w:line="320" w:lineRule="exact"/>
                    <w:jc w:val="center"/>
                    <w:rPr>
                      <w:rFonts w:ascii="Times New Roman" w:hAnsi="Times New Roman" w:cs="Times New Roman"/>
                      <w:color w:val="auto"/>
                      <w:sz w:val="22"/>
                      <w:szCs w:val="22"/>
                    </w:rPr>
                  </w:pPr>
                  <w:r>
                    <w:rPr>
                      <w:rFonts w:ascii="Times New Roman" w:hAnsi="Times New Roman" w:cs="Times New Roman"/>
                      <w:color w:val="auto"/>
                      <w:sz w:val="22"/>
                      <w:szCs w:val="22"/>
                    </w:rPr>
                    <w:t>符合</w:t>
                  </w:r>
                </w:p>
              </w:tc>
            </w:tr>
          </w:tbl>
          <w:p>
            <w:pPr>
              <w:spacing w:line="360" w:lineRule="auto"/>
              <w:ind w:firstLine="361" w:firstLineChars="150"/>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（2）与《中华人民共和国长江保护法》</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《中华人民共和国长江保护法》重点从空间管控、规划等方面提出了长江保护的相关要求，保护法提出的具体建设项目的措施符合性具体如下表所示。</w:t>
            </w:r>
          </w:p>
          <w:p>
            <w:pPr>
              <w:jc w:val="center"/>
              <w:rPr>
                <w:rFonts w:ascii="Times New Roman" w:hAnsi="Times New Roman" w:eastAsia="宋体" w:cs="Times New Roman"/>
                <w:b/>
                <w:color w:val="auto"/>
              </w:rPr>
            </w:pPr>
            <w:r>
              <w:rPr>
                <w:rFonts w:ascii="Times New Roman" w:hAnsi="Times New Roman" w:eastAsia="宋体" w:cs="Times New Roman"/>
                <w:b/>
                <w:color w:val="auto"/>
              </w:rPr>
              <w:t>表1-2 与《中华人民共和国长江保护法》符合性分析一览表</w:t>
            </w:r>
          </w:p>
          <w:tbl>
            <w:tblPr>
              <w:tblStyle w:val="17"/>
              <w:tblW w:w="832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51"/>
              <w:gridCol w:w="2695"/>
              <w:gridCol w:w="4462"/>
              <w:gridCol w:w="7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51" w:type="dxa"/>
                  <w:vAlign w:val="center"/>
                </w:tcPr>
                <w:p>
                  <w:pPr>
                    <w:pStyle w:val="28"/>
                    <w:spacing w:line="320" w:lineRule="atLeast"/>
                    <w:rPr>
                      <w:color w:val="auto"/>
                      <w:kern w:val="0"/>
                      <w:sz w:val="22"/>
                      <w:szCs w:val="22"/>
                    </w:rPr>
                  </w:pPr>
                  <w:r>
                    <w:rPr>
                      <w:color w:val="auto"/>
                      <w:kern w:val="0"/>
                      <w:sz w:val="22"/>
                      <w:szCs w:val="22"/>
                    </w:rPr>
                    <w:t>序号</w:t>
                  </w:r>
                </w:p>
              </w:tc>
              <w:tc>
                <w:tcPr>
                  <w:tcW w:w="2695" w:type="dxa"/>
                  <w:vAlign w:val="center"/>
                </w:tcPr>
                <w:p>
                  <w:pPr>
                    <w:pStyle w:val="28"/>
                    <w:spacing w:line="320" w:lineRule="atLeast"/>
                    <w:rPr>
                      <w:color w:val="auto"/>
                      <w:kern w:val="0"/>
                      <w:sz w:val="22"/>
                      <w:szCs w:val="22"/>
                    </w:rPr>
                  </w:pPr>
                  <w:r>
                    <w:rPr>
                      <w:color w:val="auto"/>
                      <w:kern w:val="0"/>
                      <w:sz w:val="22"/>
                      <w:szCs w:val="22"/>
                    </w:rPr>
                    <w:t>中华人民共和国长江保护法要求</w:t>
                  </w:r>
                </w:p>
              </w:tc>
              <w:tc>
                <w:tcPr>
                  <w:tcW w:w="4462" w:type="dxa"/>
                  <w:vAlign w:val="center"/>
                </w:tcPr>
                <w:p>
                  <w:pPr>
                    <w:pStyle w:val="28"/>
                    <w:spacing w:line="320" w:lineRule="atLeast"/>
                    <w:rPr>
                      <w:color w:val="auto"/>
                      <w:kern w:val="0"/>
                      <w:sz w:val="22"/>
                      <w:szCs w:val="22"/>
                    </w:rPr>
                  </w:pPr>
                  <w:r>
                    <w:rPr>
                      <w:color w:val="auto"/>
                      <w:kern w:val="0"/>
                      <w:sz w:val="22"/>
                      <w:szCs w:val="22"/>
                    </w:rPr>
                    <w:t>本项目实际情况</w:t>
                  </w:r>
                </w:p>
              </w:tc>
              <w:tc>
                <w:tcPr>
                  <w:tcW w:w="714" w:type="dxa"/>
                  <w:vAlign w:val="center"/>
                </w:tcPr>
                <w:p>
                  <w:pPr>
                    <w:pStyle w:val="28"/>
                    <w:spacing w:line="320" w:lineRule="atLeast"/>
                    <w:rPr>
                      <w:color w:val="auto"/>
                      <w:kern w:val="0"/>
                      <w:sz w:val="22"/>
                      <w:szCs w:val="22"/>
                    </w:rPr>
                  </w:pPr>
                  <w:r>
                    <w:rPr>
                      <w:color w:val="auto"/>
                      <w:kern w:val="0"/>
                      <w:sz w:val="22"/>
                      <w:szCs w:val="22"/>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51" w:type="dxa"/>
                  <w:vAlign w:val="center"/>
                </w:tcPr>
                <w:p>
                  <w:pPr>
                    <w:pStyle w:val="28"/>
                    <w:spacing w:line="320" w:lineRule="atLeast"/>
                    <w:rPr>
                      <w:color w:val="auto"/>
                      <w:kern w:val="0"/>
                      <w:sz w:val="22"/>
                      <w:szCs w:val="22"/>
                    </w:rPr>
                  </w:pPr>
                  <w:r>
                    <w:rPr>
                      <w:color w:val="auto"/>
                      <w:kern w:val="0"/>
                      <w:sz w:val="22"/>
                      <w:szCs w:val="22"/>
                    </w:rPr>
                    <w:t>1</w:t>
                  </w:r>
                </w:p>
              </w:tc>
              <w:tc>
                <w:tcPr>
                  <w:tcW w:w="2695" w:type="dxa"/>
                  <w:vAlign w:val="center"/>
                </w:tcPr>
                <w:p>
                  <w:pPr>
                    <w:pStyle w:val="28"/>
                    <w:spacing w:line="320" w:lineRule="atLeast"/>
                    <w:rPr>
                      <w:color w:val="auto"/>
                      <w:kern w:val="0"/>
                      <w:sz w:val="22"/>
                      <w:szCs w:val="22"/>
                    </w:rPr>
                  </w:pPr>
                  <w:r>
                    <w:rPr>
                      <w:color w:val="auto"/>
                      <w:kern w:val="0"/>
                      <w:sz w:val="22"/>
                      <w:szCs w:val="22"/>
                    </w:rPr>
                    <w:t>禁止在长江干支流岸线一公里范围内新建、扩建化工园区和化工项目。</w:t>
                  </w:r>
                </w:p>
              </w:tc>
              <w:tc>
                <w:tcPr>
                  <w:tcW w:w="4462" w:type="dxa"/>
                  <w:vAlign w:val="center"/>
                </w:tcPr>
                <w:p>
                  <w:pPr>
                    <w:pStyle w:val="28"/>
                    <w:spacing w:line="320" w:lineRule="atLeast"/>
                    <w:rPr>
                      <w:color w:val="auto"/>
                      <w:kern w:val="0"/>
                      <w:sz w:val="22"/>
                      <w:szCs w:val="22"/>
                    </w:rPr>
                  </w:pPr>
                  <w:r>
                    <w:rPr>
                      <w:color w:val="auto"/>
                      <w:kern w:val="0"/>
                      <w:sz w:val="22"/>
                      <w:szCs w:val="22"/>
                    </w:rPr>
                    <w:t>本项目对小江清淤物进行综合利用生产建筑用砂，不属于化工项目。</w:t>
                  </w:r>
                </w:p>
              </w:tc>
              <w:tc>
                <w:tcPr>
                  <w:tcW w:w="714" w:type="dxa"/>
                  <w:vAlign w:val="center"/>
                </w:tcPr>
                <w:p>
                  <w:pPr>
                    <w:pStyle w:val="28"/>
                    <w:spacing w:line="320" w:lineRule="atLeast"/>
                    <w:rPr>
                      <w:color w:val="auto"/>
                      <w:kern w:val="0"/>
                      <w:sz w:val="22"/>
                      <w:szCs w:val="22"/>
                    </w:rPr>
                  </w:pPr>
                  <w:r>
                    <w:rPr>
                      <w:color w:val="auto"/>
                      <w:kern w:val="0"/>
                      <w:sz w:val="22"/>
                      <w:szCs w:val="22"/>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583" w:hRule="atLeast"/>
                <w:jc w:val="center"/>
              </w:trPr>
              <w:tc>
                <w:tcPr>
                  <w:tcW w:w="451" w:type="dxa"/>
                  <w:vAlign w:val="center"/>
                </w:tcPr>
                <w:p>
                  <w:pPr>
                    <w:pStyle w:val="28"/>
                    <w:spacing w:line="320" w:lineRule="atLeast"/>
                    <w:rPr>
                      <w:color w:val="auto"/>
                      <w:kern w:val="0"/>
                      <w:sz w:val="22"/>
                      <w:szCs w:val="22"/>
                    </w:rPr>
                  </w:pPr>
                  <w:r>
                    <w:rPr>
                      <w:color w:val="auto"/>
                      <w:kern w:val="0"/>
                      <w:sz w:val="22"/>
                      <w:szCs w:val="22"/>
                    </w:rPr>
                    <w:t>2</w:t>
                  </w:r>
                </w:p>
              </w:tc>
              <w:tc>
                <w:tcPr>
                  <w:tcW w:w="2695" w:type="dxa"/>
                  <w:vAlign w:val="center"/>
                </w:tcPr>
                <w:p>
                  <w:pPr>
                    <w:pStyle w:val="28"/>
                    <w:spacing w:line="320" w:lineRule="atLeast"/>
                    <w:rPr>
                      <w:color w:val="auto"/>
                      <w:kern w:val="0"/>
                      <w:sz w:val="22"/>
                      <w:szCs w:val="22"/>
                    </w:rPr>
                  </w:pPr>
                  <w:r>
                    <w:rPr>
                      <w:color w:val="auto"/>
                      <w:kern w:val="0"/>
                      <w:sz w:val="22"/>
                      <w:szCs w:val="22"/>
                    </w:rPr>
                    <w:t>严格控制高耗水项目建设。</w:t>
                  </w:r>
                </w:p>
              </w:tc>
              <w:tc>
                <w:tcPr>
                  <w:tcW w:w="4462" w:type="dxa"/>
                  <w:vAlign w:val="center"/>
                </w:tcPr>
                <w:p>
                  <w:pPr>
                    <w:pStyle w:val="28"/>
                    <w:pBdr>
                      <w:bottom w:val="single" w:color="DDDDDD" w:sz="6" w:space="7"/>
                    </w:pBdr>
                    <w:spacing w:line="320" w:lineRule="atLeast"/>
                    <w:rPr>
                      <w:color w:val="auto"/>
                      <w:kern w:val="0"/>
                      <w:sz w:val="22"/>
                      <w:szCs w:val="22"/>
                    </w:rPr>
                  </w:pPr>
                  <w:r>
                    <w:rPr>
                      <w:color w:val="auto"/>
                      <w:kern w:val="0"/>
                      <w:sz w:val="22"/>
                      <w:szCs w:val="22"/>
                    </w:rPr>
                    <w:t>水利部发布18项传统高耗水行业包括：钢铁、火力发电、石油炼制、选煤、罐头食品、食糖、毛皮、皮革、核电、氨纶、锦纶、聚酯涤纶、维纶、再生涤纶、多晶硅、离子型稀土矿冶炼分离、对二甲苯、精对二甲苯。</w:t>
                  </w:r>
                </w:p>
                <w:p>
                  <w:pPr>
                    <w:pStyle w:val="28"/>
                    <w:pBdr>
                      <w:bottom w:val="single" w:color="DDDDDD" w:sz="6" w:space="7"/>
                    </w:pBdr>
                    <w:spacing w:line="320" w:lineRule="atLeast"/>
                    <w:rPr>
                      <w:color w:val="auto"/>
                      <w:kern w:val="0"/>
                      <w:sz w:val="22"/>
                      <w:szCs w:val="22"/>
                    </w:rPr>
                  </w:pPr>
                  <w:r>
                    <w:rPr>
                      <w:color w:val="auto"/>
                      <w:kern w:val="0"/>
                      <w:sz w:val="22"/>
                      <w:szCs w:val="22"/>
                    </w:rPr>
                    <w:t>本项目对小江清淤物进行综合利用生产建筑用砂，其主要工艺为破碎、筛分，其各工序均伴随水洗，项目所有生产废水全部循环使用，其总体耗水量不高；其原则上不属于高耗水项目；项目应严格按照水利部门的要求进行取水和生产。</w:t>
                  </w:r>
                </w:p>
              </w:tc>
              <w:tc>
                <w:tcPr>
                  <w:tcW w:w="714" w:type="dxa"/>
                  <w:vAlign w:val="center"/>
                </w:tcPr>
                <w:p>
                  <w:pPr>
                    <w:pStyle w:val="28"/>
                    <w:spacing w:line="320" w:lineRule="atLeast"/>
                    <w:rPr>
                      <w:color w:val="auto"/>
                      <w:kern w:val="0"/>
                      <w:sz w:val="22"/>
                      <w:szCs w:val="22"/>
                    </w:rPr>
                  </w:pPr>
                  <w:r>
                    <w:rPr>
                      <w:color w:val="auto"/>
                      <w:kern w:val="0"/>
                      <w:sz w:val="22"/>
                      <w:szCs w:val="22"/>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51" w:type="dxa"/>
                  <w:vAlign w:val="center"/>
                </w:tcPr>
                <w:p>
                  <w:pPr>
                    <w:pStyle w:val="28"/>
                    <w:spacing w:line="320" w:lineRule="atLeast"/>
                    <w:rPr>
                      <w:color w:val="auto"/>
                      <w:kern w:val="0"/>
                      <w:sz w:val="22"/>
                      <w:szCs w:val="22"/>
                    </w:rPr>
                  </w:pPr>
                  <w:r>
                    <w:rPr>
                      <w:color w:val="auto"/>
                      <w:kern w:val="0"/>
                      <w:sz w:val="22"/>
                      <w:szCs w:val="22"/>
                    </w:rPr>
                    <w:t>3</w:t>
                  </w:r>
                </w:p>
              </w:tc>
              <w:tc>
                <w:tcPr>
                  <w:tcW w:w="2695" w:type="dxa"/>
                  <w:vAlign w:val="center"/>
                </w:tcPr>
                <w:p>
                  <w:pPr>
                    <w:pStyle w:val="28"/>
                    <w:spacing w:line="320" w:lineRule="atLeast"/>
                    <w:rPr>
                      <w:color w:val="auto"/>
                      <w:kern w:val="0"/>
                      <w:sz w:val="22"/>
                      <w:szCs w:val="22"/>
                    </w:rPr>
                  </w:pPr>
                  <w:r>
                    <w:rPr>
                      <w:color w:val="auto"/>
                      <w:kern w:val="0"/>
                      <w:sz w:val="22"/>
                      <w:szCs w:val="22"/>
                    </w:rPr>
                    <w:t>禁止在长江流域河湖管理范围内倾倒、填埋、堆放、弃置、处理固体废物。</w:t>
                  </w:r>
                </w:p>
              </w:tc>
              <w:tc>
                <w:tcPr>
                  <w:tcW w:w="4462" w:type="dxa"/>
                  <w:vAlign w:val="center"/>
                </w:tcPr>
                <w:p>
                  <w:pPr>
                    <w:pStyle w:val="28"/>
                    <w:spacing w:line="320" w:lineRule="atLeast"/>
                    <w:rPr>
                      <w:color w:val="auto"/>
                      <w:kern w:val="0"/>
                      <w:sz w:val="22"/>
                      <w:szCs w:val="22"/>
                    </w:rPr>
                  </w:pPr>
                  <w:r>
                    <w:rPr>
                      <w:color w:val="auto"/>
                      <w:kern w:val="0"/>
                      <w:sz w:val="22"/>
                      <w:szCs w:val="22"/>
                    </w:rPr>
                    <w:t>本项目位于昆明市东川区铜都镇小李庄村，该区域不属于长江流域河湖管理范围。</w:t>
                  </w:r>
                </w:p>
              </w:tc>
              <w:tc>
                <w:tcPr>
                  <w:tcW w:w="714" w:type="dxa"/>
                  <w:vAlign w:val="center"/>
                </w:tcPr>
                <w:p>
                  <w:pPr>
                    <w:pStyle w:val="28"/>
                    <w:spacing w:line="320" w:lineRule="atLeast"/>
                    <w:rPr>
                      <w:color w:val="auto"/>
                      <w:kern w:val="0"/>
                      <w:sz w:val="22"/>
                      <w:szCs w:val="22"/>
                    </w:rPr>
                  </w:pPr>
                  <w:r>
                    <w:rPr>
                      <w:color w:val="auto"/>
                      <w:kern w:val="0"/>
                      <w:sz w:val="22"/>
                      <w:szCs w:val="22"/>
                    </w:rPr>
                    <w:t>符合</w:t>
                  </w:r>
                </w:p>
              </w:tc>
            </w:tr>
          </w:tbl>
          <w:p>
            <w:pPr>
              <w:spacing w:before="156" w:beforeLines="50" w:line="360" w:lineRule="auto"/>
              <w:ind w:firstLine="361" w:firstLineChars="150"/>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（3）与《长江经济带发展负面清单指南》（试行）的符合性分析</w:t>
            </w:r>
          </w:p>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2019年1月12日，推动长江经济带发展领导小组办公室发布了《关于发布长江经济带发展负面清单指南（试行）的通知》（第89号），本项目位于昆明市东川区铜都镇小李庄村，项目所在地的纳污水体为小江（清水海-入金沙江口段），小江属于长江的上游主要支流。因此，本环评须分析本项目与《长江经济带发展负面清单指南（试行）》的符合性。具体分析如下表所示。</w:t>
            </w:r>
          </w:p>
          <w:p>
            <w:pPr>
              <w:pStyle w:val="14"/>
              <w:spacing w:after="0"/>
              <w:ind w:left="0" w:leftChars="0"/>
              <w:jc w:val="center"/>
              <w:rPr>
                <w:b/>
                <w:color w:val="auto"/>
                <w:sz w:val="21"/>
                <w:szCs w:val="21"/>
              </w:rPr>
            </w:pPr>
            <w:r>
              <w:rPr>
                <w:b/>
                <w:color w:val="auto"/>
                <w:sz w:val="21"/>
                <w:szCs w:val="21"/>
              </w:rPr>
              <w:t>表1-3 与《长江经济带发展负面清单指南（试行）》符合性分析一览表</w:t>
            </w:r>
          </w:p>
          <w:tbl>
            <w:tblPr>
              <w:tblStyle w:val="17"/>
              <w:tblW w:w="832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40"/>
              <w:gridCol w:w="3640"/>
              <w:gridCol w:w="3262"/>
              <w:gridCol w:w="7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40" w:type="dxa"/>
                  <w:vAlign w:val="center"/>
                </w:tcPr>
                <w:p>
                  <w:pPr>
                    <w:pStyle w:val="28"/>
                    <w:spacing w:line="320" w:lineRule="atLeast"/>
                    <w:rPr>
                      <w:color w:val="auto"/>
                      <w:kern w:val="0"/>
                      <w:sz w:val="22"/>
                      <w:szCs w:val="22"/>
                    </w:rPr>
                  </w:pPr>
                  <w:r>
                    <w:rPr>
                      <w:color w:val="auto"/>
                      <w:kern w:val="0"/>
                      <w:sz w:val="22"/>
                      <w:szCs w:val="22"/>
                    </w:rPr>
                    <w:t>序号</w:t>
                  </w:r>
                </w:p>
              </w:tc>
              <w:tc>
                <w:tcPr>
                  <w:tcW w:w="3640" w:type="dxa"/>
                  <w:vAlign w:val="center"/>
                </w:tcPr>
                <w:p>
                  <w:pPr>
                    <w:pStyle w:val="28"/>
                    <w:spacing w:line="320" w:lineRule="atLeast"/>
                    <w:rPr>
                      <w:color w:val="auto"/>
                      <w:kern w:val="0"/>
                      <w:sz w:val="22"/>
                      <w:szCs w:val="22"/>
                    </w:rPr>
                  </w:pPr>
                  <w:r>
                    <w:rPr>
                      <w:color w:val="auto"/>
                      <w:sz w:val="22"/>
                      <w:szCs w:val="22"/>
                    </w:rPr>
                    <w:t>长江经济带发展负面清单指南（试行）要求</w:t>
                  </w:r>
                </w:p>
              </w:tc>
              <w:tc>
                <w:tcPr>
                  <w:tcW w:w="3262" w:type="dxa"/>
                  <w:vAlign w:val="center"/>
                </w:tcPr>
                <w:p>
                  <w:pPr>
                    <w:pStyle w:val="28"/>
                    <w:spacing w:line="320" w:lineRule="atLeast"/>
                    <w:rPr>
                      <w:color w:val="auto"/>
                      <w:kern w:val="0"/>
                      <w:sz w:val="22"/>
                      <w:szCs w:val="22"/>
                    </w:rPr>
                  </w:pPr>
                  <w:r>
                    <w:rPr>
                      <w:color w:val="auto"/>
                      <w:kern w:val="0"/>
                      <w:sz w:val="22"/>
                      <w:szCs w:val="22"/>
                    </w:rPr>
                    <w:t>本项目实际情况</w:t>
                  </w:r>
                </w:p>
              </w:tc>
              <w:tc>
                <w:tcPr>
                  <w:tcW w:w="780" w:type="dxa"/>
                  <w:vAlign w:val="center"/>
                </w:tcPr>
                <w:p>
                  <w:pPr>
                    <w:pStyle w:val="28"/>
                    <w:spacing w:line="320" w:lineRule="atLeast"/>
                    <w:rPr>
                      <w:color w:val="auto"/>
                      <w:kern w:val="0"/>
                      <w:sz w:val="22"/>
                      <w:szCs w:val="22"/>
                    </w:rPr>
                  </w:pPr>
                  <w:r>
                    <w:rPr>
                      <w:color w:val="auto"/>
                      <w:kern w:val="0"/>
                      <w:sz w:val="22"/>
                      <w:szCs w:val="22"/>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40" w:type="dxa"/>
                  <w:vAlign w:val="center"/>
                </w:tcPr>
                <w:p>
                  <w:pPr>
                    <w:pStyle w:val="28"/>
                    <w:spacing w:line="320" w:lineRule="atLeast"/>
                    <w:rPr>
                      <w:color w:val="auto"/>
                      <w:kern w:val="0"/>
                      <w:sz w:val="22"/>
                      <w:szCs w:val="22"/>
                    </w:rPr>
                  </w:pPr>
                  <w:r>
                    <w:rPr>
                      <w:color w:val="auto"/>
                      <w:kern w:val="0"/>
                      <w:sz w:val="22"/>
                      <w:szCs w:val="22"/>
                    </w:rPr>
                    <w:t>1</w:t>
                  </w:r>
                </w:p>
              </w:tc>
              <w:tc>
                <w:tcPr>
                  <w:tcW w:w="3640" w:type="dxa"/>
                  <w:vAlign w:val="center"/>
                </w:tcPr>
                <w:p>
                  <w:pPr>
                    <w:pStyle w:val="28"/>
                    <w:spacing w:line="320" w:lineRule="atLeast"/>
                    <w:rPr>
                      <w:color w:val="auto"/>
                      <w:kern w:val="0"/>
                      <w:sz w:val="22"/>
                      <w:szCs w:val="22"/>
                    </w:rPr>
                  </w:pPr>
                  <w:r>
                    <w:rPr>
                      <w:color w:val="auto"/>
                      <w:kern w:val="0"/>
                      <w:sz w:val="22"/>
                      <w:szCs w:val="22"/>
                    </w:rPr>
                    <w:t>禁止建设不符合全国和省级港口布局规划以及港口总体规划的码头项目，禁止建设不符合《长江干线过江通道布局规划》的过江通道项目。</w:t>
                  </w:r>
                </w:p>
              </w:tc>
              <w:tc>
                <w:tcPr>
                  <w:tcW w:w="3262" w:type="dxa"/>
                  <w:vAlign w:val="center"/>
                </w:tcPr>
                <w:p>
                  <w:pPr>
                    <w:pStyle w:val="28"/>
                    <w:spacing w:line="320" w:lineRule="atLeast"/>
                    <w:rPr>
                      <w:color w:val="auto"/>
                      <w:kern w:val="0"/>
                      <w:sz w:val="22"/>
                      <w:szCs w:val="22"/>
                    </w:rPr>
                  </w:pPr>
                  <w:r>
                    <w:rPr>
                      <w:color w:val="auto"/>
                      <w:kern w:val="0"/>
                      <w:sz w:val="22"/>
                      <w:szCs w:val="22"/>
                    </w:rPr>
                    <w:t>本项目对小江清淤物进行综合利用生产建筑用砂，不涉及码头及过江通道。</w:t>
                  </w:r>
                </w:p>
              </w:tc>
              <w:tc>
                <w:tcPr>
                  <w:tcW w:w="780" w:type="dxa"/>
                  <w:vAlign w:val="center"/>
                </w:tcPr>
                <w:p>
                  <w:pPr>
                    <w:pStyle w:val="28"/>
                    <w:spacing w:line="320" w:lineRule="atLeast"/>
                    <w:rPr>
                      <w:color w:val="auto"/>
                      <w:kern w:val="0"/>
                      <w:sz w:val="22"/>
                      <w:szCs w:val="22"/>
                    </w:rPr>
                  </w:pPr>
                  <w:r>
                    <w:rPr>
                      <w:color w:val="auto"/>
                      <w:kern w:val="0"/>
                      <w:sz w:val="22"/>
                      <w:szCs w:val="22"/>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40" w:type="dxa"/>
                  <w:vAlign w:val="center"/>
                </w:tcPr>
                <w:p>
                  <w:pPr>
                    <w:pStyle w:val="28"/>
                    <w:spacing w:line="320" w:lineRule="atLeast"/>
                    <w:rPr>
                      <w:color w:val="auto"/>
                      <w:kern w:val="0"/>
                      <w:sz w:val="22"/>
                      <w:szCs w:val="22"/>
                    </w:rPr>
                  </w:pPr>
                  <w:r>
                    <w:rPr>
                      <w:color w:val="auto"/>
                      <w:kern w:val="0"/>
                      <w:sz w:val="22"/>
                      <w:szCs w:val="22"/>
                    </w:rPr>
                    <w:t>2</w:t>
                  </w:r>
                </w:p>
              </w:tc>
              <w:tc>
                <w:tcPr>
                  <w:tcW w:w="3640" w:type="dxa"/>
                  <w:vAlign w:val="center"/>
                </w:tcPr>
                <w:p>
                  <w:pPr>
                    <w:pStyle w:val="28"/>
                    <w:spacing w:line="320" w:lineRule="atLeast"/>
                    <w:rPr>
                      <w:color w:val="auto"/>
                      <w:kern w:val="0"/>
                      <w:sz w:val="22"/>
                      <w:szCs w:val="22"/>
                    </w:rPr>
                  </w:pPr>
                  <w:r>
                    <w:rPr>
                      <w:color w:val="auto"/>
                      <w:kern w:val="0"/>
                      <w:sz w:val="22"/>
                      <w:szCs w:val="22"/>
                    </w:rPr>
                    <w:t>禁止在自然保护区核心区、缓冲区的岸线和河段范围内投资建设旅游和生产经营项目。禁止在风景名胜区核心景区的岸线和河段范围内投资建设与风景名胜资源保护无关的项目；</w:t>
                  </w:r>
                </w:p>
              </w:tc>
              <w:tc>
                <w:tcPr>
                  <w:tcW w:w="3262" w:type="dxa"/>
                  <w:vAlign w:val="center"/>
                </w:tcPr>
                <w:p>
                  <w:pPr>
                    <w:pStyle w:val="28"/>
                    <w:spacing w:line="320" w:lineRule="atLeast"/>
                    <w:rPr>
                      <w:color w:val="auto"/>
                      <w:kern w:val="0"/>
                      <w:sz w:val="22"/>
                      <w:szCs w:val="22"/>
                    </w:rPr>
                  </w:pPr>
                  <w:r>
                    <w:rPr>
                      <w:color w:val="auto"/>
                      <w:kern w:val="0"/>
                      <w:sz w:val="22"/>
                      <w:szCs w:val="22"/>
                    </w:rPr>
                    <w:t>昆明市东川区铜都镇小李庄村，不涉及自然保护区核心区、风景名胜区等特殊敏感区。</w:t>
                  </w:r>
                </w:p>
              </w:tc>
              <w:tc>
                <w:tcPr>
                  <w:tcW w:w="780" w:type="dxa"/>
                  <w:vAlign w:val="center"/>
                </w:tcPr>
                <w:p>
                  <w:pPr>
                    <w:pStyle w:val="28"/>
                    <w:spacing w:line="320" w:lineRule="atLeast"/>
                    <w:rPr>
                      <w:color w:val="auto"/>
                      <w:kern w:val="0"/>
                      <w:sz w:val="22"/>
                      <w:szCs w:val="22"/>
                    </w:rPr>
                  </w:pPr>
                  <w:r>
                    <w:rPr>
                      <w:color w:val="auto"/>
                      <w:kern w:val="0"/>
                      <w:sz w:val="22"/>
                      <w:szCs w:val="22"/>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40" w:type="dxa"/>
                  <w:vAlign w:val="center"/>
                </w:tcPr>
                <w:p>
                  <w:pPr>
                    <w:pStyle w:val="28"/>
                    <w:spacing w:line="320" w:lineRule="atLeast"/>
                    <w:rPr>
                      <w:color w:val="auto"/>
                      <w:kern w:val="0"/>
                      <w:sz w:val="22"/>
                      <w:szCs w:val="22"/>
                    </w:rPr>
                  </w:pPr>
                  <w:r>
                    <w:rPr>
                      <w:color w:val="auto"/>
                      <w:kern w:val="0"/>
                      <w:sz w:val="22"/>
                      <w:szCs w:val="22"/>
                    </w:rPr>
                    <w:t>3</w:t>
                  </w:r>
                </w:p>
              </w:tc>
              <w:tc>
                <w:tcPr>
                  <w:tcW w:w="3640" w:type="dxa"/>
                  <w:vAlign w:val="center"/>
                </w:tcPr>
                <w:p>
                  <w:pPr>
                    <w:pStyle w:val="28"/>
                    <w:spacing w:line="320" w:lineRule="atLeast"/>
                    <w:rPr>
                      <w:color w:val="auto"/>
                      <w:kern w:val="0"/>
                      <w:sz w:val="22"/>
                      <w:szCs w:val="22"/>
                    </w:rPr>
                  </w:pPr>
                  <w:r>
                    <w:rPr>
                      <w:color w:val="auto"/>
                      <w:kern w:val="0"/>
                      <w:sz w:val="22"/>
                      <w:szCs w:val="22"/>
                    </w:rPr>
                    <w:t>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的投资建设项目。</w:t>
                  </w:r>
                </w:p>
              </w:tc>
              <w:tc>
                <w:tcPr>
                  <w:tcW w:w="3262" w:type="dxa"/>
                  <w:vAlign w:val="center"/>
                </w:tcPr>
                <w:p>
                  <w:pPr>
                    <w:pStyle w:val="28"/>
                    <w:spacing w:line="320" w:lineRule="atLeast"/>
                    <w:rPr>
                      <w:color w:val="auto"/>
                      <w:kern w:val="0"/>
                      <w:sz w:val="22"/>
                      <w:szCs w:val="22"/>
                    </w:rPr>
                  </w:pPr>
                  <w:r>
                    <w:rPr>
                      <w:color w:val="auto"/>
                      <w:kern w:val="0"/>
                      <w:sz w:val="22"/>
                      <w:szCs w:val="22"/>
                    </w:rPr>
                    <w:t>昆明市东川区铜都镇小李庄村，不涉及到饮用水水源地的一级保护区或二级保护区。</w:t>
                  </w:r>
                </w:p>
              </w:tc>
              <w:tc>
                <w:tcPr>
                  <w:tcW w:w="780" w:type="dxa"/>
                  <w:vAlign w:val="center"/>
                </w:tcPr>
                <w:p>
                  <w:pPr>
                    <w:pStyle w:val="28"/>
                    <w:spacing w:line="320" w:lineRule="atLeast"/>
                    <w:rPr>
                      <w:color w:val="auto"/>
                      <w:kern w:val="0"/>
                      <w:sz w:val="22"/>
                      <w:szCs w:val="22"/>
                    </w:rPr>
                  </w:pPr>
                  <w:r>
                    <w:rPr>
                      <w:color w:val="auto"/>
                      <w:kern w:val="0"/>
                      <w:sz w:val="22"/>
                      <w:szCs w:val="22"/>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40" w:type="dxa"/>
                  <w:vAlign w:val="center"/>
                </w:tcPr>
                <w:p>
                  <w:pPr>
                    <w:pStyle w:val="28"/>
                    <w:spacing w:line="320" w:lineRule="atLeast"/>
                    <w:rPr>
                      <w:color w:val="auto"/>
                      <w:kern w:val="0"/>
                      <w:sz w:val="22"/>
                      <w:szCs w:val="22"/>
                    </w:rPr>
                  </w:pPr>
                  <w:r>
                    <w:rPr>
                      <w:color w:val="auto"/>
                      <w:kern w:val="0"/>
                      <w:sz w:val="22"/>
                      <w:szCs w:val="22"/>
                    </w:rPr>
                    <w:t>4</w:t>
                  </w:r>
                </w:p>
              </w:tc>
              <w:tc>
                <w:tcPr>
                  <w:tcW w:w="3640" w:type="dxa"/>
                  <w:vAlign w:val="center"/>
                </w:tcPr>
                <w:p>
                  <w:pPr>
                    <w:pStyle w:val="28"/>
                    <w:spacing w:line="320" w:lineRule="atLeast"/>
                    <w:rPr>
                      <w:color w:val="auto"/>
                      <w:kern w:val="0"/>
                      <w:sz w:val="22"/>
                      <w:szCs w:val="22"/>
                    </w:rPr>
                  </w:pPr>
                  <w:r>
                    <w:rPr>
                      <w:color w:val="auto"/>
                      <w:kern w:val="0"/>
                      <w:sz w:val="22"/>
                      <w:szCs w:val="22"/>
                    </w:rPr>
                    <w:t>禁止在水产种植资源保护区的岸线和河段范围内新建排放口，以及围湖造田、围海造地或填海等投资建设项目。禁止在国家湿地公园的岸线和河段范围内挖沙、采矿，以及任何不符合主体功能定位的投资建设项目。</w:t>
                  </w:r>
                </w:p>
              </w:tc>
              <w:tc>
                <w:tcPr>
                  <w:tcW w:w="3262" w:type="dxa"/>
                  <w:vAlign w:val="center"/>
                </w:tcPr>
                <w:p>
                  <w:pPr>
                    <w:pStyle w:val="28"/>
                    <w:spacing w:line="320" w:lineRule="atLeast"/>
                    <w:rPr>
                      <w:color w:val="auto"/>
                      <w:kern w:val="0"/>
                      <w:sz w:val="22"/>
                      <w:szCs w:val="22"/>
                    </w:rPr>
                  </w:pPr>
                  <w:r>
                    <w:rPr>
                      <w:color w:val="auto"/>
                      <w:kern w:val="0"/>
                      <w:sz w:val="22"/>
                      <w:szCs w:val="22"/>
                    </w:rPr>
                    <w:t>本项目对小江清淤物进行综合利用生产建筑用砂，符合主体功能定位，项目所在地的纳污水体为</w:t>
                  </w:r>
                  <w:r>
                    <w:rPr>
                      <w:color w:val="auto"/>
                      <w:sz w:val="22"/>
                      <w:szCs w:val="22"/>
                    </w:rPr>
                    <w:t>小江（清水海-入金沙江口段）</w:t>
                  </w:r>
                  <w:r>
                    <w:rPr>
                      <w:color w:val="auto"/>
                      <w:kern w:val="0"/>
                      <w:sz w:val="22"/>
                      <w:szCs w:val="22"/>
                    </w:rPr>
                    <w:t>，不属于水产种植资源保护区的岸线和河段范围。</w:t>
                  </w:r>
                </w:p>
              </w:tc>
              <w:tc>
                <w:tcPr>
                  <w:tcW w:w="780" w:type="dxa"/>
                  <w:vAlign w:val="center"/>
                </w:tcPr>
                <w:p>
                  <w:pPr>
                    <w:pStyle w:val="28"/>
                    <w:spacing w:line="320" w:lineRule="atLeast"/>
                    <w:rPr>
                      <w:color w:val="auto"/>
                      <w:kern w:val="0"/>
                      <w:sz w:val="22"/>
                      <w:szCs w:val="22"/>
                    </w:rPr>
                  </w:pPr>
                  <w:r>
                    <w:rPr>
                      <w:color w:val="auto"/>
                      <w:kern w:val="0"/>
                      <w:sz w:val="22"/>
                      <w:szCs w:val="22"/>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40" w:type="dxa"/>
                  <w:vAlign w:val="center"/>
                </w:tcPr>
                <w:p>
                  <w:pPr>
                    <w:pStyle w:val="28"/>
                    <w:spacing w:line="320" w:lineRule="atLeast"/>
                    <w:rPr>
                      <w:color w:val="auto"/>
                      <w:kern w:val="0"/>
                      <w:sz w:val="22"/>
                      <w:szCs w:val="22"/>
                    </w:rPr>
                  </w:pPr>
                  <w:r>
                    <w:rPr>
                      <w:color w:val="auto"/>
                      <w:kern w:val="0"/>
                      <w:sz w:val="22"/>
                      <w:szCs w:val="22"/>
                    </w:rPr>
                    <w:t>5</w:t>
                  </w:r>
                </w:p>
              </w:tc>
              <w:tc>
                <w:tcPr>
                  <w:tcW w:w="3640" w:type="dxa"/>
                  <w:vAlign w:val="center"/>
                </w:tcPr>
                <w:p>
                  <w:pPr>
                    <w:pStyle w:val="28"/>
                    <w:spacing w:line="320" w:lineRule="atLeast"/>
                    <w:rPr>
                      <w:color w:val="auto"/>
                      <w:kern w:val="0"/>
                      <w:sz w:val="22"/>
                      <w:szCs w:val="22"/>
                    </w:rPr>
                  </w:pPr>
                  <w:r>
                    <w:rPr>
                      <w:color w:val="auto"/>
                      <w:kern w:val="0"/>
                      <w:sz w:val="22"/>
                      <w:szCs w:val="22"/>
                    </w:rPr>
                    <w:t>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以及保护生态环境、已建重要枢纽工程以外的项目，禁止在《全国重要江河湖泊水功能区划》划定的河段保护区、保留区内投资建设不利于水资源及自然生态保护的项目。</w:t>
                  </w:r>
                </w:p>
              </w:tc>
              <w:tc>
                <w:tcPr>
                  <w:tcW w:w="3262" w:type="dxa"/>
                  <w:vAlign w:val="center"/>
                </w:tcPr>
                <w:p>
                  <w:pPr>
                    <w:pStyle w:val="28"/>
                    <w:spacing w:line="320" w:lineRule="atLeast"/>
                    <w:rPr>
                      <w:color w:val="auto"/>
                      <w:kern w:val="0"/>
                      <w:sz w:val="22"/>
                      <w:szCs w:val="22"/>
                    </w:rPr>
                  </w:pPr>
                  <w:r>
                    <w:rPr>
                      <w:color w:val="auto"/>
                      <w:kern w:val="0"/>
                      <w:sz w:val="22"/>
                      <w:szCs w:val="22"/>
                    </w:rPr>
                    <w:t>本项目对小江清淤物进行综合利用生产建筑用砂，项目所在地的纳污水体为</w:t>
                  </w:r>
                  <w:r>
                    <w:rPr>
                      <w:color w:val="auto"/>
                      <w:sz w:val="22"/>
                      <w:szCs w:val="22"/>
                    </w:rPr>
                    <w:t>小江（清水海-入金沙江口段）</w:t>
                  </w:r>
                  <w:r>
                    <w:rPr>
                      <w:color w:val="auto"/>
                      <w:kern w:val="0"/>
                      <w:sz w:val="22"/>
                      <w:szCs w:val="22"/>
                    </w:rPr>
                    <w:t>，该河段不属于《长江岸线保护和开发利用总体规划》划定的岸线保护区，也不属于全国重要江河湖泊水功能区划》划定的河段保护区、保留区。</w:t>
                  </w:r>
                </w:p>
              </w:tc>
              <w:tc>
                <w:tcPr>
                  <w:tcW w:w="780" w:type="dxa"/>
                  <w:vAlign w:val="center"/>
                </w:tcPr>
                <w:p>
                  <w:pPr>
                    <w:pStyle w:val="28"/>
                    <w:spacing w:line="320" w:lineRule="atLeast"/>
                    <w:rPr>
                      <w:color w:val="auto"/>
                      <w:kern w:val="0"/>
                      <w:sz w:val="22"/>
                      <w:szCs w:val="22"/>
                    </w:rPr>
                  </w:pPr>
                  <w:r>
                    <w:rPr>
                      <w:color w:val="auto"/>
                      <w:kern w:val="0"/>
                      <w:sz w:val="22"/>
                      <w:szCs w:val="22"/>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40" w:type="dxa"/>
                  <w:vAlign w:val="center"/>
                </w:tcPr>
                <w:p>
                  <w:pPr>
                    <w:pStyle w:val="28"/>
                    <w:spacing w:line="320" w:lineRule="atLeast"/>
                    <w:rPr>
                      <w:color w:val="auto"/>
                      <w:kern w:val="0"/>
                      <w:sz w:val="22"/>
                      <w:szCs w:val="22"/>
                    </w:rPr>
                  </w:pPr>
                  <w:r>
                    <w:rPr>
                      <w:color w:val="auto"/>
                      <w:kern w:val="0"/>
                      <w:sz w:val="22"/>
                      <w:szCs w:val="22"/>
                    </w:rPr>
                    <w:t>6</w:t>
                  </w:r>
                </w:p>
              </w:tc>
              <w:tc>
                <w:tcPr>
                  <w:tcW w:w="3640" w:type="dxa"/>
                  <w:vAlign w:val="center"/>
                </w:tcPr>
                <w:p>
                  <w:pPr>
                    <w:pStyle w:val="28"/>
                    <w:spacing w:line="320" w:lineRule="atLeast"/>
                    <w:rPr>
                      <w:color w:val="auto"/>
                      <w:kern w:val="0"/>
                      <w:sz w:val="22"/>
                      <w:szCs w:val="22"/>
                    </w:rPr>
                  </w:pPr>
                  <w:r>
                    <w:rPr>
                      <w:color w:val="auto"/>
                      <w:kern w:val="0"/>
                      <w:sz w:val="22"/>
                      <w:szCs w:val="22"/>
                    </w:rPr>
                    <w:t>禁止在生态保护红线和永久基本农田范围内投资建设除国家重大战略资源勘查项目、生态保护修复合环境治理项目、重大基础设施项目、军事国防项目以及农牧民基本生产生活等必要的民生项目以外的项目。</w:t>
                  </w:r>
                </w:p>
              </w:tc>
              <w:tc>
                <w:tcPr>
                  <w:tcW w:w="3262" w:type="dxa"/>
                  <w:vAlign w:val="center"/>
                </w:tcPr>
                <w:p>
                  <w:pPr>
                    <w:pStyle w:val="28"/>
                    <w:spacing w:line="320" w:lineRule="atLeast"/>
                    <w:rPr>
                      <w:color w:val="auto"/>
                      <w:kern w:val="0"/>
                      <w:sz w:val="22"/>
                      <w:szCs w:val="22"/>
                    </w:rPr>
                  </w:pPr>
                  <w:r>
                    <w:rPr>
                      <w:color w:val="auto"/>
                      <w:kern w:val="0"/>
                      <w:sz w:val="22"/>
                      <w:szCs w:val="22"/>
                    </w:rPr>
                    <w:t>选址位于昆明市东川区铜都镇小李庄村，项目建设不涉及生态保护红线和永久基本农田。</w:t>
                  </w:r>
                </w:p>
              </w:tc>
              <w:tc>
                <w:tcPr>
                  <w:tcW w:w="780" w:type="dxa"/>
                  <w:vAlign w:val="center"/>
                </w:tcPr>
                <w:p>
                  <w:pPr>
                    <w:pStyle w:val="28"/>
                    <w:spacing w:line="320" w:lineRule="atLeast"/>
                    <w:rPr>
                      <w:color w:val="auto"/>
                      <w:kern w:val="0"/>
                      <w:sz w:val="22"/>
                      <w:szCs w:val="22"/>
                    </w:rPr>
                  </w:pPr>
                  <w:r>
                    <w:rPr>
                      <w:color w:val="auto"/>
                      <w:kern w:val="0"/>
                      <w:sz w:val="22"/>
                      <w:szCs w:val="22"/>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40" w:type="dxa"/>
                  <w:vAlign w:val="center"/>
                </w:tcPr>
                <w:p>
                  <w:pPr>
                    <w:pStyle w:val="28"/>
                    <w:spacing w:line="320" w:lineRule="atLeast"/>
                    <w:rPr>
                      <w:color w:val="auto"/>
                      <w:kern w:val="0"/>
                      <w:sz w:val="22"/>
                      <w:szCs w:val="22"/>
                    </w:rPr>
                  </w:pPr>
                  <w:r>
                    <w:rPr>
                      <w:color w:val="auto"/>
                      <w:kern w:val="0"/>
                      <w:sz w:val="22"/>
                      <w:szCs w:val="22"/>
                    </w:rPr>
                    <w:t>7</w:t>
                  </w:r>
                </w:p>
              </w:tc>
              <w:tc>
                <w:tcPr>
                  <w:tcW w:w="3640" w:type="dxa"/>
                  <w:vAlign w:val="center"/>
                </w:tcPr>
                <w:p>
                  <w:pPr>
                    <w:pStyle w:val="28"/>
                    <w:spacing w:line="320" w:lineRule="atLeast"/>
                    <w:rPr>
                      <w:color w:val="auto"/>
                      <w:kern w:val="0"/>
                      <w:sz w:val="22"/>
                      <w:szCs w:val="22"/>
                    </w:rPr>
                  </w:pPr>
                  <w:r>
                    <w:rPr>
                      <w:color w:val="auto"/>
                      <w:kern w:val="0"/>
                      <w:sz w:val="22"/>
                      <w:szCs w:val="22"/>
                    </w:rPr>
                    <w:t>禁止在长江干支流1公里范围内新建、扩建化工园区和化工项目。禁止在合规园区外新建、扩建钢铁、石化、化工、焦化、建材、有色等高污染项目。</w:t>
                  </w:r>
                </w:p>
              </w:tc>
              <w:tc>
                <w:tcPr>
                  <w:tcW w:w="3262" w:type="dxa"/>
                  <w:vAlign w:val="center"/>
                </w:tcPr>
                <w:p>
                  <w:pPr>
                    <w:pStyle w:val="28"/>
                    <w:spacing w:line="320" w:lineRule="atLeast"/>
                    <w:rPr>
                      <w:color w:val="auto"/>
                      <w:kern w:val="0"/>
                      <w:sz w:val="22"/>
                      <w:szCs w:val="22"/>
                    </w:rPr>
                  </w:pPr>
                  <w:r>
                    <w:rPr>
                      <w:color w:val="auto"/>
                      <w:kern w:val="0"/>
                      <w:sz w:val="22"/>
                      <w:szCs w:val="22"/>
                    </w:rPr>
                    <w:t>昆明市东川区铜都镇小李庄村，本项目对小江清淤物进行综合利用生产建筑用砂，属于小江清淤固废的综合利用项目，不属于化工项目，其生产工艺主要为破碎、筛分伴随水洗工艺，不属于高污染项目。</w:t>
                  </w:r>
                </w:p>
              </w:tc>
              <w:tc>
                <w:tcPr>
                  <w:tcW w:w="780" w:type="dxa"/>
                  <w:vAlign w:val="center"/>
                </w:tcPr>
                <w:p>
                  <w:pPr>
                    <w:pStyle w:val="28"/>
                    <w:spacing w:line="320" w:lineRule="atLeast"/>
                    <w:rPr>
                      <w:color w:val="auto"/>
                      <w:kern w:val="0"/>
                      <w:sz w:val="22"/>
                      <w:szCs w:val="22"/>
                    </w:rPr>
                  </w:pPr>
                  <w:r>
                    <w:rPr>
                      <w:color w:val="auto"/>
                      <w:kern w:val="0"/>
                      <w:sz w:val="22"/>
                      <w:szCs w:val="22"/>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40" w:type="dxa"/>
                  <w:vAlign w:val="center"/>
                </w:tcPr>
                <w:p>
                  <w:pPr>
                    <w:pStyle w:val="28"/>
                    <w:spacing w:line="320" w:lineRule="atLeast"/>
                    <w:rPr>
                      <w:color w:val="auto"/>
                      <w:kern w:val="0"/>
                      <w:sz w:val="22"/>
                      <w:szCs w:val="22"/>
                    </w:rPr>
                  </w:pPr>
                  <w:r>
                    <w:rPr>
                      <w:color w:val="auto"/>
                      <w:kern w:val="0"/>
                      <w:sz w:val="22"/>
                      <w:szCs w:val="22"/>
                    </w:rPr>
                    <w:t>8</w:t>
                  </w:r>
                </w:p>
              </w:tc>
              <w:tc>
                <w:tcPr>
                  <w:tcW w:w="3640" w:type="dxa"/>
                  <w:vAlign w:val="center"/>
                </w:tcPr>
                <w:p>
                  <w:pPr>
                    <w:pStyle w:val="28"/>
                    <w:spacing w:line="320" w:lineRule="atLeast"/>
                    <w:rPr>
                      <w:color w:val="auto"/>
                      <w:kern w:val="0"/>
                      <w:sz w:val="22"/>
                      <w:szCs w:val="22"/>
                    </w:rPr>
                  </w:pPr>
                  <w:r>
                    <w:rPr>
                      <w:color w:val="auto"/>
                      <w:kern w:val="0"/>
                      <w:sz w:val="22"/>
                      <w:szCs w:val="22"/>
                    </w:rPr>
                    <w:t>禁止新建、扩建不符合国家石化、现代煤化工等产业布局规划的项目。</w:t>
                  </w:r>
                </w:p>
              </w:tc>
              <w:tc>
                <w:tcPr>
                  <w:tcW w:w="3262" w:type="dxa"/>
                  <w:vAlign w:val="center"/>
                </w:tcPr>
                <w:p>
                  <w:pPr>
                    <w:pStyle w:val="28"/>
                    <w:spacing w:line="320" w:lineRule="atLeast"/>
                    <w:rPr>
                      <w:color w:val="auto"/>
                      <w:kern w:val="0"/>
                      <w:sz w:val="22"/>
                      <w:szCs w:val="22"/>
                    </w:rPr>
                  </w:pPr>
                  <w:r>
                    <w:rPr>
                      <w:color w:val="auto"/>
                      <w:kern w:val="0"/>
                      <w:sz w:val="22"/>
                      <w:szCs w:val="22"/>
                    </w:rPr>
                    <w:t>本项目对小江清淤物进行综合利用生产建筑用砂，属于小江清淤固废的综合利用项目，不属于不符合国家石化、现代煤化工等产业布局规划的项目。</w:t>
                  </w:r>
                </w:p>
              </w:tc>
              <w:tc>
                <w:tcPr>
                  <w:tcW w:w="780" w:type="dxa"/>
                  <w:vAlign w:val="center"/>
                </w:tcPr>
                <w:p>
                  <w:pPr>
                    <w:pStyle w:val="28"/>
                    <w:spacing w:line="320" w:lineRule="atLeast"/>
                    <w:rPr>
                      <w:color w:val="auto"/>
                      <w:kern w:val="0"/>
                      <w:sz w:val="22"/>
                      <w:szCs w:val="22"/>
                    </w:rPr>
                  </w:pPr>
                  <w:r>
                    <w:rPr>
                      <w:color w:val="auto"/>
                      <w:kern w:val="0"/>
                      <w:sz w:val="22"/>
                      <w:szCs w:val="22"/>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40" w:type="dxa"/>
                  <w:vAlign w:val="center"/>
                </w:tcPr>
                <w:p>
                  <w:pPr>
                    <w:pStyle w:val="28"/>
                    <w:spacing w:line="320" w:lineRule="atLeast"/>
                    <w:rPr>
                      <w:color w:val="auto"/>
                      <w:kern w:val="0"/>
                      <w:sz w:val="22"/>
                      <w:szCs w:val="22"/>
                    </w:rPr>
                  </w:pPr>
                  <w:r>
                    <w:rPr>
                      <w:color w:val="auto"/>
                      <w:kern w:val="0"/>
                      <w:sz w:val="22"/>
                      <w:szCs w:val="22"/>
                    </w:rPr>
                    <w:t>9</w:t>
                  </w:r>
                </w:p>
              </w:tc>
              <w:tc>
                <w:tcPr>
                  <w:tcW w:w="3640" w:type="dxa"/>
                  <w:vAlign w:val="center"/>
                </w:tcPr>
                <w:p>
                  <w:pPr>
                    <w:pStyle w:val="28"/>
                    <w:spacing w:line="320" w:lineRule="atLeast"/>
                    <w:rPr>
                      <w:color w:val="auto"/>
                      <w:kern w:val="0"/>
                      <w:sz w:val="22"/>
                      <w:szCs w:val="22"/>
                    </w:rPr>
                  </w:pPr>
                  <w:r>
                    <w:rPr>
                      <w:color w:val="auto"/>
                      <w:kern w:val="0"/>
                      <w:sz w:val="22"/>
                      <w:szCs w:val="22"/>
                    </w:rPr>
                    <w:t>禁止新建、扩建法律法规和相关政策明令禁止的落后产能项目。</w:t>
                  </w:r>
                </w:p>
              </w:tc>
              <w:tc>
                <w:tcPr>
                  <w:tcW w:w="3262" w:type="dxa"/>
                  <w:vAlign w:val="center"/>
                </w:tcPr>
                <w:p>
                  <w:pPr>
                    <w:pStyle w:val="28"/>
                    <w:spacing w:line="320" w:lineRule="atLeast"/>
                    <w:rPr>
                      <w:color w:val="auto"/>
                      <w:kern w:val="0"/>
                      <w:sz w:val="22"/>
                      <w:szCs w:val="22"/>
                    </w:rPr>
                  </w:pPr>
                  <w:r>
                    <w:rPr>
                      <w:color w:val="auto"/>
                      <w:kern w:val="0"/>
                      <w:sz w:val="22"/>
                      <w:szCs w:val="22"/>
                    </w:rPr>
                    <w:t>本项目属于小江清淤固废的综合利用项目，属于《产业结构调整指导目录（2019年本）》，中鼓励类项目；不属于法律法规和相关政策明令禁止的落后产能项目。</w:t>
                  </w:r>
                </w:p>
              </w:tc>
              <w:tc>
                <w:tcPr>
                  <w:tcW w:w="780" w:type="dxa"/>
                  <w:vAlign w:val="center"/>
                </w:tcPr>
                <w:p>
                  <w:pPr>
                    <w:pStyle w:val="28"/>
                    <w:spacing w:line="320" w:lineRule="atLeast"/>
                    <w:rPr>
                      <w:color w:val="auto"/>
                      <w:kern w:val="0"/>
                      <w:sz w:val="22"/>
                      <w:szCs w:val="22"/>
                    </w:rPr>
                  </w:pPr>
                  <w:r>
                    <w:rPr>
                      <w:color w:val="auto"/>
                      <w:kern w:val="0"/>
                      <w:sz w:val="22"/>
                      <w:szCs w:val="22"/>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40" w:type="dxa"/>
                  <w:vAlign w:val="center"/>
                </w:tcPr>
                <w:p>
                  <w:pPr>
                    <w:pStyle w:val="28"/>
                    <w:spacing w:line="320" w:lineRule="atLeast"/>
                    <w:rPr>
                      <w:color w:val="auto"/>
                      <w:kern w:val="0"/>
                      <w:sz w:val="22"/>
                      <w:szCs w:val="22"/>
                    </w:rPr>
                  </w:pPr>
                  <w:r>
                    <w:rPr>
                      <w:color w:val="auto"/>
                      <w:kern w:val="0"/>
                      <w:sz w:val="22"/>
                      <w:szCs w:val="22"/>
                    </w:rPr>
                    <w:t>10</w:t>
                  </w:r>
                </w:p>
              </w:tc>
              <w:tc>
                <w:tcPr>
                  <w:tcW w:w="3640" w:type="dxa"/>
                  <w:vAlign w:val="center"/>
                </w:tcPr>
                <w:p>
                  <w:pPr>
                    <w:pStyle w:val="28"/>
                    <w:spacing w:line="320" w:lineRule="atLeast"/>
                    <w:rPr>
                      <w:color w:val="auto"/>
                      <w:kern w:val="0"/>
                      <w:sz w:val="22"/>
                      <w:szCs w:val="22"/>
                    </w:rPr>
                  </w:pPr>
                  <w:r>
                    <w:rPr>
                      <w:color w:val="auto"/>
                      <w:kern w:val="0"/>
                      <w:sz w:val="22"/>
                      <w:szCs w:val="22"/>
                    </w:rPr>
                    <w:t>禁止新建、扩建不符合国家产能置换要求的严重过剩产能行业的项目。</w:t>
                  </w:r>
                </w:p>
              </w:tc>
              <w:tc>
                <w:tcPr>
                  <w:tcW w:w="3262" w:type="dxa"/>
                  <w:vAlign w:val="center"/>
                </w:tcPr>
                <w:p>
                  <w:pPr>
                    <w:pStyle w:val="28"/>
                    <w:spacing w:line="320" w:lineRule="atLeast"/>
                    <w:rPr>
                      <w:color w:val="auto"/>
                      <w:kern w:val="0"/>
                      <w:sz w:val="22"/>
                      <w:szCs w:val="22"/>
                    </w:rPr>
                  </w:pPr>
                  <w:r>
                    <w:rPr>
                      <w:color w:val="auto"/>
                      <w:kern w:val="0"/>
                      <w:sz w:val="22"/>
                      <w:szCs w:val="22"/>
                    </w:rPr>
                    <w:t>本项目属于小江清淤固废的综合利用项目，不属于国家产能置换要求的严重过剩产能行业的项目。</w:t>
                  </w:r>
                </w:p>
              </w:tc>
              <w:tc>
                <w:tcPr>
                  <w:tcW w:w="780" w:type="dxa"/>
                  <w:vAlign w:val="center"/>
                </w:tcPr>
                <w:p>
                  <w:pPr>
                    <w:pStyle w:val="28"/>
                    <w:spacing w:line="320" w:lineRule="atLeast"/>
                    <w:rPr>
                      <w:color w:val="auto"/>
                      <w:kern w:val="0"/>
                      <w:sz w:val="22"/>
                      <w:szCs w:val="22"/>
                    </w:rPr>
                  </w:pPr>
                  <w:r>
                    <w:rPr>
                      <w:color w:val="auto"/>
                      <w:kern w:val="0"/>
                      <w:sz w:val="22"/>
                      <w:szCs w:val="22"/>
                    </w:rPr>
                    <w:t>符合</w:t>
                  </w:r>
                </w:p>
              </w:tc>
            </w:tr>
          </w:tbl>
          <w:p>
            <w:pPr>
              <w:spacing w:before="156" w:beforeLines="50"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由上表可知，本项目的建设符合《长江经济带发展负面清单指南（试行）》的要求。</w:t>
            </w:r>
          </w:p>
          <w:p>
            <w:pPr>
              <w:spacing w:line="360" w:lineRule="auto"/>
              <w:ind w:firstLine="361" w:firstLineChars="150"/>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（4）与小江河道管理的符合性</w:t>
            </w:r>
          </w:p>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根据昆明市东川区人民政府的要求，项目生产厂房必须远离小江河道红线50m，规划的沿河慢行系统（河堤10m）至生产厂房之间作为绿化带，需种植切合东川气候特点、树形高大、四季常绿的乔木。</w:t>
            </w:r>
          </w:p>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昆明市东川区水务局对本项目与小江河道距离进行了确认，明确项目选址范围距离小江河道管理范围线为50m，满足建设项目与小江的距离要求，同时根据设计，本项目至河道区域，建设单位将严格建设乔木绿化带，从而满足与小江河道管理的要求。</w:t>
            </w:r>
          </w:p>
          <w:p>
            <w:pPr>
              <w:spacing w:line="360" w:lineRule="auto"/>
              <w:ind w:firstLine="361" w:firstLineChars="150"/>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（5）与《公路安全保护条例》的符合性</w:t>
            </w:r>
          </w:p>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根据《公路安全保护条例》中第十一条的规定，公路建筑控制区的范围，从公路用地外缘起向外的距离标准为：省道不少于15米；属于高速公路的，公路建筑控制区的范围从公路用地外缘起向外的距离标准不少于30米。</w:t>
            </w:r>
          </w:p>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根据调查，项目附近的公路主要有东格高速和省道S101（昆蒙线），其中项目距离东格高速700m，距离省道S101（昆蒙线）280m；达到《公路安全保护条例》的距离要求。</w:t>
            </w:r>
          </w:p>
        </w:tc>
      </w:tr>
    </w:tbl>
    <w:p>
      <w:pPr>
        <w:pageBreakBefore/>
        <w:spacing w:line="360" w:lineRule="auto"/>
        <w:jc w:val="left"/>
        <w:outlineLvl w:val="0"/>
        <w:rPr>
          <w:rFonts w:ascii="Times New Roman" w:hAnsi="Times New Roman" w:cs="Times New Roman"/>
          <w:b/>
          <w:color w:val="000000" w:themeColor="text1"/>
          <w:sz w:val="28"/>
          <w:szCs w:val="20"/>
          <w14:textFill>
            <w14:solidFill>
              <w14:schemeClr w14:val="tx1"/>
            </w14:solidFill>
          </w14:textFill>
        </w:rPr>
      </w:pPr>
      <w:bookmarkStart w:id="1" w:name="_Toc30816"/>
      <w:r>
        <w:rPr>
          <w:rFonts w:ascii="Times New Roman" w:hAnsi="Times New Roman" w:cs="Times New Roman"/>
          <w:b/>
          <w:color w:val="000000" w:themeColor="text1"/>
          <w:sz w:val="28"/>
          <w:szCs w:val="20"/>
          <w14:textFill>
            <w14:solidFill>
              <w14:schemeClr w14:val="tx1"/>
            </w14:solidFill>
          </w14:textFill>
        </w:rPr>
        <w:t>二、建设项目工程分析</w:t>
      </w:r>
      <w:bookmarkEnd w:id="1"/>
    </w:p>
    <w:tbl>
      <w:tblPr>
        <w:tblStyle w:val="17"/>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5"/>
        <w:gridCol w:w="88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建设内容</w:t>
            </w:r>
          </w:p>
        </w:tc>
        <w:tc>
          <w:tcPr>
            <w:tcW w:w="8831" w:type="dxa"/>
            <w:vAlign w:val="center"/>
          </w:tcPr>
          <w:p>
            <w:pPr>
              <w:spacing w:before="156" w:beforeLines="50" w:line="360" w:lineRule="auto"/>
              <w:ind w:firstLine="480" w:firstLineChars="200"/>
              <w:rPr>
                <w:rFonts w:ascii="Times New Roman" w:hAnsi="Times New Roman" w:cs="Times New Roman"/>
                <w:color w:val="FF0000"/>
                <w:sz w:val="24"/>
                <w:szCs w:val="24"/>
              </w:rPr>
            </w:pPr>
            <w:r>
              <w:rPr>
                <w:rFonts w:ascii="Times New Roman" w:hAnsi="Times New Roman" w:cs="Times New Roman"/>
                <w:color w:val="FF0000"/>
                <w:sz w:val="24"/>
                <w:szCs w:val="24"/>
              </w:rPr>
              <w:t>昆明滇中浩翊新型建材有限公司在取得昆明市东川区人民政府的同意下</w:t>
            </w:r>
            <w:r>
              <w:rPr>
                <w:rFonts w:hint="eastAsia" w:ascii="Times New Roman" w:hAnsi="Times New Roman" w:cs="Times New Roman"/>
                <w:color w:val="FF0000"/>
                <w:sz w:val="24"/>
                <w:szCs w:val="24"/>
                <w:lang w:eastAsia="zh-CN"/>
              </w:rPr>
              <w:t>（</w:t>
            </w:r>
            <w:r>
              <w:rPr>
                <w:rFonts w:hint="eastAsia" w:ascii="Times New Roman" w:hAnsi="Times New Roman" w:cs="Times New Roman"/>
                <w:color w:val="FF0000"/>
                <w:sz w:val="24"/>
                <w:szCs w:val="24"/>
                <w:lang w:val="en-US" w:eastAsia="zh-CN"/>
              </w:rPr>
              <w:t>详见附件5</w:t>
            </w:r>
            <w:r>
              <w:rPr>
                <w:rFonts w:hint="eastAsia" w:ascii="Times New Roman" w:hAnsi="Times New Roman" w:cs="Times New Roman"/>
                <w:color w:val="FF0000"/>
                <w:sz w:val="24"/>
                <w:szCs w:val="24"/>
                <w:lang w:eastAsia="zh-CN"/>
              </w:rPr>
              <w:t>）</w:t>
            </w:r>
            <w:r>
              <w:rPr>
                <w:rFonts w:ascii="Times New Roman" w:hAnsi="Times New Roman" w:cs="Times New Roman"/>
                <w:color w:val="FF0000"/>
                <w:sz w:val="24"/>
                <w:szCs w:val="24"/>
              </w:rPr>
              <w:t>，拟在昆明市东川区铜都镇小李庄村建设东川区再利用废石废渣生产建筑用石用砂小李庄加工厂建设项目，主要对小江清淤物资源综合利用生产建筑用砂。</w:t>
            </w:r>
          </w:p>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2.1 建设内容及规模</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（1）建设规模</w:t>
            </w:r>
          </w:p>
          <w:p>
            <w:pPr>
              <w:spacing w:line="360" w:lineRule="auto"/>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根据《东川区小江河道清淤疏浚规划（2020-2022）》的分析，东川区小江河道小李庄段1.8km河道实施范围内综合清淤工程量（含泥沙补给量）为77.7万m³，计划实施年限不低于3年。则本项目最大处理量约为25.9万m³/a。</w:t>
            </w:r>
          </w:p>
          <w:p>
            <w:pPr>
              <w:spacing w:line="360" w:lineRule="auto"/>
              <w:ind w:firstLine="361" w:firstLineChars="150"/>
              <w:rPr>
                <w:rFonts w:ascii="Times New Roman" w:hAnsi="Times New Roman" w:cs="Times New Roman"/>
                <w:b/>
                <w:kern w:val="0"/>
                <w:sz w:val="24"/>
                <w:szCs w:val="24"/>
              </w:rPr>
            </w:pPr>
            <w:r>
              <w:rPr>
                <w:rFonts w:ascii="Times New Roman" w:hAnsi="Times New Roman" w:cs="Times New Roman"/>
                <w:b/>
                <w:kern w:val="0"/>
                <w:sz w:val="24"/>
                <w:szCs w:val="24"/>
              </w:rPr>
              <w:t>（2）建设内容</w:t>
            </w:r>
          </w:p>
          <w:p>
            <w:pPr>
              <w:pStyle w:val="10"/>
              <w:spacing w:after="0" w:line="360" w:lineRule="auto"/>
              <w:ind w:firstLine="480" w:firstLineChars="200"/>
              <w:rPr>
                <w:rFonts w:ascii="Times New Roman" w:hAnsi="Times New Roman" w:eastAsia="宋体" w:cs="Times New Roman"/>
                <w:color w:val="FF0000"/>
                <w:kern w:val="0"/>
                <w:sz w:val="24"/>
                <w:szCs w:val="24"/>
              </w:rPr>
            </w:pPr>
            <w:r>
              <w:rPr>
                <w:rFonts w:ascii="Times New Roman" w:hAnsi="Times New Roman" w:eastAsia="宋体" w:cs="Times New Roman"/>
                <w:color w:val="FF0000"/>
                <w:kern w:val="0"/>
                <w:sz w:val="24"/>
                <w:szCs w:val="24"/>
              </w:rPr>
              <w:t>本项目占地29.97亩。总建筑面积为6222.06m²，建设的绿化和道路占地面积为3953.86m²。新建利用废石废渣生产建筑用砂石生产线2条，并配套建设环保等附属设施。部分辅助设施及办公生活设施建设于项目厂区。其中：</w:t>
            </w:r>
          </w:p>
          <w:p>
            <w:pPr>
              <w:pStyle w:val="10"/>
              <w:spacing w:after="0" w:line="360" w:lineRule="auto"/>
              <w:ind w:firstLine="480" w:firstLineChars="200"/>
              <w:rPr>
                <w:rFonts w:ascii="Times New Roman" w:hAnsi="Times New Roman" w:eastAsia="宋体" w:cs="Times New Roman"/>
                <w:color w:val="FF0000"/>
                <w:kern w:val="0"/>
                <w:sz w:val="24"/>
                <w:szCs w:val="24"/>
              </w:rPr>
            </w:pPr>
            <w:r>
              <w:rPr>
                <w:rFonts w:ascii="Times New Roman" w:hAnsi="Times New Roman" w:eastAsia="宋体" w:cs="Times New Roman"/>
                <w:color w:val="FF0000"/>
                <w:kern w:val="0"/>
                <w:sz w:val="24"/>
                <w:szCs w:val="24"/>
              </w:rPr>
              <w:t>（1）建筑包括办公楼700m</w:t>
            </w:r>
            <w:r>
              <w:rPr>
                <w:rFonts w:ascii="Times New Roman" w:hAnsi="Times New Roman" w:eastAsia="宋体" w:cs="Times New Roman"/>
                <w:color w:val="FF0000"/>
                <w:kern w:val="0"/>
                <w:sz w:val="24"/>
                <w:szCs w:val="24"/>
                <w:vertAlign w:val="superscript"/>
              </w:rPr>
              <w:t>2</w:t>
            </w:r>
            <w:r>
              <w:rPr>
                <w:rFonts w:ascii="Times New Roman" w:hAnsi="Times New Roman" w:eastAsia="宋体" w:cs="Times New Roman"/>
                <w:color w:val="FF0000"/>
                <w:kern w:val="0"/>
                <w:sz w:val="24"/>
                <w:szCs w:val="24"/>
              </w:rPr>
              <w:t>，宿舍700m</w:t>
            </w:r>
            <w:r>
              <w:rPr>
                <w:rFonts w:ascii="Times New Roman" w:hAnsi="Times New Roman" w:eastAsia="宋体" w:cs="Times New Roman"/>
                <w:color w:val="FF0000"/>
                <w:kern w:val="0"/>
                <w:sz w:val="24"/>
                <w:szCs w:val="24"/>
                <w:vertAlign w:val="superscript"/>
              </w:rPr>
              <w:t>2</w:t>
            </w:r>
            <w:r>
              <w:rPr>
                <w:rFonts w:ascii="Times New Roman" w:hAnsi="Times New Roman" w:eastAsia="宋体" w:cs="Times New Roman"/>
                <w:color w:val="FF0000"/>
                <w:kern w:val="0"/>
                <w:sz w:val="24"/>
                <w:szCs w:val="24"/>
              </w:rPr>
              <w:t>，过磅房81.00m</w:t>
            </w:r>
            <w:r>
              <w:rPr>
                <w:rFonts w:ascii="Times New Roman" w:hAnsi="Times New Roman" w:eastAsia="宋体" w:cs="Times New Roman"/>
                <w:color w:val="FF0000"/>
                <w:kern w:val="0"/>
                <w:sz w:val="24"/>
                <w:szCs w:val="24"/>
                <w:vertAlign w:val="superscript"/>
              </w:rPr>
              <w:t>2</w:t>
            </w:r>
            <w:r>
              <w:rPr>
                <w:rFonts w:ascii="Times New Roman" w:hAnsi="Times New Roman" w:eastAsia="宋体" w:cs="Times New Roman"/>
                <w:color w:val="FF0000"/>
                <w:kern w:val="0"/>
                <w:sz w:val="24"/>
                <w:szCs w:val="24"/>
              </w:rPr>
              <w:t>，成品库房2000m</w:t>
            </w:r>
            <w:r>
              <w:rPr>
                <w:rFonts w:ascii="Times New Roman" w:hAnsi="Times New Roman" w:eastAsia="宋体" w:cs="Times New Roman"/>
                <w:color w:val="FF0000"/>
                <w:kern w:val="0"/>
                <w:sz w:val="24"/>
                <w:szCs w:val="24"/>
                <w:vertAlign w:val="superscript"/>
              </w:rPr>
              <w:t>2</w:t>
            </w:r>
            <w:r>
              <w:rPr>
                <w:rFonts w:ascii="Times New Roman" w:hAnsi="Times New Roman" w:eastAsia="宋体" w:cs="Times New Roman"/>
                <w:color w:val="FF0000"/>
                <w:kern w:val="0"/>
                <w:sz w:val="24"/>
                <w:szCs w:val="24"/>
              </w:rPr>
              <w:t>，生产车间1354.68 m</w:t>
            </w:r>
            <w:r>
              <w:rPr>
                <w:rFonts w:ascii="Times New Roman" w:hAnsi="Times New Roman" w:eastAsia="宋体" w:cs="Times New Roman"/>
                <w:color w:val="FF0000"/>
                <w:kern w:val="0"/>
                <w:sz w:val="24"/>
                <w:szCs w:val="24"/>
                <w:vertAlign w:val="superscript"/>
              </w:rPr>
              <w:t>2</w:t>
            </w:r>
            <w:r>
              <w:rPr>
                <w:rFonts w:ascii="Times New Roman" w:hAnsi="Times New Roman" w:eastAsia="宋体" w:cs="Times New Roman"/>
                <w:color w:val="FF0000"/>
                <w:kern w:val="0"/>
                <w:sz w:val="24"/>
                <w:szCs w:val="24"/>
              </w:rPr>
              <w:t>，1#、2#破碎车间约</w:t>
            </w:r>
            <w:r>
              <w:rPr>
                <w:rFonts w:hint="eastAsia" w:ascii="Times New Roman" w:hAnsi="Times New Roman" w:eastAsia="宋体" w:cs="Times New Roman"/>
                <w:color w:val="FF0000"/>
                <w:kern w:val="0"/>
                <w:sz w:val="24"/>
                <w:szCs w:val="24"/>
                <w:lang w:val="en-US" w:eastAsia="zh-CN"/>
              </w:rPr>
              <w:t>4</w:t>
            </w:r>
            <w:r>
              <w:rPr>
                <w:rFonts w:ascii="Times New Roman" w:hAnsi="Times New Roman" w:eastAsia="宋体" w:cs="Times New Roman"/>
                <w:color w:val="FF0000"/>
                <w:kern w:val="0"/>
                <w:sz w:val="24"/>
                <w:szCs w:val="24"/>
              </w:rPr>
              <w:t>00m</w:t>
            </w:r>
            <w:r>
              <w:rPr>
                <w:rFonts w:ascii="Times New Roman" w:hAnsi="Times New Roman" w:eastAsia="宋体" w:cs="Times New Roman"/>
                <w:color w:val="FF0000"/>
                <w:kern w:val="0"/>
                <w:sz w:val="24"/>
                <w:szCs w:val="24"/>
                <w:vertAlign w:val="superscript"/>
              </w:rPr>
              <w:t>2</w:t>
            </w:r>
            <w:r>
              <w:rPr>
                <w:rFonts w:ascii="Times New Roman" w:hAnsi="Times New Roman" w:eastAsia="宋体" w:cs="Times New Roman"/>
                <w:color w:val="FF0000"/>
                <w:kern w:val="0"/>
                <w:sz w:val="24"/>
                <w:szCs w:val="24"/>
              </w:rPr>
              <w:t>，1#、2#筛分水洗车间400m</w:t>
            </w:r>
            <w:r>
              <w:rPr>
                <w:rFonts w:ascii="Times New Roman" w:hAnsi="Times New Roman" w:eastAsia="宋体" w:cs="Times New Roman"/>
                <w:color w:val="FF0000"/>
                <w:kern w:val="0"/>
                <w:sz w:val="24"/>
                <w:szCs w:val="24"/>
                <w:vertAlign w:val="superscript"/>
              </w:rPr>
              <w:t>2</w:t>
            </w:r>
            <w:r>
              <w:rPr>
                <w:rFonts w:hint="eastAsia" w:ascii="Times New Roman" w:hAnsi="Times New Roman" w:eastAsia="宋体" w:cs="Times New Roman"/>
                <w:color w:val="FF0000"/>
                <w:kern w:val="0"/>
                <w:sz w:val="24"/>
                <w:szCs w:val="24"/>
                <w:vertAlign w:val="baseline"/>
                <w:lang w:eastAsia="zh-CN"/>
              </w:rPr>
              <w:t>，</w:t>
            </w:r>
            <w:r>
              <w:rPr>
                <w:rFonts w:ascii="Times New Roman" w:hAnsi="Times New Roman" w:eastAsia="宋体" w:cs="Times New Roman"/>
                <w:color w:val="FF0000"/>
                <w:kern w:val="0"/>
                <w:sz w:val="24"/>
                <w:szCs w:val="24"/>
              </w:rPr>
              <w:t>1#、2#</w:t>
            </w:r>
            <w:r>
              <w:rPr>
                <w:rFonts w:hint="eastAsia" w:ascii="Times New Roman" w:hAnsi="Times New Roman" w:eastAsia="宋体" w:cs="Times New Roman"/>
                <w:color w:val="FF0000"/>
                <w:kern w:val="0"/>
                <w:sz w:val="24"/>
                <w:szCs w:val="24"/>
                <w:lang w:val="en-US" w:eastAsia="zh-CN"/>
              </w:rPr>
              <w:t>检修大棚154.68</w:t>
            </w:r>
            <w:r>
              <w:rPr>
                <w:rFonts w:ascii="Times New Roman" w:hAnsi="Times New Roman" w:eastAsia="宋体" w:cs="Times New Roman"/>
                <w:color w:val="FF0000"/>
                <w:kern w:val="0"/>
                <w:sz w:val="24"/>
                <w:szCs w:val="24"/>
              </w:rPr>
              <w:t>m</w:t>
            </w:r>
            <w:r>
              <w:rPr>
                <w:rFonts w:ascii="Times New Roman" w:hAnsi="Times New Roman" w:eastAsia="宋体" w:cs="Times New Roman"/>
                <w:color w:val="FF0000"/>
                <w:kern w:val="0"/>
                <w:sz w:val="24"/>
                <w:szCs w:val="24"/>
                <w:vertAlign w:val="superscript"/>
              </w:rPr>
              <w:t>2</w:t>
            </w:r>
            <w:r>
              <w:rPr>
                <w:rFonts w:ascii="Times New Roman" w:hAnsi="Times New Roman" w:eastAsia="宋体" w:cs="Times New Roman"/>
                <w:color w:val="FF0000"/>
                <w:kern w:val="0"/>
                <w:sz w:val="24"/>
                <w:szCs w:val="24"/>
              </w:rPr>
              <w:t>；</w:t>
            </w:r>
          </w:p>
          <w:p>
            <w:pPr>
              <w:pStyle w:val="53"/>
              <w:tabs>
                <w:tab w:val="left" w:pos="702"/>
              </w:tabs>
              <w:spacing w:line="360" w:lineRule="auto"/>
              <w:ind w:left="0" w:firstLine="480" w:firstLineChars="200"/>
              <w:rPr>
                <w:rFonts w:ascii="Times New Roman" w:hAnsi="Times New Roman" w:cs="Times New Roman"/>
                <w:color w:val="FF0000"/>
                <w:kern w:val="0"/>
                <w:sz w:val="24"/>
                <w:szCs w:val="24"/>
              </w:rPr>
            </w:pPr>
            <w:r>
              <w:rPr>
                <w:rFonts w:ascii="Times New Roman" w:hAnsi="Times New Roman" w:cs="Times New Roman"/>
                <w:color w:val="FF0000"/>
                <w:kern w:val="0"/>
                <w:sz w:val="24"/>
                <w:szCs w:val="24"/>
              </w:rPr>
              <w:t>（</w:t>
            </w:r>
            <w:r>
              <w:rPr>
                <w:rFonts w:ascii="Times New Roman" w:hAnsi="Times New Roman" w:cs="Times New Roman"/>
                <w:color w:val="FF0000"/>
                <w:kern w:val="0"/>
                <w:sz w:val="24"/>
                <w:szCs w:val="24"/>
                <w:lang w:val="en-US"/>
              </w:rPr>
              <w:t>2</w:t>
            </w:r>
            <w:r>
              <w:rPr>
                <w:rFonts w:ascii="Times New Roman" w:hAnsi="Times New Roman" w:cs="Times New Roman"/>
                <w:color w:val="FF0000"/>
                <w:kern w:val="0"/>
                <w:sz w:val="24"/>
                <w:szCs w:val="24"/>
              </w:rPr>
              <w:t>）室外附属工程包括绿化</w:t>
            </w:r>
            <w:r>
              <w:rPr>
                <w:rFonts w:ascii="Times New Roman" w:hAnsi="Times New Roman" w:cs="Times New Roman"/>
                <w:color w:val="FF0000"/>
                <w:kern w:val="0"/>
                <w:sz w:val="24"/>
                <w:szCs w:val="24"/>
                <w:lang w:val="en-US"/>
              </w:rPr>
              <w:t>和道路</w:t>
            </w:r>
            <w:r>
              <w:rPr>
                <w:rFonts w:ascii="Times New Roman" w:hAnsi="Times New Roman" w:cs="Times New Roman"/>
                <w:color w:val="FF0000"/>
                <w:kern w:val="0"/>
                <w:sz w:val="24"/>
                <w:szCs w:val="24"/>
              </w:rPr>
              <w:t>3953.86</w:t>
            </w:r>
            <w:r>
              <w:rPr>
                <w:rFonts w:ascii="Times New Roman" w:hAnsi="Times New Roman" w:cs="Times New Roman"/>
                <w:color w:val="FF0000"/>
                <w:kern w:val="0"/>
                <w:sz w:val="24"/>
                <w:szCs w:val="24"/>
                <w:lang w:val="en-US"/>
              </w:rPr>
              <w:t>m</w:t>
            </w:r>
            <w:r>
              <w:rPr>
                <w:rFonts w:ascii="Times New Roman" w:hAnsi="Times New Roman" w:cs="Times New Roman"/>
                <w:color w:val="FF0000"/>
                <w:kern w:val="0"/>
                <w:sz w:val="24"/>
                <w:szCs w:val="24"/>
                <w:vertAlign w:val="superscript"/>
                <w:lang w:val="en-US"/>
              </w:rPr>
              <w:t>2</w:t>
            </w:r>
            <w:r>
              <w:rPr>
                <w:rFonts w:ascii="Times New Roman" w:hAnsi="Times New Roman" w:cs="Times New Roman"/>
                <w:color w:val="FF0000"/>
                <w:kern w:val="0"/>
                <w:sz w:val="24"/>
                <w:szCs w:val="24"/>
              </w:rPr>
              <w:t xml:space="preserve">，停车位791.12 </w:t>
            </w:r>
            <w:r>
              <w:rPr>
                <w:rFonts w:ascii="Times New Roman" w:hAnsi="Times New Roman" w:cs="Times New Roman"/>
                <w:color w:val="FF0000"/>
                <w:kern w:val="0"/>
                <w:sz w:val="24"/>
                <w:szCs w:val="24"/>
                <w:lang w:val="en-US"/>
              </w:rPr>
              <w:t>m</w:t>
            </w:r>
            <w:r>
              <w:rPr>
                <w:rFonts w:ascii="Times New Roman" w:hAnsi="Times New Roman" w:cs="Times New Roman"/>
                <w:color w:val="FF0000"/>
                <w:kern w:val="0"/>
                <w:sz w:val="24"/>
                <w:szCs w:val="24"/>
                <w:vertAlign w:val="superscript"/>
                <w:lang w:val="en-US"/>
              </w:rPr>
              <w:t>2</w:t>
            </w:r>
            <w:r>
              <w:rPr>
                <w:rFonts w:ascii="Times New Roman" w:hAnsi="Times New Roman" w:cs="Times New Roman"/>
                <w:color w:val="FF0000"/>
                <w:kern w:val="0"/>
                <w:sz w:val="24"/>
                <w:szCs w:val="24"/>
              </w:rPr>
              <w:t>，围墙600m，清水池</w:t>
            </w:r>
            <w:r>
              <w:rPr>
                <w:rFonts w:ascii="Times New Roman" w:hAnsi="Times New Roman" w:cs="Times New Roman"/>
                <w:color w:val="FF0000"/>
                <w:kern w:val="0"/>
                <w:sz w:val="24"/>
                <w:szCs w:val="24"/>
                <w:lang w:val="en-US"/>
              </w:rPr>
              <w:t>300</w:t>
            </w:r>
            <w:r>
              <w:rPr>
                <w:rFonts w:ascii="Times New Roman" w:hAnsi="Times New Roman" w:cs="Times New Roman"/>
                <w:color w:val="FF0000"/>
                <w:kern w:val="0"/>
                <w:sz w:val="24"/>
                <w:szCs w:val="24"/>
              </w:rPr>
              <w:t xml:space="preserve"> </w:t>
            </w:r>
            <w:r>
              <w:rPr>
                <w:rFonts w:ascii="Times New Roman" w:hAnsi="Times New Roman" w:cs="Times New Roman"/>
                <w:color w:val="FF0000"/>
                <w:kern w:val="0"/>
                <w:sz w:val="24"/>
                <w:szCs w:val="24"/>
                <w:lang w:val="en-US"/>
              </w:rPr>
              <w:t>m</w:t>
            </w:r>
            <w:r>
              <w:rPr>
                <w:rFonts w:ascii="Times New Roman" w:hAnsi="Times New Roman" w:cs="Times New Roman"/>
                <w:color w:val="FF0000"/>
                <w:kern w:val="0"/>
                <w:sz w:val="24"/>
                <w:szCs w:val="24"/>
                <w:vertAlign w:val="superscript"/>
                <w:lang w:val="en-US"/>
              </w:rPr>
              <w:t>3</w:t>
            </w:r>
            <w:r>
              <w:rPr>
                <w:rFonts w:ascii="Times New Roman" w:hAnsi="Times New Roman" w:cs="Times New Roman"/>
                <w:color w:val="FF0000"/>
                <w:kern w:val="0"/>
                <w:sz w:val="24"/>
                <w:szCs w:val="24"/>
                <w:lang w:val="en-US"/>
              </w:rPr>
              <w:t>（2个，每个150m</w:t>
            </w:r>
            <w:r>
              <w:rPr>
                <w:rFonts w:ascii="Times New Roman" w:hAnsi="Times New Roman" w:cs="Times New Roman"/>
                <w:color w:val="FF0000"/>
                <w:kern w:val="0"/>
                <w:sz w:val="24"/>
                <w:szCs w:val="24"/>
                <w:vertAlign w:val="superscript"/>
                <w:lang w:val="en-US"/>
              </w:rPr>
              <w:t>3</w:t>
            </w:r>
            <w:r>
              <w:rPr>
                <w:rFonts w:ascii="Times New Roman" w:hAnsi="Times New Roman" w:cs="Times New Roman"/>
                <w:color w:val="FF0000"/>
                <w:kern w:val="0"/>
                <w:sz w:val="24"/>
                <w:szCs w:val="24"/>
                <w:lang w:val="en-US"/>
              </w:rPr>
              <w:t>）</w:t>
            </w:r>
            <w:r>
              <w:rPr>
                <w:rFonts w:ascii="Times New Roman" w:hAnsi="Times New Roman" w:cs="Times New Roman"/>
                <w:color w:val="FF0000"/>
                <w:kern w:val="0"/>
                <w:sz w:val="24"/>
                <w:szCs w:val="24"/>
              </w:rPr>
              <w:t>，</w:t>
            </w:r>
            <w:r>
              <w:rPr>
                <w:rFonts w:ascii="Times New Roman" w:hAnsi="Times New Roman" w:cs="Times New Roman"/>
                <w:color w:val="FF0000"/>
                <w:kern w:val="0"/>
                <w:sz w:val="24"/>
                <w:szCs w:val="24"/>
                <w:lang w:val="en-US"/>
              </w:rPr>
              <w:t>污泥收集</w:t>
            </w:r>
            <w:r>
              <w:rPr>
                <w:rFonts w:ascii="Times New Roman" w:hAnsi="Times New Roman" w:cs="Times New Roman"/>
                <w:color w:val="FF0000"/>
                <w:kern w:val="0"/>
                <w:sz w:val="24"/>
                <w:szCs w:val="24"/>
              </w:rPr>
              <w:t>池</w:t>
            </w:r>
            <w:r>
              <w:rPr>
                <w:rFonts w:ascii="Times New Roman" w:hAnsi="Times New Roman" w:cs="Times New Roman"/>
                <w:color w:val="FF0000"/>
                <w:kern w:val="0"/>
                <w:sz w:val="24"/>
                <w:szCs w:val="24"/>
                <w:lang w:val="en-US"/>
              </w:rPr>
              <w:t>100</w:t>
            </w:r>
            <w:r>
              <w:rPr>
                <w:rFonts w:ascii="Times New Roman" w:hAnsi="Times New Roman" w:cs="Times New Roman"/>
                <w:color w:val="FF0000"/>
                <w:kern w:val="0"/>
                <w:sz w:val="24"/>
                <w:szCs w:val="24"/>
              </w:rPr>
              <w:t xml:space="preserve"> </w:t>
            </w:r>
            <w:r>
              <w:rPr>
                <w:rFonts w:ascii="Times New Roman" w:hAnsi="Times New Roman" w:cs="Times New Roman"/>
                <w:color w:val="FF0000"/>
                <w:kern w:val="0"/>
                <w:sz w:val="24"/>
                <w:szCs w:val="24"/>
                <w:lang w:val="en-US"/>
              </w:rPr>
              <w:t>m</w:t>
            </w:r>
            <w:r>
              <w:rPr>
                <w:rFonts w:ascii="Times New Roman" w:hAnsi="Times New Roman" w:cs="Times New Roman"/>
                <w:color w:val="FF0000"/>
                <w:kern w:val="0"/>
                <w:sz w:val="24"/>
                <w:szCs w:val="24"/>
                <w:vertAlign w:val="superscript"/>
                <w:lang w:val="en-US"/>
              </w:rPr>
              <w:t>3</w:t>
            </w:r>
            <w:r>
              <w:rPr>
                <w:rFonts w:ascii="Times New Roman" w:hAnsi="Times New Roman" w:cs="Times New Roman"/>
                <w:color w:val="FF0000"/>
                <w:kern w:val="0"/>
                <w:sz w:val="24"/>
                <w:szCs w:val="24"/>
                <w:lang w:val="en-US"/>
              </w:rPr>
              <w:t>（2个，每个50m</w:t>
            </w:r>
            <w:r>
              <w:rPr>
                <w:rFonts w:ascii="Times New Roman" w:hAnsi="Times New Roman" w:cs="Times New Roman"/>
                <w:color w:val="FF0000"/>
                <w:kern w:val="0"/>
                <w:sz w:val="24"/>
                <w:szCs w:val="24"/>
                <w:vertAlign w:val="superscript"/>
                <w:lang w:val="en-US"/>
              </w:rPr>
              <w:t>3</w:t>
            </w:r>
            <w:r>
              <w:rPr>
                <w:rFonts w:ascii="Times New Roman" w:hAnsi="Times New Roman" w:cs="Times New Roman"/>
                <w:color w:val="FF0000"/>
                <w:kern w:val="0"/>
                <w:sz w:val="24"/>
                <w:szCs w:val="24"/>
                <w:lang w:val="en-US"/>
              </w:rPr>
              <w:t>）</w:t>
            </w:r>
            <w:r>
              <w:rPr>
                <w:rFonts w:ascii="Times New Roman" w:hAnsi="Times New Roman" w:cs="Times New Roman"/>
                <w:color w:val="FF0000"/>
                <w:kern w:val="0"/>
                <w:sz w:val="24"/>
                <w:szCs w:val="24"/>
              </w:rPr>
              <w:t>，</w:t>
            </w:r>
            <w:r>
              <w:rPr>
                <w:rFonts w:ascii="Times New Roman" w:hAnsi="Times New Roman" w:cs="Times New Roman"/>
                <w:color w:val="FF0000"/>
                <w:kern w:val="0"/>
                <w:sz w:val="24"/>
                <w:szCs w:val="24"/>
                <w:lang w:val="en-US"/>
              </w:rPr>
              <w:t>生产废水收集池400m</w:t>
            </w:r>
            <w:r>
              <w:rPr>
                <w:rFonts w:ascii="Times New Roman" w:hAnsi="Times New Roman" w:cs="Times New Roman"/>
                <w:color w:val="FF0000"/>
                <w:kern w:val="0"/>
                <w:sz w:val="24"/>
                <w:szCs w:val="24"/>
                <w:vertAlign w:val="superscript"/>
                <w:lang w:val="en-US"/>
              </w:rPr>
              <w:t>3</w:t>
            </w:r>
            <w:r>
              <w:rPr>
                <w:rFonts w:ascii="Times New Roman" w:hAnsi="Times New Roman" w:cs="Times New Roman"/>
                <w:color w:val="FF0000"/>
                <w:kern w:val="0"/>
                <w:sz w:val="24"/>
                <w:szCs w:val="24"/>
                <w:lang w:val="en-US"/>
              </w:rPr>
              <w:t>（2个，每个200m</w:t>
            </w:r>
            <w:r>
              <w:rPr>
                <w:rFonts w:ascii="Times New Roman" w:hAnsi="Times New Roman" w:cs="Times New Roman"/>
                <w:color w:val="FF0000"/>
                <w:kern w:val="0"/>
                <w:sz w:val="24"/>
                <w:szCs w:val="24"/>
                <w:vertAlign w:val="superscript"/>
                <w:lang w:val="en-US"/>
              </w:rPr>
              <w:t>3</w:t>
            </w:r>
            <w:r>
              <w:rPr>
                <w:rFonts w:ascii="Times New Roman" w:hAnsi="Times New Roman" w:cs="Times New Roman"/>
                <w:color w:val="FF0000"/>
                <w:kern w:val="0"/>
                <w:sz w:val="24"/>
                <w:szCs w:val="24"/>
                <w:lang w:val="en-US"/>
              </w:rPr>
              <w:t>）</w:t>
            </w:r>
            <w:r>
              <w:rPr>
                <w:rFonts w:ascii="Times New Roman" w:hAnsi="Times New Roman" w:cs="Times New Roman"/>
                <w:color w:val="FF0000"/>
                <w:kern w:val="0"/>
                <w:sz w:val="24"/>
                <w:szCs w:val="24"/>
              </w:rPr>
              <w:t>。</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项目主要工程内容如下表所示。</w:t>
            </w:r>
          </w:p>
          <w:p>
            <w:pPr>
              <w:pStyle w:val="30"/>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sz w:val="21"/>
                <w:szCs w:val="21"/>
              </w:rPr>
            </w:pPr>
            <w:r>
              <w:rPr>
                <w:rFonts w:hAnsi="Times New Roman" w:eastAsiaTheme="minorEastAsia"/>
                <w:bCs/>
                <w:snapToGrid w:val="0"/>
                <w:sz w:val="21"/>
                <w:szCs w:val="21"/>
              </w:rPr>
              <w:t>表2.1-1 项目建设内容组成一览表</w:t>
            </w:r>
          </w:p>
          <w:tbl>
            <w:tblPr>
              <w:tblStyle w:val="16"/>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720"/>
              <w:gridCol w:w="1071"/>
              <w:gridCol w:w="5018"/>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Align w:val="center"/>
                </w:tcPr>
                <w:p>
                  <w:pPr>
                    <w:pStyle w:val="28"/>
                    <w:spacing w:line="360" w:lineRule="exact"/>
                    <w:rPr>
                      <w:color w:val="auto"/>
                      <w:szCs w:val="21"/>
                    </w:rPr>
                  </w:pPr>
                  <w:r>
                    <w:rPr>
                      <w:color w:val="auto"/>
                      <w:szCs w:val="21"/>
                    </w:rPr>
                    <w:t>类别</w:t>
                  </w:r>
                </w:p>
              </w:tc>
              <w:tc>
                <w:tcPr>
                  <w:tcW w:w="1791" w:type="dxa"/>
                  <w:gridSpan w:val="2"/>
                  <w:vAlign w:val="center"/>
                </w:tcPr>
                <w:p>
                  <w:pPr>
                    <w:pStyle w:val="28"/>
                    <w:spacing w:line="360" w:lineRule="exact"/>
                    <w:rPr>
                      <w:color w:val="auto"/>
                      <w:szCs w:val="21"/>
                    </w:rPr>
                  </w:pPr>
                  <w:r>
                    <w:rPr>
                      <w:color w:val="auto"/>
                      <w:szCs w:val="21"/>
                    </w:rPr>
                    <w:t>工程内容</w:t>
                  </w:r>
                </w:p>
              </w:tc>
              <w:tc>
                <w:tcPr>
                  <w:tcW w:w="5018" w:type="dxa"/>
                  <w:vAlign w:val="center"/>
                </w:tcPr>
                <w:p>
                  <w:pPr>
                    <w:pStyle w:val="28"/>
                    <w:spacing w:line="360" w:lineRule="exact"/>
                    <w:rPr>
                      <w:color w:val="auto"/>
                      <w:szCs w:val="21"/>
                    </w:rPr>
                  </w:pPr>
                  <w:r>
                    <w:rPr>
                      <w:color w:val="auto"/>
                      <w:szCs w:val="21"/>
                    </w:rPr>
                    <w:t>建筑内容及规模</w:t>
                  </w:r>
                </w:p>
              </w:tc>
              <w:tc>
                <w:tcPr>
                  <w:tcW w:w="1064" w:type="dxa"/>
                  <w:vAlign w:val="center"/>
                </w:tcPr>
                <w:p>
                  <w:pPr>
                    <w:pStyle w:val="28"/>
                    <w:spacing w:line="360" w:lineRule="exact"/>
                    <w:rPr>
                      <w:color w:val="auto"/>
                      <w:szCs w:val="21"/>
                    </w:rPr>
                  </w:pPr>
                  <w:r>
                    <w:rPr>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32" w:type="dxa"/>
                  <w:vMerge w:val="restart"/>
                  <w:vAlign w:val="center"/>
                </w:tcPr>
                <w:p>
                  <w:pPr>
                    <w:pStyle w:val="28"/>
                    <w:spacing w:line="360" w:lineRule="exact"/>
                    <w:rPr>
                      <w:color w:val="auto"/>
                      <w:szCs w:val="21"/>
                    </w:rPr>
                  </w:pPr>
                  <w:r>
                    <w:rPr>
                      <w:color w:val="auto"/>
                      <w:szCs w:val="21"/>
                    </w:rPr>
                    <w:t>主体工程</w:t>
                  </w:r>
                </w:p>
              </w:tc>
              <w:tc>
                <w:tcPr>
                  <w:tcW w:w="720" w:type="dxa"/>
                  <w:vMerge w:val="restart"/>
                  <w:vAlign w:val="center"/>
                </w:tcPr>
                <w:p>
                  <w:pPr>
                    <w:pStyle w:val="28"/>
                    <w:spacing w:line="360" w:lineRule="exact"/>
                    <w:rPr>
                      <w:color w:val="auto"/>
                      <w:szCs w:val="21"/>
                    </w:rPr>
                  </w:pPr>
                  <w:r>
                    <w:rPr>
                      <w:color w:val="auto"/>
                      <w:szCs w:val="21"/>
                      <w:lang w:val="en-US"/>
                    </w:rPr>
                    <w:t>1#</w:t>
                  </w:r>
                  <w:r>
                    <w:rPr>
                      <w:color w:val="auto"/>
                      <w:szCs w:val="21"/>
                    </w:rPr>
                    <w:t>生产</w:t>
                  </w:r>
                  <w:r>
                    <w:rPr>
                      <w:color w:val="auto"/>
                      <w:szCs w:val="21"/>
                      <w:lang w:val="en-US"/>
                    </w:rPr>
                    <w:t>线</w:t>
                  </w:r>
                </w:p>
              </w:tc>
              <w:tc>
                <w:tcPr>
                  <w:tcW w:w="1071" w:type="dxa"/>
                  <w:vAlign w:val="center"/>
                </w:tcPr>
                <w:p>
                  <w:pPr>
                    <w:pStyle w:val="28"/>
                    <w:spacing w:line="360" w:lineRule="exact"/>
                    <w:rPr>
                      <w:color w:val="auto"/>
                      <w:szCs w:val="21"/>
                    </w:rPr>
                  </w:pPr>
                  <w:r>
                    <w:rPr>
                      <w:color w:val="auto"/>
                      <w:szCs w:val="21"/>
                      <w:lang w:val="en-US"/>
                    </w:rPr>
                    <w:t>1#</w:t>
                  </w:r>
                  <w:r>
                    <w:rPr>
                      <w:color w:val="auto"/>
                      <w:szCs w:val="21"/>
                    </w:rPr>
                    <w:t>破碎车间</w:t>
                  </w:r>
                </w:p>
              </w:tc>
              <w:tc>
                <w:tcPr>
                  <w:tcW w:w="5018" w:type="dxa"/>
                  <w:vAlign w:val="center"/>
                </w:tcPr>
                <w:p>
                  <w:pPr>
                    <w:pStyle w:val="28"/>
                    <w:spacing w:line="360" w:lineRule="exact"/>
                    <w:ind w:firstLine="210" w:firstLineChars="100"/>
                    <w:jc w:val="both"/>
                    <w:rPr>
                      <w:color w:val="auto"/>
                      <w:szCs w:val="21"/>
                    </w:rPr>
                  </w:pPr>
                  <w:r>
                    <w:rPr>
                      <w:color w:val="auto"/>
                      <w:szCs w:val="21"/>
                    </w:rPr>
                    <w:t>根据设计，项目共设置</w:t>
                  </w:r>
                  <w:r>
                    <w:rPr>
                      <w:color w:val="auto"/>
                      <w:szCs w:val="21"/>
                      <w:lang w:val="en-US"/>
                    </w:rPr>
                    <w:t>1354.68</w:t>
                  </w:r>
                  <w:r>
                    <w:rPr>
                      <w:color w:val="auto"/>
                      <w:szCs w:val="21"/>
                    </w:rPr>
                    <w:t>m²的生产车间，共设置</w:t>
                  </w:r>
                  <w:r>
                    <w:rPr>
                      <w:color w:val="auto"/>
                      <w:szCs w:val="21"/>
                      <w:lang w:val="en-US"/>
                    </w:rPr>
                    <w:t>两</w:t>
                  </w:r>
                  <w:r>
                    <w:rPr>
                      <w:color w:val="auto"/>
                      <w:szCs w:val="21"/>
                    </w:rPr>
                    <w:t>条生产线，生产线包括破碎车间和筛分水洗车间，其中</w:t>
                  </w:r>
                  <w:r>
                    <w:rPr>
                      <w:color w:val="auto"/>
                      <w:szCs w:val="21"/>
                      <w:lang w:val="en-US"/>
                    </w:rPr>
                    <w:t>1#</w:t>
                  </w:r>
                  <w:r>
                    <w:rPr>
                      <w:color w:val="auto"/>
                      <w:szCs w:val="21"/>
                    </w:rPr>
                    <w:t>破碎车间建筑面积约为</w:t>
                  </w:r>
                  <w:r>
                    <w:rPr>
                      <w:color w:val="auto"/>
                      <w:szCs w:val="21"/>
                      <w:lang w:val="en-US"/>
                    </w:rPr>
                    <w:t>200</w:t>
                  </w:r>
                  <w:r>
                    <w:rPr>
                      <w:color w:val="auto"/>
                      <w:szCs w:val="21"/>
                    </w:rPr>
                    <w:t>m²，</w:t>
                  </w:r>
                  <w:r>
                    <w:rPr>
                      <w:color w:val="auto"/>
                      <w:szCs w:val="21"/>
                      <w:lang w:val="en-US"/>
                    </w:rPr>
                    <w:t>1#</w:t>
                  </w:r>
                  <w:r>
                    <w:rPr>
                      <w:color w:val="auto"/>
                      <w:szCs w:val="21"/>
                    </w:rPr>
                    <w:t>破碎车间内配套设置1台</w:t>
                  </w:r>
                  <w:r>
                    <w:rPr>
                      <w:color w:val="auto"/>
                      <w:szCs w:val="21"/>
                      <w:lang w:val="en-US"/>
                    </w:rPr>
                    <w:t>颚式破碎机</w:t>
                  </w:r>
                  <w:r>
                    <w:rPr>
                      <w:color w:val="auto"/>
                      <w:szCs w:val="21"/>
                    </w:rPr>
                    <w:t>对进入厂区的清淤固废（河沙）进行一段破碎。调节颚式破碎机的参数，破碎后的物料其规格均Φ≤1</w:t>
                  </w:r>
                  <w:r>
                    <w:rPr>
                      <w:color w:val="auto"/>
                      <w:szCs w:val="21"/>
                      <w:lang w:val="en-US"/>
                    </w:rPr>
                    <w:t>8</w:t>
                  </w:r>
                  <w:r>
                    <w:rPr>
                      <w:color w:val="auto"/>
                      <w:szCs w:val="21"/>
                    </w:rPr>
                    <w:t>0mm。</w:t>
                  </w:r>
                </w:p>
              </w:tc>
              <w:tc>
                <w:tcPr>
                  <w:tcW w:w="1064" w:type="dxa"/>
                  <w:vAlign w:val="center"/>
                </w:tcPr>
                <w:p>
                  <w:pPr>
                    <w:pStyle w:val="28"/>
                    <w:spacing w:line="360" w:lineRule="exact"/>
                    <w:rPr>
                      <w:color w:val="auto"/>
                      <w:szCs w:val="21"/>
                    </w:rPr>
                  </w:pPr>
                  <w:r>
                    <w:rPr>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vAlign w:val="center"/>
                </w:tcPr>
                <w:p>
                  <w:pPr>
                    <w:pStyle w:val="28"/>
                    <w:spacing w:line="360" w:lineRule="exact"/>
                    <w:rPr>
                      <w:color w:val="auto"/>
                      <w:szCs w:val="21"/>
                    </w:rPr>
                  </w:pPr>
                </w:p>
              </w:tc>
              <w:tc>
                <w:tcPr>
                  <w:tcW w:w="720" w:type="dxa"/>
                  <w:vMerge w:val="continue"/>
                  <w:vAlign w:val="center"/>
                </w:tcPr>
                <w:p>
                  <w:pPr>
                    <w:pStyle w:val="28"/>
                    <w:spacing w:line="360" w:lineRule="exact"/>
                    <w:rPr>
                      <w:color w:val="auto"/>
                      <w:szCs w:val="21"/>
                    </w:rPr>
                  </w:pPr>
                </w:p>
              </w:tc>
              <w:tc>
                <w:tcPr>
                  <w:tcW w:w="1071" w:type="dxa"/>
                  <w:vAlign w:val="center"/>
                </w:tcPr>
                <w:p>
                  <w:pPr>
                    <w:pStyle w:val="28"/>
                    <w:spacing w:line="360" w:lineRule="exact"/>
                    <w:rPr>
                      <w:color w:val="auto"/>
                      <w:szCs w:val="21"/>
                    </w:rPr>
                  </w:pPr>
                  <w:r>
                    <w:rPr>
                      <w:color w:val="auto"/>
                      <w:szCs w:val="21"/>
                    </w:rPr>
                    <w:t>筛分水洗车间</w:t>
                  </w:r>
                </w:p>
              </w:tc>
              <w:tc>
                <w:tcPr>
                  <w:tcW w:w="5018" w:type="dxa"/>
                  <w:vAlign w:val="center"/>
                </w:tcPr>
                <w:p>
                  <w:pPr>
                    <w:pStyle w:val="28"/>
                    <w:spacing w:line="360" w:lineRule="atLeast"/>
                    <w:ind w:firstLine="210" w:firstLineChars="100"/>
                    <w:jc w:val="both"/>
                    <w:rPr>
                      <w:color w:val="auto"/>
                      <w:szCs w:val="21"/>
                    </w:rPr>
                  </w:pPr>
                  <w:r>
                    <w:rPr>
                      <w:color w:val="auto"/>
                      <w:szCs w:val="21"/>
                    </w:rPr>
                    <w:t>根据设计，项目拟设置</w:t>
                  </w:r>
                  <w:r>
                    <w:rPr>
                      <w:color w:val="auto"/>
                      <w:szCs w:val="21"/>
                      <w:lang w:val="en-US"/>
                    </w:rPr>
                    <w:t>建筑面积约400</w:t>
                  </w:r>
                  <w:r>
                    <w:rPr>
                      <w:color w:val="auto"/>
                      <w:szCs w:val="21"/>
                    </w:rPr>
                    <w:t>m²的</w:t>
                  </w:r>
                  <w:r>
                    <w:rPr>
                      <w:color w:val="auto"/>
                      <w:szCs w:val="21"/>
                      <w:lang w:val="en-US"/>
                    </w:rPr>
                    <w:t>1#</w:t>
                  </w:r>
                  <w:r>
                    <w:rPr>
                      <w:color w:val="auto"/>
                      <w:szCs w:val="21"/>
                    </w:rPr>
                    <w:t>筛分水洗车间，该车间内建设设施包括筛分设备、水洗设备和脱水设备。具体如下：</w:t>
                  </w:r>
                </w:p>
                <w:p>
                  <w:pPr>
                    <w:pStyle w:val="28"/>
                    <w:spacing w:line="360" w:lineRule="atLeast"/>
                    <w:ind w:firstLine="210" w:firstLineChars="100"/>
                    <w:jc w:val="both"/>
                    <w:rPr>
                      <w:color w:val="auto"/>
                      <w:szCs w:val="21"/>
                    </w:rPr>
                  </w:pPr>
                  <w:r>
                    <w:rPr>
                      <w:color w:val="auto"/>
                      <w:szCs w:val="21"/>
                    </w:rPr>
                    <w:t>①筛分</w:t>
                  </w:r>
                </w:p>
                <w:p>
                  <w:pPr>
                    <w:spacing w:line="360" w:lineRule="atLeast"/>
                    <w:ind w:firstLine="210" w:firstLineChars="100"/>
                    <w:rPr>
                      <w:rFonts w:ascii="Times New Roman" w:hAnsi="Times New Roman" w:eastAsia="宋体" w:cs="Times New Roman"/>
                      <w:bCs/>
                    </w:rPr>
                  </w:pPr>
                  <w:r>
                    <w:rPr>
                      <w:rFonts w:ascii="Times New Roman" w:hAnsi="Times New Roman" w:eastAsia="宋体" w:cs="Times New Roman"/>
                      <w:bCs/>
                    </w:rPr>
                    <w:t>经过颚式破碎机破碎后Φ≤180mm的物料进入四套振动筛进行筛分，根据需要对四套振动筛配套不同的筛网。其中一级破碎后振动筛筛分得到规格为Φ0-5mm的颗粒料（自然砂），以及规格为Φ5-180mm砂石；二级破碎后振动筛筛分得到规格为Φ0-5mm的颗粒料（机制砂），以及规格为Φ5-50mm砂石；三级破碎后振动筛筛分得到规格为Φ0-5mm的颗粒料（自然砂）、Φ10-20mm的颗粒料、Φ20-31.5mm的颗粒料，以及规格为Φ5-10mm、Φ31.5-50mm的中间料。</w:t>
                  </w:r>
                </w:p>
                <w:p>
                  <w:pPr>
                    <w:spacing w:line="360" w:lineRule="atLeast"/>
                    <w:ind w:firstLine="210" w:firstLineChars="100"/>
                    <w:rPr>
                      <w:rFonts w:ascii="Times New Roman" w:hAnsi="Times New Roman" w:eastAsia="宋体" w:cs="Times New Roman"/>
                      <w:bCs/>
                    </w:rPr>
                  </w:pPr>
                  <w:r>
                    <w:rPr>
                      <w:rFonts w:ascii="Times New Roman" w:hAnsi="Times New Roman" w:eastAsia="宋体" w:cs="Times New Roman"/>
                      <w:bCs/>
                    </w:rPr>
                    <w:t>筛分后，Φ0-5mm的颗粒料进入水洗工序；各中间料，分别进入对应的中转仓暂存后，再次进行破碎加工。</w:t>
                  </w:r>
                </w:p>
                <w:p>
                  <w:pPr>
                    <w:pStyle w:val="28"/>
                    <w:spacing w:line="360" w:lineRule="atLeast"/>
                    <w:ind w:firstLine="210" w:firstLineChars="100"/>
                    <w:jc w:val="both"/>
                    <w:rPr>
                      <w:color w:val="auto"/>
                      <w:szCs w:val="21"/>
                    </w:rPr>
                  </w:pPr>
                  <w:r>
                    <w:rPr>
                      <w:color w:val="auto"/>
                      <w:szCs w:val="21"/>
                    </w:rPr>
                    <w:t>②水洗</w:t>
                  </w:r>
                </w:p>
                <w:p>
                  <w:pPr>
                    <w:pStyle w:val="28"/>
                    <w:spacing w:line="360" w:lineRule="atLeast"/>
                    <w:ind w:firstLine="210" w:firstLineChars="100"/>
                    <w:jc w:val="both"/>
                    <w:rPr>
                      <w:color w:val="auto"/>
                      <w:szCs w:val="21"/>
                    </w:rPr>
                  </w:pPr>
                  <w:r>
                    <w:rPr>
                      <w:color w:val="auto"/>
                      <w:szCs w:val="21"/>
                      <w:lang w:val="en-US"/>
                    </w:rPr>
                    <w:t>1#</w:t>
                  </w:r>
                  <w:r>
                    <w:rPr>
                      <w:color w:val="auto"/>
                      <w:szCs w:val="21"/>
                    </w:rPr>
                    <w:t>筛分水洗车间的水洗工序配套设置两套螺旋洗砂机分别对筛分后的Φ0-</w:t>
                  </w:r>
                  <w:r>
                    <w:rPr>
                      <w:color w:val="auto"/>
                      <w:szCs w:val="21"/>
                      <w:lang w:val="en-US"/>
                    </w:rPr>
                    <w:t>5</w:t>
                  </w:r>
                  <w:r>
                    <w:rPr>
                      <w:color w:val="auto"/>
                      <w:szCs w:val="21"/>
                    </w:rPr>
                    <w:t>mm的颗粒料（</w:t>
                  </w:r>
                  <w:r>
                    <w:rPr>
                      <w:color w:val="auto"/>
                      <w:szCs w:val="21"/>
                      <w:lang w:val="en-US"/>
                    </w:rPr>
                    <w:t>自然砂</w:t>
                  </w:r>
                  <w:r>
                    <w:rPr>
                      <w:color w:val="auto"/>
                      <w:szCs w:val="21"/>
                    </w:rPr>
                    <w:t>）和Φ0-</w:t>
                  </w:r>
                  <w:r>
                    <w:rPr>
                      <w:color w:val="auto"/>
                      <w:szCs w:val="21"/>
                      <w:lang w:val="en-US"/>
                    </w:rPr>
                    <w:t>5</w:t>
                  </w:r>
                  <w:r>
                    <w:rPr>
                      <w:color w:val="auto"/>
                      <w:szCs w:val="21"/>
                    </w:rPr>
                    <w:t>mm的颗粒料（</w:t>
                  </w:r>
                  <w:r>
                    <w:rPr>
                      <w:color w:val="auto"/>
                      <w:szCs w:val="21"/>
                      <w:lang w:val="en-US"/>
                    </w:rPr>
                    <w:t>机制砂</w:t>
                  </w:r>
                  <w:r>
                    <w:rPr>
                      <w:color w:val="auto"/>
                      <w:szCs w:val="21"/>
                    </w:rPr>
                    <w:t>）进行清洗。</w:t>
                  </w:r>
                </w:p>
                <w:p>
                  <w:pPr>
                    <w:pStyle w:val="28"/>
                    <w:spacing w:line="360" w:lineRule="atLeast"/>
                    <w:ind w:firstLine="210" w:firstLineChars="100"/>
                    <w:jc w:val="both"/>
                    <w:rPr>
                      <w:color w:val="auto"/>
                      <w:szCs w:val="21"/>
                    </w:rPr>
                  </w:pPr>
                  <w:r>
                    <w:rPr>
                      <w:color w:val="auto"/>
                      <w:szCs w:val="21"/>
                    </w:rPr>
                    <w:t>③脱水</w:t>
                  </w:r>
                </w:p>
                <w:p>
                  <w:pPr>
                    <w:spacing w:line="360" w:lineRule="atLeast"/>
                    <w:ind w:firstLine="210" w:firstLineChars="100"/>
                    <w:rPr>
                      <w:rFonts w:ascii="Times New Roman" w:hAnsi="Times New Roman" w:eastAsia="宋体" w:cs="Times New Roman"/>
                      <w:bCs/>
                    </w:rPr>
                  </w:pPr>
                  <w:r>
                    <w:rPr>
                      <w:rFonts w:ascii="Times New Roman" w:hAnsi="Times New Roman" w:eastAsia="宋体" w:cs="Times New Roman"/>
                      <w:bCs/>
                      <w:kern w:val="0"/>
                    </w:rPr>
                    <w:t>根据设计，筛分水洗车间的脱水工序配套设置两套脱水筛对水洗后</w:t>
                  </w:r>
                  <w:r>
                    <w:rPr>
                      <w:rFonts w:ascii="Times New Roman" w:hAnsi="Times New Roman" w:eastAsia="宋体" w:cs="Times New Roman"/>
                      <w:bCs/>
                    </w:rPr>
                    <w:t>的Φ0-5mm颗粒料（自然砂）和Φ0-5mm的颗粒料（机制砂）分别进入两套脱水筛进行脱水，脱水后的得到规格为Φ0-5mm颗粒料（自然砂）和Φ0-5mm的颗粒料（机制砂）产品，Φ0-5mm颗粒料（自然砂）产品和Φ0-5mm的颗粒料（机制砂）均进入1#产品库进行堆存。</w:t>
                  </w:r>
                </w:p>
                <w:p>
                  <w:pPr>
                    <w:spacing w:line="360" w:lineRule="atLeast"/>
                    <w:ind w:firstLine="210" w:firstLineChars="100"/>
                    <w:rPr>
                      <w:rFonts w:ascii="Times New Roman" w:hAnsi="Times New Roman" w:eastAsia="宋体" w:cs="Times New Roman"/>
                      <w:bCs/>
                    </w:rPr>
                  </w:pPr>
                  <w:r>
                    <w:rPr>
                      <w:rFonts w:ascii="Times New Roman" w:hAnsi="Times New Roman" w:eastAsia="宋体" w:cs="Times New Roman"/>
                      <w:bCs/>
                    </w:rPr>
                    <w:t>该过程会产生大量的废水，废水进入废水处理系统进行处理后，全部回用不外排。</w:t>
                  </w:r>
                </w:p>
                <w:p>
                  <w:pPr>
                    <w:pStyle w:val="28"/>
                    <w:spacing w:line="360" w:lineRule="exact"/>
                    <w:ind w:firstLine="210" w:firstLineChars="100"/>
                    <w:jc w:val="both"/>
                    <w:rPr>
                      <w:color w:val="auto"/>
                      <w:szCs w:val="21"/>
                    </w:rPr>
                  </w:pPr>
                </w:p>
              </w:tc>
              <w:tc>
                <w:tcPr>
                  <w:tcW w:w="1064" w:type="dxa"/>
                  <w:vAlign w:val="center"/>
                </w:tcPr>
                <w:p>
                  <w:pPr>
                    <w:pStyle w:val="28"/>
                    <w:spacing w:line="360" w:lineRule="exact"/>
                    <w:rPr>
                      <w:color w:val="auto"/>
                      <w:szCs w:val="21"/>
                    </w:rPr>
                  </w:pPr>
                  <w:r>
                    <w:rPr>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vAlign w:val="center"/>
                </w:tcPr>
                <w:p>
                  <w:pPr>
                    <w:pStyle w:val="28"/>
                    <w:spacing w:line="360" w:lineRule="exact"/>
                    <w:rPr>
                      <w:color w:val="auto"/>
                      <w:szCs w:val="21"/>
                    </w:rPr>
                  </w:pPr>
                </w:p>
              </w:tc>
              <w:tc>
                <w:tcPr>
                  <w:tcW w:w="720" w:type="dxa"/>
                  <w:vMerge w:val="continue"/>
                  <w:vAlign w:val="center"/>
                </w:tcPr>
                <w:p>
                  <w:pPr>
                    <w:pStyle w:val="28"/>
                    <w:spacing w:line="360" w:lineRule="exact"/>
                    <w:rPr>
                      <w:color w:val="auto"/>
                      <w:szCs w:val="21"/>
                    </w:rPr>
                  </w:pPr>
                </w:p>
              </w:tc>
              <w:tc>
                <w:tcPr>
                  <w:tcW w:w="1071" w:type="dxa"/>
                  <w:vAlign w:val="center"/>
                </w:tcPr>
                <w:p>
                  <w:pPr>
                    <w:pStyle w:val="28"/>
                    <w:spacing w:line="360" w:lineRule="exact"/>
                    <w:rPr>
                      <w:color w:val="auto"/>
                      <w:szCs w:val="21"/>
                      <w:lang w:val="en-US"/>
                    </w:rPr>
                  </w:pPr>
                  <w:r>
                    <w:rPr>
                      <w:color w:val="auto"/>
                      <w:szCs w:val="21"/>
                      <w:lang w:val="en-US"/>
                    </w:rPr>
                    <w:t>1#检修大棚</w:t>
                  </w:r>
                </w:p>
              </w:tc>
              <w:tc>
                <w:tcPr>
                  <w:tcW w:w="5018" w:type="dxa"/>
                  <w:vAlign w:val="center"/>
                </w:tcPr>
                <w:p>
                  <w:pPr>
                    <w:pStyle w:val="28"/>
                    <w:spacing w:line="360" w:lineRule="exact"/>
                    <w:ind w:firstLine="210" w:firstLineChars="100"/>
                    <w:jc w:val="both"/>
                    <w:rPr>
                      <w:color w:val="auto"/>
                      <w:szCs w:val="21"/>
                      <w:lang w:val="en-US"/>
                    </w:rPr>
                  </w:pPr>
                  <w:r>
                    <w:rPr>
                      <w:color w:val="auto"/>
                      <w:szCs w:val="21"/>
                      <w:lang w:val="en-US"/>
                    </w:rPr>
                    <w:t>项目拟建一座面积约77.34m</w:t>
                  </w:r>
                  <w:r>
                    <w:rPr>
                      <w:color w:val="auto"/>
                      <w:szCs w:val="21"/>
                      <w:vertAlign w:val="superscript"/>
                      <w:lang w:val="en-US"/>
                    </w:rPr>
                    <w:t>2</w:t>
                  </w:r>
                  <w:r>
                    <w:rPr>
                      <w:color w:val="auto"/>
                      <w:szCs w:val="21"/>
                      <w:lang w:val="en-US"/>
                    </w:rPr>
                    <w:t>的1#检修大棚，对1#生产线的设备进行检查、维修</w:t>
                  </w:r>
                </w:p>
              </w:tc>
              <w:tc>
                <w:tcPr>
                  <w:tcW w:w="1064" w:type="dxa"/>
                  <w:vAlign w:val="center"/>
                </w:tcPr>
                <w:p>
                  <w:pPr>
                    <w:pStyle w:val="28"/>
                    <w:spacing w:line="360" w:lineRule="exact"/>
                    <w:rPr>
                      <w:color w:val="auto"/>
                      <w:szCs w:val="21"/>
                      <w:lang w:val="en-US"/>
                    </w:rPr>
                  </w:pPr>
                  <w:r>
                    <w:rPr>
                      <w:color w:val="auto"/>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vAlign w:val="center"/>
                </w:tcPr>
                <w:p>
                  <w:pPr>
                    <w:pStyle w:val="28"/>
                    <w:spacing w:line="360" w:lineRule="exact"/>
                    <w:rPr>
                      <w:color w:val="auto"/>
                      <w:szCs w:val="21"/>
                    </w:rPr>
                  </w:pPr>
                </w:p>
              </w:tc>
              <w:tc>
                <w:tcPr>
                  <w:tcW w:w="720" w:type="dxa"/>
                  <w:vMerge w:val="restart"/>
                  <w:vAlign w:val="center"/>
                </w:tcPr>
                <w:p>
                  <w:pPr>
                    <w:pStyle w:val="28"/>
                    <w:spacing w:line="360" w:lineRule="exact"/>
                    <w:rPr>
                      <w:color w:val="auto"/>
                      <w:szCs w:val="21"/>
                      <w:lang w:val="en-US"/>
                    </w:rPr>
                  </w:pPr>
                  <w:r>
                    <w:rPr>
                      <w:color w:val="auto"/>
                      <w:szCs w:val="21"/>
                      <w:lang w:val="en-US"/>
                    </w:rPr>
                    <w:t>2#生产线</w:t>
                  </w:r>
                </w:p>
              </w:tc>
              <w:tc>
                <w:tcPr>
                  <w:tcW w:w="1071" w:type="dxa"/>
                  <w:vAlign w:val="center"/>
                </w:tcPr>
                <w:p>
                  <w:pPr>
                    <w:pStyle w:val="28"/>
                    <w:spacing w:line="360" w:lineRule="exact"/>
                    <w:rPr>
                      <w:color w:val="auto"/>
                      <w:szCs w:val="21"/>
                    </w:rPr>
                  </w:pPr>
                  <w:r>
                    <w:rPr>
                      <w:color w:val="auto"/>
                      <w:szCs w:val="21"/>
                      <w:lang w:val="en-US"/>
                    </w:rPr>
                    <w:t>2#</w:t>
                  </w:r>
                  <w:r>
                    <w:rPr>
                      <w:color w:val="auto"/>
                      <w:szCs w:val="21"/>
                    </w:rPr>
                    <w:t>破碎车间</w:t>
                  </w:r>
                </w:p>
              </w:tc>
              <w:tc>
                <w:tcPr>
                  <w:tcW w:w="5018" w:type="dxa"/>
                  <w:vAlign w:val="center"/>
                </w:tcPr>
                <w:p>
                  <w:pPr>
                    <w:pStyle w:val="28"/>
                    <w:spacing w:line="360" w:lineRule="exact"/>
                    <w:ind w:firstLine="210" w:firstLineChars="100"/>
                    <w:jc w:val="both"/>
                    <w:rPr>
                      <w:color w:val="auto"/>
                      <w:szCs w:val="21"/>
                    </w:rPr>
                  </w:pPr>
                  <w:r>
                    <w:rPr>
                      <w:color w:val="auto"/>
                      <w:szCs w:val="21"/>
                      <w:lang w:val="en-US"/>
                    </w:rPr>
                    <w:t>2#</w:t>
                  </w:r>
                  <w:r>
                    <w:rPr>
                      <w:color w:val="auto"/>
                      <w:szCs w:val="21"/>
                    </w:rPr>
                    <w:t>破碎车间建筑面积约为</w:t>
                  </w:r>
                  <w:r>
                    <w:rPr>
                      <w:color w:val="auto"/>
                      <w:szCs w:val="21"/>
                      <w:lang w:val="en-US"/>
                    </w:rPr>
                    <w:t>200</w:t>
                  </w:r>
                  <w:r>
                    <w:rPr>
                      <w:color w:val="auto"/>
                      <w:szCs w:val="21"/>
                    </w:rPr>
                    <w:t>m²，</w:t>
                  </w:r>
                  <w:r>
                    <w:rPr>
                      <w:color w:val="auto"/>
                      <w:szCs w:val="21"/>
                      <w:lang w:val="en-US"/>
                    </w:rPr>
                    <w:t>2#</w:t>
                  </w:r>
                  <w:r>
                    <w:rPr>
                      <w:color w:val="auto"/>
                      <w:szCs w:val="21"/>
                    </w:rPr>
                    <w:t>破碎车间内配套设置1台</w:t>
                  </w:r>
                  <w:r>
                    <w:rPr>
                      <w:color w:val="auto"/>
                      <w:szCs w:val="21"/>
                      <w:lang w:val="en-US"/>
                    </w:rPr>
                    <w:t>颚式破碎机</w:t>
                  </w:r>
                  <w:r>
                    <w:rPr>
                      <w:color w:val="auto"/>
                      <w:szCs w:val="21"/>
                    </w:rPr>
                    <w:t>对进入厂区的清淤固废（河沙）进行一段破碎。调节颚式破碎机的参数，破碎后的物料其规格均Φ≤1</w:t>
                  </w:r>
                  <w:r>
                    <w:rPr>
                      <w:color w:val="auto"/>
                      <w:szCs w:val="21"/>
                      <w:lang w:val="en-US"/>
                    </w:rPr>
                    <w:t>8</w:t>
                  </w:r>
                  <w:r>
                    <w:rPr>
                      <w:color w:val="auto"/>
                      <w:szCs w:val="21"/>
                    </w:rPr>
                    <w:t>0mm。</w:t>
                  </w:r>
                </w:p>
              </w:tc>
              <w:tc>
                <w:tcPr>
                  <w:tcW w:w="1064" w:type="dxa"/>
                  <w:vAlign w:val="center"/>
                </w:tcPr>
                <w:p>
                  <w:pPr>
                    <w:pStyle w:val="28"/>
                    <w:spacing w:line="360" w:lineRule="exact"/>
                    <w:rPr>
                      <w:color w:val="auto"/>
                      <w:szCs w:val="21"/>
                      <w:lang w:val="en-US"/>
                    </w:rPr>
                  </w:pPr>
                  <w:r>
                    <w:rPr>
                      <w:color w:val="auto"/>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vAlign w:val="center"/>
                </w:tcPr>
                <w:p>
                  <w:pPr>
                    <w:pStyle w:val="28"/>
                    <w:spacing w:line="360" w:lineRule="exact"/>
                    <w:rPr>
                      <w:color w:val="auto"/>
                      <w:szCs w:val="21"/>
                    </w:rPr>
                  </w:pPr>
                </w:p>
              </w:tc>
              <w:tc>
                <w:tcPr>
                  <w:tcW w:w="720" w:type="dxa"/>
                  <w:vMerge w:val="continue"/>
                  <w:vAlign w:val="center"/>
                </w:tcPr>
                <w:p>
                  <w:pPr>
                    <w:pStyle w:val="28"/>
                    <w:spacing w:line="360" w:lineRule="exact"/>
                    <w:rPr>
                      <w:color w:val="auto"/>
                      <w:szCs w:val="21"/>
                    </w:rPr>
                  </w:pPr>
                </w:p>
              </w:tc>
              <w:tc>
                <w:tcPr>
                  <w:tcW w:w="1071" w:type="dxa"/>
                  <w:vAlign w:val="center"/>
                </w:tcPr>
                <w:p>
                  <w:pPr>
                    <w:pStyle w:val="28"/>
                    <w:spacing w:line="360" w:lineRule="exact"/>
                    <w:rPr>
                      <w:color w:val="auto"/>
                      <w:szCs w:val="21"/>
                    </w:rPr>
                  </w:pPr>
                  <w:r>
                    <w:rPr>
                      <w:color w:val="auto"/>
                      <w:szCs w:val="21"/>
                    </w:rPr>
                    <w:t>筛分水洗车间</w:t>
                  </w:r>
                </w:p>
              </w:tc>
              <w:tc>
                <w:tcPr>
                  <w:tcW w:w="5018" w:type="dxa"/>
                  <w:vAlign w:val="center"/>
                </w:tcPr>
                <w:p>
                  <w:pPr>
                    <w:pStyle w:val="28"/>
                    <w:spacing w:line="360" w:lineRule="atLeast"/>
                    <w:ind w:firstLine="210" w:firstLineChars="100"/>
                    <w:jc w:val="both"/>
                    <w:rPr>
                      <w:color w:val="auto"/>
                      <w:szCs w:val="21"/>
                    </w:rPr>
                  </w:pPr>
                  <w:r>
                    <w:rPr>
                      <w:color w:val="auto"/>
                      <w:szCs w:val="21"/>
                    </w:rPr>
                    <w:t>根据设计，项目拟设置</w:t>
                  </w:r>
                  <w:r>
                    <w:rPr>
                      <w:color w:val="auto"/>
                      <w:szCs w:val="21"/>
                      <w:lang w:val="en-US"/>
                    </w:rPr>
                    <w:t>建筑面积约400</w:t>
                  </w:r>
                  <w:r>
                    <w:rPr>
                      <w:color w:val="auto"/>
                      <w:szCs w:val="21"/>
                    </w:rPr>
                    <w:t>m²的</w:t>
                  </w:r>
                  <w:r>
                    <w:rPr>
                      <w:color w:val="auto"/>
                      <w:szCs w:val="21"/>
                      <w:lang w:val="en-US"/>
                    </w:rPr>
                    <w:t>2#</w:t>
                  </w:r>
                  <w:r>
                    <w:rPr>
                      <w:color w:val="auto"/>
                      <w:szCs w:val="21"/>
                    </w:rPr>
                    <w:t>筛分水洗车间，该车间内建设设施包括筛分设备、水洗设备和脱水设备。具体如下：</w:t>
                  </w:r>
                </w:p>
                <w:p>
                  <w:pPr>
                    <w:pStyle w:val="28"/>
                    <w:spacing w:line="360" w:lineRule="atLeast"/>
                    <w:ind w:firstLine="210" w:firstLineChars="100"/>
                    <w:jc w:val="both"/>
                    <w:rPr>
                      <w:color w:val="auto"/>
                      <w:szCs w:val="21"/>
                    </w:rPr>
                  </w:pPr>
                  <w:r>
                    <w:rPr>
                      <w:color w:val="auto"/>
                      <w:szCs w:val="21"/>
                    </w:rPr>
                    <w:t>①筛分</w:t>
                  </w:r>
                </w:p>
                <w:p>
                  <w:pPr>
                    <w:spacing w:line="360" w:lineRule="atLeast"/>
                    <w:ind w:firstLine="210" w:firstLineChars="100"/>
                    <w:rPr>
                      <w:rFonts w:ascii="Times New Roman" w:hAnsi="Times New Roman" w:eastAsia="宋体" w:cs="Times New Roman"/>
                      <w:bCs/>
                    </w:rPr>
                  </w:pPr>
                  <w:r>
                    <w:rPr>
                      <w:rFonts w:ascii="Times New Roman" w:hAnsi="Times New Roman" w:eastAsia="宋体" w:cs="Times New Roman"/>
                      <w:bCs/>
                    </w:rPr>
                    <w:t>经过颚式破碎机破碎后Φ≤180mm的物料进入四套振动筛进行筛分，根据需要对四套振动筛配套不同的筛网。其中一级破碎后振动筛筛分得到规格为Φ0-5mm的颗粒料（自然砂），以及规格为Φ5-180mm砂石；二级破碎后振动筛筛分得到规格为Φ0-5mm的颗粒料（机制砂），以及规格为Φ5-50mm砂石；三级破碎后振动筛筛分得到规格为Φ0-5mm的颗粒料（自然砂）、Φ10-20mm的颗粒料、Φ20-31.5mm的颗粒料，以及规格为Φ5-10mm、Φ31.5-50mm的中间料。</w:t>
                  </w:r>
                </w:p>
                <w:p>
                  <w:pPr>
                    <w:spacing w:line="360" w:lineRule="atLeast"/>
                    <w:ind w:firstLine="210" w:firstLineChars="100"/>
                    <w:rPr>
                      <w:rFonts w:ascii="Times New Roman" w:hAnsi="Times New Roman" w:eastAsia="宋体" w:cs="Times New Roman"/>
                      <w:bCs/>
                    </w:rPr>
                  </w:pPr>
                  <w:r>
                    <w:rPr>
                      <w:rFonts w:ascii="Times New Roman" w:hAnsi="Times New Roman" w:eastAsia="宋体" w:cs="Times New Roman"/>
                      <w:bCs/>
                    </w:rPr>
                    <w:t>筛分后，Φ0-5mm的颗粒料进入水洗工序；各中间料，分别进入对应的中转仓暂存后，再次进行破碎加工。</w:t>
                  </w:r>
                </w:p>
                <w:p>
                  <w:pPr>
                    <w:pStyle w:val="28"/>
                    <w:spacing w:line="360" w:lineRule="atLeast"/>
                    <w:ind w:firstLine="210" w:firstLineChars="100"/>
                    <w:jc w:val="both"/>
                    <w:rPr>
                      <w:color w:val="auto"/>
                      <w:szCs w:val="21"/>
                    </w:rPr>
                  </w:pPr>
                  <w:r>
                    <w:rPr>
                      <w:color w:val="auto"/>
                      <w:szCs w:val="21"/>
                    </w:rPr>
                    <w:t>②水洗</w:t>
                  </w:r>
                </w:p>
                <w:p>
                  <w:pPr>
                    <w:pStyle w:val="28"/>
                    <w:spacing w:line="360" w:lineRule="atLeast"/>
                    <w:ind w:firstLine="210" w:firstLineChars="100"/>
                    <w:jc w:val="both"/>
                    <w:rPr>
                      <w:color w:val="auto"/>
                      <w:szCs w:val="21"/>
                    </w:rPr>
                  </w:pPr>
                  <w:r>
                    <w:rPr>
                      <w:color w:val="auto"/>
                      <w:szCs w:val="21"/>
                      <w:lang w:val="en-US"/>
                    </w:rPr>
                    <w:t>2#</w:t>
                  </w:r>
                  <w:r>
                    <w:rPr>
                      <w:color w:val="auto"/>
                      <w:szCs w:val="21"/>
                    </w:rPr>
                    <w:t>筛分水洗车间的水洗工序配套设置两套螺旋洗砂机分别对筛分后的Φ0-</w:t>
                  </w:r>
                  <w:r>
                    <w:rPr>
                      <w:color w:val="auto"/>
                      <w:szCs w:val="21"/>
                      <w:lang w:val="en-US"/>
                    </w:rPr>
                    <w:t>5</w:t>
                  </w:r>
                  <w:r>
                    <w:rPr>
                      <w:color w:val="auto"/>
                      <w:szCs w:val="21"/>
                    </w:rPr>
                    <w:t>mm的颗粒料（</w:t>
                  </w:r>
                  <w:r>
                    <w:rPr>
                      <w:color w:val="auto"/>
                      <w:szCs w:val="21"/>
                      <w:lang w:val="en-US"/>
                    </w:rPr>
                    <w:t>自然砂</w:t>
                  </w:r>
                  <w:r>
                    <w:rPr>
                      <w:color w:val="auto"/>
                      <w:szCs w:val="21"/>
                    </w:rPr>
                    <w:t>）和Φ0-</w:t>
                  </w:r>
                  <w:r>
                    <w:rPr>
                      <w:color w:val="auto"/>
                      <w:szCs w:val="21"/>
                      <w:lang w:val="en-US"/>
                    </w:rPr>
                    <w:t>5</w:t>
                  </w:r>
                  <w:r>
                    <w:rPr>
                      <w:color w:val="auto"/>
                      <w:szCs w:val="21"/>
                    </w:rPr>
                    <w:t>mm的颗粒料（</w:t>
                  </w:r>
                  <w:r>
                    <w:rPr>
                      <w:color w:val="auto"/>
                      <w:szCs w:val="21"/>
                      <w:lang w:val="en-US"/>
                    </w:rPr>
                    <w:t>机制砂</w:t>
                  </w:r>
                  <w:r>
                    <w:rPr>
                      <w:color w:val="auto"/>
                      <w:szCs w:val="21"/>
                    </w:rPr>
                    <w:t>）进行清洗。</w:t>
                  </w:r>
                </w:p>
                <w:p>
                  <w:pPr>
                    <w:pStyle w:val="28"/>
                    <w:spacing w:line="360" w:lineRule="atLeast"/>
                    <w:ind w:firstLine="210" w:firstLineChars="100"/>
                    <w:jc w:val="both"/>
                    <w:rPr>
                      <w:color w:val="auto"/>
                      <w:szCs w:val="21"/>
                    </w:rPr>
                  </w:pPr>
                  <w:r>
                    <w:rPr>
                      <w:color w:val="auto"/>
                      <w:szCs w:val="21"/>
                    </w:rPr>
                    <w:t>③脱水</w:t>
                  </w:r>
                </w:p>
                <w:p>
                  <w:pPr>
                    <w:spacing w:line="360" w:lineRule="atLeast"/>
                    <w:ind w:firstLine="210" w:firstLineChars="100"/>
                    <w:rPr>
                      <w:rFonts w:ascii="Times New Roman" w:hAnsi="Times New Roman" w:eastAsia="宋体" w:cs="Times New Roman"/>
                      <w:bCs/>
                    </w:rPr>
                  </w:pPr>
                  <w:r>
                    <w:rPr>
                      <w:rFonts w:ascii="Times New Roman" w:hAnsi="Times New Roman" w:eastAsia="宋体" w:cs="Times New Roman"/>
                      <w:bCs/>
                      <w:kern w:val="0"/>
                    </w:rPr>
                    <w:t>根据设计，筛分水洗车间的脱水工序配套设置两套脱水筛对水洗后</w:t>
                  </w:r>
                  <w:r>
                    <w:rPr>
                      <w:rFonts w:ascii="Times New Roman" w:hAnsi="Times New Roman" w:eastAsia="宋体" w:cs="Times New Roman"/>
                      <w:bCs/>
                    </w:rPr>
                    <w:t>的Φ0-5mm颗粒料（自然砂）和Φ0-5mm的颗粒料（机制砂）分别进入两套脱水筛进行脱水，脱水后的得到规格为Φ0-5mm颗粒料（自然砂）和Φ0-5mm的颗粒料（机制砂）产品，Φ0-5mm颗粒料（自然砂）产品和Φ0-5mm的颗粒料（机制砂）均进入1#产品库进行堆存。</w:t>
                  </w:r>
                </w:p>
                <w:p>
                  <w:pPr>
                    <w:spacing w:line="360" w:lineRule="atLeast"/>
                    <w:ind w:firstLine="210" w:firstLineChars="100"/>
                    <w:rPr>
                      <w:rFonts w:ascii="Times New Roman" w:hAnsi="Times New Roman" w:eastAsia="宋体" w:cs="Times New Roman"/>
                      <w:bCs/>
                    </w:rPr>
                  </w:pPr>
                  <w:r>
                    <w:rPr>
                      <w:rFonts w:ascii="Times New Roman" w:hAnsi="Times New Roman" w:eastAsia="宋体" w:cs="Times New Roman"/>
                      <w:bCs/>
                    </w:rPr>
                    <w:t>该过程会产生大量的废水，废水进入废水处理系统进行处理后，全部回用不外排。</w:t>
                  </w:r>
                </w:p>
                <w:p>
                  <w:pPr>
                    <w:pStyle w:val="28"/>
                    <w:spacing w:line="360" w:lineRule="exact"/>
                    <w:ind w:firstLine="210" w:firstLineChars="100"/>
                    <w:jc w:val="both"/>
                    <w:rPr>
                      <w:color w:val="auto"/>
                      <w:szCs w:val="21"/>
                    </w:rPr>
                  </w:pPr>
                </w:p>
              </w:tc>
              <w:tc>
                <w:tcPr>
                  <w:tcW w:w="1064" w:type="dxa"/>
                  <w:vAlign w:val="center"/>
                </w:tcPr>
                <w:p>
                  <w:pPr>
                    <w:pStyle w:val="28"/>
                    <w:spacing w:line="360" w:lineRule="exact"/>
                    <w:rPr>
                      <w:color w:val="auto"/>
                      <w:szCs w:val="21"/>
                      <w:lang w:val="en-US"/>
                    </w:rPr>
                  </w:pPr>
                  <w:r>
                    <w:rPr>
                      <w:color w:val="auto"/>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vAlign w:val="center"/>
                </w:tcPr>
                <w:p>
                  <w:pPr>
                    <w:pStyle w:val="28"/>
                    <w:spacing w:line="360" w:lineRule="exact"/>
                    <w:rPr>
                      <w:color w:val="auto"/>
                      <w:szCs w:val="21"/>
                    </w:rPr>
                  </w:pPr>
                </w:p>
              </w:tc>
              <w:tc>
                <w:tcPr>
                  <w:tcW w:w="720" w:type="dxa"/>
                  <w:vMerge w:val="continue"/>
                  <w:vAlign w:val="center"/>
                </w:tcPr>
                <w:p>
                  <w:pPr>
                    <w:pStyle w:val="28"/>
                    <w:spacing w:line="360" w:lineRule="exact"/>
                    <w:rPr>
                      <w:color w:val="auto"/>
                      <w:szCs w:val="21"/>
                    </w:rPr>
                  </w:pPr>
                </w:p>
              </w:tc>
              <w:tc>
                <w:tcPr>
                  <w:tcW w:w="1071" w:type="dxa"/>
                  <w:vAlign w:val="center"/>
                </w:tcPr>
                <w:p>
                  <w:pPr>
                    <w:pStyle w:val="28"/>
                    <w:spacing w:line="360" w:lineRule="exact"/>
                    <w:rPr>
                      <w:color w:val="auto"/>
                      <w:szCs w:val="21"/>
                    </w:rPr>
                  </w:pPr>
                  <w:r>
                    <w:rPr>
                      <w:color w:val="auto"/>
                      <w:szCs w:val="21"/>
                      <w:lang w:val="en-US"/>
                    </w:rPr>
                    <w:t>2#检修大棚</w:t>
                  </w:r>
                </w:p>
              </w:tc>
              <w:tc>
                <w:tcPr>
                  <w:tcW w:w="5018" w:type="dxa"/>
                  <w:vAlign w:val="center"/>
                </w:tcPr>
                <w:p>
                  <w:pPr>
                    <w:pStyle w:val="28"/>
                    <w:spacing w:line="360" w:lineRule="exact"/>
                    <w:ind w:firstLine="210" w:firstLineChars="100"/>
                    <w:jc w:val="both"/>
                    <w:rPr>
                      <w:color w:val="auto"/>
                      <w:szCs w:val="21"/>
                    </w:rPr>
                  </w:pPr>
                  <w:r>
                    <w:rPr>
                      <w:color w:val="auto"/>
                      <w:szCs w:val="21"/>
                      <w:lang w:val="en-US"/>
                    </w:rPr>
                    <w:t>项目拟建一座面积约77.34m</w:t>
                  </w:r>
                  <w:r>
                    <w:rPr>
                      <w:color w:val="auto"/>
                      <w:szCs w:val="21"/>
                      <w:vertAlign w:val="superscript"/>
                      <w:lang w:val="en-US"/>
                    </w:rPr>
                    <w:t>2</w:t>
                  </w:r>
                  <w:r>
                    <w:rPr>
                      <w:color w:val="auto"/>
                      <w:szCs w:val="21"/>
                      <w:lang w:val="en-US"/>
                    </w:rPr>
                    <w:t>的2#检修大棚，对2#生产线的设备进行检查、维修</w:t>
                  </w:r>
                </w:p>
              </w:tc>
              <w:tc>
                <w:tcPr>
                  <w:tcW w:w="1064" w:type="dxa"/>
                  <w:vAlign w:val="center"/>
                </w:tcPr>
                <w:p>
                  <w:pPr>
                    <w:pStyle w:val="28"/>
                    <w:spacing w:line="360" w:lineRule="exact"/>
                    <w:rPr>
                      <w:color w:val="auto"/>
                      <w:szCs w:val="21"/>
                      <w:lang w:val="en-US"/>
                    </w:rPr>
                  </w:pPr>
                  <w:r>
                    <w:rPr>
                      <w:color w:val="auto"/>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restart"/>
                  <w:shd w:val="clear" w:color="auto" w:fill="auto"/>
                  <w:vAlign w:val="center"/>
                </w:tcPr>
                <w:p>
                  <w:pPr>
                    <w:pStyle w:val="28"/>
                    <w:spacing w:line="360" w:lineRule="exact"/>
                    <w:rPr>
                      <w:color w:val="auto"/>
                      <w:szCs w:val="21"/>
                    </w:rPr>
                  </w:pPr>
                  <w:r>
                    <w:rPr>
                      <w:color w:val="auto"/>
                      <w:szCs w:val="21"/>
                    </w:rPr>
                    <w:t>储运工程</w:t>
                  </w:r>
                </w:p>
              </w:tc>
              <w:tc>
                <w:tcPr>
                  <w:tcW w:w="1791" w:type="dxa"/>
                  <w:gridSpan w:val="2"/>
                  <w:vAlign w:val="center"/>
                </w:tcPr>
                <w:p>
                  <w:pPr>
                    <w:pStyle w:val="28"/>
                    <w:spacing w:line="360" w:lineRule="exact"/>
                    <w:rPr>
                      <w:color w:val="auto"/>
                      <w:szCs w:val="21"/>
                    </w:rPr>
                  </w:pPr>
                  <w:r>
                    <w:rPr>
                      <w:color w:val="auto"/>
                      <w:szCs w:val="21"/>
                    </w:rPr>
                    <w:t>原料堆场</w:t>
                  </w:r>
                </w:p>
              </w:tc>
              <w:tc>
                <w:tcPr>
                  <w:tcW w:w="5018" w:type="dxa"/>
                  <w:shd w:val="clear" w:color="auto" w:fill="auto"/>
                  <w:vAlign w:val="center"/>
                </w:tcPr>
                <w:p>
                  <w:pPr>
                    <w:pStyle w:val="28"/>
                    <w:spacing w:line="360" w:lineRule="exact"/>
                    <w:ind w:firstLine="210" w:firstLineChars="100"/>
                    <w:jc w:val="both"/>
                    <w:rPr>
                      <w:color w:val="auto"/>
                      <w:szCs w:val="21"/>
                    </w:rPr>
                  </w:pPr>
                  <w:r>
                    <w:rPr>
                      <w:color w:val="auto"/>
                      <w:szCs w:val="21"/>
                    </w:rPr>
                    <w:t>根据项目所在区域的特点，为降低清淤固废（河沙）暂存对环境造成的影响，项目对小江小李庄段产生的清淤固废（河沙）直接运输至厂区生产车间进行加工，不再设置原料堆场。</w:t>
                  </w:r>
                </w:p>
              </w:tc>
              <w:tc>
                <w:tcPr>
                  <w:tcW w:w="1064" w:type="dxa"/>
                  <w:vAlign w:val="center"/>
                </w:tcPr>
                <w:p>
                  <w:pPr>
                    <w:pStyle w:val="28"/>
                    <w:spacing w:line="360" w:lineRule="exact"/>
                    <w:ind w:firstLine="210" w:firstLineChars="100"/>
                    <w:jc w:val="both"/>
                    <w:rPr>
                      <w:color w:val="auto"/>
                      <w:szCs w:val="21"/>
                    </w:rPr>
                  </w:pPr>
                  <w:r>
                    <w:rPr>
                      <w:color w:val="auto"/>
                      <w:szCs w:val="21"/>
                    </w:rPr>
                    <w:t>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shd w:val="clear" w:color="auto" w:fill="auto"/>
                  <w:vAlign w:val="center"/>
                </w:tcPr>
                <w:p>
                  <w:pPr>
                    <w:pStyle w:val="28"/>
                    <w:spacing w:line="360" w:lineRule="exact"/>
                    <w:rPr>
                      <w:color w:val="auto"/>
                      <w:szCs w:val="21"/>
                    </w:rPr>
                  </w:pPr>
                </w:p>
              </w:tc>
              <w:tc>
                <w:tcPr>
                  <w:tcW w:w="1791" w:type="dxa"/>
                  <w:gridSpan w:val="2"/>
                  <w:vAlign w:val="center"/>
                </w:tcPr>
                <w:p>
                  <w:pPr>
                    <w:pStyle w:val="28"/>
                    <w:spacing w:line="360" w:lineRule="exact"/>
                    <w:rPr>
                      <w:color w:val="auto"/>
                      <w:szCs w:val="21"/>
                    </w:rPr>
                  </w:pPr>
                  <w:r>
                    <w:rPr>
                      <w:color w:val="auto"/>
                      <w:szCs w:val="21"/>
                    </w:rPr>
                    <w:t>中转仓</w:t>
                  </w:r>
                </w:p>
              </w:tc>
              <w:tc>
                <w:tcPr>
                  <w:tcW w:w="5018" w:type="dxa"/>
                  <w:shd w:val="clear" w:color="auto" w:fill="auto"/>
                  <w:vAlign w:val="center"/>
                </w:tcPr>
                <w:p>
                  <w:pPr>
                    <w:pStyle w:val="28"/>
                    <w:spacing w:line="360" w:lineRule="exact"/>
                    <w:ind w:firstLine="210" w:firstLineChars="100"/>
                    <w:jc w:val="both"/>
                    <w:rPr>
                      <w:color w:val="auto"/>
                      <w:szCs w:val="21"/>
                    </w:rPr>
                  </w:pPr>
                  <w:r>
                    <w:rPr>
                      <w:color w:val="auto"/>
                      <w:szCs w:val="21"/>
                    </w:rPr>
                    <w:t>根据设计，项目拟在破碎车间前端配套设置1个中转仓，该中转仓拟分为</w:t>
                  </w:r>
                  <w:r>
                    <w:rPr>
                      <w:color w:val="auto"/>
                      <w:szCs w:val="21"/>
                      <w:lang w:val="en-US"/>
                    </w:rPr>
                    <w:t>2</w:t>
                  </w:r>
                  <w:r>
                    <w:rPr>
                      <w:color w:val="auto"/>
                      <w:szCs w:val="21"/>
                    </w:rPr>
                    <w:t>格对筛分水洗车间产生的规格为Φ</w:t>
                  </w:r>
                  <w:r>
                    <w:rPr>
                      <w:color w:val="auto"/>
                      <w:szCs w:val="21"/>
                      <w:lang w:val="en-US"/>
                    </w:rPr>
                    <w:t>5-10</w:t>
                  </w:r>
                  <w:r>
                    <w:rPr>
                      <w:color w:val="auto"/>
                      <w:szCs w:val="21"/>
                    </w:rPr>
                    <w:t>mm、Φ</w:t>
                  </w:r>
                  <w:r>
                    <w:rPr>
                      <w:color w:val="auto"/>
                      <w:szCs w:val="21"/>
                      <w:lang w:val="en-US"/>
                    </w:rPr>
                    <w:t>31.5-50</w:t>
                  </w:r>
                  <w:r>
                    <w:rPr>
                      <w:color w:val="auto"/>
                      <w:szCs w:val="21"/>
                    </w:rPr>
                    <w:t>mm的中间料进行暂存，便于进入破碎车间各规格配套设置的破碎机进行破碎。</w:t>
                  </w:r>
                </w:p>
              </w:tc>
              <w:tc>
                <w:tcPr>
                  <w:tcW w:w="1064" w:type="dxa"/>
                  <w:vAlign w:val="center"/>
                </w:tcPr>
                <w:p>
                  <w:pPr>
                    <w:pStyle w:val="28"/>
                    <w:spacing w:line="360" w:lineRule="exact"/>
                    <w:ind w:firstLine="210" w:firstLineChars="100"/>
                    <w:jc w:val="both"/>
                    <w:rPr>
                      <w:color w:val="auto"/>
                      <w:szCs w:val="21"/>
                    </w:rPr>
                  </w:pPr>
                  <w:r>
                    <w:rPr>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shd w:val="clear" w:color="auto" w:fill="auto"/>
                  <w:vAlign w:val="center"/>
                </w:tcPr>
                <w:p>
                  <w:pPr>
                    <w:pStyle w:val="28"/>
                    <w:spacing w:line="360" w:lineRule="exact"/>
                    <w:rPr>
                      <w:color w:val="auto"/>
                      <w:szCs w:val="21"/>
                    </w:rPr>
                  </w:pPr>
                </w:p>
              </w:tc>
              <w:tc>
                <w:tcPr>
                  <w:tcW w:w="1791" w:type="dxa"/>
                  <w:gridSpan w:val="2"/>
                  <w:vAlign w:val="center"/>
                </w:tcPr>
                <w:p>
                  <w:pPr>
                    <w:pStyle w:val="28"/>
                    <w:spacing w:line="360" w:lineRule="exact"/>
                    <w:rPr>
                      <w:color w:val="auto"/>
                      <w:szCs w:val="21"/>
                    </w:rPr>
                  </w:pPr>
                  <w:r>
                    <w:rPr>
                      <w:color w:val="auto"/>
                      <w:szCs w:val="21"/>
                    </w:rPr>
                    <w:t>产品库</w:t>
                  </w:r>
                </w:p>
              </w:tc>
              <w:tc>
                <w:tcPr>
                  <w:tcW w:w="5018" w:type="dxa"/>
                  <w:shd w:val="clear" w:color="auto" w:fill="auto"/>
                  <w:vAlign w:val="center"/>
                </w:tcPr>
                <w:p>
                  <w:pPr>
                    <w:pStyle w:val="28"/>
                    <w:spacing w:line="360" w:lineRule="exact"/>
                    <w:ind w:firstLine="210" w:firstLineChars="100"/>
                    <w:jc w:val="both"/>
                    <w:rPr>
                      <w:color w:val="auto"/>
                      <w:szCs w:val="21"/>
                    </w:rPr>
                  </w:pPr>
                  <w:r>
                    <w:rPr>
                      <w:color w:val="auto"/>
                      <w:szCs w:val="21"/>
                    </w:rPr>
                    <w:t>根据设计，项目拟配套设置</w:t>
                  </w:r>
                  <w:r>
                    <w:rPr>
                      <w:color w:val="auto"/>
                      <w:szCs w:val="21"/>
                      <w:lang w:val="en-US"/>
                    </w:rPr>
                    <w:t>建筑面积约2000</w:t>
                  </w:r>
                  <w:r>
                    <w:rPr>
                      <w:color w:val="auto"/>
                      <w:szCs w:val="21"/>
                    </w:rPr>
                    <w:t>m²的产品库，库房内设置</w:t>
                  </w:r>
                  <w:r>
                    <w:rPr>
                      <w:color w:val="auto"/>
                      <w:szCs w:val="21"/>
                      <w:lang w:val="en-US"/>
                    </w:rPr>
                    <w:t>3</w:t>
                  </w:r>
                  <w:r>
                    <w:rPr>
                      <w:color w:val="auto"/>
                      <w:szCs w:val="21"/>
                    </w:rPr>
                    <w:t>种料仓，分别为1#料仓暂存Φ0-</w:t>
                  </w:r>
                  <w:r>
                    <w:rPr>
                      <w:color w:val="auto"/>
                      <w:szCs w:val="21"/>
                      <w:lang w:val="en-US"/>
                    </w:rPr>
                    <w:t>5</w:t>
                  </w:r>
                  <w:r>
                    <w:rPr>
                      <w:color w:val="auto"/>
                      <w:szCs w:val="21"/>
                    </w:rPr>
                    <w:t>mm的颗粒料（</w:t>
                  </w:r>
                  <w:r>
                    <w:rPr>
                      <w:color w:val="auto"/>
                      <w:szCs w:val="21"/>
                      <w:lang w:val="en-US"/>
                    </w:rPr>
                    <w:t>自然砂</w:t>
                  </w:r>
                  <w:r>
                    <w:rPr>
                      <w:color w:val="auto"/>
                      <w:szCs w:val="21"/>
                    </w:rPr>
                    <w:t>）、Φ0-</w:t>
                  </w:r>
                  <w:r>
                    <w:rPr>
                      <w:color w:val="auto"/>
                      <w:szCs w:val="21"/>
                      <w:lang w:val="en-US"/>
                    </w:rPr>
                    <w:t>5</w:t>
                  </w:r>
                  <w:r>
                    <w:rPr>
                      <w:color w:val="auto"/>
                      <w:szCs w:val="21"/>
                    </w:rPr>
                    <w:t>mm的颗粒料（</w:t>
                  </w:r>
                  <w:r>
                    <w:rPr>
                      <w:color w:val="auto"/>
                      <w:szCs w:val="21"/>
                      <w:lang w:val="en-US"/>
                    </w:rPr>
                    <w:t>机制砂</w:t>
                  </w:r>
                  <w:r>
                    <w:rPr>
                      <w:color w:val="auto"/>
                      <w:szCs w:val="21"/>
                    </w:rPr>
                    <w:t>），2#料仓暂存Φ10-20mm的颗粒料，3#料仓暂存暂存Φ20-31.5mm的颗粒料。</w:t>
                  </w:r>
                </w:p>
              </w:tc>
              <w:tc>
                <w:tcPr>
                  <w:tcW w:w="1064" w:type="dxa"/>
                  <w:vAlign w:val="center"/>
                </w:tcPr>
                <w:p>
                  <w:pPr>
                    <w:pStyle w:val="28"/>
                    <w:spacing w:line="360" w:lineRule="exact"/>
                    <w:ind w:firstLine="210" w:firstLineChars="100"/>
                    <w:jc w:val="both"/>
                    <w:rPr>
                      <w:color w:val="auto"/>
                      <w:szCs w:val="21"/>
                    </w:rPr>
                  </w:pPr>
                  <w:r>
                    <w:rPr>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restart"/>
                  <w:shd w:val="clear" w:color="auto" w:fill="auto"/>
                  <w:vAlign w:val="center"/>
                </w:tcPr>
                <w:p>
                  <w:pPr>
                    <w:pStyle w:val="28"/>
                    <w:spacing w:line="360" w:lineRule="exact"/>
                    <w:rPr>
                      <w:color w:val="auto"/>
                      <w:szCs w:val="21"/>
                    </w:rPr>
                  </w:pPr>
                  <w:r>
                    <w:rPr>
                      <w:color w:val="auto"/>
                      <w:szCs w:val="21"/>
                    </w:rPr>
                    <w:t>辅助工程</w:t>
                  </w:r>
                </w:p>
                <w:p>
                  <w:pPr>
                    <w:pStyle w:val="28"/>
                    <w:spacing w:line="360" w:lineRule="exact"/>
                    <w:rPr>
                      <w:color w:val="auto"/>
                      <w:szCs w:val="21"/>
                    </w:rPr>
                  </w:pPr>
                  <w:r>
                    <w:rPr>
                      <w:color w:val="auto"/>
                      <w:szCs w:val="21"/>
                    </w:rPr>
                    <w:t>依托工程</w:t>
                  </w:r>
                </w:p>
              </w:tc>
              <w:tc>
                <w:tcPr>
                  <w:tcW w:w="1791" w:type="dxa"/>
                  <w:gridSpan w:val="2"/>
                  <w:vAlign w:val="center"/>
                </w:tcPr>
                <w:p>
                  <w:pPr>
                    <w:pStyle w:val="28"/>
                    <w:spacing w:line="360" w:lineRule="exact"/>
                    <w:rPr>
                      <w:color w:val="auto"/>
                      <w:szCs w:val="21"/>
                    </w:rPr>
                  </w:pPr>
                  <w:r>
                    <w:rPr>
                      <w:color w:val="auto"/>
                      <w:szCs w:val="21"/>
                    </w:rPr>
                    <w:t>卫生间</w:t>
                  </w:r>
                </w:p>
              </w:tc>
              <w:tc>
                <w:tcPr>
                  <w:tcW w:w="5018" w:type="dxa"/>
                  <w:shd w:val="clear" w:color="auto" w:fill="auto"/>
                  <w:vAlign w:val="center"/>
                </w:tcPr>
                <w:p>
                  <w:pPr>
                    <w:pStyle w:val="28"/>
                    <w:spacing w:line="360" w:lineRule="exact"/>
                    <w:ind w:firstLine="210" w:firstLineChars="100"/>
                    <w:jc w:val="both"/>
                    <w:rPr>
                      <w:color w:val="auto"/>
                      <w:szCs w:val="21"/>
                    </w:rPr>
                  </w:pPr>
                  <w:r>
                    <w:rPr>
                      <w:color w:val="auto"/>
                      <w:szCs w:val="21"/>
                    </w:rPr>
                    <w:t>根据设计，建设单位拟在厂区</w:t>
                  </w:r>
                  <w:r>
                    <w:rPr>
                      <w:color w:val="auto"/>
                      <w:szCs w:val="21"/>
                      <w:lang w:val="en-US"/>
                    </w:rPr>
                    <w:t>南部紧邻工具库处</w:t>
                  </w:r>
                  <w:r>
                    <w:rPr>
                      <w:color w:val="auto"/>
                      <w:szCs w:val="21"/>
                    </w:rPr>
                    <w:t>配套设置一个100m²水冲厕供员工使用。</w:t>
                  </w:r>
                </w:p>
              </w:tc>
              <w:tc>
                <w:tcPr>
                  <w:tcW w:w="1064" w:type="dxa"/>
                  <w:vAlign w:val="center"/>
                </w:tcPr>
                <w:p>
                  <w:pPr>
                    <w:pStyle w:val="28"/>
                    <w:spacing w:line="360" w:lineRule="exact"/>
                    <w:ind w:firstLine="210" w:firstLineChars="100"/>
                    <w:jc w:val="both"/>
                    <w:rPr>
                      <w:color w:val="auto"/>
                      <w:szCs w:val="21"/>
                    </w:rPr>
                  </w:pPr>
                  <w:r>
                    <w:rPr>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shd w:val="clear" w:color="auto" w:fill="auto"/>
                  <w:vAlign w:val="center"/>
                </w:tcPr>
                <w:p>
                  <w:pPr>
                    <w:pStyle w:val="28"/>
                    <w:spacing w:line="360" w:lineRule="exact"/>
                    <w:rPr>
                      <w:color w:val="auto"/>
                      <w:szCs w:val="21"/>
                    </w:rPr>
                  </w:pPr>
                </w:p>
              </w:tc>
              <w:tc>
                <w:tcPr>
                  <w:tcW w:w="1791" w:type="dxa"/>
                  <w:gridSpan w:val="2"/>
                  <w:vAlign w:val="center"/>
                </w:tcPr>
                <w:p>
                  <w:pPr>
                    <w:pStyle w:val="28"/>
                    <w:spacing w:line="360" w:lineRule="exact"/>
                    <w:rPr>
                      <w:color w:val="auto"/>
                      <w:szCs w:val="21"/>
                    </w:rPr>
                  </w:pPr>
                  <w:r>
                    <w:rPr>
                      <w:color w:val="auto"/>
                      <w:szCs w:val="21"/>
                    </w:rPr>
                    <w:t>磅秤</w:t>
                  </w:r>
                </w:p>
              </w:tc>
              <w:tc>
                <w:tcPr>
                  <w:tcW w:w="5018" w:type="dxa"/>
                  <w:shd w:val="clear" w:color="auto" w:fill="auto"/>
                  <w:vAlign w:val="center"/>
                </w:tcPr>
                <w:p>
                  <w:pPr>
                    <w:pStyle w:val="28"/>
                    <w:spacing w:line="360" w:lineRule="exact"/>
                    <w:ind w:firstLine="210" w:firstLineChars="100"/>
                    <w:jc w:val="both"/>
                    <w:rPr>
                      <w:color w:val="auto"/>
                      <w:szCs w:val="21"/>
                    </w:rPr>
                  </w:pPr>
                  <w:r>
                    <w:rPr>
                      <w:color w:val="auto"/>
                      <w:szCs w:val="21"/>
                    </w:rPr>
                    <w:t>建设单位拟</w:t>
                  </w:r>
                  <w:r>
                    <w:rPr>
                      <w:color w:val="auto"/>
                      <w:szCs w:val="21"/>
                      <w:lang w:val="en-US"/>
                    </w:rPr>
                    <w:t>在厂区西北侧项目区出入口处</w:t>
                  </w:r>
                  <w:r>
                    <w:rPr>
                      <w:color w:val="auto"/>
                      <w:szCs w:val="21"/>
                    </w:rPr>
                    <w:t>设置1台磅秤，</w:t>
                  </w:r>
                  <w:r>
                    <w:rPr>
                      <w:color w:val="auto"/>
                      <w:szCs w:val="21"/>
                      <w:lang w:val="en-US"/>
                    </w:rPr>
                    <w:t>建筑面积约为81</w:t>
                  </w:r>
                  <w:r>
                    <w:rPr>
                      <w:color w:val="auto"/>
                      <w:szCs w:val="21"/>
                    </w:rPr>
                    <w:t>m²。</w:t>
                  </w:r>
                </w:p>
              </w:tc>
              <w:tc>
                <w:tcPr>
                  <w:tcW w:w="1064" w:type="dxa"/>
                  <w:vAlign w:val="center"/>
                </w:tcPr>
                <w:p>
                  <w:pPr>
                    <w:pStyle w:val="28"/>
                    <w:spacing w:line="360" w:lineRule="exact"/>
                    <w:ind w:firstLine="210" w:firstLineChars="100"/>
                    <w:jc w:val="both"/>
                    <w:rPr>
                      <w:color w:val="auto"/>
                      <w:szCs w:val="21"/>
                    </w:rPr>
                  </w:pPr>
                  <w:r>
                    <w:rPr>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shd w:val="clear" w:color="auto" w:fill="auto"/>
                  <w:vAlign w:val="center"/>
                </w:tcPr>
                <w:p>
                  <w:pPr>
                    <w:pStyle w:val="28"/>
                    <w:spacing w:line="360" w:lineRule="exact"/>
                    <w:rPr>
                      <w:color w:val="auto"/>
                      <w:szCs w:val="21"/>
                    </w:rPr>
                  </w:pPr>
                </w:p>
              </w:tc>
              <w:tc>
                <w:tcPr>
                  <w:tcW w:w="1791" w:type="dxa"/>
                  <w:gridSpan w:val="2"/>
                  <w:vAlign w:val="center"/>
                </w:tcPr>
                <w:p>
                  <w:pPr>
                    <w:pStyle w:val="28"/>
                    <w:spacing w:line="360" w:lineRule="exact"/>
                    <w:rPr>
                      <w:color w:val="auto"/>
                      <w:szCs w:val="21"/>
                    </w:rPr>
                  </w:pPr>
                  <w:r>
                    <w:rPr>
                      <w:color w:val="auto"/>
                      <w:szCs w:val="21"/>
                    </w:rPr>
                    <w:t>办公生活区</w:t>
                  </w:r>
                </w:p>
              </w:tc>
              <w:tc>
                <w:tcPr>
                  <w:tcW w:w="5018" w:type="dxa"/>
                  <w:shd w:val="clear" w:color="auto" w:fill="auto"/>
                  <w:vAlign w:val="center"/>
                </w:tcPr>
                <w:p>
                  <w:pPr>
                    <w:pStyle w:val="28"/>
                    <w:spacing w:line="360" w:lineRule="exact"/>
                    <w:ind w:firstLine="210" w:firstLineChars="100"/>
                    <w:jc w:val="both"/>
                    <w:rPr>
                      <w:color w:val="auto"/>
                      <w:szCs w:val="21"/>
                      <w:lang w:val="en-US"/>
                    </w:rPr>
                  </w:pPr>
                  <w:r>
                    <w:rPr>
                      <w:color w:val="auto"/>
                      <w:szCs w:val="21"/>
                    </w:rPr>
                    <w:t>根据企业实际情况，在生产区厂房</w:t>
                  </w:r>
                  <w:r>
                    <w:rPr>
                      <w:color w:val="auto"/>
                      <w:szCs w:val="21"/>
                      <w:lang w:val="en-US"/>
                    </w:rPr>
                    <w:t>南</w:t>
                  </w:r>
                  <w:r>
                    <w:rPr>
                      <w:color w:val="auto"/>
                      <w:szCs w:val="21"/>
                    </w:rPr>
                    <w:t>侧</w:t>
                  </w:r>
                  <w:r>
                    <w:rPr>
                      <w:color w:val="auto"/>
                      <w:szCs w:val="21"/>
                      <w:lang w:val="en-US"/>
                    </w:rPr>
                    <w:t>约</w:t>
                  </w:r>
                  <w:r>
                    <w:rPr>
                      <w:color w:val="auto"/>
                      <w:szCs w:val="21"/>
                    </w:rPr>
                    <w:t>20m处</w:t>
                  </w:r>
                  <w:r>
                    <w:rPr>
                      <w:color w:val="auto"/>
                      <w:szCs w:val="21"/>
                      <w:lang w:val="en-US"/>
                    </w:rPr>
                    <w:t>建设面积约为1400</w:t>
                  </w:r>
                  <w:r>
                    <w:rPr>
                      <w:color w:val="auto"/>
                      <w:szCs w:val="21"/>
                    </w:rPr>
                    <w:t>m²</w:t>
                  </w:r>
                  <w:r>
                    <w:rPr>
                      <w:color w:val="auto"/>
                      <w:szCs w:val="21"/>
                      <w:lang w:val="en-US"/>
                    </w:rPr>
                    <w:t>的</w:t>
                  </w:r>
                  <w:r>
                    <w:rPr>
                      <w:color w:val="auto"/>
                      <w:szCs w:val="21"/>
                    </w:rPr>
                    <w:t>办公</w:t>
                  </w:r>
                  <w:r>
                    <w:rPr>
                      <w:color w:val="auto"/>
                      <w:szCs w:val="21"/>
                      <w:lang w:val="en-US"/>
                    </w:rPr>
                    <w:t>生活区</w:t>
                  </w:r>
                  <w:r>
                    <w:rPr>
                      <w:color w:val="auto"/>
                      <w:szCs w:val="21"/>
                    </w:rPr>
                    <w:t>。</w:t>
                  </w:r>
                  <w:r>
                    <w:rPr>
                      <w:color w:val="auto"/>
                      <w:szCs w:val="21"/>
                      <w:lang w:val="en-US"/>
                    </w:rPr>
                    <w:t>其中办公楼建设面积约700</w:t>
                  </w:r>
                  <w:r>
                    <w:rPr>
                      <w:color w:val="auto"/>
                      <w:szCs w:val="21"/>
                    </w:rPr>
                    <w:t>m²；</w:t>
                  </w:r>
                  <w:r>
                    <w:rPr>
                      <w:color w:val="auto"/>
                      <w:szCs w:val="21"/>
                      <w:lang w:val="en-US"/>
                    </w:rPr>
                    <w:t>宿舍建设面积约700</w:t>
                  </w:r>
                  <w:r>
                    <w:rPr>
                      <w:color w:val="auto"/>
                      <w:szCs w:val="21"/>
                    </w:rPr>
                    <w:t>m²。</w:t>
                  </w:r>
                </w:p>
              </w:tc>
              <w:tc>
                <w:tcPr>
                  <w:tcW w:w="1064" w:type="dxa"/>
                  <w:vAlign w:val="center"/>
                </w:tcPr>
                <w:p>
                  <w:pPr>
                    <w:pStyle w:val="28"/>
                    <w:spacing w:line="360" w:lineRule="exact"/>
                    <w:rPr>
                      <w:color w:val="auto"/>
                      <w:szCs w:val="21"/>
                    </w:rPr>
                  </w:pPr>
                  <w:r>
                    <w:rPr>
                      <w:rFonts w:hint="eastAsia"/>
                      <w:color w:val="auto"/>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restart"/>
                  <w:vAlign w:val="center"/>
                </w:tcPr>
                <w:p>
                  <w:pPr>
                    <w:pStyle w:val="28"/>
                    <w:spacing w:line="360" w:lineRule="exact"/>
                    <w:rPr>
                      <w:color w:val="auto"/>
                      <w:szCs w:val="21"/>
                    </w:rPr>
                  </w:pPr>
                  <w:r>
                    <w:rPr>
                      <w:color w:val="auto"/>
                      <w:szCs w:val="21"/>
                    </w:rPr>
                    <w:t>公用工程</w:t>
                  </w:r>
                </w:p>
              </w:tc>
              <w:tc>
                <w:tcPr>
                  <w:tcW w:w="1791" w:type="dxa"/>
                  <w:gridSpan w:val="2"/>
                  <w:vAlign w:val="center"/>
                </w:tcPr>
                <w:p>
                  <w:pPr>
                    <w:pStyle w:val="28"/>
                    <w:spacing w:line="360" w:lineRule="exact"/>
                    <w:rPr>
                      <w:color w:val="auto"/>
                      <w:szCs w:val="21"/>
                    </w:rPr>
                  </w:pPr>
                  <w:r>
                    <w:rPr>
                      <w:color w:val="auto"/>
                      <w:szCs w:val="21"/>
                    </w:rPr>
                    <w:t>供电</w:t>
                  </w:r>
                </w:p>
              </w:tc>
              <w:tc>
                <w:tcPr>
                  <w:tcW w:w="5018" w:type="dxa"/>
                  <w:vAlign w:val="center"/>
                </w:tcPr>
                <w:p>
                  <w:pPr>
                    <w:pStyle w:val="28"/>
                    <w:spacing w:line="360" w:lineRule="exact"/>
                    <w:ind w:firstLine="210" w:firstLineChars="100"/>
                    <w:jc w:val="both"/>
                    <w:rPr>
                      <w:color w:val="auto"/>
                      <w:szCs w:val="21"/>
                    </w:rPr>
                  </w:pPr>
                  <w:r>
                    <w:rPr>
                      <w:color w:val="auto"/>
                      <w:szCs w:val="21"/>
                    </w:rPr>
                    <w:t>供电由电力公司供给。</w:t>
                  </w:r>
                </w:p>
              </w:tc>
              <w:tc>
                <w:tcPr>
                  <w:tcW w:w="1064" w:type="dxa"/>
                  <w:vAlign w:val="center"/>
                </w:tcPr>
                <w:p>
                  <w:pPr>
                    <w:pStyle w:val="28"/>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vAlign w:val="center"/>
                </w:tcPr>
                <w:p>
                  <w:pPr>
                    <w:pStyle w:val="28"/>
                    <w:spacing w:line="360" w:lineRule="exact"/>
                    <w:rPr>
                      <w:color w:val="auto"/>
                      <w:szCs w:val="21"/>
                    </w:rPr>
                  </w:pPr>
                </w:p>
              </w:tc>
              <w:tc>
                <w:tcPr>
                  <w:tcW w:w="1791" w:type="dxa"/>
                  <w:gridSpan w:val="2"/>
                  <w:vAlign w:val="center"/>
                </w:tcPr>
                <w:p>
                  <w:pPr>
                    <w:pStyle w:val="28"/>
                    <w:spacing w:line="360" w:lineRule="exact"/>
                    <w:rPr>
                      <w:color w:val="auto"/>
                      <w:szCs w:val="21"/>
                    </w:rPr>
                  </w:pPr>
                  <w:r>
                    <w:rPr>
                      <w:color w:val="auto"/>
                      <w:szCs w:val="21"/>
                    </w:rPr>
                    <w:t>给水</w:t>
                  </w:r>
                </w:p>
              </w:tc>
              <w:tc>
                <w:tcPr>
                  <w:tcW w:w="5018" w:type="dxa"/>
                  <w:vAlign w:val="center"/>
                </w:tcPr>
                <w:p>
                  <w:pPr>
                    <w:pStyle w:val="28"/>
                    <w:spacing w:line="360" w:lineRule="exact"/>
                    <w:ind w:firstLine="105" w:firstLineChars="50"/>
                    <w:jc w:val="both"/>
                    <w:rPr>
                      <w:color w:val="auto"/>
                      <w:szCs w:val="21"/>
                    </w:rPr>
                  </w:pPr>
                  <w:r>
                    <w:rPr>
                      <w:color w:val="auto"/>
                      <w:szCs w:val="21"/>
                    </w:rPr>
                    <w:t>（1）生产用水</w:t>
                  </w:r>
                </w:p>
                <w:p>
                  <w:pPr>
                    <w:pStyle w:val="28"/>
                    <w:spacing w:line="360" w:lineRule="exact"/>
                    <w:ind w:firstLine="210" w:firstLineChars="100"/>
                    <w:jc w:val="both"/>
                    <w:rPr>
                      <w:color w:val="auto"/>
                      <w:szCs w:val="21"/>
                    </w:rPr>
                  </w:pPr>
                  <w:r>
                    <w:rPr>
                      <w:color w:val="auto"/>
                      <w:szCs w:val="21"/>
                    </w:rPr>
                    <w:t>项目生产用水定额为1.5m³/（m³·河沙），日处清淤固废（河沙）</w:t>
                  </w:r>
                  <w:r>
                    <w:rPr>
                      <w:color w:val="auto"/>
                      <w:szCs w:val="21"/>
                      <w:lang w:val="en-US"/>
                    </w:rPr>
                    <w:t>784.8</w:t>
                  </w:r>
                  <w:r>
                    <w:rPr>
                      <w:color w:val="auto"/>
                      <w:szCs w:val="21"/>
                    </w:rPr>
                    <w:t>m³，则用水量为</w:t>
                  </w:r>
                  <w:r>
                    <w:rPr>
                      <w:color w:val="auto"/>
                      <w:szCs w:val="21"/>
                      <w:lang w:val="en-US"/>
                    </w:rPr>
                    <w:t>1177.2</w:t>
                  </w:r>
                  <w:r>
                    <w:rPr>
                      <w:color w:val="auto"/>
                      <w:szCs w:val="21"/>
                    </w:rPr>
                    <w:t>m³/d，系统废水不外排，系统损失水、物料带走水分，定期补充，使用小江河水。</w:t>
                  </w:r>
                </w:p>
                <w:p>
                  <w:pPr>
                    <w:pStyle w:val="28"/>
                    <w:spacing w:line="360" w:lineRule="exact"/>
                    <w:ind w:firstLine="105" w:firstLineChars="50"/>
                    <w:jc w:val="both"/>
                    <w:rPr>
                      <w:color w:val="auto"/>
                      <w:szCs w:val="21"/>
                    </w:rPr>
                  </w:pPr>
                  <w:r>
                    <w:rPr>
                      <w:color w:val="auto"/>
                      <w:szCs w:val="21"/>
                    </w:rPr>
                    <w:t>（2）生活用水</w:t>
                  </w:r>
                </w:p>
                <w:p>
                  <w:pPr>
                    <w:pStyle w:val="28"/>
                    <w:spacing w:line="360" w:lineRule="exact"/>
                    <w:ind w:firstLine="210" w:firstLineChars="100"/>
                    <w:jc w:val="both"/>
                    <w:rPr>
                      <w:color w:val="auto"/>
                      <w:szCs w:val="21"/>
                    </w:rPr>
                  </w:pPr>
                  <w:r>
                    <w:rPr>
                      <w:color w:val="auto"/>
                      <w:szCs w:val="21"/>
                    </w:rPr>
                    <w:t>生活用水使用自来水。</w:t>
                  </w:r>
                </w:p>
              </w:tc>
              <w:tc>
                <w:tcPr>
                  <w:tcW w:w="1064" w:type="dxa"/>
                  <w:vAlign w:val="center"/>
                </w:tcPr>
                <w:p>
                  <w:pPr>
                    <w:pStyle w:val="28"/>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vAlign w:val="center"/>
                </w:tcPr>
                <w:p>
                  <w:pPr>
                    <w:pStyle w:val="28"/>
                    <w:spacing w:line="360" w:lineRule="exact"/>
                    <w:rPr>
                      <w:color w:val="auto"/>
                      <w:szCs w:val="21"/>
                    </w:rPr>
                  </w:pPr>
                </w:p>
              </w:tc>
              <w:tc>
                <w:tcPr>
                  <w:tcW w:w="1791" w:type="dxa"/>
                  <w:gridSpan w:val="2"/>
                  <w:vAlign w:val="center"/>
                </w:tcPr>
                <w:p>
                  <w:pPr>
                    <w:pStyle w:val="28"/>
                    <w:spacing w:line="360" w:lineRule="exact"/>
                    <w:rPr>
                      <w:color w:val="auto"/>
                      <w:szCs w:val="21"/>
                    </w:rPr>
                  </w:pPr>
                  <w:r>
                    <w:rPr>
                      <w:color w:val="auto"/>
                      <w:szCs w:val="21"/>
                    </w:rPr>
                    <w:t>排水</w:t>
                  </w:r>
                </w:p>
              </w:tc>
              <w:tc>
                <w:tcPr>
                  <w:tcW w:w="5018" w:type="dxa"/>
                  <w:vAlign w:val="center"/>
                </w:tcPr>
                <w:p>
                  <w:pPr>
                    <w:pStyle w:val="28"/>
                    <w:spacing w:line="360" w:lineRule="exact"/>
                    <w:ind w:firstLine="210" w:firstLineChars="100"/>
                    <w:jc w:val="both"/>
                    <w:rPr>
                      <w:color w:val="auto"/>
                      <w:szCs w:val="21"/>
                    </w:rPr>
                  </w:pPr>
                  <w:r>
                    <w:rPr>
                      <w:color w:val="auto"/>
                      <w:szCs w:val="21"/>
                    </w:rPr>
                    <w:t>根据项目特点，本项目废水包括生产废水、生活污水和初期雨水。</w:t>
                  </w:r>
                </w:p>
                <w:p>
                  <w:pPr>
                    <w:pStyle w:val="28"/>
                    <w:spacing w:line="360" w:lineRule="exact"/>
                    <w:ind w:firstLine="210" w:firstLineChars="100"/>
                    <w:jc w:val="both"/>
                    <w:rPr>
                      <w:color w:val="auto"/>
                      <w:szCs w:val="21"/>
                    </w:rPr>
                  </w:pPr>
                  <w:r>
                    <w:rPr>
                      <w:color w:val="auto"/>
                      <w:szCs w:val="21"/>
                    </w:rPr>
                    <w:t>（1）生产废水：项目生产废水主要为洗砂废水，项目拟设置一套生产废水处理系统对其进行处理，该系统由</w:t>
                  </w:r>
                  <w:r>
                    <w:rPr>
                      <w:color w:val="auto"/>
                      <w:szCs w:val="21"/>
                      <w:lang w:val="en-US"/>
                    </w:rPr>
                    <w:t>2个污水处理塔、2</w:t>
                  </w:r>
                  <w:r>
                    <w:rPr>
                      <w:color w:val="auto"/>
                      <w:szCs w:val="21"/>
                    </w:rPr>
                    <w:t>个生产废水收集池、</w:t>
                  </w:r>
                  <w:r>
                    <w:rPr>
                      <w:color w:val="auto"/>
                      <w:szCs w:val="21"/>
                      <w:lang w:val="en-US"/>
                    </w:rPr>
                    <w:t>2</w:t>
                  </w:r>
                  <w:r>
                    <w:rPr>
                      <w:color w:val="auto"/>
                      <w:szCs w:val="21"/>
                    </w:rPr>
                    <w:t>个</w:t>
                  </w:r>
                  <w:r>
                    <w:rPr>
                      <w:color w:val="auto"/>
                      <w:szCs w:val="21"/>
                      <w:lang w:val="en-US"/>
                    </w:rPr>
                    <w:t>泥浆回收池</w:t>
                  </w:r>
                  <w:r>
                    <w:rPr>
                      <w:color w:val="auto"/>
                      <w:szCs w:val="21"/>
                    </w:rPr>
                    <w:t>、</w:t>
                  </w:r>
                  <w:r>
                    <w:rPr>
                      <w:color w:val="auto"/>
                      <w:szCs w:val="21"/>
                      <w:lang w:val="en-US"/>
                    </w:rPr>
                    <w:t>2</w:t>
                  </w:r>
                  <w:r>
                    <w:rPr>
                      <w:color w:val="auto"/>
                      <w:szCs w:val="21"/>
                    </w:rPr>
                    <w:t>个清水池和</w:t>
                  </w:r>
                  <w:r>
                    <w:rPr>
                      <w:color w:val="auto"/>
                      <w:szCs w:val="21"/>
                      <w:lang w:val="en-US"/>
                    </w:rPr>
                    <w:t>4台500型号污泥压滤机</w:t>
                  </w:r>
                  <w:r>
                    <w:rPr>
                      <w:color w:val="auto"/>
                      <w:szCs w:val="21"/>
                    </w:rPr>
                    <w:t>组成；项目生产废水经处理后完全回用，不外排。</w:t>
                  </w:r>
                </w:p>
                <w:p>
                  <w:pPr>
                    <w:pStyle w:val="28"/>
                    <w:spacing w:line="360" w:lineRule="exact"/>
                    <w:ind w:firstLine="210" w:firstLineChars="100"/>
                    <w:jc w:val="both"/>
                    <w:rPr>
                      <w:color w:val="auto"/>
                      <w:szCs w:val="21"/>
                    </w:rPr>
                  </w:pPr>
                  <w:r>
                    <w:rPr>
                      <w:color w:val="auto"/>
                      <w:szCs w:val="21"/>
                    </w:rPr>
                    <w:t>（2）生活污水：</w:t>
                  </w:r>
                </w:p>
                <w:p>
                  <w:pPr>
                    <w:pStyle w:val="28"/>
                    <w:spacing w:line="360" w:lineRule="exact"/>
                    <w:ind w:firstLine="210" w:firstLineChars="100"/>
                    <w:jc w:val="both"/>
                    <w:rPr>
                      <w:color w:val="auto"/>
                      <w:szCs w:val="21"/>
                    </w:rPr>
                  </w:pPr>
                  <w:r>
                    <w:rPr>
                      <w:color w:val="auto"/>
                      <w:szCs w:val="21"/>
                    </w:rPr>
                    <w:t>根据设计，项目拟设置一个有效容积为2m³的化粪池、处理规模为2m³/d的一体化污水处理设施和一个有效容积为8m³的再生水收集池；项目生活污水经化粪池和一体化污水处理设施处理后，达到《城市污水再生利用 城市杂用水水质》（GB/T18920-2020）城市绿化标准回用于绿化不外排。</w:t>
                  </w:r>
                </w:p>
                <w:p>
                  <w:pPr>
                    <w:pStyle w:val="28"/>
                    <w:spacing w:line="360" w:lineRule="exact"/>
                    <w:ind w:firstLine="210" w:firstLineChars="100"/>
                    <w:jc w:val="both"/>
                    <w:rPr>
                      <w:color w:val="auto"/>
                      <w:szCs w:val="21"/>
                    </w:rPr>
                  </w:pPr>
                  <w:r>
                    <w:rPr>
                      <w:color w:val="auto"/>
                      <w:szCs w:val="21"/>
                    </w:rPr>
                    <w:t>（3）初期雨水：项目为了防止雨天地表径流进入产品库及生产区，使项目区域砂石料流失，造成环境污染，项目拟在厂房外围及厂区周围设置9</w:t>
                  </w:r>
                  <w:r>
                    <w:rPr>
                      <w:color w:val="auto"/>
                      <w:szCs w:val="21"/>
                      <w:lang w:val="en-US"/>
                    </w:rPr>
                    <w:t>00</w:t>
                  </w:r>
                  <w:r>
                    <w:rPr>
                      <w:color w:val="auto"/>
                      <w:szCs w:val="21"/>
                    </w:rPr>
                    <w:t>m的截排水沟对雨天厂区产生的初期雨水及地表径流进行疏导，初期雨水通过截排水沟收集后进入有效容积不低于20m³的初期雨水收集池沉淀后回用于生产，不外排；同时在截排水沟至初期雨水收集池末端设置闸门，初期雨水收集后，关闭闸门，后期雨水外排。</w:t>
                  </w:r>
                </w:p>
              </w:tc>
              <w:tc>
                <w:tcPr>
                  <w:tcW w:w="1064" w:type="dxa"/>
                  <w:vAlign w:val="center"/>
                </w:tcPr>
                <w:p>
                  <w:pPr>
                    <w:pStyle w:val="28"/>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restart"/>
                  <w:vAlign w:val="center"/>
                </w:tcPr>
                <w:p>
                  <w:pPr>
                    <w:pStyle w:val="28"/>
                    <w:spacing w:line="360" w:lineRule="exact"/>
                    <w:rPr>
                      <w:color w:val="auto"/>
                      <w:szCs w:val="21"/>
                    </w:rPr>
                  </w:pPr>
                  <w:r>
                    <w:rPr>
                      <w:color w:val="auto"/>
                      <w:szCs w:val="21"/>
                    </w:rPr>
                    <w:t>环保工程</w:t>
                  </w:r>
                </w:p>
              </w:tc>
              <w:tc>
                <w:tcPr>
                  <w:tcW w:w="720" w:type="dxa"/>
                  <w:vAlign w:val="center"/>
                </w:tcPr>
                <w:p>
                  <w:pPr>
                    <w:pStyle w:val="28"/>
                    <w:spacing w:line="360" w:lineRule="exact"/>
                    <w:rPr>
                      <w:color w:val="auto"/>
                      <w:szCs w:val="21"/>
                    </w:rPr>
                  </w:pPr>
                  <w:r>
                    <w:rPr>
                      <w:color w:val="auto"/>
                      <w:szCs w:val="21"/>
                    </w:rPr>
                    <w:t>废气</w:t>
                  </w:r>
                </w:p>
              </w:tc>
              <w:tc>
                <w:tcPr>
                  <w:tcW w:w="1071" w:type="dxa"/>
                  <w:vAlign w:val="center"/>
                </w:tcPr>
                <w:p>
                  <w:pPr>
                    <w:pStyle w:val="28"/>
                    <w:spacing w:line="360" w:lineRule="exact"/>
                    <w:rPr>
                      <w:color w:val="auto"/>
                      <w:szCs w:val="21"/>
                    </w:rPr>
                  </w:pPr>
                  <w:r>
                    <w:rPr>
                      <w:color w:val="auto"/>
                      <w:szCs w:val="21"/>
                    </w:rPr>
                    <w:t>产品库全封闭</w:t>
                  </w:r>
                </w:p>
              </w:tc>
              <w:tc>
                <w:tcPr>
                  <w:tcW w:w="5018" w:type="dxa"/>
                  <w:vAlign w:val="center"/>
                </w:tcPr>
                <w:p>
                  <w:pPr>
                    <w:pStyle w:val="28"/>
                    <w:spacing w:line="360" w:lineRule="exact"/>
                    <w:ind w:firstLine="210" w:firstLineChars="100"/>
                    <w:jc w:val="both"/>
                    <w:rPr>
                      <w:color w:val="auto"/>
                      <w:szCs w:val="21"/>
                    </w:rPr>
                  </w:pPr>
                  <w:r>
                    <w:rPr>
                      <w:color w:val="auto"/>
                      <w:szCs w:val="21"/>
                    </w:rPr>
                    <w:t>根据设计，项目拟配套设置</w:t>
                  </w:r>
                  <w:r>
                    <w:rPr>
                      <w:color w:val="auto"/>
                      <w:szCs w:val="21"/>
                      <w:lang w:val="en-US"/>
                    </w:rPr>
                    <w:t>面积约2000</w:t>
                  </w:r>
                  <w:r>
                    <w:rPr>
                      <w:color w:val="auto"/>
                      <w:szCs w:val="21"/>
                    </w:rPr>
                    <w:t>m²的产品库，库房内设置</w:t>
                  </w:r>
                  <w:r>
                    <w:rPr>
                      <w:color w:val="auto"/>
                      <w:szCs w:val="21"/>
                      <w:lang w:val="en-US"/>
                    </w:rPr>
                    <w:t>3</w:t>
                  </w:r>
                  <w:r>
                    <w:rPr>
                      <w:color w:val="auto"/>
                      <w:szCs w:val="21"/>
                    </w:rPr>
                    <w:t>种料仓对各类产品进行堆场，为最大限度降低扬尘对环境造成的影响，项目拟将产品库设置为车间式全封闭库房。</w:t>
                  </w:r>
                </w:p>
              </w:tc>
              <w:tc>
                <w:tcPr>
                  <w:tcW w:w="1064" w:type="dxa"/>
                  <w:vAlign w:val="center"/>
                </w:tcPr>
                <w:p>
                  <w:pPr>
                    <w:pStyle w:val="28"/>
                    <w:spacing w:line="360" w:lineRule="exact"/>
                    <w:rPr>
                      <w:color w:val="auto"/>
                      <w:szCs w:val="21"/>
                    </w:rPr>
                  </w:pPr>
                  <w:r>
                    <w:rPr>
                      <w:color w:val="auto"/>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vAlign w:val="center"/>
                </w:tcPr>
                <w:p>
                  <w:pPr>
                    <w:pStyle w:val="28"/>
                    <w:spacing w:line="360" w:lineRule="exact"/>
                    <w:rPr>
                      <w:color w:val="auto"/>
                      <w:szCs w:val="21"/>
                    </w:rPr>
                  </w:pPr>
                </w:p>
              </w:tc>
              <w:tc>
                <w:tcPr>
                  <w:tcW w:w="1791" w:type="dxa"/>
                  <w:gridSpan w:val="2"/>
                  <w:vAlign w:val="center"/>
                </w:tcPr>
                <w:p>
                  <w:pPr>
                    <w:pStyle w:val="28"/>
                    <w:spacing w:line="360" w:lineRule="exact"/>
                    <w:rPr>
                      <w:color w:val="auto"/>
                      <w:szCs w:val="21"/>
                    </w:rPr>
                  </w:pPr>
                  <w:r>
                    <w:rPr>
                      <w:color w:val="auto"/>
                      <w:szCs w:val="21"/>
                    </w:rPr>
                    <w:t>雨污分流</w:t>
                  </w:r>
                </w:p>
              </w:tc>
              <w:tc>
                <w:tcPr>
                  <w:tcW w:w="5018" w:type="dxa"/>
                  <w:vAlign w:val="center"/>
                </w:tcPr>
                <w:p>
                  <w:pPr>
                    <w:pStyle w:val="28"/>
                    <w:spacing w:line="360" w:lineRule="exact"/>
                    <w:ind w:firstLine="210" w:firstLineChars="100"/>
                    <w:jc w:val="both"/>
                    <w:rPr>
                      <w:color w:val="auto"/>
                      <w:szCs w:val="21"/>
                    </w:rPr>
                  </w:pPr>
                  <w:r>
                    <w:rPr>
                      <w:color w:val="auto"/>
                      <w:szCs w:val="21"/>
                    </w:rPr>
                    <w:t>根据设计，项目区拟设置雨污分流设施。</w:t>
                  </w:r>
                </w:p>
              </w:tc>
              <w:tc>
                <w:tcPr>
                  <w:tcW w:w="1064" w:type="dxa"/>
                  <w:vAlign w:val="center"/>
                </w:tcPr>
                <w:p>
                  <w:pPr>
                    <w:pStyle w:val="28"/>
                    <w:spacing w:line="360" w:lineRule="exact"/>
                    <w:rPr>
                      <w:color w:val="auto"/>
                      <w:szCs w:val="21"/>
                    </w:rPr>
                  </w:pPr>
                  <w:r>
                    <w:rPr>
                      <w:color w:val="auto"/>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vAlign w:val="center"/>
                </w:tcPr>
                <w:p>
                  <w:pPr>
                    <w:pStyle w:val="28"/>
                    <w:spacing w:line="360" w:lineRule="exact"/>
                    <w:rPr>
                      <w:color w:val="auto"/>
                      <w:szCs w:val="21"/>
                    </w:rPr>
                  </w:pPr>
                </w:p>
              </w:tc>
              <w:tc>
                <w:tcPr>
                  <w:tcW w:w="720" w:type="dxa"/>
                  <w:vMerge w:val="restart"/>
                  <w:vAlign w:val="center"/>
                </w:tcPr>
                <w:p>
                  <w:pPr>
                    <w:pStyle w:val="28"/>
                    <w:spacing w:line="360" w:lineRule="exact"/>
                    <w:rPr>
                      <w:color w:val="auto"/>
                      <w:szCs w:val="21"/>
                    </w:rPr>
                  </w:pPr>
                  <w:r>
                    <w:rPr>
                      <w:color w:val="auto"/>
                      <w:szCs w:val="21"/>
                    </w:rPr>
                    <w:t>废水</w:t>
                  </w:r>
                </w:p>
              </w:tc>
              <w:tc>
                <w:tcPr>
                  <w:tcW w:w="1071" w:type="dxa"/>
                  <w:vAlign w:val="center"/>
                </w:tcPr>
                <w:p>
                  <w:pPr>
                    <w:pStyle w:val="28"/>
                    <w:spacing w:line="360" w:lineRule="exact"/>
                    <w:rPr>
                      <w:rFonts w:eastAsiaTheme="minorEastAsia"/>
                      <w:color w:val="auto"/>
                      <w:szCs w:val="21"/>
                    </w:rPr>
                  </w:pPr>
                  <w:r>
                    <w:rPr>
                      <w:color w:val="auto"/>
                      <w:szCs w:val="21"/>
                    </w:rPr>
                    <w:t>生产废水处理系统</w:t>
                  </w:r>
                </w:p>
              </w:tc>
              <w:tc>
                <w:tcPr>
                  <w:tcW w:w="5018" w:type="dxa"/>
                  <w:vAlign w:val="center"/>
                </w:tcPr>
                <w:p>
                  <w:pPr>
                    <w:pStyle w:val="28"/>
                    <w:spacing w:line="360" w:lineRule="exact"/>
                    <w:ind w:firstLine="210" w:firstLineChars="100"/>
                    <w:jc w:val="both"/>
                    <w:rPr>
                      <w:color w:val="auto"/>
                      <w:szCs w:val="21"/>
                    </w:rPr>
                  </w:pPr>
                  <w:r>
                    <w:rPr>
                      <w:color w:val="auto"/>
                      <w:szCs w:val="21"/>
                    </w:rPr>
                    <w:t>根据设计，项目拟设置一套生产废水处理系统对生产废水进行处理，该系统由</w:t>
                  </w:r>
                  <w:r>
                    <w:rPr>
                      <w:color w:val="auto"/>
                      <w:szCs w:val="21"/>
                      <w:lang w:val="en-US"/>
                    </w:rPr>
                    <w:t>2个污水处理塔、2</w:t>
                  </w:r>
                  <w:r>
                    <w:rPr>
                      <w:color w:val="auto"/>
                      <w:szCs w:val="21"/>
                    </w:rPr>
                    <w:t>个生产废水收集池、</w:t>
                  </w:r>
                  <w:r>
                    <w:rPr>
                      <w:color w:val="auto"/>
                      <w:szCs w:val="21"/>
                      <w:lang w:val="en-US"/>
                    </w:rPr>
                    <w:t>2</w:t>
                  </w:r>
                  <w:r>
                    <w:rPr>
                      <w:color w:val="auto"/>
                      <w:szCs w:val="21"/>
                    </w:rPr>
                    <w:t>个</w:t>
                  </w:r>
                  <w:r>
                    <w:rPr>
                      <w:color w:val="auto"/>
                      <w:szCs w:val="21"/>
                      <w:lang w:val="en-US"/>
                    </w:rPr>
                    <w:t>泥浆回收池</w:t>
                  </w:r>
                  <w:r>
                    <w:rPr>
                      <w:color w:val="auto"/>
                      <w:szCs w:val="21"/>
                    </w:rPr>
                    <w:t>、</w:t>
                  </w:r>
                  <w:r>
                    <w:rPr>
                      <w:color w:val="auto"/>
                      <w:szCs w:val="21"/>
                      <w:lang w:val="en-US"/>
                    </w:rPr>
                    <w:t>2</w:t>
                  </w:r>
                  <w:r>
                    <w:rPr>
                      <w:color w:val="auto"/>
                      <w:szCs w:val="21"/>
                    </w:rPr>
                    <w:t>个清水池和</w:t>
                  </w:r>
                  <w:r>
                    <w:rPr>
                      <w:color w:val="auto"/>
                      <w:szCs w:val="21"/>
                      <w:lang w:val="en-US"/>
                    </w:rPr>
                    <w:t>4台500型号污泥压滤机</w:t>
                  </w:r>
                  <w:r>
                    <w:rPr>
                      <w:color w:val="auto"/>
                      <w:szCs w:val="21"/>
                    </w:rPr>
                    <w:t>组成；</w:t>
                  </w:r>
                </w:p>
                <w:p>
                  <w:pPr>
                    <w:pStyle w:val="28"/>
                    <w:spacing w:line="360" w:lineRule="exact"/>
                    <w:ind w:firstLine="210" w:firstLineChars="100"/>
                    <w:jc w:val="both"/>
                    <w:rPr>
                      <w:color w:val="auto"/>
                      <w:szCs w:val="21"/>
                    </w:rPr>
                  </w:pPr>
                  <w:r>
                    <w:rPr>
                      <w:color w:val="auto"/>
                      <w:szCs w:val="21"/>
                    </w:rPr>
                    <w:t>项目产生的生产废水主要污染物为SS，首先进入</w:t>
                  </w:r>
                  <w:r>
                    <w:rPr>
                      <w:color w:val="auto"/>
                      <w:szCs w:val="21"/>
                      <w:lang w:val="en-US"/>
                    </w:rPr>
                    <w:t>污水处理塔进行处理</w:t>
                  </w:r>
                  <w:r>
                    <w:rPr>
                      <w:color w:val="auto"/>
                      <w:szCs w:val="21"/>
                    </w:rPr>
                    <w:t>，为提高</w:t>
                  </w:r>
                  <w:r>
                    <w:rPr>
                      <w:color w:val="auto"/>
                      <w:szCs w:val="21"/>
                      <w:lang w:val="en-US"/>
                    </w:rPr>
                    <w:t>处理</w:t>
                  </w:r>
                  <w:r>
                    <w:rPr>
                      <w:color w:val="auto"/>
                      <w:szCs w:val="21"/>
                    </w:rPr>
                    <w:t>效率，项目拟在</w:t>
                  </w:r>
                  <w:r>
                    <w:rPr>
                      <w:color w:val="auto"/>
                      <w:szCs w:val="21"/>
                      <w:lang w:val="en-US"/>
                    </w:rPr>
                    <w:t>污水处理塔</w:t>
                  </w:r>
                  <w:r>
                    <w:rPr>
                      <w:color w:val="auto"/>
                      <w:szCs w:val="21"/>
                    </w:rPr>
                    <w:t>中添加一定量的絮凝剂，</w:t>
                  </w:r>
                  <w:r>
                    <w:rPr>
                      <w:color w:val="auto"/>
                      <w:szCs w:val="21"/>
                      <w:lang w:val="en-US"/>
                    </w:rPr>
                    <w:t>处理</w:t>
                  </w:r>
                  <w:r>
                    <w:rPr>
                      <w:color w:val="auto"/>
                      <w:szCs w:val="21"/>
                    </w:rPr>
                    <w:t>后，上层的清水进入清水池回用于生产，而下层的含泥废水进入污泥压滤机进行压滤，压滤产生的废水进入生产废水收集池收集后再进入</w:t>
                  </w:r>
                  <w:r>
                    <w:rPr>
                      <w:color w:val="auto"/>
                      <w:szCs w:val="21"/>
                      <w:lang w:val="en-US"/>
                    </w:rPr>
                    <w:t>污水处理塔</w:t>
                  </w:r>
                  <w:r>
                    <w:rPr>
                      <w:color w:val="auto"/>
                      <w:szCs w:val="21"/>
                    </w:rPr>
                    <w:t>进行</w:t>
                  </w:r>
                  <w:r>
                    <w:rPr>
                      <w:color w:val="auto"/>
                      <w:szCs w:val="21"/>
                      <w:lang w:val="en-US"/>
                    </w:rPr>
                    <w:t>处理</w:t>
                  </w:r>
                  <w:r>
                    <w:rPr>
                      <w:color w:val="auto"/>
                      <w:szCs w:val="21"/>
                    </w:rPr>
                    <w:t>，从而进行循环处理，处理后全部回用于生产，不外排。</w:t>
                  </w:r>
                </w:p>
              </w:tc>
              <w:tc>
                <w:tcPr>
                  <w:tcW w:w="1064" w:type="dxa"/>
                  <w:vAlign w:val="center"/>
                </w:tcPr>
                <w:p>
                  <w:pPr>
                    <w:pStyle w:val="28"/>
                    <w:spacing w:line="360" w:lineRule="exact"/>
                    <w:rPr>
                      <w:color w:val="auto"/>
                      <w:szCs w:val="21"/>
                    </w:rPr>
                  </w:pPr>
                  <w:r>
                    <w:rPr>
                      <w:color w:val="auto"/>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vAlign w:val="center"/>
                </w:tcPr>
                <w:p>
                  <w:pPr>
                    <w:pStyle w:val="28"/>
                    <w:spacing w:line="360" w:lineRule="exact"/>
                    <w:rPr>
                      <w:color w:val="auto"/>
                      <w:szCs w:val="21"/>
                    </w:rPr>
                  </w:pPr>
                </w:p>
              </w:tc>
              <w:tc>
                <w:tcPr>
                  <w:tcW w:w="720" w:type="dxa"/>
                  <w:vMerge w:val="continue"/>
                  <w:vAlign w:val="center"/>
                </w:tcPr>
                <w:p>
                  <w:pPr>
                    <w:pStyle w:val="28"/>
                    <w:spacing w:line="360" w:lineRule="exact"/>
                    <w:rPr>
                      <w:color w:val="auto"/>
                      <w:szCs w:val="21"/>
                    </w:rPr>
                  </w:pPr>
                </w:p>
              </w:tc>
              <w:tc>
                <w:tcPr>
                  <w:tcW w:w="1071" w:type="dxa"/>
                  <w:vAlign w:val="center"/>
                </w:tcPr>
                <w:p>
                  <w:pPr>
                    <w:pStyle w:val="28"/>
                    <w:spacing w:line="360" w:lineRule="exact"/>
                    <w:rPr>
                      <w:rFonts w:eastAsiaTheme="minorEastAsia"/>
                      <w:color w:val="auto"/>
                      <w:szCs w:val="21"/>
                    </w:rPr>
                  </w:pPr>
                  <w:r>
                    <w:rPr>
                      <w:rFonts w:eastAsiaTheme="minorEastAsia"/>
                      <w:color w:val="auto"/>
                      <w:szCs w:val="21"/>
                    </w:rPr>
                    <w:t>生活污水处理系统</w:t>
                  </w:r>
                </w:p>
              </w:tc>
              <w:tc>
                <w:tcPr>
                  <w:tcW w:w="5018" w:type="dxa"/>
                  <w:vAlign w:val="center"/>
                </w:tcPr>
                <w:p>
                  <w:pPr>
                    <w:pStyle w:val="28"/>
                    <w:spacing w:line="360" w:lineRule="exact"/>
                    <w:ind w:firstLine="210" w:firstLineChars="100"/>
                    <w:jc w:val="both"/>
                    <w:rPr>
                      <w:rFonts w:eastAsiaTheme="minorEastAsia"/>
                      <w:color w:val="auto"/>
                      <w:szCs w:val="21"/>
                    </w:rPr>
                  </w:pPr>
                  <w:r>
                    <w:rPr>
                      <w:rFonts w:eastAsiaTheme="minorEastAsia"/>
                      <w:color w:val="auto"/>
                      <w:szCs w:val="21"/>
                    </w:rPr>
                    <w:t>根据设计，项目拟设置一套生活污水处理系统对生活污水进行处理，该系统由化粪池、一体化污水处理设施和再生水收集池组成，具体如下：</w:t>
                  </w:r>
                </w:p>
                <w:p>
                  <w:pPr>
                    <w:pStyle w:val="28"/>
                    <w:spacing w:line="360" w:lineRule="exact"/>
                    <w:ind w:firstLine="210" w:firstLineChars="100"/>
                    <w:jc w:val="both"/>
                    <w:rPr>
                      <w:rFonts w:eastAsiaTheme="minorEastAsia"/>
                      <w:color w:val="auto"/>
                      <w:szCs w:val="21"/>
                    </w:rPr>
                  </w:pPr>
                  <w:r>
                    <w:rPr>
                      <w:rFonts w:eastAsiaTheme="minorEastAsia"/>
                      <w:color w:val="auto"/>
                      <w:szCs w:val="21"/>
                    </w:rPr>
                    <w:t>（1）化粪池</w:t>
                  </w:r>
                </w:p>
                <w:p>
                  <w:pPr>
                    <w:pStyle w:val="28"/>
                    <w:spacing w:line="360" w:lineRule="exact"/>
                    <w:ind w:firstLine="210" w:firstLineChars="100"/>
                    <w:jc w:val="both"/>
                    <w:rPr>
                      <w:rFonts w:eastAsiaTheme="minorEastAsia"/>
                      <w:color w:val="auto"/>
                      <w:szCs w:val="21"/>
                    </w:rPr>
                  </w:pPr>
                  <w:r>
                    <w:rPr>
                      <w:rFonts w:eastAsiaTheme="minorEastAsia"/>
                      <w:color w:val="auto"/>
                      <w:szCs w:val="21"/>
                    </w:rPr>
                    <w:t>根据设计，项目拟设置一个有效容积为2m³的化粪池对项目区生活污水进行预处理。</w:t>
                  </w:r>
                </w:p>
                <w:p>
                  <w:pPr>
                    <w:pStyle w:val="28"/>
                    <w:spacing w:line="360" w:lineRule="exact"/>
                    <w:ind w:firstLine="210" w:firstLineChars="100"/>
                    <w:jc w:val="both"/>
                    <w:rPr>
                      <w:rFonts w:eastAsiaTheme="minorEastAsia"/>
                      <w:color w:val="auto"/>
                      <w:szCs w:val="21"/>
                    </w:rPr>
                  </w:pPr>
                  <w:r>
                    <w:rPr>
                      <w:rFonts w:eastAsiaTheme="minorEastAsia"/>
                      <w:color w:val="auto"/>
                      <w:szCs w:val="21"/>
                    </w:rPr>
                    <w:t>（2）一体化污水处理设施</w:t>
                  </w:r>
                </w:p>
                <w:p>
                  <w:pPr>
                    <w:pStyle w:val="28"/>
                    <w:spacing w:line="360" w:lineRule="exact"/>
                    <w:ind w:firstLine="210" w:firstLineChars="100"/>
                    <w:jc w:val="both"/>
                    <w:rPr>
                      <w:rFonts w:eastAsiaTheme="minorEastAsia"/>
                      <w:color w:val="auto"/>
                      <w:szCs w:val="21"/>
                    </w:rPr>
                  </w:pPr>
                  <w:r>
                    <w:rPr>
                      <w:rFonts w:eastAsiaTheme="minorEastAsia"/>
                      <w:color w:val="auto"/>
                      <w:szCs w:val="21"/>
                    </w:rPr>
                    <w:t>由于项目生活污水不具备排水条件，拟配套建设1套处理能力为2m³/d的一体化污水处理设施，对化粪池预处理后的生活污水进行处理，处理达到《城市污水再生利用 城市杂用水水质》（GB/T18920-2020）城市绿化标准回用于绿化，不外排。</w:t>
                  </w:r>
                </w:p>
                <w:p>
                  <w:pPr>
                    <w:pStyle w:val="28"/>
                    <w:spacing w:line="360" w:lineRule="exact"/>
                    <w:ind w:firstLine="210" w:firstLineChars="100"/>
                    <w:jc w:val="both"/>
                    <w:rPr>
                      <w:rFonts w:eastAsiaTheme="minorEastAsia"/>
                      <w:color w:val="auto"/>
                      <w:szCs w:val="21"/>
                    </w:rPr>
                  </w:pPr>
                  <w:r>
                    <w:rPr>
                      <w:rFonts w:eastAsiaTheme="minorEastAsia"/>
                      <w:color w:val="auto"/>
                      <w:szCs w:val="21"/>
                    </w:rPr>
                    <w:t>（3）再生水收集池</w:t>
                  </w:r>
                </w:p>
                <w:p>
                  <w:pPr>
                    <w:pStyle w:val="28"/>
                    <w:spacing w:line="360" w:lineRule="exact"/>
                    <w:ind w:firstLine="210" w:firstLineChars="100"/>
                    <w:jc w:val="both"/>
                    <w:rPr>
                      <w:rFonts w:eastAsiaTheme="minorEastAsia"/>
                      <w:color w:val="auto"/>
                      <w:szCs w:val="21"/>
                    </w:rPr>
                  </w:pPr>
                  <w:r>
                    <w:rPr>
                      <w:rFonts w:eastAsiaTheme="minorEastAsia"/>
                      <w:color w:val="auto"/>
                      <w:szCs w:val="21"/>
                    </w:rPr>
                    <w:t>由于项目生活污水经处理后将回用于绿化，为满足雨天等特殊情况，处理后生活污水的暂存要求，项目拟配套设置1个有效容积为8m³的再生水收集池对处理后的生活污水进行暂存。</w:t>
                  </w:r>
                </w:p>
              </w:tc>
              <w:tc>
                <w:tcPr>
                  <w:tcW w:w="1064" w:type="dxa"/>
                  <w:vAlign w:val="center"/>
                </w:tcPr>
                <w:p>
                  <w:pPr>
                    <w:pStyle w:val="28"/>
                    <w:spacing w:line="360" w:lineRule="exact"/>
                    <w:rPr>
                      <w:color w:val="auto"/>
                      <w:szCs w:val="21"/>
                    </w:rPr>
                  </w:pPr>
                  <w:r>
                    <w:rPr>
                      <w:color w:val="auto"/>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vAlign w:val="center"/>
                </w:tcPr>
                <w:p>
                  <w:pPr>
                    <w:pStyle w:val="28"/>
                    <w:spacing w:line="360" w:lineRule="exact"/>
                    <w:rPr>
                      <w:color w:val="auto"/>
                      <w:szCs w:val="21"/>
                    </w:rPr>
                  </w:pPr>
                </w:p>
              </w:tc>
              <w:tc>
                <w:tcPr>
                  <w:tcW w:w="720" w:type="dxa"/>
                  <w:vMerge w:val="continue"/>
                  <w:vAlign w:val="center"/>
                </w:tcPr>
                <w:p>
                  <w:pPr>
                    <w:pStyle w:val="28"/>
                    <w:spacing w:line="360" w:lineRule="exact"/>
                    <w:rPr>
                      <w:color w:val="auto"/>
                      <w:szCs w:val="21"/>
                    </w:rPr>
                  </w:pPr>
                </w:p>
              </w:tc>
              <w:tc>
                <w:tcPr>
                  <w:tcW w:w="1071" w:type="dxa"/>
                  <w:vAlign w:val="center"/>
                </w:tcPr>
                <w:p>
                  <w:pPr>
                    <w:pStyle w:val="28"/>
                    <w:spacing w:line="360" w:lineRule="exact"/>
                    <w:rPr>
                      <w:rFonts w:eastAsiaTheme="minorEastAsia"/>
                      <w:color w:val="auto"/>
                      <w:szCs w:val="21"/>
                    </w:rPr>
                  </w:pPr>
                  <w:r>
                    <w:rPr>
                      <w:rFonts w:eastAsiaTheme="minorEastAsia"/>
                      <w:color w:val="auto"/>
                      <w:szCs w:val="21"/>
                    </w:rPr>
                    <w:t>初期雨水收集系统</w:t>
                  </w:r>
                </w:p>
              </w:tc>
              <w:tc>
                <w:tcPr>
                  <w:tcW w:w="5018" w:type="dxa"/>
                  <w:vAlign w:val="center"/>
                </w:tcPr>
                <w:p>
                  <w:pPr>
                    <w:pStyle w:val="28"/>
                    <w:spacing w:line="360" w:lineRule="exact"/>
                    <w:ind w:firstLine="210" w:firstLineChars="100"/>
                    <w:jc w:val="both"/>
                    <w:rPr>
                      <w:color w:val="auto"/>
                      <w:szCs w:val="21"/>
                    </w:rPr>
                  </w:pPr>
                  <w:r>
                    <w:rPr>
                      <w:color w:val="auto"/>
                      <w:szCs w:val="21"/>
                    </w:rPr>
                    <w:t>根据设计，项目拟设置一套初期雨水处理系统对初期雨水进行处理，该系统由截排水沟和初期雨水收集池组成，具体如下：</w:t>
                  </w:r>
                </w:p>
                <w:p>
                  <w:pPr>
                    <w:pStyle w:val="28"/>
                    <w:spacing w:line="360" w:lineRule="exact"/>
                    <w:ind w:firstLine="210" w:firstLineChars="100"/>
                    <w:jc w:val="both"/>
                    <w:rPr>
                      <w:color w:val="auto"/>
                      <w:szCs w:val="21"/>
                    </w:rPr>
                  </w:pPr>
                  <w:r>
                    <w:rPr>
                      <w:color w:val="auto"/>
                      <w:szCs w:val="21"/>
                    </w:rPr>
                    <w:t>（1）截排水沟</w:t>
                  </w:r>
                </w:p>
                <w:p>
                  <w:pPr>
                    <w:pStyle w:val="28"/>
                    <w:spacing w:line="360" w:lineRule="exact"/>
                    <w:ind w:firstLine="210" w:firstLineChars="100"/>
                    <w:jc w:val="both"/>
                    <w:rPr>
                      <w:color w:val="auto"/>
                      <w:szCs w:val="21"/>
                    </w:rPr>
                  </w:pPr>
                  <w:r>
                    <w:rPr>
                      <w:color w:val="auto"/>
                      <w:szCs w:val="21"/>
                    </w:rPr>
                    <w:t>项目为了防止雨天地表径流进入产品库及生产区，使项目区域砂石料流失，造成环境污染，项目拟在厂房外围及厂区周围设置9</w:t>
                  </w:r>
                  <w:r>
                    <w:rPr>
                      <w:color w:val="auto"/>
                      <w:szCs w:val="21"/>
                      <w:lang w:val="en-US"/>
                    </w:rPr>
                    <w:t>0</w:t>
                  </w:r>
                  <w:r>
                    <w:rPr>
                      <w:color w:val="auto"/>
                      <w:szCs w:val="21"/>
                    </w:rPr>
                    <w:t>0m的截排水沟对雨天厂区产生的初期雨水及地表径流进行疏导。</w:t>
                  </w:r>
                </w:p>
                <w:p>
                  <w:pPr>
                    <w:pStyle w:val="28"/>
                    <w:spacing w:line="360" w:lineRule="exact"/>
                    <w:ind w:firstLine="210" w:firstLineChars="100"/>
                    <w:jc w:val="both"/>
                    <w:rPr>
                      <w:color w:val="auto"/>
                      <w:szCs w:val="21"/>
                    </w:rPr>
                  </w:pPr>
                  <w:r>
                    <w:rPr>
                      <w:color w:val="auto"/>
                      <w:szCs w:val="21"/>
                    </w:rPr>
                    <w:t>（2）初期雨水收集池</w:t>
                  </w:r>
                </w:p>
                <w:p>
                  <w:pPr>
                    <w:pStyle w:val="28"/>
                    <w:spacing w:line="360" w:lineRule="exact"/>
                    <w:ind w:firstLine="210" w:firstLineChars="100"/>
                    <w:jc w:val="both"/>
                    <w:rPr>
                      <w:color w:val="auto"/>
                      <w:szCs w:val="21"/>
                    </w:rPr>
                  </w:pPr>
                  <w:r>
                    <w:rPr>
                      <w:color w:val="auto"/>
                      <w:szCs w:val="21"/>
                    </w:rPr>
                    <w:t>项目拟设置1个有效容积不低于20m³的初期雨水，初期雨水通过截排水沟收集后进入有效容积不低于20m³的初期雨水收集池沉淀后回用于生产，不外排。</w:t>
                  </w:r>
                </w:p>
              </w:tc>
              <w:tc>
                <w:tcPr>
                  <w:tcW w:w="1064" w:type="dxa"/>
                  <w:vAlign w:val="center"/>
                </w:tcPr>
                <w:p>
                  <w:pPr>
                    <w:pStyle w:val="28"/>
                    <w:spacing w:line="360" w:lineRule="exact"/>
                    <w:rPr>
                      <w:color w:val="auto"/>
                      <w:szCs w:val="21"/>
                      <w:lang w:val="en-US"/>
                    </w:rPr>
                  </w:pPr>
                  <w:r>
                    <w:rPr>
                      <w:color w:val="auto"/>
                      <w:szCs w:val="21"/>
                      <w:lang w:val="en-US"/>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vAlign w:val="center"/>
                </w:tcPr>
                <w:p>
                  <w:pPr>
                    <w:pStyle w:val="28"/>
                    <w:spacing w:line="360" w:lineRule="exact"/>
                    <w:rPr>
                      <w:color w:val="auto"/>
                      <w:szCs w:val="21"/>
                    </w:rPr>
                  </w:pPr>
                </w:p>
              </w:tc>
              <w:tc>
                <w:tcPr>
                  <w:tcW w:w="720" w:type="dxa"/>
                  <w:vMerge w:val="restart"/>
                  <w:vAlign w:val="center"/>
                </w:tcPr>
                <w:p>
                  <w:pPr>
                    <w:pStyle w:val="28"/>
                    <w:spacing w:line="360" w:lineRule="exact"/>
                    <w:rPr>
                      <w:color w:val="auto"/>
                      <w:szCs w:val="21"/>
                    </w:rPr>
                  </w:pPr>
                  <w:r>
                    <w:rPr>
                      <w:color w:val="auto"/>
                      <w:szCs w:val="21"/>
                    </w:rPr>
                    <w:t>地下水防渗</w:t>
                  </w:r>
                </w:p>
              </w:tc>
              <w:tc>
                <w:tcPr>
                  <w:tcW w:w="1071" w:type="dxa"/>
                  <w:vAlign w:val="center"/>
                </w:tcPr>
                <w:p>
                  <w:pPr>
                    <w:pStyle w:val="28"/>
                    <w:spacing w:line="360" w:lineRule="exact"/>
                    <w:rPr>
                      <w:color w:val="auto"/>
                      <w:szCs w:val="21"/>
                    </w:rPr>
                  </w:pPr>
                  <w:r>
                    <w:rPr>
                      <w:color w:val="auto"/>
                      <w:szCs w:val="21"/>
                    </w:rPr>
                    <w:t>重点防渗区</w:t>
                  </w:r>
                </w:p>
              </w:tc>
              <w:tc>
                <w:tcPr>
                  <w:tcW w:w="5018" w:type="dxa"/>
                  <w:vAlign w:val="center"/>
                </w:tcPr>
                <w:p>
                  <w:pPr>
                    <w:pStyle w:val="28"/>
                    <w:spacing w:line="360" w:lineRule="exact"/>
                    <w:ind w:firstLine="210" w:firstLineChars="100"/>
                    <w:jc w:val="both"/>
                    <w:rPr>
                      <w:color w:val="auto"/>
                    </w:rPr>
                  </w:pPr>
                  <w:r>
                    <w:rPr>
                      <w:color w:val="auto"/>
                    </w:rPr>
                    <w:t>项目重点防渗区为危险废物贮存间：危险废物贮存间地面和裙墙应采用不低于2mm后的HDPE膜或其他人工防渗材料进行防渗，使其渗透系数≤10</w:t>
                  </w:r>
                  <w:r>
                    <w:rPr>
                      <w:color w:val="auto"/>
                      <w:vertAlign w:val="superscript"/>
                    </w:rPr>
                    <w:t>-10</w:t>
                  </w:r>
                  <w:r>
                    <w:rPr>
                      <w:color w:val="auto"/>
                    </w:rPr>
                    <w:t>cm/s。</w:t>
                  </w:r>
                </w:p>
              </w:tc>
              <w:tc>
                <w:tcPr>
                  <w:tcW w:w="1064" w:type="dxa"/>
                  <w:vAlign w:val="center"/>
                </w:tcPr>
                <w:p>
                  <w:pPr>
                    <w:pStyle w:val="28"/>
                    <w:spacing w:line="360" w:lineRule="exact"/>
                    <w:rPr>
                      <w:color w:val="auto"/>
                      <w:szCs w:val="21"/>
                    </w:rPr>
                  </w:pPr>
                  <w:r>
                    <w:rPr>
                      <w:color w:val="auto"/>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vAlign w:val="center"/>
                </w:tcPr>
                <w:p>
                  <w:pPr>
                    <w:pStyle w:val="28"/>
                    <w:spacing w:line="360" w:lineRule="exact"/>
                    <w:rPr>
                      <w:color w:val="auto"/>
                      <w:szCs w:val="21"/>
                    </w:rPr>
                  </w:pPr>
                </w:p>
              </w:tc>
              <w:tc>
                <w:tcPr>
                  <w:tcW w:w="720" w:type="dxa"/>
                  <w:vMerge w:val="continue"/>
                  <w:vAlign w:val="center"/>
                </w:tcPr>
                <w:p>
                  <w:pPr>
                    <w:pStyle w:val="28"/>
                    <w:spacing w:line="360" w:lineRule="exact"/>
                    <w:rPr>
                      <w:color w:val="auto"/>
                      <w:szCs w:val="21"/>
                    </w:rPr>
                  </w:pPr>
                </w:p>
              </w:tc>
              <w:tc>
                <w:tcPr>
                  <w:tcW w:w="1071" w:type="dxa"/>
                  <w:vAlign w:val="center"/>
                </w:tcPr>
                <w:p>
                  <w:pPr>
                    <w:pStyle w:val="28"/>
                    <w:spacing w:line="360" w:lineRule="exact"/>
                    <w:rPr>
                      <w:color w:val="auto"/>
                      <w:szCs w:val="21"/>
                    </w:rPr>
                  </w:pPr>
                  <w:r>
                    <w:rPr>
                      <w:color w:val="auto"/>
                      <w:szCs w:val="21"/>
                    </w:rPr>
                    <w:t>一般防渗区</w:t>
                  </w:r>
                </w:p>
              </w:tc>
              <w:tc>
                <w:tcPr>
                  <w:tcW w:w="5018" w:type="dxa"/>
                  <w:vAlign w:val="center"/>
                </w:tcPr>
                <w:p>
                  <w:pPr>
                    <w:pStyle w:val="28"/>
                    <w:spacing w:line="360" w:lineRule="exact"/>
                    <w:ind w:firstLine="210" w:firstLineChars="100"/>
                    <w:jc w:val="both"/>
                    <w:rPr>
                      <w:color w:val="auto"/>
                    </w:rPr>
                  </w:pPr>
                  <w:r>
                    <w:rPr>
                      <w:color w:val="auto"/>
                    </w:rPr>
                    <w:t>根据分区防渗规范要求，项目生产车间、产品库、</w:t>
                  </w:r>
                  <w:r>
                    <w:rPr>
                      <w:color w:val="auto"/>
                      <w:szCs w:val="21"/>
                    </w:rPr>
                    <w:t>生产废水处理系统、</w:t>
                  </w:r>
                  <w:r>
                    <w:rPr>
                      <w:rFonts w:eastAsiaTheme="minorEastAsia"/>
                      <w:color w:val="auto"/>
                      <w:szCs w:val="21"/>
                    </w:rPr>
                    <w:t>生活污水处理系统和初期雨水收集系统</w:t>
                  </w:r>
                  <w:r>
                    <w:rPr>
                      <w:color w:val="auto"/>
                    </w:rPr>
                    <w:t>区域均划定为一般防渗区，各一般防渗区域拟应采用粘土铺底，并在上层铺30cm的混凝土进行硬化。确保防渗性能，使其渗透系数≤1.0×10</w:t>
                  </w:r>
                  <w:r>
                    <w:rPr>
                      <w:color w:val="auto"/>
                      <w:vertAlign w:val="superscript"/>
                    </w:rPr>
                    <w:t>-7</w:t>
                  </w:r>
                  <w:r>
                    <w:rPr>
                      <w:color w:val="auto"/>
                    </w:rPr>
                    <w:t>cm/s。</w:t>
                  </w:r>
                </w:p>
              </w:tc>
              <w:tc>
                <w:tcPr>
                  <w:tcW w:w="1064" w:type="dxa"/>
                  <w:vAlign w:val="center"/>
                </w:tcPr>
                <w:p>
                  <w:pPr>
                    <w:pStyle w:val="28"/>
                    <w:spacing w:line="360" w:lineRule="exact"/>
                    <w:rPr>
                      <w:color w:val="auto"/>
                      <w:szCs w:val="21"/>
                    </w:rPr>
                  </w:pPr>
                  <w:r>
                    <w:rPr>
                      <w:color w:val="auto"/>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vAlign w:val="center"/>
                </w:tcPr>
                <w:p>
                  <w:pPr>
                    <w:pStyle w:val="28"/>
                    <w:spacing w:line="360" w:lineRule="exact"/>
                    <w:rPr>
                      <w:color w:val="auto"/>
                      <w:szCs w:val="21"/>
                    </w:rPr>
                  </w:pPr>
                </w:p>
              </w:tc>
              <w:tc>
                <w:tcPr>
                  <w:tcW w:w="720" w:type="dxa"/>
                  <w:vAlign w:val="center"/>
                </w:tcPr>
                <w:p>
                  <w:pPr>
                    <w:pStyle w:val="28"/>
                    <w:spacing w:line="360" w:lineRule="exact"/>
                    <w:rPr>
                      <w:color w:val="auto"/>
                      <w:szCs w:val="21"/>
                    </w:rPr>
                  </w:pPr>
                  <w:r>
                    <w:rPr>
                      <w:color w:val="auto"/>
                      <w:szCs w:val="21"/>
                    </w:rPr>
                    <w:t>噪声</w:t>
                  </w:r>
                </w:p>
              </w:tc>
              <w:tc>
                <w:tcPr>
                  <w:tcW w:w="1071" w:type="dxa"/>
                  <w:vAlign w:val="center"/>
                </w:tcPr>
                <w:p>
                  <w:pPr>
                    <w:pStyle w:val="28"/>
                    <w:spacing w:line="360" w:lineRule="exact"/>
                    <w:rPr>
                      <w:color w:val="auto"/>
                      <w:szCs w:val="21"/>
                    </w:rPr>
                  </w:pPr>
                  <w:r>
                    <w:rPr>
                      <w:color w:val="auto"/>
                      <w:szCs w:val="21"/>
                    </w:rPr>
                    <w:t>设备噪声</w:t>
                  </w:r>
                </w:p>
              </w:tc>
              <w:tc>
                <w:tcPr>
                  <w:tcW w:w="5018" w:type="dxa"/>
                  <w:vAlign w:val="center"/>
                </w:tcPr>
                <w:p>
                  <w:pPr>
                    <w:pStyle w:val="28"/>
                    <w:spacing w:line="360" w:lineRule="exact"/>
                    <w:ind w:firstLine="210" w:firstLineChars="100"/>
                    <w:jc w:val="both"/>
                    <w:rPr>
                      <w:color w:val="auto"/>
                      <w:szCs w:val="21"/>
                    </w:rPr>
                  </w:pPr>
                  <w:r>
                    <w:rPr>
                      <w:color w:val="auto"/>
                      <w:szCs w:val="21"/>
                    </w:rPr>
                    <w:t>设备基础加装减震垫、消声器等。</w:t>
                  </w:r>
                </w:p>
              </w:tc>
              <w:tc>
                <w:tcPr>
                  <w:tcW w:w="1064" w:type="dxa"/>
                  <w:vAlign w:val="center"/>
                </w:tcPr>
                <w:p>
                  <w:pPr>
                    <w:pStyle w:val="28"/>
                    <w:spacing w:line="360" w:lineRule="exact"/>
                    <w:rPr>
                      <w:color w:val="auto"/>
                      <w:szCs w:val="21"/>
                    </w:rPr>
                  </w:pPr>
                  <w:r>
                    <w:rPr>
                      <w:color w:val="auto"/>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vAlign w:val="center"/>
                </w:tcPr>
                <w:p>
                  <w:pPr>
                    <w:pStyle w:val="28"/>
                    <w:spacing w:line="360" w:lineRule="exact"/>
                    <w:rPr>
                      <w:color w:val="auto"/>
                      <w:szCs w:val="21"/>
                    </w:rPr>
                  </w:pPr>
                </w:p>
              </w:tc>
              <w:tc>
                <w:tcPr>
                  <w:tcW w:w="720" w:type="dxa"/>
                  <w:vMerge w:val="restart"/>
                  <w:vAlign w:val="center"/>
                </w:tcPr>
                <w:p>
                  <w:pPr>
                    <w:pStyle w:val="28"/>
                    <w:spacing w:line="360" w:lineRule="exact"/>
                    <w:rPr>
                      <w:color w:val="auto"/>
                      <w:szCs w:val="21"/>
                    </w:rPr>
                  </w:pPr>
                  <w:r>
                    <w:rPr>
                      <w:color w:val="auto"/>
                      <w:szCs w:val="21"/>
                    </w:rPr>
                    <w:t>固废</w:t>
                  </w:r>
                </w:p>
              </w:tc>
              <w:tc>
                <w:tcPr>
                  <w:tcW w:w="1071" w:type="dxa"/>
                  <w:vAlign w:val="center"/>
                </w:tcPr>
                <w:p>
                  <w:pPr>
                    <w:pStyle w:val="28"/>
                    <w:spacing w:line="360" w:lineRule="exact"/>
                    <w:rPr>
                      <w:color w:val="auto"/>
                      <w:szCs w:val="21"/>
                    </w:rPr>
                  </w:pPr>
                  <w:r>
                    <w:rPr>
                      <w:color w:val="auto"/>
                      <w:szCs w:val="21"/>
                    </w:rPr>
                    <w:t>污泥暂存库</w:t>
                  </w:r>
                </w:p>
              </w:tc>
              <w:tc>
                <w:tcPr>
                  <w:tcW w:w="5018" w:type="dxa"/>
                  <w:vAlign w:val="center"/>
                </w:tcPr>
                <w:p>
                  <w:pPr>
                    <w:pStyle w:val="28"/>
                    <w:spacing w:line="360" w:lineRule="exact"/>
                    <w:ind w:firstLine="210" w:firstLineChars="100"/>
                    <w:jc w:val="both"/>
                    <w:rPr>
                      <w:color w:val="auto"/>
                      <w:szCs w:val="21"/>
                    </w:rPr>
                  </w:pPr>
                  <w:r>
                    <w:rPr>
                      <w:color w:val="auto"/>
                      <w:szCs w:val="21"/>
                    </w:rPr>
                    <w:t>本项目将产生约一定量的污泥，因此项目拟设置的100m²污泥暂存库对其进行暂存，该污泥的主要成分为小江河流中的泥土，一部分用于厂区周围绿化覆土和道路建设，剩余部分将其用于</w:t>
                  </w:r>
                  <w:r>
                    <w:rPr>
                      <w:color w:val="auto"/>
                      <w:szCs w:val="21"/>
                      <w:lang w:val="en-US"/>
                    </w:rPr>
                    <w:t>小李庄</w:t>
                  </w:r>
                  <w:r>
                    <w:rPr>
                      <w:color w:val="auto"/>
                      <w:szCs w:val="21"/>
                    </w:rPr>
                    <w:t>村肥田。</w:t>
                  </w:r>
                </w:p>
                <w:p>
                  <w:pPr>
                    <w:pStyle w:val="28"/>
                    <w:spacing w:line="360" w:lineRule="exact"/>
                    <w:ind w:firstLine="210" w:firstLineChars="100"/>
                    <w:jc w:val="both"/>
                    <w:rPr>
                      <w:color w:val="auto"/>
                    </w:rPr>
                  </w:pPr>
                  <w:r>
                    <w:rPr>
                      <w:color w:val="auto"/>
                      <w:szCs w:val="21"/>
                    </w:rPr>
                    <w:t>污泥暂存库拟设置三面围挡和顶棚。</w:t>
                  </w:r>
                </w:p>
              </w:tc>
              <w:tc>
                <w:tcPr>
                  <w:tcW w:w="1064" w:type="dxa"/>
                  <w:vAlign w:val="center"/>
                </w:tcPr>
                <w:p>
                  <w:pPr>
                    <w:pStyle w:val="28"/>
                    <w:spacing w:line="360" w:lineRule="exact"/>
                    <w:rPr>
                      <w:color w:val="auto"/>
                      <w:szCs w:val="21"/>
                    </w:rPr>
                  </w:pPr>
                  <w:r>
                    <w:rPr>
                      <w:color w:val="auto"/>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vAlign w:val="center"/>
                </w:tcPr>
                <w:p>
                  <w:pPr>
                    <w:pStyle w:val="28"/>
                    <w:spacing w:line="360" w:lineRule="exact"/>
                    <w:rPr>
                      <w:color w:val="auto"/>
                      <w:szCs w:val="21"/>
                    </w:rPr>
                  </w:pPr>
                </w:p>
              </w:tc>
              <w:tc>
                <w:tcPr>
                  <w:tcW w:w="720" w:type="dxa"/>
                  <w:vMerge w:val="continue"/>
                  <w:vAlign w:val="center"/>
                </w:tcPr>
                <w:p>
                  <w:pPr>
                    <w:pStyle w:val="28"/>
                    <w:spacing w:line="360" w:lineRule="exact"/>
                    <w:rPr>
                      <w:color w:val="auto"/>
                      <w:szCs w:val="21"/>
                    </w:rPr>
                  </w:pPr>
                </w:p>
              </w:tc>
              <w:tc>
                <w:tcPr>
                  <w:tcW w:w="1071" w:type="dxa"/>
                  <w:vAlign w:val="center"/>
                </w:tcPr>
                <w:p>
                  <w:pPr>
                    <w:pStyle w:val="28"/>
                    <w:spacing w:line="360" w:lineRule="exact"/>
                    <w:rPr>
                      <w:color w:val="auto"/>
                      <w:szCs w:val="21"/>
                    </w:rPr>
                  </w:pPr>
                  <w:r>
                    <w:rPr>
                      <w:color w:val="auto"/>
                      <w:szCs w:val="21"/>
                    </w:rPr>
                    <w:t>危险废物贮存间</w:t>
                  </w:r>
                </w:p>
              </w:tc>
              <w:tc>
                <w:tcPr>
                  <w:tcW w:w="5018" w:type="dxa"/>
                  <w:vAlign w:val="center"/>
                </w:tcPr>
                <w:p>
                  <w:pPr>
                    <w:pStyle w:val="28"/>
                    <w:spacing w:line="360" w:lineRule="exact"/>
                    <w:ind w:firstLine="210" w:firstLineChars="100"/>
                    <w:jc w:val="both"/>
                    <w:rPr>
                      <w:color w:val="auto"/>
                    </w:rPr>
                  </w:pPr>
                  <w:r>
                    <w:rPr>
                      <w:color w:val="auto"/>
                    </w:rPr>
                    <w:t>针对项目产生的废机油，厂区拟建设1个5m²的危险废物贮存间对项目区废机油等危险废物进行暂存。</w:t>
                  </w:r>
                  <w:r>
                    <w:rPr>
                      <w:color w:val="auto"/>
                      <w:lang w:val="en-US"/>
                    </w:rPr>
                    <w:t>全部</w:t>
                  </w:r>
                  <w:r>
                    <w:rPr>
                      <w:color w:val="auto"/>
                    </w:rPr>
                    <w:t>用于生产设备润滑使用。</w:t>
                  </w:r>
                </w:p>
                <w:p>
                  <w:pPr>
                    <w:pStyle w:val="28"/>
                    <w:spacing w:line="360" w:lineRule="exact"/>
                    <w:ind w:firstLine="210" w:firstLineChars="100"/>
                    <w:jc w:val="both"/>
                    <w:rPr>
                      <w:color w:val="auto"/>
                    </w:rPr>
                  </w:pPr>
                  <w:r>
                    <w:rPr>
                      <w:color w:val="auto"/>
                    </w:rPr>
                    <w:t>危险废物贮存间地面及裙墙应进行防腐防渗，内部设置导流渠和收集池，设置标识标牌。</w:t>
                  </w:r>
                </w:p>
              </w:tc>
              <w:tc>
                <w:tcPr>
                  <w:tcW w:w="1064" w:type="dxa"/>
                  <w:vAlign w:val="center"/>
                </w:tcPr>
                <w:p>
                  <w:pPr>
                    <w:pStyle w:val="28"/>
                    <w:spacing w:line="360" w:lineRule="exact"/>
                    <w:rPr>
                      <w:color w:val="auto"/>
                      <w:szCs w:val="21"/>
                    </w:rPr>
                  </w:pPr>
                  <w:r>
                    <w:rPr>
                      <w:color w:val="auto"/>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vAlign w:val="center"/>
                </w:tcPr>
                <w:p>
                  <w:pPr>
                    <w:pStyle w:val="28"/>
                    <w:spacing w:line="360" w:lineRule="exact"/>
                    <w:rPr>
                      <w:color w:val="auto"/>
                      <w:szCs w:val="21"/>
                    </w:rPr>
                  </w:pPr>
                </w:p>
              </w:tc>
              <w:tc>
                <w:tcPr>
                  <w:tcW w:w="720" w:type="dxa"/>
                  <w:vAlign w:val="center"/>
                </w:tcPr>
                <w:p>
                  <w:pPr>
                    <w:pStyle w:val="28"/>
                    <w:spacing w:line="360" w:lineRule="exact"/>
                    <w:rPr>
                      <w:color w:val="auto"/>
                      <w:szCs w:val="21"/>
                    </w:rPr>
                  </w:pPr>
                  <w:r>
                    <w:rPr>
                      <w:color w:val="auto"/>
                      <w:szCs w:val="21"/>
                    </w:rPr>
                    <w:t>其他</w:t>
                  </w:r>
                </w:p>
              </w:tc>
              <w:tc>
                <w:tcPr>
                  <w:tcW w:w="1071" w:type="dxa"/>
                  <w:vAlign w:val="center"/>
                </w:tcPr>
                <w:p>
                  <w:pPr>
                    <w:pStyle w:val="28"/>
                    <w:spacing w:line="360" w:lineRule="exact"/>
                    <w:rPr>
                      <w:color w:val="auto"/>
                      <w:szCs w:val="21"/>
                    </w:rPr>
                  </w:pPr>
                  <w:r>
                    <w:rPr>
                      <w:color w:val="auto"/>
                      <w:szCs w:val="21"/>
                    </w:rPr>
                    <w:t>标识牌</w:t>
                  </w:r>
                </w:p>
              </w:tc>
              <w:tc>
                <w:tcPr>
                  <w:tcW w:w="5018" w:type="dxa"/>
                  <w:vAlign w:val="center"/>
                </w:tcPr>
                <w:p>
                  <w:pPr>
                    <w:pStyle w:val="28"/>
                    <w:spacing w:line="360" w:lineRule="exact"/>
                    <w:ind w:firstLine="210" w:firstLineChars="100"/>
                    <w:jc w:val="both"/>
                    <w:rPr>
                      <w:color w:val="auto"/>
                      <w:szCs w:val="21"/>
                    </w:rPr>
                  </w:pPr>
                  <w:r>
                    <w:rPr>
                      <w:color w:val="auto"/>
                      <w:szCs w:val="21"/>
                    </w:rPr>
                    <w:t>建设单位按照危险废物管理的规范要求，设置危险废物识别标志、环境保护图形标志。</w:t>
                  </w:r>
                </w:p>
              </w:tc>
              <w:tc>
                <w:tcPr>
                  <w:tcW w:w="1064" w:type="dxa"/>
                  <w:vAlign w:val="center"/>
                </w:tcPr>
                <w:p>
                  <w:pPr>
                    <w:pStyle w:val="28"/>
                    <w:spacing w:line="360" w:lineRule="exact"/>
                    <w:rPr>
                      <w:color w:val="auto"/>
                      <w:szCs w:val="21"/>
                    </w:rPr>
                  </w:pPr>
                  <w:r>
                    <w:rPr>
                      <w:color w:val="auto"/>
                      <w:szCs w:val="21"/>
                    </w:rPr>
                    <w:t>环评提出</w:t>
                  </w:r>
                </w:p>
              </w:tc>
            </w:tr>
          </w:tbl>
          <w:p>
            <w:pPr>
              <w:autoSpaceDE w:val="0"/>
              <w:autoSpaceDN w:val="0"/>
              <w:spacing w:before="156" w:beforeLines="50" w:line="360" w:lineRule="auto"/>
              <w:ind w:firstLine="241" w:firstLineChars="100"/>
              <w:rPr>
                <w:rFonts w:ascii="Times New Roman" w:hAnsi="Times New Roman" w:cs="Times New Roman"/>
                <w:b/>
                <w:sz w:val="24"/>
                <w:szCs w:val="24"/>
              </w:rPr>
            </w:pPr>
            <w:bookmarkStart w:id="2" w:name="_Toc433544969"/>
            <w:bookmarkStart w:id="3" w:name="_Toc493693536"/>
            <w:r>
              <w:rPr>
                <w:rFonts w:ascii="Times New Roman" w:hAnsi="Times New Roman" w:cs="Times New Roman"/>
                <w:b/>
                <w:sz w:val="24"/>
                <w:szCs w:val="24"/>
              </w:rPr>
              <w:t>2.2 总平面布置</w:t>
            </w:r>
            <w:bookmarkEnd w:id="2"/>
            <w:bookmarkEnd w:id="3"/>
            <w:r>
              <w:rPr>
                <w:rFonts w:ascii="Times New Roman" w:hAnsi="Times New Roman" w:cs="Times New Roman"/>
                <w:b/>
                <w:sz w:val="24"/>
                <w:szCs w:val="24"/>
              </w:rPr>
              <w:t>及其合理性</w:t>
            </w:r>
          </w:p>
          <w:p>
            <w:pPr>
              <w:autoSpaceDE w:val="0"/>
              <w:autoSpaceDN w:val="0"/>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2.2.1 本项目在厂区平面布置</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设计，项目厂区拟设置两栋主厂房，东南侧为生产车间，西北侧为产品库，生产车间内共设置2条生产线，分别从东南侧向西北侧进行布置。在厂区南侧设置生产废水处理系统的罐、池设施，污泥压滤机位于生产车间内，卫生间和生活污水处理系统位于厂区</w:t>
            </w:r>
            <w:r>
              <w:rPr>
                <w:rFonts w:hint="eastAsia" w:ascii="Times New Roman" w:hAnsi="Times New Roman" w:cs="Times New Roman"/>
                <w:sz w:val="24"/>
                <w:szCs w:val="24"/>
              </w:rPr>
              <w:t>东北</w:t>
            </w:r>
            <w:r>
              <w:rPr>
                <w:rFonts w:ascii="Times New Roman" w:hAnsi="Times New Roman" w:cs="Times New Roman"/>
                <w:sz w:val="24"/>
                <w:szCs w:val="24"/>
              </w:rPr>
              <w:t>侧办公区域，危险废物贮存间位于项目区</w:t>
            </w:r>
            <w:r>
              <w:rPr>
                <w:rFonts w:hint="eastAsia" w:ascii="Times New Roman" w:hAnsi="Times New Roman" w:cs="Times New Roman"/>
                <w:sz w:val="24"/>
                <w:szCs w:val="24"/>
              </w:rPr>
              <w:t>东北</w:t>
            </w:r>
            <w:r>
              <w:rPr>
                <w:rFonts w:ascii="Times New Roman" w:hAnsi="Times New Roman" w:cs="Times New Roman"/>
                <w:sz w:val="24"/>
                <w:szCs w:val="24"/>
              </w:rPr>
              <w:t>侧。初期雨水收集池位于项目区</w:t>
            </w:r>
            <w:r>
              <w:rPr>
                <w:rFonts w:hint="eastAsia" w:ascii="Times New Roman" w:hAnsi="Times New Roman" w:cs="Times New Roman"/>
                <w:sz w:val="24"/>
                <w:szCs w:val="24"/>
              </w:rPr>
              <w:t>西北侧</w:t>
            </w:r>
            <w:r>
              <w:rPr>
                <w:rFonts w:ascii="Times New Roman" w:hAnsi="Times New Roman" w:cs="Times New Roman"/>
                <w:sz w:val="24"/>
                <w:szCs w:val="24"/>
              </w:rPr>
              <w:t>地势最低处，污泥暂存库位于项目区东侧。根据项目特点可知，本项目生产工艺的平面布置对环境影响不大，因此项目平面布置合理。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项目生产车间平面布置详见附图2 项目区平面布置示意图。</w:t>
            </w:r>
          </w:p>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2.3 主要产品及产能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根据设计，本项目对小江清淤物进行综合利用生产建筑用砂，本项目最大处理量约为25.9万m³/a，得到不同规格的机制砂，具体如下表所示。</w:t>
            </w:r>
          </w:p>
          <w:p>
            <w:pPr>
              <w:jc w:val="center"/>
              <w:rPr>
                <w:rFonts w:ascii="Times New Roman" w:hAnsi="Times New Roman" w:cs="Times New Roman"/>
                <w:b/>
              </w:rPr>
            </w:pPr>
            <w:r>
              <w:rPr>
                <w:rFonts w:ascii="Times New Roman" w:hAnsi="Times New Roman" w:cs="Times New Roman"/>
                <w:b/>
              </w:rPr>
              <w:t>表1.5-1 产品方案及规模一览表</w:t>
            </w:r>
          </w:p>
          <w:tbl>
            <w:tblPr>
              <w:tblStyle w:val="17"/>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18"/>
              <w:gridCol w:w="1843"/>
              <w:gridCol w:w="1866"/>
              <w:gridCol w:w="2150"/>
              <w:gridCol w:w="172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18" w:type="dxa"/>
                  <w:tcBorders>
                    <w:right w:val="single" w:color="auto" w:sz="4" w:space="0"/>
                  </w:tcBorders>
                  <w:vAlign w:val="center"/>
                </w:tcPr>
                <w:p>
                  <w:pPr>
                    <w:pStyle w:val="28"/>
                    <w:spacing w:line="360" w:lineRule="exact"/>
                    <w:rPr>
                      <w:color w:val="auto"/>
                      <w:szCs w:val="21"/>
                      <w:lang w:val="en-US"/>
                    </w:rPr>
                  </w:pPr>
                  <w:r>
                    <w:rPr>
                      <w:color w:val="auto"/>
                      <w:szCs w:val="21"/>
                      <w:lang w:val="en-US"/>
                    </w:rPr>
                    <w:t>序号</w:t>
                  </w:r>
                </w:p>
              </w:tc>
              <w:tc>
                <w:tcPr>
                  <w:tcW w:w="1843" w:type="dxa"/>
                  <w:tcBorders>
                    <w:left w:val="single" w:color="auto" w:sz="4" w:space="0"/>
                  </w:tcBorders>
                  <w:vAlign w:val="center"/>
                </w:tcPr>
                <w:p>
                  <w:pPr>
                    <w:pStyle w:val="28"/>
                    <w:spacing w:line="360" w:lineRule="exact"/>
                    <w:rPr>
                      <w:color w:val="auto"/>
                      <w:szCs w:val="21"/>
                      <w:lang w:val="en-US"/>
                    </w:rPr>
                  </w:pPr>
                  <w:r>
                    <w:rPr>
                      <w:color w:val="auto"/>
                      <w:szCs w:val="21"/>
                      <w:lang w:val="en-US"/>
                    </w:rPr>
                    <w:t>主要产品</w:t>
                  </w:r>
                </w:p>
              </w:tc>
              <w:tc>
                <w:tcPr>
                  <w:tcW w:w="1866" w:type="dxa"/>
                  <w:vAlign w:val="center"/>
                </w:tcPr>
                <w:p>
                  <w:pPr>
                    <w:pStyle w:val="28"/>
                    <w:spacing w:line="360" w:lineRule="exact"/>
                    <w:rPr>
                      <w:color w:val="auto"/>
                      <w:szCs w:val="21"/>
                      <w:lang w:val="en-US"/>
                    </w:rPr>
                  </w:pPr>
                  <w:r>
                    <w:rPr>
                      <w:color w:val="auto"/>
                      <w:szCs w:val="21"/>
                      <w:lang w:val="en-US"/>
                    </w:rPr>
                    <w:t>规格</w:t>
                  </w:r>
                </w:p>
              </w:tc>
              <w:tc>
                <w:tcPr>
                  <w:tcW w:w="2150" w:type="dxa"/>
                  <w:vAlign w:val="center"/>
                </w:tcPr>
                <w:p>
                  <w:pPr>
                    <w:pStyle w:val="28"/>
                    <w:spacing w:line="360" w:lineRule="exact"/>
                    <w:rPr>
                      <w:color w:val="auto"/>
                      <w:szCs w:val="21"/>
                      <w:lang w:val="en-US"/>
                    </w:rPr>
                  </w:pPr>
                  <w:r>
                    <w:rPr>
                      <w:color w:val="auto"/>
                      <w:szCs w:val="21"/>
                      <w:lang w:val="en-US"/>
                    </w:rPr>
                    <w:t>产能</w:t>
                  </w:r>
                </w:p>
              </w:tc>
              <w:tc>
                <w:tcPr>
                  <w:tcW w:w="1728" w:type="dxa"/>
                  <w:vAlign w:val="center"/>
                </w:tcPr>
                <w:p>
                  <w:pPr>
                    <w:pStyle w:val="28"/>
                    <w:spacing w:line="360" w:lineRule="exact"/>
                    <w:rPr>
                      <w:color w:val="auto"/>
                      <w:szCs w:val="21"/>
                      <w:lang w:val="en-US"/>
                    </w:rPr>
                  </w:pPr>
                  <w:r>
                    <w:rPr>
                      <w:color w:val="auto"/>
                      <w:szCs w:val="21"/>
                      <w:lang w:val="en-US"/>
                    </w:rPr>
                    <w:t>合计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18" w:type="dxa"/>
                  <w:tcBorders>
                    <w:right w:val="single" w:color="auto" w:sz="4" w:space="0"/>
                  </w:tcBorders>
                  <w:vAlign w:val="center"/>
                </w:tcPr>
                <w:p>
                  <w:pPr>
                    <w:pStyle w:val="28"/>
                    <w:spacing w:line="360" w:lineRule="exact"/>
                    <w:rPr>
                      <w:color w:val="auto"/>
                      <w:szCs w:val="21"/>
                      <w:lang w:val="en-US"/>
                    </w:rPr>
                  </w:pPr>
                  <w:r>
                    <w:rPr>
                      <w:color w:val="auto"/>
                      <w:szCs w:val="21"/>
                      <w:lang w:val="en-US"/>
                    </w:rPr>
                    <w:t>1</w:t>
                  </w:r>
                </w:p>
              </w:tc>
              <w:tc>
                <w:tcPr>
                  <w:tcW w:w="1843" w:type="dxa"/>
                  <w:tcBorders>
                    <w:left w:val="single" w:color="auto" w:sz="4" w:space="0"/>
                  </w:tcBorders>
                  <w:vAlign w:val="center"/>
                </w:tcPr>
                <w:p>
                  <w:pPr>
                    <w:pStyle w:val="28"/>
                    <w:spacing w:line="360" w:lineRule="exact"/>
                    <w:rPr>
                      <w:color w:val="auto"/>
                      <w:szCs w:val="21"/>
                      <w:lang w:val="en-US"/>
                    </w:rPr>
                  </w:pPr>
                  <w:r>
                    <w:rPr>
                      <w:color w:val="auto"/>
                      <w:szCs w:val="21"/>
                      <w:lang w:val="en-US"/>
                    </w:rPr>
                    <w:t>自然砂</w:t>
                  </w:r>
                </w:p>
              </w:tc>
              <w:tc>
                <w:tcPr>
                  <w:tcW w:w="1866" w:type="dxa"/>
                  <w:vAlign w:val="center"/>
                </w:tcPr>
                <w:p>
                  <w:pPr>
                    <w:pStyle w:val="28"/>
                    <w:spacing w:line="360" w:lineRule="exact"/>
                    <w:rPr>
                      <w:color w:val="auto"/>
                      <w:szCs w:val="21"/>
                      <w:lang w:val="en-US"/>
                    </w:rPr>
                  </w:pPr>
                  <w:r>
                    <w:rPr>
                      <w:color w:val="auto"/>
                      <w:szCs w:val="21"/>
                      <w:lang w:val="en-US"/>
                    </w:rPr>
                    <w:t>Φ0-5mm</w:t>
                  </w:r>
                </w:p>
              </w:tc>
              <w:tc>
                <w:tcPr>
                  <w:tcW w:w="2150" w:type="dxa"/>
                  <w:vAlign w:val="center"/>
                </w:tcPr>
                <w:p>
                  <w:pPr>
                    <w:pStyle w:val="28"/>
                    <w:spacing w:line="360" w:lineRule="exact"/>
                    <w:rPr>
                      <w:color w:val="auto"/>
                      <w:szCs w:val="21"/>
                      <w:lang w:val="en-US"/>
                    </w:rPr>
                  </w:pPr>
                  <w:r>
                    <w:rPr>
                      <w:color w:val="auto"/>
                      <w:szCs w:val="21"/>
                      <w:lang w:val="en-US"/>
                    </w:rPr>
                    <w:t>5.25万m³/a</w:t>
                  </w:r>
                </w:p>
              </w:tc>
              <w:tc>
                <w:tcPr>
                  <w:tcW w:w="1728" w:type="dxa"/>
                  <w:vMerge w:val="restart"/>
                  <w:vAlign w:val="center"/>
                </w:tcPr>
                <w:p>
                  <w:pPr>
                    <w:pStyle w:val="28"/>
                    <w:spacing w:line="360" w:lineRule="exact"/>
                    <w:rPr>
                      <w:color w:val="auto"/>
                      <w:szCs w:val="21"/>
                      <w:lang w:val="en-US"/>
                    </w:rPr>
                  </w:pPr>
                  <w:r>
                    <w:rPr>
                      <w:color w:val="auto"/>
                      <w:sz w:val="24"/>
                      <w:szCs w:val="24"/>
                      <w:lang w:val="en-US"/>
                    </w:rPr>
                    <w:t>25.9</w:t>
                  </w:r>
                  <w:r>
                    <w:rPr>
                      <w:color w:val="auto"/>
                      <w:sz w:val="24"/>
                      <w:szCs w:val="24"/>
                    </w:rPr>
                    <w:t>万</w:t>
                  </w:r>
                  <w:r>
                    <w:rPr>
                      <w:color w:val="auto"/>
                      <w:sz w:val="24"/>
                      <w:szCs w:val="24"/>
                      <w:lang w:val="en-US"/>
                    </w:rPr>
                    <w:t>m³/a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18" w:type="dxa"/>
                  <w:tcBorders>
                    <w:right w:val="single" w:color="auto" w:sz="4" w:space="0"/>
                  </w:tcBorders>
                  <w:vAlign w:val="center"/>
                </w:tcPr>
                <w:p>
                  <w:pPr>
                    <w:pStyle w:val="28"/>
                    <w:spacing w:line="360" w:lineRule="exact"/>
                    <w:rPr>
                      <w:color w:val="auto"/>
                      <w:szCs w:val="21"/>
                      <w:lang w:val="en-US"/>
                    </w:rPr>
                  </w:pPr>
                  <w:r>
                    <w:rPr>
                      <w:color w:val="auto"/>
                      <w:szCs w:val="21"/>
                      <w:lang w:val="en-US"/>
                    </w:rPr>
                    <w:t>2</w:t>
                  </w:r>
                </w:p>
              </w:tc>
              <w:tc>
                <w:tcPr>
                  <w:tcW w:w="1843" w:type="dxa"/>
                  <w:tcBorders>
                    <w:left w:val="single" w:color="auto" w:sz="4" w:space="0"/>
                  </w:tcBorders>
                  <w:vAlign w:val="center"/>
                </w:tcPr>
                <w:p>
                  <w:pPr>
                    <w:pStyle w:val="28"/>
                    <w:spacing w:line="360" w:lineRule="exact"/>
                    <w:rPr>
                      <w:color w:val="auto"/>
                      <w:szCs w:val="21"/>
                      <w:lang w:val="en-US"/>
                    </w:rPr>
                  </w:pPr>
                  <w:r>
                    <w:rPr>
                      <w:color w:val="auto"/>
                      <w:szCs w:val="21"/>
                      <w:lang w:val="en-US"/>
                    </w:rPr>
                    <w:t>制砖砂</w:t>
                  </w:r>
                </w:p>
              </w:tc>
              <w:tc>
                <w:tcPr>
                  <w:tcW w:w="1866" w:type="dxa"/>
                  <w:vAlign w:val="center"/>
                </w:tcPr>
                <w:p>
                  <w:pPr>
                    <w:pStyle w:val="28"/>
                    <w:spacing w:line="360" w:lineRule="exact"/>
                    <w:rPr>
                      <w:color w:val="auto"/>
                      <w:szCs w:val="21"/>
                      <w:lang w:val="en-US"/>
                    </w:rPr>
                  </w:pPr>
                  <w:r>
                    <w:rPr>
                      <w:color w:val="auto"/>
                      <w:szCs w:val="21"/>
                      <w:lang w:val="en-US"/>
                    </w:rPr>
                    <w:t>Φ0-5mm</w:t>
                  </w:r>
                </w:p>
              </w:tc>
              <w:tc>
                <w:tcPr>
                  <w:tcW w:w="2150" w:type="dxa"/>
                  <w:vAlign w:val="center"/>
                </w:tcPr>
                <w:p>
                  <w:pPr>
                    <w:pStyle w:val="28"/>
                    <w:spacing w:line="360" w:lineRule="exact"/>
                    <w:rPr>
                      <w:color w:val="auto"/>
                      <w:szCs w:val="21"/>
                      <w:lang w:val="en-US"/>
                    </w:rPr>
                  </w:pPr>
                  <w:r>
                    <w:rPr>
                      <w:color w:val="auto"/>
                      <w:szCs w:val="21"/>
                      <w:lang w:val="en-US"/>
                    </w:rPr>
                    <w:t>5.25万m³/a</w:t>
                  </w:r>
                </w:p>
              </w:tc>
              <w:tc>
                <w:tcPr>
                  <w:tcW w:w="1728" w:type="dxa"/>
                  <w:vMerge w:val="continue"/>
                  <w:vAlign w:val="center"/>
                </w:tcPr>
                <w:p>
                  <w:pPr>
                    <w:pStyle w:val="28"/>
                    <w:spacing w:line="360" w:lineRule="exact"/>
                    <w:rPr>
                      <w:color w:val="auto"/>
                      <w:szCs w:val="2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18" w:type="dxa"/>
                  <w:tcBorders>
                    <w:right w:val="single" w:color="auto" w:sz="4" w:space="0"/>
                  </w:tcBorders>
                  <w:vAlign w:val="center"/>
                </w:tcPr>
                <w:p>
                  <w:pPr>
                    <w:pStyle w:val="28"/>
                    <w:spacing w:line="360" w:lineRule="exact"/>
                    <w:rPr>
                      <w:color w:val="auto"/>
                      <w:szCs w:val="21"/>
                      <w:lang w:val="en-US"/>
                    </w:rPr>
                  </w:pPr>
                  <w:r>
                    <w:rPr>
                      <w:color w:val="auto"/>
                      <w:szCs w:val="21"/>
                      <w:lang w:val="en-US"/>
                    </w:rPr>
                    <w:t>3</w:t>
                  </w:r>
                </w:p>
              </w:tc>
              <w:tc>
                <w:tcPr>
                  <w:tcW w:w="1843" w:type="dxa"/>
                  <w:tcBorders>
                    <w:left w:val="single" w:color="auto" w:sz="4" w:space="0"/>
                  </w:tcBorders>
                  <w:vAlign w:val="center"/>
                </w:tcPr>
                <w:p>
                  <w:pPr>
                    <w:pStyle w:val="28"/>
                    <w:spacing w:line="360" w:lineRule="exact"/>
                    <w:rPr>
                      <w:color w:val="auto"/>
                      <w:szCs w:val="21"/>
                      <w:lang w:val="en-US"/>
                    </w:rPr>
                  </w:pPr>
                  <w:r>
                    <w:rPr>
                      <w:color w:val="auto"/>
                      <w:szCs w:val="21"/>
                      <w:lang w:val="en-US"/>
                    </w:rPr>
                    <w:t>1号料</w:t>
                  </w:r>
                </w:p>
              </w:tc>
              <w:tc>
                <w:tcPr>
                  <w:tcW w:w="1866" w:type="dxa"/>
                  <w:vAlign w:val="center"/>
                </w:tcPr>
                <w:p>
                  <w:pPr>
                    <w:pStyle w:val="28"/>
                    <w:spacing w:line="360" w:lineRule="exact"/>
                    <w:rPr>
                      <w:color w:val="auto"/>
                      <w:szCs w:val="21"/>
                      <w:lang w:val="en-US"/>
                    </w:rPr>
                  </w:pPr>
                  <w:r>
                    <w:rPr>
                      <w:color w:val="auto"/>
                      <w:szCs w:val="21"/>
                      <w:lang w:val="en-US"/>
                    </w:rPr>
                    <w:t>Φ10-20mm</w:t>
                  </w:r>
                </w:p>
              </w:tc>
              <w:tc>
                <w:tcPr>
                  <w:tcW w:w="2150" w:type="dxa"/>
                  <w:vAlign w:val="center"/>
                </w:tcPr>
                <w:p>
                  <w:pPr>
                    <w:pStyle w:val="28"/>
                    <w:spacing w:line="360" w:lineRule="exact"/>
                    <w:rPr>
                      <w:color w:val="auto"/>
                      <w:szCs w:val="21"/>
                      <w:lang w:val="en-US"/>
                    </w:rPr>
                  </w:pPr>
                  <w:r>
                    <w:rPr>
                      <w:color w:val="auto"/>
                      <w:szCs w:val="21"/>
                      <w:lang w:val="en-US"/>
                    </w:rPr>
                    <w:t>8.26万m³/a</w:t>
                  </w:r>
                </w:p>
              </w:tc>
              <w:tc>
                <w:tcPr>
                  <w:tcW w:w="1728" w:type="dxa"/>
                  <w:vMerge w:val="continue"/>
                  <w:vAlign w:val="center"/>
                </w:tcPr>
                <w:p>
                  <w:pPr>
                    <w:pStyle w:val="28"/>
                    <w:spacing w:line="360" w:lineRule="exact"/>
                    <w:rPr>
                      <w:color w:val="auto"/>
                      <w:szCs w:val="2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18" w:type="dxa"/>
                  <w:tcBorders>
                    <w:right w:val="single" w:color="auto" w:sz="4" w:space="0"/>
                  </w:tcBorders>
                  <w:vAlign w:val="center"/>
                </w:tcPr>
                <w:p>
                  <w:pPr>
                    <w:pStyle w:val="28"/>
                    <w:spacing w:line="360" w:lineRule="exact"/>
                    <w:rPr>
                      <w:color w:val="auto"/>
                      <w:szCs w:val="21"/>
                      <w:lang w:val="en-US"/>
                    </w:rPr>
                  </w:pPr>
                  <w:r>
                    <w:rPr>
                      <w:color w:val="auto"/>
                      <w:szCs w:val="21"/>
                      <w:lang w:val="en-US"/>
                    </w:rPr>
                    <w:t>4</w:t>
                  </w:r>
                </w:p>
              </w:tc>
              <w:tc>
                <w:tcPr>
                  <w:tcW w:w="1843" w:type="dxa"/>
                  <w:tcBorders>
                    <w:left w:val="single" w:color="auto" w:sz="4" w:space="0"/>
                  </w:tcBorders>
                  <w:vAlign w:val="center"/>
                </w:tcPr>
                <w:p>
                  <w:pPr>
                    <w:pStyle w:val="28"/>
                    <w:spacing w:line="360" w:lineRule="exact"/>
                    <w:rPr>
                      <w:color w:val="auto"/>
                      <w:szCs w:val="21"/>
                      <w:lang w:val="en-US"/>
                    </w:rPr>
                  </w:pPr>
                  <w:r>
                    <w:rPr>
                      <w:color w:val="auto"/>
                      <w:szCs w:val="21"/>
                      <w:lang w:val="en-US"/>
                    </w:rPr>
                    <w:t>2号料</w:t>
                  </w:r>
                </w:p>
              </w:tc>
              <w:tc>
                <w:tcPr>
                  <w:tcW w:w="1866" w:type="dxa"/>
                  <w:vAlign w:val="center"/>
                </w:tcPr>
                <w:p>
                  <w:pPr>
                    <w:pStyle w:val="28"/>
                    <w:spacing w:line="360" w:lineRule="exact"/>
                    <w:rPr>
                      <w:color w:val="auto"/>
                      <w:szCs w:val="21"/>
                      <w:lang w:val="en-US"/>
                    </w:rPr>
                  </w:pPr>
                  <w:r>
                    <w:rPr>
                      <w:color w:val="auto"/>
                      <w:szCs w:val="21"/>
                      <w:lang w:val="en-US"/>
                    </w:rPr>
                    <w:t>Φ20-31.5mm</w:t>
                  </w:r>
                </w:p>
              </w:tc>
              <w:tc>
                <w:tcPr>
                  <w:tcW w:w="2150" w:type="dxa"/>
                  <w:vAlign w:val="center"/>
                </w:tcPr>
                <w:p>
                  <w:pPr>
                    <w:pStyle w:val="28"/>
                    <w:spacing w:line="360" w:lineRule="exact"/>
                    <w:rPr>
                      <w:color w:val="auto"/>
                      <w:szCs w:val="21"/>
                      <w:lang w:val="en-US"/>
                    </w:rPr>
                  </w:pPr>
                  <w:r>
                    <w:rPr>
                      <w:color w:val="auto"/>
                      <w:szCs w:val="21"/>
                      <w:lang w:val="en-US"/>
                    </w:rPr>
                    <w:t>7.14万m³/a</w:t>
                  </w:r>
                </w:p>
              </w:tc>
              <w:tc>
                <w:tcPr>
                  <w:tcW w:w="1728" w:type="dxa"/>
                  <w:vMerge w:val="continue"/>
                  <w:vAlign w:val="center"/>
                </w:tcPr>
                <w:p>
                  <w:pPr>
                    <w:pStyle w:val="28"/>
                    <w:spacing w:line="360" w:lineRule="exact"/>
                    <w:rPr>
                      <w:color w:val="auto"/>
                      <w:szCs w:val="21"/>
                      <w:lang w:val="en-US"/>
                    </w:rPr>
                  </w:pPr>
                </w:p>
              </w:tc>
            </w:tr>
          </w:tbl>
          <w:p>
            <w:pPr>
              <w:autoSpaceDE w:val="0"/>
              <w:autoSpaceDN w:val="0"/>
              <w:spacing w:before="156" w:beforeLines="50"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2.4 主要生产单元、主要工艺、生产设施及设施参数</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根据设计，项目主要生产单元、主要工艺、生产设施及设施参数如下表所示。</w:t>
            </w:r>
          </w:p>
          <w:p>
            <w:pPr>
              <w:pStyle w:val="30"/>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sz w:val="21"/>
                <w:szCs w:val="21"/>
              </w:rPr>
            </w:pPr>
            <w:r>
              <w:rPr>
                <w:rFonts w:hAnsi="Times New Roman" w:eastAsiaTheme="minorEastAsia"/>
                <w:bCs/>
                <w:snapToGrid w:val="0"/>
                <w:sz w:val="21"/>
                <w:szCs w:val="21"/>
              </w:rPr>
              <w:t>表2.4-1 主要生产单元、主要工艺、生产设施及设施参数表</w:t>
            </w:r>
          </w:p>
          <w:tbl>
            <w:tblPr>
              <w:tblStyle w:val="17"/>
              <w:tblW w:w="860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39"/>
              <w:gridCol w:w="2421"/>
              <w:gridCol w:w="3122"/>
              <w:gridCol w:w="18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239" w:type="dxa"/>
                  <w:vAlign w:val="center"/>
                </w:tcPr>
                <w:p>
                  <w:pPr>
                    <w:pStyle w:val="28"/>
                    <w:spacing w:line="320" w:lineRule="atLeast"/>
                    <w:rPr>
                      <w:color w:val="auto"/>
                      <w:szCs w:val="21"/>
                      <w:lang w:val="en-US"/>
                    </w:rPr>
                  </w:pPr>
                  <w:r>
                    <w:rPr>
                      <w:color w:val="auto"/>
                      <w:szCs w:val="21"/>
                      <w:lang w:val="en-US"/>
                    </w:rPr>
                    <w:t>主要生产单元</w:t>
                  </w:r>
                </w:p>
              </w:tc>
              <w:tc>
                <w:tcPr>
                  <w:tcW w:w="2421" w:type="dxa"/>
                  <w:vAlign w:val="center"/>
                </w:tcPr>
                <w:p>
                  <w:pPr>
                    <w:pStyle w:val="28"/>
                    <w:spacing w:line="320" w:lineRule="atLeast"/>
                    <w:rPr>
                      <w:color w:val="auto"/>
                      <w:szCs w:val="21"/>
                      <w:lang w:val="en-US"/>
                    </w:rPr>
                  </w:pPr>
                  <w:r>
                    <w:rPr>
                      <w:color w:val="auto"/>
                      <w:szCs w:val="21"/>
                      <w:lang w:val="en-US"/>
                    </w:rPr>
                    <w:t>主要工艺</w:t>
                  </w:r>
                </w:p>
              </w:tc>
              <w:tc>
                <w:tcPr>
                  <w:tcW w:w="3122" w:type="dxa"/>
                  <w:vAlign w:val="center"/>
                </w:tcPr>
                <w:p>
                  <w:pPr>
                    <w:pStyle w:val="28"/>
                    <w:spacing w:line="320" w:lineRule="atLeast"/>
                    <w:rPr>
                      <w:color w:val="auto"/>
                      <w:szCs w:val="21"/>
                      <w:lang w:val="en-US"/>
                    </w:rPr>
                  </w:pPr>
                  <w:r>
                    <w:rPr>
                      <w:color w:val="auto"/>
                      <w:szCs w:val="21"/>
                      <w:lang w:val="en-US"/>
                    </w:rPr>
                    <w:t>生产设施</w:t>
                  </w:r>
                </w:p>
              </w:tc>
              <w:tc>
                <w:tcPr>
                  <w:tcW w:w="1820" w:type="dxa"/>
                  <w:vAlign w:val="center"/>
                </w:tcPr>
                <w:p>
                  <w:pPr>
                    <w:pStyle w:val="28"/>
                    <w:spacing w:line="320" w:lineRule="atLeast"/>
                    <w:rPr>
                      <w:color w:val="auto"/>
                      <w:szCs w:val="21"/>
                      <w:lang w:val="en-US"/>
                    </w:rPr>
                  </w:pPr>
                  <w:r>
                    <w:rPr>
                      <w:color w:val="auto"/>
                      <w:szCs w:val="21"/>
                      <w:lang w:val="en-US"/>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239" w:type="dxa"/>
                  <w:vMerge w:val="restart"/>
                  <w:vAlign w:val="center"/>
                </w:tcPr>
                <w:p>
                  <w:pPr>
                    <w:pStyle w:val="28"/>
                    <w:spacing w:line="320" w:lineRule="atLeast"/>
                    <w:rPr>
                      <w:color w:val="auto"/>
                      <w:szCs w:val="21"/>
                      <w:lang w:val="en-US"/>
                    </w:rPr>
                  </w:pPr>
                  <w:r>
                    <w:rPr>
                      <w:color w:val="auto"/>
                      <w:szCs w:val="21"/>
                      <w:lang w:val="en-US"/>
                    </w:rPr>
                    <w:t>主体工程</w:t>
                  </w:r>
                </w:p>
              </w:tc>
              <w:tc>
                <w:tcPr>
                  <w:tcW w:w="2421" w:type="dxa"/>
                  <w:vMerge w:val="restart"/>
                  <w:vAlign w:val="center"/>
                </w:tcPr>
                <w:p>
                  <w:pPr>
                    <w:pStyle w:val="28"/>
                    <w:spacing w:line="320" w:lineRule="atLeast"/>
                    <w:rPr>
                      <w:color w:val="auto"/>
                      <w:szCs w:val="21"/>
                      <w:lang w:val="en-US"/>
                    </w:rPr>
                  </w:pPr>
                  <w:r>
                    <w:rPr>
                      <w:color w:val="auto"/>
                      <w:szCs w:val="21"/>
                      <w:lang w:val="en-US"/>
                    </w:rPr>
                    <w:t>破碎车间</w:t>
                  </w:r>
                </w:p>
              </w:tc>
              <w:tc>
                <w:tcPr>
                  <w:tcW w:w="3122" w:type="dxa"/>
                  <w:vAlign w:val="center"/>
                </w:tcPr>
                <w:p>
                  <w:pPr>
                    <w:pStyle w:val="28"/>
                    <w:spacing w:line="320" w:lineRule="atLeast"/>
                    <w:rPr>
                      <w:color w:val="auto"/>
                      <w:szCs w:val="21"/>
                      <w:lang w:val="en-US"/>
                    </w:rPr>
                  </w:pPr>
                  <w:r>
                    <w:rPr>
                      <w:color w:val="auto"/>
                      <w:szCs w:val="21"/>
                      <w:lang w:val="en-US"/>
                    </w:rPr>
                    <w:t>颚式破碎机</w:t>
                  </w:r>
                  <w:r>
                    <w:rPr>
                      <w:color w:val="auto"/>
                      <w:w w:val="105"/>
                      <w:szCs w:val="21"/>
                    </w:rPr>
                    <w:t>（PE750*1060）</w:t>
                  </w:r>
                  <w:r>
                    <w:rPr>
                      <w:rFonts w:hint="eastAsia"/>
                      <w:color w:val="auto"/>
                      <w:w w:val="105"/>
                      <w:szCs w:val="21"/>
                    </w:rPr>
                    <w:t>（</w:t>
                  </w:r>
                  <w:r>
                    <w:rPr>
                      <w:rFonts w:hint="eastAsia"/>
                      <w:color w:val="auto"/>
                      <w:w w:val="105"/>
                      <w:szCs w:val="21"/>
                      <w:lang w:val="en-US"/>
                    </w:rPr>
                    <w:t>一级破碎</w:t>
                  </w:r>
                  <w:r>
                    <w:rPr>
                      <w:rFonts w:hint="eastAsia"/>
                      <w:color w:val="auto"/>
                      <w:w w:val="105"/>
                      <w:szCs w:val="21"/>
                    </w:rPr>
                    <w:t>）</w:t>
                  </w:r>
                </w:p>
              </w:tc>
              <w:tc>
                <w:tcPr>
                  <w:tcW w:w="1820" w:type="dxa"/>
                  <w:vAlign w:val="center"/>
                </w:tcPr>
                <w:p>
                  <w:pPr>
                    <w:pStyle w:val="28"/>
                    <w:spacing w:line="320" w:lineRule="atLeast"/>
                    <w:rPr>
                      <w:color w:val="auto"/>
                      <w:szCs w:val="21"/>
                      <w:lang w:val="en-US"/>
                    </w:rPr>
                  </w:pPr>
                  <w:r>
                    <w:rPr>
                      <w:rFonts w:hint="eastAsia"/>
                      <w:color w:val="auto"/>
                      <w:szCs w:val="21"/>
                      <w:lang w:val="en-US"/>
                    </w:rPr>
                    <w:t>2</w:t>
                  </w:r>
                  <w:r>
                    <w:rPr>
                      <w:color w:val="auto"/>
                      <w:szCs w:val="21"/>
                      <w:lang w:val="en-US"/>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239" w:type="dxa"/>
                  <w:vMerge w:val="continue"/>
                  <w:vAlign w:val="center"/>
                </w:tcPr>
                <w:p>
                  <w:pPr>
                    <w:pStyle w:val="28"/>
                    <w:spacing w:line="320" w:lineRule="atLeast"/>
                    <w:rPr>
                      <w:color w:val="auto"/>
                      <w:szCs w:val="21"/>
                      <w:lang w:val="en-US"/>
                    </w:rPr>
                  </w:pPr>
                </w:p>
              </w:tc>
              <w:tc>
                <w:tcPr>
                  <w:tcW w:w="2421" w:type="dxa"/>
                  <w:vMerge w:val="continue"/>
                  <w:vAlign w:val="center"/>
                </w:tcPr>
                <w:p>
                  <w:pPr>
                    <w:pStyle w:val="28"/>
                    <w:spacing w:line="320" w:lineRule="atLeast"/>
                    <w:rPr>
                      <w:color w:val="auto"/>
                      <w:szCs w:val="21"/>
                      <w:lang w:val="en-US"/>
                    </w:rPr>
                  </w:pPr>
                </w:p>
              </w:tc>
              <w:tc>
                <w:tcPr>
                  <w:tcW w:w="3122" w:type="dxa"/>
                  <w:vAlign w:val="center"/>
                </w:tcPr>
                <w:p>
                  <w:pPr>
                    <w:pStyle w:val="28"/>
                    <w:spacing w:line="320" w:lineRule="atLeast"/>
                    <w:rPr>
                      <w:color w:val="auto"/>
                      <w:szCs w:val="21"/>
                      <w:lang w:val="en-US"/>
                    </w:rPr>
                  </w:pPr>
                  <w:r>
                    <w:rPr>
                      <w:color w:val="auto"/>
                      <w:szCs w:val="21"/>
                      <w:lang w:val="en-US"/>
                    </w:rPr>
                    <w:t>给料机</w:t>
                  </w:r>
                  <w:r>
                    <w:rPr>
                      <w:color w:val="auto"/>
                      <w:w w:val="105"/>
                      <w:szCs w:val="21"/>
                    </w:rPr>
                    <w:t>（ZW1350）</w:t>
                  </w:r>
                </w:p>
              </w:tc>
              <w:tc>
                <w:tcPr>
                  <w:tcW w:w="1820" w:type="dxa"/>
                  <w:vAlign w:val="center"/>
                </w:tcPr>
                <w:p>
                  <w:pPr>
                    <w:pStyle w:val="28"/>
                    <w:spacing w:line="320" w:lineRule="atLeast"/>
                    <w:rPr>
                      <w:color w:val="auto"/>
                      <w:szCs w:val="21"/>
                      <w:lang w:val="en-US"/>
                    </w:rPr>
                  </w:pPr>
                  <w:r>
                    <w:rPr>
                      <w:rFonts w:hint="eastAsia"/>
                      <w:color w:val="auto"/>
                      <w:szCs w:val="21"/>
                      <w:lang w:val="en-US"/>
                    </w:rPr>
                    <w:t>2</w:t>
                  </w:r>
                  <w:r>
                    <w:rPr>
                      <w:color w:val="auto"/>
                      <w:szCs w:val="21"/>
                      <w:lang w:val="en-US"/>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239" w:type="dxa"/>
                  <w:vMerge w:val="continue"/>
                  <w:vAlign w:val="center"/>
                </w:tcPr>
                <w:p>
                  <w:pPr>
                    <w:pStyle w:val="28"/>
                    <w:spacing w:line="320" w:lineRule="atLeast"/>
                    <w:rPr>
                      <w:color w:val="auto"/>
                      <w:szCs w:val="21"/>
                      <w:lang w:val="en-US"/>
                    </w:rPr>
                  </w:pPr>
                </w:p>
              </w:tc>
              <w:tc>
                <w:tcPr>
                  <w:tcW w:w="2421" w:type="dxa"/>
                  <w:vMerge w:val="continue"/>
                  <w:vAlign w:val="center"/>
                </w:tcPr>
                <w:p>
                  <w:pPr>
                    <w:pStyle w:val="28"/>
                    <w:spacing w:line="320" w:lineRule="atLeast"/>
                    <w:rPr>
                      <w:color w:val="auto"/>
                      <w:szCs w:val="21"/>
                      <w:lang w:val="en-US"/>
                    </w:rPr>
                  </w:pPr>
                </w:p>
              </w:tc>
              <w:tc>
                <w:tcPr>
                  <w:tcW w:w="3122" w:type="dxa"/>
                  <w:vAlign w:val="center"/>
                </w:tcPr>
                <w:p>
                  <w:pPr>
                    <w:pStyle w:val="28"/>
                    <w:spacing w:line="320" w:lineRule="atLeast"/>
                    <w:rPr>
                      <w:color w:val="auto"/>
                      <w:szCs w:val="21"/>
                      <w:lang w:val="en-US"/>
                    </w:rPr>
                  </w:pPr>
                  <w:r>
                    <w:rPr>
                      <w:color w:val="auto"/>
                      <w:w w:val="105"/>
                      <w:szCs w:val="21"/>
                    </w:rPr>
                    <w:t>多缸液压圆锥机（HPY400）</w:t>
                  </w:r>
                  <w:r>
                    <w:rPr>
                      <w:rFonts w:hint="eastAsia"/>
                      <w:color w:val="auto"/>
                      <w:w w:val="105"/>
                      <w:szCs w:val="21"/>
                    </w:rPr>
                    <w:t>（</w:t>
                  </w:r>
                  <w:r>
                    <w:rPr>
                      <w:rFonts w:hint="eastAsia"/>
                      <w:color w:val="auto"/>
                      <w:w w:val="105"/>
                      <w:szCs w:val="21"/>
                      <w:lang w:val="en-US"/>
                    </w:rPr>
                    <w:t>二级破碎</w:t>
                  </w:r>
                  <w:r>
                    <w:rPr>
                      <w:rFonts w:hint="eastAsia"/>
                      <w:color w:val="auto"/>
                      <w:w w:val="105"/>
                      <w:szCs w:val="21"/>
                    </w:rPr>
                    <w:t>）</w:t>
                  </w:r>
                </w:p>
              </w:tc>
              <w:tc>
                <w:tcPr>
                  <w:tcW w:w="1820" w:type="dxa"/>
                  <w:vAlign w:val="center"/>
                </w:tcPr>
                <w:p>
                  <w:pPr>
                    <w:pStyle w:val="28"/>
                    <w:spacing w:line="320" w:lineRule="atLeast"/>
                    <w:rPr>
                      <w:color w:val="auto"/>
                      <w:szCs w:val="21"/>
                      <w:lang w:val="en-US"/>
                    </w:rPr>
                  </w:pPr>
                  <w:r>
                    <w:rPr>
                      <w:rFonts w:hint="eastAsia"/>
                      <w:color w:val="auto"/>
                      <w:szCs w:val="21"/>
                      <w:lang w:val="en-US"/>
                    </w:rPr>
                    <w:t>2</w:t>
                  </w:r>
                  <w:r>
                    <w:rPr>
                      <w:color w:val="auto"/>
                      <w:szCs w:val="21"/>
                      <w:lang w:val="en-US"/>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239" w:type="dxa"/>
                  <w:vMerge w:val="continue"/>
                  <w:vAlign w:val="center"/>
                </w:tcPr>
                <w:p>
                  <w:pPr>
                    <w:pStyle w:val="28"/>
                    <w:spacing w:line="320" w:lineRule="atLeast"/>
                    <w:rPr>
                      <w:color w:val="auto"/>
                      <w:szCs w:val="21"/>
                      <w:lang w:val="en-US"/>
                    </w:rPr>
                  </w:pPr>
                </w:p>
              </w:tc>
              <w:tc>
                <w:tcPr>
                  <w:tcW w:w="2421" w:type="dxa"/>
                  <w:vMerge w:val="continue"/>
                  <w:vAlign w:val="center"/>
                </w:tcPr>
                <w:p>
                  <w:pPr>
                    <w:pStyle w:val="28"/>
                    <w:spacing w:line="320" w:lineRule="atLeast"/>
                    <w:rPr>
                      <w:color w:val="auto"/>
                      <w:szCs w:val="21"/>
                      <w:lang w:val="en-US"/>
                    </w:rPr>
                  </w:pPr>
                </w:p>
              </w:tc>
              <w:tc>
                <w:tcPr>
                  <w:tcW w:w="3122" w:type="dxa"/>
                  <w:vAlign w:val="center"/>
                </w:tcPr>
                <w:p>
                  <w:pPr>
                    <w:pStyle w:val="28"/>
                    <w:spacing w:line="320" w:lineRule="atLeast"/>
                    <w:rPr>
                      <w:color w:val="auto"/>
                      <w:szCs w:val="21"/>
                      <w:lang w:val="en-US"/>
                    </w:rPr>
                  </w:pPr>
                  <w:r>
                    <w:rPr>
                      <w:color w:val="auto"/>
                      <w:w w:val="105"/>
                      <w:szCs w:val="21"/>
                    </w:rPr>
                    <w:t>冲击破（LM9500）</w:t>
                  </w:r>
                  <w:r>
                    <w:rPr>
                      <w:rFonts w:hint="eastAsia"/>
                      <w:color w:val="auto"/>
                      <w:w w:val="105"/>
                      <w:szCs w:val="21"/>
                    </w:rPr>
                    <w:t>（</w:t>
                  </w:r>
                  <w:r>
                    <w:rPr>
                      <w:rFonts w:hint="eastAsia"/>
                      <w:color w:val="auto"/>
                      <w:w w:val="105"/>
                      <w:szCs w:val="21"/>
                      <w:lang w:val="en-US"/>
                    </w:rPr>
                    <w:t>三级破碎</w:t>
                  </w:r>
                  <w:r>
                    <w:rPr>
                      <w:rFonts w:hint="eastAsia"/>
                      <w:color w:val="auto"/>
                      <w:w w:val="105"/>
                      <w:szCs w:val="21"/>
                    </w:rPr>
                    <w:t>）</w:t>
                  </w:r>
                </w:p>
              </w:tc>
              <w:tc>
                <w:tcPr>
                  <w:tcW w:w="1820" w:type="dxa"/>
                  <w:vAlign w:val="center"/>
                </w:tcPr>
                <w:p>
                  <w:pPr>
                    <w:pStyle w:val="28"/>
                    <w:spacing w:line="320" w:lineRule="atLeast"/>
                    <w:rPr>
                      <w:color w:val="auto"/>
                      <w:szCs w:val="21"/>
                      <w:lang w:val="en-US"/>
                    </w:rPr>
                  </w:pPr>
                  <w:r>
                    <w:rPr>
                      <w:rFonts w:hint="eastAsia"/>
                      <w:color w:val="auto"/>
                      <w:szCs w:val="21"/>
                      <w:lang w:val="en-US"/>
                    </w:rPr>
                    <w:t>2</w:t>
                  </w:r>
                  <w:r>
                    <w:rPr>
                      <w:color w:val="auto"/>
                      <w:szCs w:val="21"/>
                      <w:lang w:val="en-US"/>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239" w:type="dxa"/>
                  <w:vMerge w:val="continue"/>
                  <w:vAlign w:val="center"/>
                </w:tcPr>
                <w:p>
                  <w:pPr>
                    <w:pStyle w:val="28"/>
                    <w:spacing w:line="320" w:lineRule="atLeast"/>
                    <w:rPr>
                      <w:color w:val="auto"/>
                      <w:szCs w:val="21"/>
                      <w:lang w:val="en-US"/>
                    </w:rPr>
                  </w:pPr>
                </w:p>
              </w:tc>
              <w:tc>
                <w:tcPr>
                  <w:tcW w:w="2421" w:type="dxa"/>
                  <w:vMerge w:val="restart"/>
                  <w:vAlign w:val="center"/>
                </w:tcPr>
                <w:p>
                  <w:pPr>
                    <w:pStyle w:val="28"/>
                    <w:spacing w:line="320" w:lineRule="atLeast"/>
                    <w:rPr>
                      <w:color w:val="auto"/>
                      <w:szCs w:val="21"/>
                      <w:lang w:val="en-US"/>
                    </w:rPr>
                  </w:pPr>
                  <w:r>
                    <w:rPr>
                      <w:color w:val="auto"/>
                      <w:szCs w:val="21"/>
                      <w:lang w:val="en-US"/>
                    </w:rPr>
                    <w:t>筛分水洗车间</w:t>
                  </w:r>
                </w:p>
              </w:tc>
              <w:tc>
                <w:tcPr>
                  <w:tcW w:w="3122" w:type="dxa"/>
                </w:tcPr>
                <w:p>
                  <w:pPr>
                    <w:pStyle w:val="52"/>
                    <w:spacing w:line="320" w:lineRule="atLeast"/>
                    <w:jc w:val="center"/>
                    <w:rPr>
                      <w:rFonts w:ascii="Times New Roman" w:hAnsi="Times New Roman" w:cs="Times New Roman"/>
                      <w:lang w:val="en-US"/>
                    </w:rPr>
                  </w:pPr>
                  <w:r>
                    <w:rPr>
                      <w:rFonts w:ascii="Times New Roman" w:hAnsi="Times New Roman" w:cs="Times New Roman"/>
                      <w:w w:val="105"/>
                    </w:rPr>
                    <w:t>给料机（ZW1020）</w:t>
                  </w:r>
                </w:p>
              </w:tc>
              <w:tc>
                <w:tcPr>
                  <w:tcW w:w="1820" w:type="dxa"/>
                  <w:vAlign w:val="center"/>
                </w:tcPr>
                <w:p>
                  <w:pPr>
                    <w:pStyle w:val="28"/>
                    <w:spacing w:line="320" w:lineRule="atLeast"/>
                    <w:rPr>
                      <w:color w:val="auto"/>
                      <w:szCs w:val="21"/>
                      <w:lang w:val="en-US"/>
                    </w:rPr>
                  </w:pPr>
                  <w:r>
                    <w:rPr>
                      <w:rFonts w:hint="eastAsia"/>
                      <w:color w:val="auto"/>
                      <w:szCs w:val="21"/>
                      <w:lang w:val="en-US"/>
                    </w:rPr>
                    <w:t>4</w:t>
                  </w:r>
                  <w:r>
                    <w:rPr>
                      <w:color w:val="auto"/>
                      <w:szCs w:val="21"/>
                      <w:lang w:val="en-US"/>
                    </w:rPr>
                    <w:t>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239" w:type="dxa"/>
                  <w:vMerge w:val="continue"/>
                  <w:vAlign w:val="center"/>
                </w:tcPr>
                <w:p>
                  <w:pPr>
                    <w:pStyle w:val="28"/>
                    <w:spacing w:line="320" w:lineRule="atLeast"/>
                    <w:rPr>
                      <w:color w:val="auto"/>
                      <w:szCs w:val="21"/>
                      <w:lang w:val="en-US"/>
                    </w:rPr>
                  </w:pPr>
                </w:p>
              </w:tc>
              <w:tc>
                <w:tcPr>
                  <w:tcW w:w="2421" w:type="dxa"/>
                  <w:vMerge w:val="continue"/>
                  <w:vAlign w:val="center"/>
                </w:tcPr>
                <w:p>
                  <w:pPr>
                    <w:pStyle w:val="28"/>
                    <w:spacing w:line="320" w:lineRule="atLeast"/>
                    <w:rPr>
                      <w:color w:val="auto"/>
                      <w:szCs w:val="21"/>
                      <w:lang w:val="en-US"/>
                    </w:rPr>
                  </w:pPr>
                </w:p>
              </w:tc>
              <w:tc>
                <w:tcPr>
                  <w:tcW w:w="3122" w:type="dxa"/>
                </w:tcPr>
                <w:p>
                  <w:pPr>
                    <w:pStyle w:val="52"/>
                    <w:spacing w:line="320" w:lineRule="atLeast"/>
                    <w:jc w:val="center"/>
                    <w:rPr>
                      <w:rFonts w:ascii="Times New Roman" w:hAnsi="Times New Roman" w:cs="Times New Roman"/>
                      <w:lang w:val="en-US"/>
                    </w:rPr>
                  </w:pPr>
                  <w:r>
                    <w:rPr>
                      <w:rFonts w:ascii="Times New Roman" w:hAnsi="Times New Roman" w:cs="Times New Roman"/>
                      <w:w w:val="105"/>
                    </w:rPr>
                    <w:t>螺旋洗砂机</w:t>
                  </w:r>
                  <w:r>
                    <w:rPr>
                      <w:rFonts w:ascii="Times New Roman" w:hAnsi="Times New Roman" w:cs="Times New Roman"/>
                      <w:w w:val="105"/>
                      <w:lang w:val="en-US"/>
                    </w:rPr>
                    <w:t>（LM2RXLK-1200）</w:t>
                  </w:r>
                </w:p>
              </w:tc>
              <w:tc>
                <w:tcPr>
                  <w:tcW w:w="1820" w:type="dxa"/>
                  <w:vAlign w:val="center"/>
                </w:tcPr>
                <w:p>
                  <w:pPr>
                    <w:pStyle w:val="28"/>
                    <w:spacing w:line="320" w:lineRule="atLeast"/>
                    <w:rPr>
                      <w:color w:val="auto"/>
                      <w:szCs w:val="21"/>
                      <w:lang w:val="en-US"/>
                    </w:rPr>
                  </w:pPr>
                  <w:r>
                    <w:rPr>
                      <w:rFonts w:hint="eastAsia"/>
                      <w:color w:val="auto"/>
                      <w:szCs w:val="21"/>
                      <w:lang w:val="en-US"/>
                    </w:rPr>
                    <w:t>4</w:t>
                  </w:r>
                  <w:r>
                    <w:rPr>
                      <w:color w:val="auto"/>
                      <w:szCs w:val="21"/>
                      <w:lang w:val="en-US"/>
                    </w:rPr>
                    <w:t>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4" w:hRule="atLeast"/>
                <w:jc w:val="center"/>
              </w:trPr>
              <w:tc>
                <w:tcPr>
                  <w:tcW w:w="1239" w:type="dxa"/>
                  <w:vMerge w:val="continue"/>
                  <w:vAlign w:val="center"/>
                </w:tcPr>
                <w:p>
                  <w:pPr>
                    <w:pStyle w:val="28"/>
                    <w:spacing w:line="320" w:lineRule="atLeast"/>
                    <w:rPr>
                      <w:color w:val="auto"/>
                      <w:szCs w:val="21"/>
                      <w:lang w:val="en-US"/>
                    </w:rPr>
                  </w:pPr>
                </w:p>
              </w:tc>
              <w:tc>
                <w:tcPr>
                  <w:tcW w:w="2421" w:type="dxa"/>
                  <w:vMerge w:val="continue"/>
                  <w:vAlign w:val="center"/>
                </w:tcPr>
                <w:p>
                  <w:pPr>
                    <w:pStyle w:val="28"/>
                    <w:spacing w:line="320" w:lineRule="atLeast"/>
                    <w:rPr>
                      <w:color w:val="auto"/>
                      <w:szCs w:val="21"/>
                      <w:lang w:val="en-US"/>
                    </w:rPr>
                  </w:pPr>
                </w:p>
              </w:tc>
              <w:tc>
                <w:tcPr>
                  <w:tcW w:w="3122" w:type="dxa"/>
                </w:tcPr>
                <w:p>
                  <w:pPr>
                    <w:pStyle w:val="52"/>
                    <w:spacing w:line="320" w:lineRule="atLeast"/>
                    <w:jc w:val="center"/>
                    <w:rPr>
                      <w:rFonts w:ascii="Times New Roman" w:hAnsi="Times New Roman" w:cs="Times New Roman"/>
                      <w:lang w:val="en-US"/>
                    </w:rPr>
                  </w:pPr>
                  <w:r>
                    <w:rPr>
                      <w:rFonts w:ascii="Times New Roman" w:hAnsi="Times New Roman" w:cs="Times New Roman"/>
                      <w:w w:val="105"/>
                    </w:rPr>
                    <w:t>细砂回收一体机（LMTX2445）</w:t>
                  </w:r>
                </w:p>
              </w:tc>
              <w:tc>
                <w:tcPr>
                  <w:tcW w:w="1820" w:type="dxa"/>
                  <w:vAlign w:val="center"/>
                </w:tcPr>
                <w:p>
                  <w:pPr>
                    <w:pStyle w:val="28"/>
                    <w:spacing w:line="320" w:lineRule="atLeast"/>
                    <w:rPr>
                      <w:color w:val="auto"/>
                      <w:szCs w:val="21"/>
                      <w:lang w:val="en-US"/>
                    </w:rPr>
                  </w:pPr>
                  <w:r>
                    <w:rPr>
                      <w:rFonts w:hint="eastAsia"/>
                      <w:color w:val="auto"/>
                      <w:szCs w:val="21"/>
                      <w:lang w:val="en-US"/>
                    </w:rPr>
                    <w:t>4</w:t>
                  </w:r>
                  <w:r>
                    <w:rPr>
                      <w:color w:val="auto"/>
                      <w:szCs w:val="21"/>
                      <w:lang w:val="en-US"/>
                    </w:rPr>
                    <w:t>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239" w:type="dxa"/>
                  <w:vMerge w:val="continue"/>
                  <w:vAlign w:val="center"/>
                </w:tcPr>
                <w:p>
                  <w:pPr>
                    <w:pStyle w:val="28"/>
                    <w:spacing w:line="320" w:lineRule="atLeast"/>
                    <w:rPr>
                      <w:color w:val="auto"/>
                      <w:szCs w:val="21"/>
                      <w:lang w:val="en-US"/>
                    </w:rPr>
                  </w:pPr>
                </w:p>
              </w:tc>
              <w:tc>
                <w:tcPr>
                  <w:tcW w:w="2421" w:type="dxa"/>
                  <w:vMerge w:val="continue"/>
                  <w:vAlign w:val="center"/>
                </w:tcPr>
                <w:p>
                  <w:pPr>
                    <w:pStyle w:val="28"/>
                    <w:spacing w:line="320" w:lineRule="atLeast"/>
                    <w:rPr>
                      <w:color w:val="auto"/>
                      <w:szCs w:val="21"/>
                      <w:lang w:val="en-US"/>
                    </w:rPr>
                  </w:pPr>
                </w:p>
              </w:tc>
              <w:tc>
                <w:tcPr>
                  <w:tcW w:w="3122" w:type="dxa"/>
                </w:tcPr>
                <w:p>
                  <w:pPr>
                    <w:pStyle w:val="52"/>
                    <w:spacing w:line="320" w:lineRule="atLeast"/>
                    <w:jc w:val="center"/>
                    <w:rPr>
                      <w:rFonts w:ascii="Times New Roman" w:hAnsi="Times New Roman" w:cs="Times New Roman"/>
                      <w:w w:val="105"/>
                    </w:rPr>
                  </w:pPr>
                  <w:r>
                    <w:rPr>
                      <w:rFonts w:ascii="Times New Roman" w:hAnsi="Times New Roman" w:cs="Times New Roman"/>
                      <w:w w:val="105"/>
                    </w:rPr>
                    <w:t>振动筛（3YKJ2770）</w:t>
                  </w:r>
                </w:p>
              </w:tc>
              <w:tc>
                <w:tcPr>
                  <w:tcW w:w="1820" w:type="dxa"/>
                  <w:vAlign w:val="center"/>
                </w:tcPr>
                <w:p>
                  <w:pPr>
                    <w:pStyle w:val="28"/>
                    <w:spacing w:line="320" w:lineRule="atLeast"/>
                    <w:rPr>
                      <w:color w:val="auto"/>
                      <w:szCs w:val="21"/>
                      <w:lang w:val="en-US"/>
                    </w:rPr>
                  </w:pPr>
                  <w:r>
                    <w:rPr>
                      <w:rFonts w:hint="eastAsia"/>
                      <w:color w:val="auto"/>
                      <w:szCs w:val="21"/>
                      <w:lang w:val="en-US"/>
                    </w:rPr>
                    <w:t>8台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239" w:type="dxa"/>
                  <w:vMerge w:val="continue"/>
                  <w:vAlign w:val="center"/>
                </w:tcPr>
                <w:p>
                  <w:pPr>
                    <w:pStyle w:val="28"/>
                    <w:spacing w:line="320" w:lineRule="atLeast"/>
                    <w:rPr>
                      <w:color w:val="auto"/>
                      <w:szCs w:val="21"/>
                      <w:lang w:val="en-US"/>
                    </w:rPr>
                  </w:pPr>
                </w:p>
              </w:tc>
              <w:tc>
                <w:tcPr>
                  <w:tcW w:w="2421" w:type="dxa"/>
                  <w:vMerge w:val="continue"/>
                  <w:vAlign w:val="center"/>
                </w:tcPr>
                <w:p>
                  <w:pPr>
                    <w:pStyle w:val="28"/>
                    <w:spacing w:line="320" w:lineRule="atLeast"/>
                    <w:rPr>
                      <w:color w:val="auto"/>
                      <w:szCs w:val="21"/>
                      <w:lang w:val="en-US"/>
                    </w:rPr>
                  </w:pPr>
                </w:p>
              </w:tc>
              <w:tc>
                <w:tcPr>
                  <w:tcW w:w="3122" w:type="dxa"/>
                </w:tcPr>
                <w:p>
                  <w:pPr>
                    <w:pStyle w:val="52"/>
                    <w:spacing w:line="320" w:lineRule="atLeast"/>
                    <w:jc w:val="center"/>
                    <w:rPr>
                      <w:rFonts w:ascii="Times New Roman" w:hAnsi="Times New Roman" w:cs="Times New Roman"/>
                      <w:w w:val="105"/>
                      <w:lang w:val="en-US"/>
                    </w:rPr>
                  </w:pPr>
                  <w:r>
                    <w:rPr>
                      <w:rFonts w:ascii="Times New Roman" w:hAnsi="Times New Roman" w:cs="Times New Roman"/>
                      <w:w w:val="105"/>
                      <w:lang w:val="en-US"/>
                    </w:rPr>
                    <w:t>脱水筛</w:t>
                  </w:r>
                </w:p>
              </w:tc>
              <w:tc>
                <w:tcPr>
                  <w:tcW w:w="1820" w:type="dxa"/>
                  <w:vAlign w:val="center"/>
                </w:tcPr>
                <w:p>
                  <w:pPr>
                    <w:pStyle w:val="28"/>
                    <w:spacing w:line="320" w:lineRule="atLeast"/>
                    <w:rPr>
                      <w:color w:val="auto"/>
                      <w:szCs w:val="21"/>
                      <w:lang w:val="en-US"/>
                    </w:rPr>
                  </w:pPr>
                  <w:r>
                    <w:rPr>
                      <w:rFonts w:hint="eastAsia"/>
                      <w:color w:val="auto"/>
                      <w:szCs w:val="21"/>
                      <w:lang w:val="en-US"/>
                    </w:rPr>
                    <w:t>4</w:t>
                  </w:r>
                  <w:r>
                    <w:rPr>
                      <w:color w:val="auto"/>
                      <w:szCs w:val="21"/>
                      <w:lang w:val="en-US"/>
                    </w:rPr>
                    <w:t>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239" w:type="dxa"/>
                  <w:vMerge w:val="restart"/>
                  <w:vAlign w:val="center"/>
                </w:tcPr>
                <w:p>
                  <w:pPr>
                    <w:pStyle w:val="28"/>
                    <w:spacing w:line="320" w:lineRule="atLeast"/>
                    <w:rPr>
                      <w:color w:val="auto"/>
                      <w:szCs w:val="21"/>
                      <w:lang w:val="en-US"/>
                    </w:rPr>
                  </w:pPr>
                  <w:r>
                    <w:rPr>
                      <w:color w:val="auto"/>
                      <w:szCs w:val="21"/>
                      <w:lang w:val="en-US"/>
                    </w:rPr>
                    <w:t>储运工程</w:t>
                  </w:r>
                </w:p>
              </w:tc>
              <w:tc>
                <w:tcPr>
                  <w:tcW w:w="2421" w:type="dxa"/>
                  <w:vMerge w:val="restart"/>
                  <w:vAlign w:val="center"/>
                </w:tcPr>
                <w:p>
                  <w:pPr>
                    <w:pStyle w:val="28"/>
                    <w:spacing w:line="320" w:lineRule="atLeast"/>
                    <w:rPr>
                      <w:color w:val="auto"/>
                      <w:szCs w:val="21"/>
                      <w:lang w:val="en-US"/>
                    </w:rPr>
                  </w:pPr>
                  <w:r>
                    <w:rPr>
                      <w:color w:val="auto"/>
                      <w:szCs w:val="21"/>
                      <w:lang w:val="en-US"/>
                    </w:rPr>
                    <w:t>产品库</w:t>
                  </w:r>
                </w:p>
              </w:tc>
              <w:tc>
                <w:tcPr>
                  <w:tcW w:w="3122" w:type="dxa"/>
                  <w:vAlign w:val="center"/>
                </w:tcPr>
                <w:p>
                  <w:pPr>
                    <w:pStyle w:val="28"/>
                    <w:spacing w:line="320" w:lineRule="atLeast"/>
                    <w:rPr>
                      <w:color w:val="auto"/>
                      <w:szCs w:val="21"/>
                      <w:lang w:val="en-US"/>
                    </w:rPr>
                  </w:pPr>
                  <w:r>
                    <w:rPr>
                      <w:color w:val="auto"/>
                      <w:szCs w:val="21"/>
                      <w:lang w:val="en-US"/>
                    </w:rPr>
                    <w:t>装载机</w:t>
                  </w:r>
                </w:p>
              </w:tc>
              <w:tc>
                <w:tcPr>
                  <w:tcW w:w="1820" w:type="dxa"/>
                  <w:vAlign w:val="center"/>
                </w:tcPr>
                <w:p>
                  <w:pPr>
                    <w:pStyle w:val="28"/>
                    <w:spacing w:line="320" w:lineRule="atLeast"/>
                    <w:rPr>
                      <w:color w:val="auto"/>
                      <w:szCs w:val="21"/>
                      <w:lang w:val="en-US"/>
                    </w:rPr>
                  </w:pPr>
                  <w:r>
                    <w:rPr>
                      <w:color w:val="auto"/>
                      <w:szCs w:val="21"/>
                      <w:lang w:val="en-US"/>
                    </w:rPr>
                    <w:t>2台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239" w:type="dxa"/>
                  <w:vMerge w:val="continue"/>
                  <w:vAlign w:val="center"/>
                </w:tcPr>
                <w:p>
                  <w:pPr>
                    <w:pStyle w:val="28"/>
                    <w:spacing w:line="320" w:lineRule="atLeast"/>
                    <w:rPr>
                      <w:color w:val="auto"/>
                      <w:szCs w:val="21"/>
                      <w:lang w:val="en-US"/>
                    </w:rPr>
                  </w:pPr>
                </w:p>
              </w:tc>
              <w:tc>
                <w:tcPr>
                  <w:tcW w:w="2421" w:type="dxa"/>
                  <w:vMerge w:val="continue"/>
                  <w:vAlign w:val="center"/>
                </w:tcPr>
                <w:p>
                  <w:pPr>
                    <w:pStyle w:val="28"/>
                    <w:spacing w:line="320" w:lineRule="atLeast"/>
                    <w:rPr>
                      <w:color w:val="auto"/>
                      <w:szCs w:val="21"/>
                      <w:lang w:val="en-US"/>
                    </w:rPr>
                  </w:pPr>
                </w:p>
              </w:tc>
              <w:tc>
                <w:tcPr>
                  <w:tcW w:w="3122" w:type="dxa"/>
                  <w:vAlign w:val="center"/>
                </w:tcPr>
                <w:p>
                  <w:pPr>
                    <w:pStyle w:val="28"/>
                    <w:spacing w:line="320" w:lineRule="atLeast"/>
                    <w:rPr>
                      <w:color w:val="auto"/>
                      <w:szCs w:val="21"/>
                      <w:lang w:val="en-US"/>
                    </w:rPr>
                  </w:pPr>
                  <w:r>
                    <w:rPr>
                      <w:color w:val="auto"/>
                      <w:szCs w:val="21"/>
                      <w:lang w:val="en-US"/>
                    </w:rPr>
                    <w:t>叉车</w:t>
                  </w:r>
                </w:p>
              </w:tc>
              <w:tc>
                <w:tcPr>
                  <w:tcW w:w="1820" w:type="dxa"/>
                  <w:vAlign w:val="center"/>
                </w:tcPr>
                <w:p>
                  <w:pPr>
                    <w:pStyle w:val="28"/>
                    <w:spacing w:line="320" w:lineRule="atLeast"/>
                    <w:rPr>
                      <w:color w:val="auto"/>
                      <w:szCs w:val="21"/>
                      <w:lang w:val="en-US"/>
                    </w:rPr>
                  </w:pPr>
                  <w:r>
                    <w:rPr>
                      <w:color w:val="auto"/>
                      <w:szCs w:val="21"/>
                      <w:lang w:val="en-US"/>
                    </w:rPr>
                    <w:t>2台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1" w:hRule="atLeast"/>
                <w:jc w:val="center"/>
              </w:trPr>
              <w:tc>
                <w:tcPr>
                  <w:tcW w:w="1239" w:type="dxa"/>
                  <w:vMerge w:val="restart"/>
                  <w:vAlign w:val="center"/>
                </w:tcPr>
                <w:p>
                  <w:pPr>
                    <w:pStyle w:val="28"/>
                    <w:spacing w:line="320" w:lineRule="atLeast"/>
                    <w:rPr>
                      <w:color w:val="auto"/>
                      <w:szCs w:val="21"/>
                      <w:lang w:val="en-US"/>
                    </w:rPr>
                  </w:pPr>
                  <w:r>
                    <w:rPr>
                      <w:color w:val="auto"/>
                      <w:szCs w:val="21"/>
                      <w:lang w:val="en-US"/>
                    </w:rPr>
                    <w:t>环保设施</w:t>
                  </w:r>
                </w:p>
              </w:tc>
              <w:tc>
                <w:tcPr>
                  <w:tcW w:w="2421" w:type="dxa"/>
                  <w:vMerge w:val="restart"/>
                  <w:vAlign w:val="center"/>
                </w:tcPr>
                <w:p>
                  <w:pPr>
                    <w:pStyle w:val="28"/>
                    <w:spacing w:line="320" w:lineRule="atLeast"/>
                    <w:rPr>
                      <w:color w:val="auto"/>
                      <w:szCs w:val="21"/>
                      <w:lang w:val="en-US"/>
                    </w:rPr>
                  </w:pPr>
                  <w:r>
                    <w:rPr>
                      <w:color w:val="auto"/>
                      <w:szCs w:val="21"/>
                    </w:rPr>
                    <w:t>生产废水处理系统</w:t>
                  </w:r>
                </w:p>
              </w:tc>
              <w:tc>
                <w:tcPr>
                  <w:tcW w:w="3122" w:type="dxa"/>
                  <w:vAlign w:val="center"/>
                </w:tcPr>
                <w:p>
                  <w:pPr>
                    <w:pStyle w:val="28"/>
                    <w:spacing w:line="320" w:lineRule="atLeast"/>
                    <w:rPr>
                      <w:color w:val="auto"/>
                      <w:szCs w:val="21"/>
                      <w:lang w:val="en-US"/>
                    </w:rPr>
                  </w:pPr>
                  <w:r>
                    <w:rPr>
                      <w:color w:val="auto"/>
                      <w:szCs w:val="21"/>
                      <w:lang w:val="en-US"/>
                    </w:rPr>
                    <w:t>污水处理塔</w:t>
                  </w:r>
                </w:p>
              </w:tc>
              <w:tc>
                <w:tcPr>
                  <w:tcW w:w="1820" w:type="dxa"/>
                  <w:vAlign w:val="center"/>
                </w:tcPr>
                <w:p>
                  <w:pPr>
                    <w:pStyle w:val="28"/>
                    <w:spacing w:line="320" w:lineRule="atLeast"/>
                    <w:rPr>
                      <w:color w:val="auto"/>
                      <w:szCs w:val="21"/>
                      <w:lang w:val="en-US"/>
                    </w:rPr>
                  </w:pPr>
                  <w:r>
                    <w:rPr>
                      <w:color w:val="auto"/>
                      <w:szCs w:val="21"/>
                    </w:rPr>
                    <w:t>2个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239" w:type="dxa"/>
                  <w:vMerge w:val="continue"/>
                  <w:vAlign w:val="center"/>
                </w:tcPr>
                <w:p>
                  <w:pPr>
                    <w:pStyle w:val="28"/>
                    <w:spacing w:line="320" w:lineRule="atLeast"/>
                    <w:rPr>
                      <w:color w:val="auto"/>
                      <w:szCs w:val="21"/>
                      <w:lang w:val="en-US"/>
                    </w:rPr>
                  </w:pPr>
                </w:p>
              </w:tc>
              <w:tc>
                <w:tcPr>
                  <w:tcW w:w="2421" w:type="dxa"/>
                  <w:vMerge w:val="continue"/>
                  <w:vAlign w:val="center"/>
                </w:tcPr>
                <w:p>
                  <w:pPr>
                    <w:pStyle w:val="28"/>
                    <w:spacing w:line="320" w:lineRule="atLeast"/>
                    <w:rPr>
                      <w:color w:val="auto"/>
                      <w:szCs w:val="21"/>
                      <w:lang w:val="en-US"/>
                    </w:rPr>
                  </w:pPr>
                </w:p>
              </w:tc>
              <w:tc>
                <w:tcPr>
                  <w:tcW w:w="3122" w:type="dxa"/>
                  <w:vAlign w:val="center"/>
                </w:tcPr>
                <w:p>
                  <w:pPr>
                    <w:pStyle w:val="28"/>
                    <w:spacing w:line="320" w:lineRule="atLeast"/>
                    <w:rPr>
                      <w:color w:val="auto"/>
                      <w:szCs w:val="21"/>
                      <w:lang w:val="en-US"/>
                    </w:rPr>
                  </w:pPr>
                  <w:r>
                    <w:rPr>
                      <w:color w:val="auto"/>
                      <w:szCs w:val="21"/>
                    </w:rPr>
                    <w:t>污泥压滤机</w:t>
                  </w:r>
                </w:p>
              </w:tc>
              <w:tc>
                <w:tcPr>
                  <w:tcW w:w="1820" w:type="dxa"/>
                  <w:vAlign w:val="center"/>
                </w:tcPr>
                <w:p>
                  <w:pPr>
                    <w:pStyle w:val="28"/>
                    <w:spacing w:line="320" w:lineRule="atLeast"/>
                    <w:rPr>
                      <w:color w:val="auto"/>
                      <w:szCs w:val="21"/>
                      <w:lang w:val="en-US"/>
                    </w:rPr>
                  </w:pPr>
                  <w:r>
                    <w:rPr>
                      <w:rFonts w:hint="eastAsia"/>
                      <w:color w:val="auto"/>
                      <w:szCs w:val="21"/>
                      <w:lang w:val="en-US"/>
                    </w:rPr>
                    <w:t>4</w:t>
                  </w:r>
                  <w:r>
                    <w:rPr>
                      <w:color w:val="auto"/>
                      <w:szCs w:val="21"/>
                      <w:lang w:val="en-US"/>
                    </w:rPr>
                    <w:t>台</w:t>
                  </w:r>
                </w:p>
              </w:tc>
            </w:tr>
          </w:tbl>
          <w:p>
            <w:pPr>
              <w:autoSpaceDE w:val="0"/>
              <w:autoSpaceDN w:val="0"/>
              <w:spacing w:before="156" w:beforeLines="50"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2.5 原辅料来源及性质</w:t>
            </w:r>
          </w:p>
          <w:p>
            <w:pPr>
              <w:autoSpaceDE w:val="0"/>
              <w:autoSpaceDN w:val="0"/>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2.5.1 原料性质及来源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对小江清淤物进行综合利用生产建筑用砂，其原料主要来源于小江小李庄段，根据《东川区小江河道清淤疏浚规划（2020-2022）》的分析，东川区小江河道小李庄段1.8km河道实施范围内综合清淤工程量（含泥沙补给量）为77.7万m³，计划实施年限不低于3年。则本项目最大处理量约为25.9万m³/a。其主要性质即为河沙。</w:t>
            </w:r>
          </w:p>
          <w:p>
            <w:pPr>
              <w:autoSpaceDE w:val="0"/>
              <w:autoSpaceDN w:val="0"/>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2.5.2 辅料性质及来源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项目主要工艺为破碎、筛分，其各工序均伴随水洗，生产过程不需要添加任何药剂。</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在废水处理过程，为了提高污水处理塔的处理效率，项目拟添加一定量的絮凝剂，添加量约为12t/a。</w:t>
            </w:r>
          </w:p>
          <w:p>
            <w:pPr>
              <w:autoSpaceDE w:val="0"/>
              <w:autoSpaceDN w:val="0"/>
              <w:spacing w:line="360" w:lineRule="auto"/>
              <w:ind w:firstLine="241" w:firstLineChars="100"/>
              <w:rPr>
                <w:rFonts w:ascii="Times New Roman" w:hAnsi="Times New Roman" w:cs="Times New Roman"/>
                <w:b/>
                <w:sz w:val="24"/>
                <w:szCs w:val="24"/>
              </w:rPr>
            </w:pPr>
            <w:bookmarkStart w:id="4" w:name="_Toc493693537"/>
            <w:r>
              <w:rPr>
                <w:rFonts w:ascii="Times New Roman" w:hAnsi="Times New Roman" w:cs="Times New Roman"/>
                <w:b/>
                <w:sz w:val="24"/>
                <w:szCs w:val="24"/>
              </w:rPr>
              <w:t>2.6 劳动定员及工作制度</w:t>
            </w:r>
            <w:bookmarkEnd w:id="4"/>
          </w:p>
          <w:p>
            <w:pPr>
              <w:autoSpaceDE w:val="0"/>
              <w:autoSpaceDN w:val="0"/>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2.6.1 劳动定员</w:t>
            </w:r>
          </w:p>
          <w:p>
            <w:pPr>
              <w:spacing w:line="360" w:lineRule="auto"/>
              <w:ind w:firstLine="480" w:firstLineChars="200"/>
              <w:rPr>
                <w:rFonts w:ascii="Times New Roman" w:hAnsi="Times New Roman" w:cs="Times New Roman"/>
                <w:color w:val="FF0000"/>
                <w:sz w:val="24"/>
                <w:szCs w:val="24"/>
              </w:rPr>
            </w:pPr>
            <w:r>
              <w:rPr>
                <w:rFonts w:ascii="Times New Roman" w:hAnsi="Times New Roman" w:cs="Times New Roman"/>
                <w:color w:val="FF0000"/>
                <w:sz w:val="24"/>
                <w:szCs w:val="24"/>
              </w:rPr>
              <w:t>根据项目特点，本项目拟设置员工30人</w:t>
            </w:r>
            <w:r>
              <w:rPr>
                <w:rFonts w:hint="eastAsia" w:ascii="Times New Roman" w:hAnsi="Times New Roman" w:cs="Times New Roman"/>
                <w:color w:val="FF0000"/>
                <w:sz w:val="24"/>
                <w:szCs w:val="24"/>
                <w:lang w:eastAsia="zh-CN"/>
              </w:rPr>
              <w:t>，</w:t>
            </w:r>
            <w:r>
              <w:rPr>
                <w:rFonts w:hint="eastAsia" w:ascii="Times New Roman" w:hAnsi="Times New Roman" w:cs="Times New Roman"/>
                <w:color w:val="FF0000"/>
                <w:sz w:val="24"/>
                <w:szCs w:val="24"/>
                <w:lang w:val="en-US" w:eastAsia="zh-CN"/>
              </w:rPr>
              <w:t>厂区内食宿</w:t>
            </w:r>
            <w:r>
              <w:rPr>
                <w:rFonts w:ascii="Times New Roman" w:hAnsi="Times New Roman" w:cs="Times New Roman"/>
                <w:color w:val="FF0000"/>
                <w:sz w:val="24"/>
                <w:szCs w:val="24"/>
              </w:rPr>
              <w:t>。</w:t>
            </w:r>
          </w:p>
          <w:p>
            <w:pPr>
              <w:autoSpaceDE w:val="0"/>
              <w:autoSpaceDN w:val="0"/>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26.2 工作制度</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年工作330d，实行每天2班制，每班8h。</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工艺流程和产排污环节</w:t>
            </w:r>
          </w:p>
        </w:tc>
        <w:tc>
          <w:tcPr>
            <w:tcW w:w="8831" w:type="dxa"/>
            <w:vAlign w:val="center"/>
          </w:tcPr>
          <w:p>
            <w:pPr>
              <w:autoSpaceDE w:val="0"/>
              <w:autoSpaceDN w:val="0"/>
              <w:spacing w:before="156" w:beforeLines="50" w:line="360" w:lineRule="auto"/>
              <w:ind w:firstLine="210" w:firstLineChars="100"/>
              <w:rPr>
                <w:rFonts w:ascii="Times New Roman" w:hAnsi="Times New Roman" w:cs="Times New Roman"/>
                <w:b/>
                <w:sz w:val="24"/>
                <w:szCs w:val="24"/>
              </w:rPr>
            </w:pPr>
            <w:r>
              <w:rPr>
                <w:rFonts w:ascii="Times New Roman" w:hAnsi="Times New Roman" w:cs="Times New Roman"/>
              </w:rPr>
              <w:drawing>
                <wp:anchor distT="0" distB="0" distL="0" distR="0" simplePos="0" relativeHeight="251659264" behindDoc="0" locked="0" layoutInCell="1" allowOverlap="1">
                  <wp:simplePos x="0" y="0"/>
                  <wp:positionH relativeFrom="page">
                    <wp:posOffset>175260</wp:posOffset>
                  </wp:positionH>
                  <wp:positionV relativeFrom="paragraph">
                    <wp:posOffset>2337435</wp:posOffset>
                  </wp:positionV>
                  <wp:extent cx="5318760" cy="5787390"/>
                  <wp:effectExtent l="0" t="0" r="15240" b="381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5" cstate="print"/>
                          <a:stretch>
                            <a:fillRect/>
                          </a:stretch>
                        </pic:blipFill>
                        <pic:spPr>
                          <a:xfrm>
                            <a:off x="0" y="0"/>
                            <a:ext cx="5318760" cy="5787390"/>
                          </a:xfrm>
                          <a:prstGeom prst="rect">
                            <a:avLst/>
                          </a:prstGeom>
                        </pic:spPr>
                      </pic:pic>
                    </a:graphicData>
                  </a:graphic>
                </wp:anchor>
              </w:drawing>
            </w:r>
            <w:r>
              <w:rPr>
                <w:rFonts w:ascii="Times New Roman" w:hAnsi="Times New Roman" w:cs="Times New Roman"/>
                <w:b/>
                <w:sz w:val="24"/>
                <w:szCs w:val="24"/>
              </w:rPr>
              <w:t>2.7 工艺流程</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2.7.1 施工期工艺</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施工期主要建设内容为厂房建设、生产及环保设备的安装、污水处理设施、污泥暂存库等环保设施建设等，主要为施工废气、施工噪声、施工固废等。</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2.7.2 运营期生产工艺</w:t>
            </w:r>
          </w:p>
          <w:p>
            <w:pPr>
              <w:spacing w:line="360" w:lineRule="auto"/>
              <w:ind w:firstLine="316" w:firstLineChars="150"/>
              <w:jc w:val="center"/>
              <w:rPr>
                <w:rFonts w:ascii="Times New Roman" w:hAnsi="Times New Roman" w:cs="Times New Roman"/>
                <w:b/>
                <w:bCs/>
                <w:sz w:val="24"/>
                <w:szCs w:val="24"/>
              </w:rPr>
            </w:pPr>
            <w:r>
              <w:rPr>
                <w:rFonts w:ascii="Times New Roman" w:hAnsi="Times New Roman" w:eastAsia="宋体" w:cs="Times New Roman"/>
                <w:b/>
                <w:szCs w:val="24"/>
              </w:rPr>
              <w:t>图5.2.1-1  项目运营期流程及产污环节图</w:t>
            </w:r>
          </w:p>
          <w:p>
            <w:pPr>
              <w:spacing w:line="360" w:lineRule="auto"/>
              <w:ind w:firstLine="361" w:firstLineChars="150"/>
              <w:rPr>
                <w:rFonts w:ascii="Times New Roman" w:hAnsi="Times New Roman" w:cs="Times New Roman"/>
                <w:b/>
                <w:bCs/>
                <w:sz w:val="24"/>
                <w:szCs w:val="24"/>
              </w:rPr>
            </w:pPr>
            <w:r>
              <w:rPr>
                <w:rFonts w:ascii="Times New Roman" w:hAnsi="Times New Roman" w:cs="Times New Roman"/>
                <w:b/>
                <w:bCs/>
                <w:sz w:val="24"/>
                <w:szCs w:val="24"/>
              </w:rPr>
              <w:t>（1）工艺流程图示</w:t>
            </w:r>
          </w:p>
          <w:p>
            <w:pPr>
              <w:spacing w:line="360" w:lineRule="auto"/>
              <w:ind w:firstLine="480" w:firstLineChars="200"/>
              <w:rPr>
                <w:rFonts w:ascii="Times New Roman" w:hAnsi="Times New Roman" w:eastAsia="宋体" w:cs="Times New Roman"/>
                <w:b/>
                <w:szCs w:val="24"/>
              </w:rPr>
            </w:pPr>
            <w:r>
              <w:rPr>
                <w:rFonts w:ascii="Times New Roman" w:hAnsi="Times New Roman" w:cs="Times New Roman"/>
                <w:bCs/>
                <w:sz w:val="24"/>
                <w:szCs w:val="24"/>
              </w:rPr>
              <w:t>根据设计，项目工艺流程及产污节点如下图所示。</w:t>
            </w:r>
          </w:p>
          <w:p>
            <w:pPr>
              <w:spacing w:before="156" w:beforeLines="50" w:line="360" w:lineRule="auto"/>
              <w:ind w:firstLine="361" w:firstLineChars="150"/>
              <w:rPr>
                <w:rFonts w:ascii="Times New Roman" w:hAnsi="Times New Roman" w:cs="Times New Roman"/>
                <w:b/>
                <w:bCs/>
                <w:sz w:val="24"/>
                <w:szCs w:val="24"/>
              </w:rPr>
            </w:pPr>
            <w:r>
              <w:rPr>
                <w:rFonts w:ascii="Times New Roman" w:hAnsi="Times New Roman" w:cs="Times New Roman"/>
                <w:b/>
                <w:bCs/>
                <w:sz w:val="24"/>
                <w:szCs w:val="24"/>
              </w:rPr>
              <w:t>（2）工艺流程简述</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根据设计，项目区每个工序物料均需添加水，使整个生产系统均在含水率较高的环境下进行，且各设备均为产生设备噪声，工艺流程不再赘述。具体工艺简述如下：</w:t>
            </w:r>
          </w:p>
          <w:p>
            <w:pPr>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①破碎</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根据项目处理的固体废物特点，由于对小江的清淤固废其主要成分为河沙，其部分粒径大于180mm，因此项目拟设置1台颚式破碎机对进入厂区的清淤固废（河沙）进行一段破碎。调节颚式破碎机的参数，破碎后的物料其规格均Φ≤180mm。</w:t>
            </w:r>
          </w:p>
          <w:p>
            <w:pPr>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②筛分</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经过颚式破碎机破碎后Φ≤180mm的物料进入四套振动筛进行筛分，根据需要对四套振动筛配套不同的筛网。其中一级破碎后振动筛筛分得到规格为Φ0-5mm的颗粒料（自然砂），以及规格为Φ5-180mm砂石；二级破碎后振动筛筛分得到规格为Φ0-5mm的颗粒料（机制砂），以及规格为Φ5-50mm砂石；三级破碎后振动筛筛分得到规格为Φ0-5mm的颗粒料（自然砂）、Φ10-20mm的颗粒料、Φ20-31.5mm的颗粒料，以及规格为Φ5-10mm、Φ31.5-50mm的中间料。</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筛分后，Φ0-5mm的颗粒料进入水洗工序；各中间料，分别进入对应的中转仓暂存后，再次进行破碎加工。</w:t>
            </w:r>
          </w:p>
          <w:p>
            <w:pPr>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③水洗、脱水</w:t>
            </w:r>
          </w:p>
          <w:p>
            <w:pPr>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⑴水洗</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筛分水洗车间的水洗工序配套设置两套螺旋洗砂机分别对筛分后的Φ0-5mm的颗粒料（自然砂）和Φ0-5mm的颗粒料（机制砂）进行清洗。</w:t>
            </w:r>
          </w:p>
          <w:p>
            <w:pPr>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 2 \* GB2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⑵</w:t>
            </w:r>
            <w:r>
              <w:rPr>
                <w:rFonts w:ascii="Times New Roman" w:hAnsi="Times New Roman" w:cs="Times New Roman"/>
                <w:b/>
                <w:bCs/>
                <w:sz w:val="24"/>
                <w:szCs w:val="24"/>
              </w:rPr>
              <w:fldChar w:fldCharType="end"/>
            </w:r>
            <w:r>
              <w:rPr>
                <w:rFonts w:ascii="Times New Roman" w:hAnsi="Times New Roman" w:cs="Times New Roman"/>
                <w:b/>
                <w:bCs/>
                <w:sz w:val="24"/>
                <w:szCs w:val="24"/>
              </w:rPr>
              <w:t>脱水</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经水洗后的Φ0-5mm颗粒料（自然砂）和Φ0-5mm的颗粒料（机制砂）分别进入两套脱水筛进行脱水，脱水后的得到规格为Φ0-5mm颗粒料（自然砂）和Φ0-5mm的颗粒料（机制砂）产品，其中Φ0-5mm颗粒料（自然砂）产品进入1#产品库进行堆存、Φ0-5mm的颗粒料（机制砂）的颗粒料产品进入2#产品库进行堆存。</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该过程会产生大量的废水，废水进入废水处理系统进行处理后，全部回用不外排。</w:t>
            </w:r>
          </w:p>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2.8 产排污环节</w:t>
            </w:r>
          </w:p>
          <w:p>
            <w:pPr>
              <w:spacing w:line="360" w:lineRule="auto"/>
              <w:ind w:firstLine="482" w:firstLineChars="200"/>
              <w:rPr>
                <w:rFonts w:ascii="Times New Roman" w:hAnsi="Times New Roman" w:cs="Times New Roman"/>
                <w:sz w:val="24"/>
                <w:szCs w:val="24"/>
              </w:rPr>
            </w:pPr>
            <w:r>
              <w:rPr>
                <w:rFonts w:ascii="Times New Roman" w:hAnsi="Times New Roman" w:cs="Times New Roman"/>
                <w:b/>
                <w:sz w:val="24"/>
                <w:szCs w:val="24"/>
              </w:rPr>
              <w:t>2.8.1 施工期产污环节</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施工期主要建设内容为厂房建设、生产及环保设备的安装、污水处理设施、污泥暂存库等环保设施建设等，主要为施工废气、施工噪声、施工固废等。</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2.8.2 运营期产污环节</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根据项目工艺流程可知，本项目运营期产污环节具体如下。</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（1）运营期废气</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根据项目建设内容及生产工艺，本项目生产工艺各环节均为湿法作业，基本无废气产生，主要废气产生节点为产品库扬尘。</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（2）运营期废水</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根据项目产污环节可知，本项目废水类型包括生产废水、生活污水和初期雨水。</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（3）运营期噪声</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根据项目建设内容及生产工艺，项目噪声污染源主要为设备噪声。</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（4）运营期固体废物</w:t>
            </w:r>
          </w:p>
          <w:p>
            <w:pPr>
              <w:pStyle w:val="35"/>
              <w:ind w:firstLine="480"/>
              <w:rPr>
                <w:rFonts w:eastAsiaTheme="minorEastAsia"/>
                <w:szCs w:val="24"/>
              </w:rPr>
            </w:pPr>
            <w:r>
              <w:rPr>
                <w:rFonts w:eastAsiaTheme="minorEastAsia"/>
                <w:szCs w:val="24"/>
              </w:rPr>
              <w:t>根据项目工程内容及生产工艺，本项目产生的固体废物包括：生产废水处理系统产生的污泥、设备维修产生的废机油及废弃沾油抹布、生活污水处理系统产生的污泥、生活垃圾。</w:t>
            </w:r>
          </w:p>
          <w:p>
            <w:pPr>
              <w:pStyle w:val="35"/>
              <w:keepNext w:val="0"/>
              <w:keepLines w:val="0"/>
              <w:pageBreakBefore w:val="0"/>
              <w:widowControl w:val="0"/>
              <w:kinsoku/>
              <w:wordWrap/>
              <w:overflowPunct/>
              <w:topLinePunct w:val="0"/>
              <w:autoSpaceDE/>
              <w:autoSpaceDN/>
              <w:bidi w:val="0"/>
              <w:adjustRightInd/>
              <w:snapToGrid/>
              <w:ind w:firstLine="480"/>
              <w:textAlignment w:val="auto"/>
              <w:rPr>
                <w:rFonts w:hint="default" w:eastAsiaTheme="minorEastAsia"/>
                <w:b/>
                <w:bCs/>
                <w:color w:val="FF0000"/>
                <w:sz w:val="26"/>
                <w:szCs w:val="26"/>
                <w:lang w:val="en-US" w:eastAsia="zh-CN"/>
              </w:rPr>
            </w:pPr>
            <w:r>
              <w:rPr>
                <w:rFonts w:hint="eastAsia" w:eastAsiaTheme="minorEastAsia"/>
                <w:b/>
                <w:bCs/>
                <w:color w:val="FF0000"/>
                <w:sz w:val="26"/>
                <w:szCs w:val="26"/>
                <w:lang w:val="en-US" w:eastAsia="zh-CN"/>
              </w:rPr>
              <w:t>2.9项目选址合理性分析</w:t>
            </w:r>
          </w:p>
          <w:p>
            <w:pPr>
              <w:pStyle w:val="35"/>
              <w:keepNext w:val="0"/>
              <w:keepLines w:val="0"/>
              <w:pageBreakBefore w:val="0"/>
              <w:widowControl w:val="0"/>
              <w:kinsoku/>
              <w:wordWrap/>
              <w:overflowPunct/>
              <w:topLinePunct w:val="0"/>
              <w:autoSpaceDE/>
              <w:autoSpaceDN/>
              <w:bidi w:val="0"/>
              <w:adjustRightInd/>
              <w:snapToGrid/>
              <w:ind w:firstLine="480"/>
              <w:textAlignment w:val="auto"/>
              <w:rPr>
                <w:rFonts w:eastAsiaTheme="minorEastAsia"/>
                <w:color w:val="FF0000"/>
                <w:szCs w:val="24"/>
                <w:lang w:val="en-US" w:eastAsia="zh-CN"/>
              </w:rPr>
            </w:pPr>
            <w:r>
              <w:rPr>
                <w:rFonts w:hint="eastAsia" w:eastAsiaTheme="minorEastAsia"/>
                <w:color w:val="FF0000"/>
                <w:szCs w:val="24"/>
                <w:lang w:val="en-US" w:eastAsia="zh-CN"/>
              </w:rPr>
              <w:t>2022年8月1日</w:t>
            </w:r>
            <w:r>
              <w:rPr>
                <w:rFonts w:hint="eastAsia" w:eastAsiaTheme="minorEastAsia"/>
                <w:color w:val="FF0000"/>
                <w:szCs w:val="24"/>
              </w:rPr>
              <w:t>昆明市东川区自然资源局</w:t>
            </w:r>
            <w:r>
              <w:rPr>
                <w:rFonts w:hint="eastAsia" w:eastAsiaTheme="minorEastAsia"/>
                <w:color w:val="FF0000"/>
                <w:szCs w:val="24"/>
                <w:lang w:val="en-US" w:eastAsia="zh-CN"/>
              </w:rPr>
              <w:t>以“东自然资发【2022】155号文”</w:t>
            </w:r>
            <w:r>
              <w:rPr>
                <w:rFonts w:hint="eastAsia" w:eastAsiaTheme="minorEastAsia"/>
                <w:color w:val="FF0000"/>
                <w:szCs w:val="24"/>
              </w:rPr>
              <w:t>同意通过</w:t>
            </w:r>
            <w:r>
              <w:rPr>
                <w:rFonts w:hint="eastAsia" w:eastAsiaTheme="minorEastAsia"/>
                <w:color w:val="FF0000"/>
                <w:szCs w:val="24"/>
                <w:lang w:val="en-US" w:eastAsia="zh-CN"/>
              </w:rPr>
              <w:t>了</w:t>
            </w:r>
            <w:r>
              <w:rPr>
                <w:rFonts w:hint="eastAsia" w:eastAsiaTheme="minorEastAsia"/>
                <w:color w:val="FF0000"/>
                <w:szCs w:val="24"/>
              </w:rPr>
              <w:t>项目用地选址踏勘论证</w:t>
            </w:r>
            <w:r>
              <w:rPr>
                <w:rFonts w:hint="eastAsia" w:eastAsiaTheme="minorEastAsia"/>
                <w:color w:val="FF0000"/>
                <w:szCs w:val="24"/>
                <w:lang w:eastAsia="zh-CN"/>
              </w:rPr>
              <w:t>：</w:t>
            </w:r>
            <w:r>
              <w:rPr>
                <w:rFonts w:hint="eastAsia" w:eastAsiaTheme="minorEastAsia"/>
                <w:color w:val="FF0000"/>
                <w:szCs w:val="24"/>
              </w:rPr>
              <w:t>对东川区再利用废石废渣生产建筑用石用砂小李庄加工厂建设项目选址和用地进行了论证审查，对项目建设的必要性、规划选址的合理性、用地规模及设计标准的合理性进行了充分论证，项目符合国家产业政策和供地政策、符合节约集约用地的要求</w:t>
            </w:r>
            <w:r>
              <w:rPr>
                <w:rFonts w:hint="eastAsia" w:eastAsiaTheme="minorEastAsia"/>
                <w:color w:val="FF0000"/>
                <w:szCs w:val="24"/>
                <w:lang w:eastAsia="zh-CN"/>
              </w:rPr>
              <w:t>。</w:t>
            </w:r>
            <w:r>
              <w:rPr>
                <w:rFonts w:hint="eastAsia" w:eastAsiaTheme="minorEastAsia"/>
                <w:color w:val="FF0000"/>
                <w:szCs w:val="24"/>
                <w:lang w:val="en-US" w:eastAsia="zh-CN"/>
              </w:rPr>
              <w:t>2022年8月10日</w:t>
            </w:r>
            <w:r>
              <w:rPr>
                <w:rFonts w:eastAsiaTheme="minorEastAsia"/>
                <w:color w:val="FF0000"/>
                <w:szCs w:val="24"/>
                <w:lang w:val="en-US" w:eastAsia="zh-CN"/>
              </w:rPr>
              <w:t>昆明市东川区人民政府将东川区再利用废石废渣生产建筑用石用砂小李庄加工厂建设项目用地规模和布局纳入正在编制的有效期至</w:t>
            </w:r>
            <w:r>
              <w:rPr>
                <w:rFonts w:hint="default" w:eastAsiaTheme="minorEastAsia"/>
                <w:color w:val="FF0000"/>
                <w:szCs w:val="24"/>
                <w:lang w:val="en-US" w:eastAsia="zh-CN"/>
              </w:rPr>
              <w:t xml:space="preserve">2035 </w:t>
            </w:r>
            <w:r>
              <w:rPr>
                <w:rFonts w:eastAsiaTheme="minorEastAsia"/>
                <w:color w:val="FF0000"/>
                <w:szCs w:val="24"/>
                <w:lang w:val="en-US" w:eastAsia="zh-CN"/>
              </w:rPr>
              <w:t>年的国土空间规划。</w:t>
            </w:r>
          </w:p>
          <w:p>
            <w:pPr>
              <w:pStyle w:val="35"/>
              <w:keepNext w:val="0"/>
              <w:keepLines w:val="0"/>
              <w:pageBreakBefore w:val="0"/>
              <w:widowControl w:val="0"/>
              <w:kinsoku/>
              <w:wordWrap/>
              <w:overflowPunct/>
              <w:topLinePunct w:val="0"/>
              <w:autoSpaceDE/>
              <w:autoSpaceDN/>
              <w:bidi w:val="0"/>
              <w:adjustRightInd/>
              <w:snapToGrid/>
              <w:ind w:firstLine="480"/>
              <w:textAlignment w:val="auto"/>
              <w:rPr>
                <w:rFonts w:hint="default" w:eastAsiaTheme="minorEastAsia"/>
                <w:color w:val="FF0000"/>
                <w:szCs w:val="24"/>
                <w:lang w:val="en-US" w:eastAsia="zh-CN"/>
              </w:rPr>
            </w:pPr>
            <w:r>
              <w:rPr>
                <w:rFonts w:hint="eastAsia" w:eastAsiaTheme="minorEastAsia"/>
                <w:color w:val="FF0000"/>
                <w:szCs w:val="24"/>
                <w:lang w:val="en-US" w:eastAsia="zh-CN"/>
              </w:rPr>
              <w:t>综上，项目选址合理。</w:t>
            </w:r>
          </w:p>
          <w:p>
            <w:pPr>
              <w:pStyle w:val="35"/>
              <w:ind w:left="0" w:leftChars="0" w:firstLine="0" w:firstLineChars="0"/>
              <w:rPr>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与项目有关的原有环境污染问题</w:t>
            </w:r>
          </w:p>
        </w:tc>
        <w:tc>
          <w:tcPr>
            <w:tcW w:w="8831" w:type="dxa"/>
            <w:vAlign w:val="center"/>
          </w:tcPr>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本项目为新建项目，根据调查，不存在与项目有关的原有环境污染问题。</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tc>
      </w:tr>
    </w:tbl>
    <w:p>
      <w:pPr>
        <w:pageBreakBefore/>
        <w:spacing w:line="360" w:lineRule="auto"/>
        <w:jc w:val="left"/>
        <w:outlineLvl w:val="0"/>
        <w:rPr>
          <w:rFonts w:ascii="Times New Roman" w:hAnsi="Times New Roman" w:cs="Times New Roman"/>
          <w:b/>
          <w:color w:val="000000" w:themeColor="text1"/>
          <w:sz w:val="28"/>
          <w:szCs w:val="20"/>
          <w14:textFill>
            <w14:solidFill>
              <w14:schemeClr w14:val="tx1"/>
            </w14:solidFill>
          </w14:textFill>
        </w:rPr>
      </w:pPr>
      <w:bookmarkStart w:id="5" w:name="_Toc21702"/>
      <w:r>
        <w:rPr>
          <w:rFonts w:ascii="Times New Roman" w:hAnsi="Times New Roman" w:cs="Times New Roman"/>
          <w:b/>
          <w:color w:val="000000" w:themeColor="text1"/>
          <w:sz w:val="28"/>
          <w:szCs w:val="20"/>
          <w14:textFill>
            <w14:solidFill>
              <w14:schemeClr w14:val="tx1"/>
            </w14:solidFill>
          </w14:textFill>
        </w:rPr>
        <w:t>三、区域环境质量现状、环境保护目标及评价标准</w:t>
      </w:r>
      <w:bookmarkEnd w:id="5"/>
    </w:p>
    <w:tbl>
      <w:tblPr>
        <w:tblStyle w:val="17"/>
        <w:tblW w:w="9533"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56"/>
        <w:gridCol w:w="90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56"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区域环境质量现状</w:t>
            </w:r>
          </w:p>
        </w:tc>
        <w:tc>
          <w:tcPr>
            <w:tcW w:w="9077" w:type="dxa"/>
            <w:vAlign w:val="center"/>
          </w:tcPr>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3.1 环境质量现状</w:t>
            </w:r>
          </w:p>
          <w:p>
            <w:pPr>
              <w:pStyle w:val="35"/>
              <w:ind w:firstLine="482"/>
              <w:rPr>
                <w:rFonts w:eastAsiaTheme="minorEastAsia"/>
                <w:b/>
                <w:szCs w:val="24"/>
              </w:rPr>
            </w:pPr>
            <w:r>
              <w:rPr>
                <w:rFonts w:eastAsiaTheme="minorEastAsia"/>
                <w:b/>
                <w:szCs w:val="24"/>
              </w:rPr>
              <w:t>3.1.1 环境空气质量现状</w:t>
            </w:r>
          </w:p>
          <w:p>
            <w:pPr>
              <w:pStyle w:val="35"/>
              <w:ind w:firstLine="480"/>
              <w:rPr>
                <w:rFonts w:eastAsiaTheme="minorEastAsia"/>
                <w:szCs w:val="24"/>
              </w:rPr>
            </w:pPr>
            <w:r>
              <w:rPr>
                <w:rFonts w:hint="eastAsia" w:eastAsiaTheme="minorEastAsia"/>
                <w:szCs w:val="24"/>
              </w:rPr>
              <w:t>根据2020年度昆明市生态环境状况公报：“2020年，昆明市主城区(五华区、盘龙区、西山区、官渡区、呈贡区)城市环境空气优良率达100%，其中优203天，良163天。与2019年相比，主城区环境空气各类污染物年平均浓度均降低，环境空气质量持续改善。2020年，各县(市)区环境空气质量总体保持良好，全年环境空气质量均达到二级标准，与2019年相比，石林县、富民县、寻甸县、嵩明县、安宁市、宜良县和禄劝县环境空气质量均有不同程度改善；晋宁区、东川区环境空气质量有所上升；阳宗海风景名胜区环境空气质量持平。”</w:t>
            </w:r>
          </w:p>
          <w:p>
            <w:pPr>
              <w:pStyle w:val="35"/>
              <w:ind w:firstLine="480"/>
              <w:rPr>
                <w:rFonts w:eastAsiaTheme="minorEastAsia"/>
                <w:szCs w:val="24"/>
              </w:rPr>
            </w:pPr>
            <w:r>
              <w:rPr>
                <w:rFonts w:eastAsiaTheme="minorEastAsia"/>
                <w:szCs w:val="24"/>
              </w:rPr>
              <w:t>本项目属于东川区行政区划范围内；根据昆明市东川区人民政府办公室发布的发布的《东川区城市环境空气质量周报》，监测数据源自东川区空气自动站2020年3月23日-2020年3月29日的监测结果，如下表所示。</w:t>
            </w:r>
          </w:p>
          <w:p>
            <w:pPr>
              <w:jc w:val="center"/>
              <w:rPr>
                <w:rFonts w:ascii="Times New Roman" w:hAnsi="Times New Roman" w:cs="Times New Roman"/>
                <w:b/>
                <w:szCs w:val="24"/>
              </w:rPr>
            </w:pPr>
            <w:r>
              <w:rPr>
                <w:rFonts w:ascii="Times New Roman" w:hAnsi="Times New Roman" w:cs="Times New Roman"/>
                <w:b/>
                <w:szCs w:val="24"/>
              </w:rPr>
              <w:t>表3.1.1-1 东川区空气自动站2020年3月23日-29日环境空气检测结果一览表</w:t>
            </w:r>
          </w:p>
          <w:tbl>
            <w:tblPr>
              <w:tblStyle w:val="17"/>
              <w:tblW w:w="885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37"/>
              <w:gridCol w:w="437"/>
              <w:gridCol w:w="1067"/>
              <w:gridCol w:w="1142"/>
              <w:gridCol w:w="1142"/>
              <w:gridCol w:w="1200"/>
              <w:gridCol w:w="1142"/>
              <w:gridCol w:w="1142"/>
              <w:gridCol w:w="11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7" w:type="dxa"/>
                  <w:vAlign w:val="center"/>
                </w:tcPr>
                <w:p>
                  <w:pPr>
                    <w:pStyle w:val="28"/>
                    <w:spacing w:line="360" w:lineRule="exact"/>
                    <w:ind w:left="11"/>
                    <w:rPr>
                      <w:rFonts w:eastAsiaTheme="minorEastAsia"/>
                      <w:color w:val="auto"/>
                      <w:szCs w:val="21"/>
                      <w:lang w:val="en-US"/>
                    </w:rPr>
                  </w:pPr>
                  <w:r>
                    <w:rPr>
                      <w:rFonts w:eastAsiaTheme="minorEastAsia"/>
                      <w:color w:val="auto"/>
                      <w:szCs w:val="21"/>
                    </w:rPr>
                    <w:t>站点</w:t>
                  </w:r>
                </w:p>
              </w:tc>
              <w:tc>
                <w:tcPr>
                  <w:tcW w:w="1504" w:type="dxa"/>
                  <w:gridSpan w:val="2"/>
                  <w:vAlign w:val="center"/>
                </w:tcPr>
                <w:p>
                  <w:pPr>
                    <w:pStyle w:val="28"/>
                    <w:spacing w:line="360" w:lineRule="exact"/>
                    <w:ind w:left="11"/>
                    <w:rPr>
                      <w:rFonts w:eastAsiaTheme="minorEastAsia"/>
                      <w:color w:val="auto"/>
                      <w:szCs w:val="21"/>
                      <w:lang w:val="en-US"/>
                    </w:rPr>
                  </w:pPr>
                  <w:r>
                    <w:rPr>
                      <w:rFonts w:eastAsiaTheme="minorEastAsia"/>
                      <w:color w:val="auto"/>
                      <w:szCs w:val="21"/>
                    </w:rPr>
                    <w:t>监测时间</w:t>
                  </w:r>
                </w:p>
              </w:tc>
              <w:tc>
                <w:tcPr>
                  <w:tcW w:w="1142" w:type="dxa"/>
                  <w:vAlign w:val="center"/>
                </w:tcPr>
                <w:p>
                  <w:pPr>
                    <w:pStyle w:val="28"/>
                    <w:spacing w:line="360" w:lineRule="exact"/>
                    <w:ind w:left="11"/>
                    <w:rPr>
                      <w:rFonts w:eastAsiaTheme="minorEastAsia"/>
                      <w:color w:val="auto"/>
                      <w:szCs w:val="21"/>
                      <w:lang w:val="en-US"/>
                    </w:rPr>
                  </w:pPr>
                  <w:r>
                    <w:rPr>
                      <w:rFonts w:eastAsiaTheme="minorEastAsia"/>
                      <w:color w:val="auto"/>
                      <w:szCs w:val="21"/>
                      <w:lang w:val="en-US"/>
                    </w:rPr>
                    <w:t>SO</w:t>
                  </w:r>
                  <w:r>
                    <w:rPr>
                      <w:rFonts w:eastAsiaTheme="minorEastAsia"/>
                      <w:color w:val="auto"/>
                      <w:szCs w:val="21"/>
                      <w:vertAlign w:val="subscript"/>
                      <w:lang w:val="en-US"/>
                    </w:rPr>
                    <w:t>2</w:t>
                  </w:r>
                </w:p>
                <w:p>
                  <w:pPr>
                    <w:pStyle w:val="28"/>
                    <w:spacing w:line="360" w:lineRule="exact"/>
                    <w:ind w:left="11"/>
                    <w:rPr>
                      <w:rFonts w:eastAsiaTheme="minorEastAsia"/>
                      <w:color w:val="auto"/>
                      <w:szCs w:val="21"/>
                      <w:lang w:val="en-US"/>
                    </w:rPr>
                  </w:pPr>
                  <w:r>
                    <w:rPr>
                      <w:rFonts w:eastAsiaTheme="minorEastAsia"/>
                      <w:color w:val="auto"/>
                      <w:szCs w:val="21"/>
                      <w:lang w:val="en-US"/>
                    </w:rPr>
                    <w:t>（ug/m³）</w:t>
                  </w:r>
                </w:p>
              </w:tc>
              <w:tc>
                <w:tcPr>
                  <w:tcW w:w="1142" w:type="dxa"/>
                  <w:vAlign w:val="center"/>
                </w:tcPr>
                <w:p>
                  <w:pPr>
                    <w:pStyle w:val="28"/>
                    <w:spacing w:line="360" w:lineRule="exact"/>
                    <w:ind w:left="11"/>
                    <w:rPr>
                      <w:rFonts w:eastAsiaTheme="minorEastAsia"/>
                      <w:color w:val="auto"/>
                      <w:szCs w:val="21"/>
                      <w:vertAlign w:val="subscript"/>
                      <w:lang w:val="en-US"/>
                    </w:rPr>
                  </w:pPr>
                  <w:r>
                    <w:rPr>
                      <w:rFonts w:eastAsiaTheme="minorEastAsia"/>
                      <w:color w:val="auto"/>
                      <w:szCs w:val="21"/>
                      <w:lang w:val="en-US"/>
                    </w:rPr>
                    <w:t>NO</w:t>
                  </w:r>
                  <w:r>
                    <w:rPr>
                      <w:rFonts w:eastAsiaTheme="minorEastAsia"/>
                      <w:color w:val="auto"/>
                      <w:szCs w:val="21"/>
                      <w:vertAlign w:val="subscript"/>
                      <w:lang w:val="en-US"/>
                    </w:rPr>
                    <w:t>2</w:t>
                  </w:r>
                </w:p>
                <w:p>
                  <w:pPr>
                    <w:pStyle w:val="28"/>
                    <w:spacing w:line="360" w:lineRule="exact"/>
                    <w:ind w:left="11"/>
                    <w:rPr>
                      <w:rFonts w:eastAsiaTheme="minorEastAsia"/>
                      <w:color w:val="auto"/>
                      <w:szCs w:val="21"/>
                      <w:lang w:val="en-US"/>
                    </w:rPr>
                  </w:pPr>
                  <w:r>
                    <w:rPr>
                      <w:rFonts w:eastAsiaTheme="minorEastAsia"/>
                      <w:color w:val="auto"/>
                      <w:szCs w:val="21"/>
                      <w:lang w:val="en-US"/>
                    </w:rPr>
                    <w:t>（ug/m³）</w:t>
                  </w:r>
                </w:p>
              </w:tc>
              <w:tc>
                <w:tcPr>
                  <w:tcW w:w="1200" w:type="dxa"/>
                  <w:vAlign w:val="center"/>
                </w:tcPr>
                <w:p>
                  <w:pPr>
                    <w:pStyle w:val="28"/>
                    <w:spacing w:line="360" w:lineRule="exact"/>
                    <w:ind w:left="11"/>
                    <w:rPr>
                      <w:rFonts w:eastAsiaTheme="minorEastAsia"/>
                      <w:color w:val="auto"/>
                      <w:szCs w:val="21"/>
                      <w:lang w:val="en-US"/>
                    </w:rPr>
                  </w:pPr>
                  <w:r>
                    <w:rPr>
                      <w:rFonts w:eastAsiaTheme="minorEastAsia"/>
                      <w:color w:val="auto"/>
                      <w:szCs w:val="21"/>
                      <w:lang w:val="en-US"/>
                    </w:rPr>
                    <w:t>CO</w:t>
                  </w:r>
                </w:p>
                <w:p>
                  <w:pPr>
                    <w:pStyle w:val="28"/>
                    <w:spacing w:line="360" w:lineRule="exact"/>
                    <w:ind w:left="11"/>
                    <w:rPr>
                      <w:rFonts w:eastAsiaTheme="minorEastAsia"/>
                      <w:color w:val="auto"/>
                      <w:szCs w:val="21"/>
                      <w:lang w:val="en-US"/>
                    </w:rPr>
                  </w:pPr>
                  <w:r>
                    <w:rPr>
                      <w:rFonts w:eastAsiaTheme="minorEastAsia"/>
                      <w:color w:val="auto"/>
                      <w:szCs w:val="21"/>
                      <w:lang w:val="en-US"/>
                    </w:rPr>
                    <w:t>（mg/m³）</w:t>
                  </w:r>
                </w:p>
              </w:tc>
              <w:tc>
                <w:tcPr>
                  <w:tcW w:w="1142" w:type="dxa"/>
                  <w:vAlign w:val="center"/>
                </w:tcPr>
                <w:p>
                  <w:pPr>
                    <w:pStyle w:val="28"/>
                    <w:spacing w:line="360" w:lineRule="exact"/>
                    <w:ind w:left="11"/>
                    <w:rPr>
                      <w:rFonts w:eastAsiaTheme="minorEastAsia"/>
                      <w:color w:val="auto"/>
                      <w:szCs w:val="21"/>
                      <w:lang w:val="en-US"/>
                    </w:rPr>
                  </w:pPr>
                  <w:r>
                    <w:rPr>
                      <w:rFonts w:eastAsiaTheme="minorEastAsia"/>
                      <w:color w:val="auto"/>
                      <w:szCs w:val="21"/>
                      <w:lang w:val="en-US"/>
                    </w:rPr>
                    <w:t>O</w:t>
                  </w:r>
                  <w:r>
                    <w:rPr>
                      <w:rFonts w:eastAsiaTheme="minorEastAsia"/>
                      <w:color w:val="auto"/>
                      <w:szCs w:val="21"/>
                      <w:vertAlign w:val="subscript"/>
                      <w:lang w:val="en-US"/>
                    </w:rPr>
                    <w:t>3</w:t>
                  </w:r>
                  <w:r>
                    <w:rPr>
                      <w:rFonts w:eastAsiaTheme="minorEastAsia"/>
                      <w:color w:val="auto"/>
                      <w:szCs w:val="21"/>
                      <w:lang w:val="en-US"/>
                    </w:rPr>
                    <w:t>-8h</w:t>
                  </w:r>
                </w:p>
                <w:p>
                  <w:pPr>
                    <w:pStyle w:val="28"/>
                    <w:spacing w:line="360" w:lineRule="exact"/>
                    <w:ind w:left="11"/>
                    <w:rPr>
                      <w:rFonts w:eastAsiaTheme="minorEastAsia"/>
                      <w:color w:val="auto"/>
                      <w:szCs w:val="21"/>
                      <w:lang w:val="en-US"/>
                    </w:rPr>
                  </w:pPr>
                  <w:r>
                    <w:rPr>
                      <w:rFonts w:eastAsiaTheme="minorEastAsia"/>
                      <w:color w:val="auto"/>
                      <w:szCs w:val="21"/>
                      <w:lang w:val="en-US"/>
                    </w:rPr>
                    <w:t>（ug/m³）</w:t>
                  </w:r>
                </w:p>
              </w:tc>
              <w:tc>
                <w:tcPr>
                  <w:tcW w:w="1142" w:type="dxa"/>
                  <w:vAlign w:val="center"/>
                </w:tcPr>
                <w:p>
                  <w:pPr>
                    <w:pStyle w:val="28"/>
                    <w:spacing w:line="360" w:lineRule="exact"/>
                    <w:ind w:left="11"/>
                    <w:rPr>
                      <w:rFonts w:eastAsiaTheme="minorEastAsia"/>
                      <w:color w:val="auto"/>
                      <w:szCs w:val="21"/>
                      <w:vertAlign w:val="subscript"/>
                      <w:lang w:val="en-US"/>
                    </w:rPr>
                  </w:pPr>
                  <w:r>
                    <w:rPr>
                      <w:rFonts w:eastAsiaTheme="minorEastAsia"/>
                      <w:color w:val="auto"/>
                      <w:szCs w:val="21"/>
                      <w:lang w:val="en-US"/>
                    </w:rPr>
                    <w:t>PM</w:t>
                  </w:r>
                  <w:r>
                    <w:rPr>
                      <w:rFonts w:eastAsiaTheme="minorEastAsia"/>
                      <w:color w:val="auto"/>
                      <w:szCs w:val="21"/>
                      <w:vertAlign w:val="subscript"/>
                      <w:lang w:val="en-US"/>
                    </w:rPr>
                    <w:t>10</w:t>
                  </w:r>
                </w:p>
                <w:p>
                  <w:pPr>
                    <w:pStyle w:val="28"/>
                    <w:spacing w:line="360" w:lineRule="exact"/>
                    <w:ind w:left="11"/>
                    <w:rPr>
                      <w:rFonts w:eastAsiaTheme="minorEastAsia"/>
                      <w:color w:val="auto"/>
                      <w:szCs w:val="21"/>
                      <w:lang w:val="en-US"/>
                    </w:rPr>
                  </w:pPr>
                  <w:r>
                    <w:rPr>
                      <w:rFonts w:eastAsiaTheme="minorEastAsia"/>
                      <w:color w:val="auto"/>
                      <w:szCs w:val="21"/>
                      <w:lang w:val="en-US"/>
                    </w:rPr>
                    <w:t>（ug/m³）</w:t>
                  </w:r>
                </w:p>
              </w:tc>
              <w:tc>
                <w:tcPr>
                  <w:tcW w:w="1142" w:type="dxa"/>
                  <w:vAlign w:val="center"/>
                </w:tcPr>
                <w:p>
                  <w:pPr>
                    <w:pStyle w:val="28"/>
                    <w:spacing w:line="360" w:lineRule="exact"/>
                    <w:ind w:left="11"/>
                    <w:rPr>
                      <w:rFonts w:eastAsiaTheme="minorEastAsia"/>
                      <w:color w:val="auto"/>
                      <w:szCs w:val="21"/>
                      <w:lang w:val="en-US"/>
                    </w:rPr>
                  </w:pPr>
                  <w:r>
                    <w:rPr>
                      <w:rFonts w:eastAsiaTheme="minorEastAsia"/>
                      <w:color w:val="auto"/>
                      <w:szCs w:val="21"/>
                      <w:lang w:val="en-US"/>
                    </w:rPr>
                    <w:t>PM</w:t>
                  </w:r>
                  <w:r>
                    <w:rPr>
                      <w:rFonts w:eastAsiaTheme="minorEastAsia"/>
                      <w:color w:val="auto"/>
                      <w:szCs w:val="21"/>
                      <w:vertAlign w:val="subscript"/>
                      <w:lang w:val="en-US"/>
                    </w:rPr>
                    <w:t>2.5</w:t>
                  </w:r>
                  <w:r>
                    <w:rPr>
                      <w:rFonts w:eastAsiaTheme="minorEastAsia"/>
                      <w:color w:val="auto"/>
                      <w:szCs w:val="21"/>
                      <w:lang w:val="en-US"/>
                    </w:rPr>
                    <w:t>（ug/m³）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7" w:type="dxa"/>
                  <w:vMerge w:val="restart"/>
                  <w:vAlign w:val="center"/>
                </w:tcPr>
                <w:p>
                  <w:pPr>
                    <w:pStyle w:val="28"/>
                    <w:spacing w:line="360" w:lineRule="exact"/>
                    <w:ind w:left="11"/>
                    <w:rPr>
                      <w:rFonts w:eastAsiaTheme="minorEastAsia"/>
                      <w:color w:val="auto"/>
                      <w:szCs w:val="21"/>
                      <w:lang w:val="en-US"/>
                    </w:rPr>
                  </w:pPr>
                  <w:r>
                    <w:rPr>
                      <w:rFonts w:eastAsiaTheme="minorEastAsia"/>
                      <w:color w:val="auto"/>
                      <w:szCs w:val="21"/>
                    </w:rPr>
                    <w:t>东川区空气自动站</w:t>
                  </w:r>
                </w:p>
              </w:tc>
              <w:tc>
                <w:tcPr>
                  <w:tcW w:w="437" w:type="dxa"/>
                  <w:vMerge w:val="restart"/>
                  <w:vAlign w:val="center"/>
                </w:tcPr>
                <w:p>
                  <w:pPr>
                    <w:pStyle w:val="28"/>
                    <w:spacing w:line="360" w:lineRule="exact"/>
                    <w:ind w:left="11"/>
                    <w:rPr>
                      <w:rFonts w:eastAsiaTheme="minorEastAsia"/>
                      <w:color w:val="auto"/>
                      <w:szCs w:val="21"/>
                      <w:lang w:val="en-US"/>
                    </w:rPr>
                  </w:pPr>
                  <w:r>
                    <w:rPr>
                      <w:rFonts w:eastAsiaTheme="minorEastAsia"/>
                      <w:color w:val="auto"/>
                      <w:szCs w:val="21"/>
                    </w:rPr>
                    <w:t>日均值</w:t>
                  </w:r>
                </w:p>
              </w:tc>
              <w:tc>
                <w:tcPr>
                  <w:tcW w:w="1067" w:type="dxa"/>
                  <w:vAlign w:val="center"/>
                </w:tcPr>
                <w:p>
                  <w:pPr>
                    <w:pStyle w:val="28"/>
                    <w:spacing w:line="360" w:lineRule="exact"/>
                    <w:ind w:left="11"/>
                    <w:rPr>
                      <w:rFonts w:eastAsiaTheme="minorEastAsia"/>
                      <w:color w:val="auto"/>
                      <w:szCs w:val="21"/>
                      <w:lang w:val="en-US"/>
                    </w:rPr>
                  </w:pPr>
                  <w:r>
                    <w:rPr>
                      <w:rFonts w:eastAsiaTheme="minorEastAsia"/>
                      <w:color w:val="auto"/>
                      <w:szCs w:val="21"/>
                      <w:lang w:val="en-US"/>
                    </w:rPr>
                    <w:t>2020.3.23</w:t>
                  </w:r>
                </w:p>
              </w:tc>
              <w:tc>
                <w:tcPr>
                  <w:tcW w:w="1142"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9</w:t>
                  </w:r>
                </w:p>
              </w:tc>
              <w:tc>
                <w:tcPr>
                  <w:tcW w:w="1142"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10</w:t>
                  </w:r>
                </w:p>
              </w:tc>
              <w:tc>
                <w:tcPr>
                  <w:tcW w:w="1200"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0.7</w:t>
                  </w:r>
                </w:p>
              </w:tc>
              <w:tc>
                <w:tcPr>
                  <w:tcW w:w="1142"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109</w:t>
                  </w:r>
                </w:p>
              </w:tc>
              <w:tc>
                <w:tcPr>
                  <w:tcW w:w="1142"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53</w:t>
                  </w:r>
                </w:p>
              </w:tc>
              <w:tc>
                <w:tcPr>
                  <w:tcW w:w="1142"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7" w:type="dxa"/>
                  <w:vMerge w:val="continue"/>
                  <w:vAlign w:val="center"/>
                </w:tcPr>
                <w:p>
                  <w:pPr>
                    <w:pStyle w:val="28"/>
                    <w:spacing w:line="360" w:lineRule="exact"/>
                    <w:ind w:left="11"/>
                    <w:rPr>
                      <w:rFonts w:eastAsiaTheme="minorEastAsia"/>
                      <w:color w:val="auto"/>
                      <w:szCs w:val="21"/>
                      <w:lang w:val="en-US"/>
                    </w:rPr>
                  </w:pPr>
                </w:p>
              </w:tc>
              <w:tc>
                <w:tcPr>
                  <w:tcW w:w="437" w:type="dxa"/>
                  <w:vMerge w:val="continue"/>
                  <w:vAlign w:val="center"/>
                </w:tcPr>
                <w:p>
                  <w:pPr>
                    <w:pStyle w:val="28"/>
                    <w:spacing w:line="360" w:lineRule="exact"/>
                    <w:ind w:left="11"/>
                    <w:rPr>
                      <w:rFonts w:eastAsiaTheme="minorEastAsia"/>
                      <w:color w:val="auto"/>
                      <w:szCs w:val="21"/>
                      <w:lang w:val="en-US"/>
                    </w:rPr>
                  </w:pPr>
                </w:p>
              </w:tc>
              <w:tc>
                <w:tcPr>
                  <w:tcW w:w="1067" w:type="dxa"/>
                  <w:vAlign w:val="center"/>
                </w:tcPr>
                <w:p>
                  <w:pPr>
                    <w:pStyle w:val="28"/>
                    <w:spacing w:line="360" w:lineRule="exact"/>
                    <w:ind w:left="11"/>
                    <w:rPr>
                      <w:rFonts w:eastAsiaTheme="minorEastAsia"/>
                      <w:color w:val="auto"/>
                      <w:szCs w:val="21"/>
                      <w:lang w:val="en-US"/>
                    </w:rPr>
                  </w:pPr>
                  <w:r>
                    <w:rPr>
                      <w:rFonts w:eastAsiaTheme="minorEastAsia"/>
                      <w:color w:val="auto"/>
                      <w:szCs w:val="21"/>
                      <w:lang w:val="en-US"/>
                    </w:rPr>
                    <w:t>2020.3.24</w:t>
                  </w:r>
                </w:p>
              </w:tc>
              <w:tc>
                <w:tcPr>
                  <w:tcW w:w="1142"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9</w:t>
                  </w:r>
                </w:p>
              </w:tc>
              <w:tc>
                <w:tcPr>
                  <w:tcW w:w="1142"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10</w:t>
                  </w:r>
                </w:p>
              </w:tc>
              <w:tc>
                <w:tcPr>
                  <w:tcW w:w="1200"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0.7</w:t>
                  </w:r>
                </w:p>
              </w:tc>
              <w:tc>
                <w:tcPr>
                  <w:tcW w:w="1142"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109</w:t>
                  </w:r>
                </w:p>
              </w:tc>
              <w:tc>
                <w:tcPr>
                  <w:tcW w:w="1142"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47</w:t>
                  </w:r>
                </w:p>
              </w:tc>
              <w:tc>
                <w:tcPr>
                  <w:tcW w:w="1142"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7" w:type="dxa"/>
                  <w:vMerge w:val="continue"/>
                  <w:vAlign w:val="center"/>
                </w:tcPr>
                <w:p>
                  <w:pPr>
                    <w:pStyle w:val="28"/>
                    <w:spacing w:line="360" w:lineRule="exact"/>
                    <w:ind w:left="11"/>
                    <w:rPr>
                      <w:rFonts w:eastAsiaTheme="minorEastAsia"/>
                      <w:color w:val="auto"/>
                      <w:szCs w:val="21"/>
                      <w:lang w:val="en-US"/>
                    </w:rPr>
                  </w:pPr>
                </w:p>
              </w:tc>
              <w:tc>
                <w:tcPr>
                  <w:tcW w:w="437" w:type="dxa"/>
                  <w:vMerge w:val="continue"/>
                  <w:vAlign w:val="center"/>
                </w:tcPr>
                <w:p>
                  <w:pPr>
                    <w:pStyle w:val="28"/>
                    <w:spacing w:line="360" w:lineRule="exact"/>
                    <w:ind w:left="11"/>
                    <w:rPr>
                      <w:rFonts w:eastAsiaTheme="minorEastAsia"/>
                      <w:color w:val="auto"/>
                      <w:szCs w:val="21"/>
                      <w:lang w:val="en-US"/>
                    </w:rPr>
                  </w:pPr>
                </w:p>
              </w:tc>
              <w:tc>
                <w:tcPr>
                  <w:tcW w:w="1067" w:type="dxa"/>
                  <w:vAlign w:val="center"/>
                </w:tcPr>
                <w:p>
                  <w:pPr>
                    <w:pStyle w:val="28"/>
                    <w:spacing w:line="360" w:lineRule="exact"/>
                    <w:ind w:left="11"/>
                    <w:rPr>
                      <w:rFonts w:eastAsiaTheme="minorEastAsia"/>
                      <w:color w:val="auto"/>
                      <w:szCs w:val="21"/>
                      <w:lang w:val="en-US"/>
                    </w:rPr>
                  </w:pPr>
                  <w:r>
                    <w:rPr>
                      <w:rFonts w:eastAsiaTheme="minorEastAsia"/>
                      <w:color w:val="auto"/>
                      <w:szCs w:val="21"/>
                      <w:lang w:val="en-US"/>
                    </w:rPr>
                    <w:t>2020.3.25</w:t>
                  </w:r>
                </w:p>
              </w:tc>
              <w:tc>
                <w:tcPr>
                  <w:tcW w:w="1142"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7</w:t>
                  </w:r>
                </w:p>
              </w:tc>
              <w:tc>
                <w:tcPr>
                  <w:tcW w:w="1142"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6</w:t>
                  </w:r>
                </w:p>
              </w:tc>
              <w:tc>
                <w:tcPr>
                  <w:tcW w:w="1200"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0.6</w:t>
                  </w:r>
                </w:p>
              </w:tc>
              <w:tc>
                <w:tcPr>
                  <w:tcW w:w="1142"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118</w:t>
                  </w:r>
                </w:p>
              </w:tc>
              <w:tc>
                <w:tcPr>
                  <w:tcW w:w="1142"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38</w:t>
                  </w:r>
                </w:p>
              </w:tc>
              <w:tc>
                <w:tcPr>
                  <w:tcW w:w="1142"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7" w:type="dxa"/>
                  <w:vMerge w:val="continue"/>
                  <w:vAlign w:val="center"/>
                </w:tcPr>
                <w:p>
                  <w:pPr>
                    <w:pStyle w:val="28"/>
                    <w:spacing w:line="360" w:lineRule="exact"/>
                    <w:ind w:left="11"/>
                    <w:rPr>
                      <w:rFonts w:eastAsiaTheme="minorEastAsia"/>
                      <w:color w:val="auto"/>
                      <w:szCs w:val="21"/>
                      <w:lang w:val="en-US"/>
                    </w:rPr>
                  </w:pPr>
                </w:p>
              </w:tc>
              <w:tc>
                <w:tcPr>
                  <w:tcW w:w="437" w:type="dxa"/>
                  <w:vMerge w:val="continue"/>
                  <w:vAlign w:val="center"/>
                </w:tcPr>
                <w:p>
                  <w:pPr>
                    <w:pStyle w:val="28"/>
                    <w:spacing w:line="360" w:lineRule="exact"/>
                    <w:ind w:left="11"/>
                    <w:rPr>
                      <w:rFonts w:eastAsiaTheme="minorEastAsia"/>
                      <w:color w:val="auto"/>
                      <w:szCs w:val="21"/>
                      <w:lang w:val="en-US"/>
                    </w:rPr>
                  </w:pPr>
                </w:p>
              </w:tc>
              <w:tc>
                <w:tcPr>
                  <w:tcW w:w="1067" w:type="dxa"/>
                  <w:vAlign w:val="center"/>
                </w:tcPr>
                <w:p>
                  <w:pPr>
                    <w:pStyle w:val="28"/>
                    <w:spacing w:line="360" w:lineRule="exact"/>
                    <w:ind w:left="11"/>
                    <w:rPr>
                      <w:rFonts w:eastAsiaTheme="minorEastAsia"/>
                      <w:color w:val="auto"/>
                      <w:szCs w:val="21"/>
                      <w:lang w:val="en-US"/>
                    </w:rPr>
                  </w:pPr>
                  <w:r>
                    <w:rPr>
                      <w:rFonts w:eastAsiaTheme="minorEastAsia"/>
                      <w:color w:val="auto"/>
                      <w:szCs w:val="21"/>
                      <w:lang w:val="en-US"/>
                    </w:rPr>
                    <w:t>2020.3.26</w:t>
                  </w:r>
                </w:p>
              </w:tc>
              <w:tc>
                <w:tcPr>
                  <w:tcW w:w="1142"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6</w:t>
                  </w:r>
                </w:p>
              </w:tc>
              <w:tc>
                <w:tcPr>
                  <w:tcW w:w="1142"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5</w:t>
                  </w:r>
                </w:p>
              </w:tc>
              <w:tc>
                <w:tcPr>
                  <w:tcW w:w="1200"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0.6</w:t>
                  </w:r>
                </w:p>
              </w:tc>
              <w:tc>
                <w:tcPr>
                  <w:tcW w:w="1142"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101</w:t>
                  </w:r>
                </w:p>
              </w:tc>
              <w:tc>
                <w:tcPr>
                  <w:tcW w:w="1142"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25</w:t>
                  </w:r>
                </w:p>
              </w:tc>
              <w:tc>
                <w:tcPr>
                  <w:tcW w:w="1142"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7" w:type="dxa"/>
                  <w:vMerge w:val="continue"/>
                  <w:vAlign w:val="center"/>
                </w:tcPr>
                <w:p>
                  <w:pPr>
                    <w:pStyle w:val="28"/>
                    <w:spacing w:line="360" w:lineRule="exact"/>
                    <w:ind w:left="11"/>
                    <w:rPr>
                      <w:rFonts w:eastAsiaTheme="minorEastAsia"/>
                      <w:color w:val="auto"/>
                      <w:szCs w:val="21"/>
                      <w:lang w:val="en-US"/>
                    </w:rPr>
                  </w:pPr>
                </w:p>
              </w:tc>
              <w:tc>
                <w:tcPr>
                  <w:tcW w:w="437" w:type="dxa"/>
                  <w:vMerge w:val="continue"/>
                  <w:vAlign w:val="center"/>
                </w:tcPr>
                <w:p>
                  <w:pPr>
                    <w:pStyle w:val="28"/>
                    <w:spacing w:line="360" w:lineRule="exact"/>
                    <w:ind w:left="11"/>
                    <w:rPr>
                      <w:rFonts w:eastAsiaTheme="minorEastAsia"/>
                      <w:color w:val="auto"/>
                      <w:szCs w:val="21"/>
                      <w:lang w:val="en-US"/>
                    </w:rPr>
                  </w:pPr>
                </w:p>
              </w:tc>
              <w:tc>
                <w:tcPr>
                  <w:tcW w:w="1067" w:type="dxa"/>
                  <w:vAlign w:val="center"/>
                </w:tcPr>
                <w:p>
                  <w:pPr>
                    <w:pStyle w:val="28"/>
                    <w:spacing w:line="360" w:lineRule="exact"/>
                    <w:ind w:left="11"/>
                    <w:rPr>
                      <w:rFonts w:eastAsiaTheme="minorEastAsia"/>
                      <w:color w:val="auto"/>
                      <w:szCs w:val="21"/>
                      <w:lang w:val="en-US"/>
                    </w:rPr>
                  </w:pPr>
                  <w:r>
                    <w:rPr>
                      <w:rFonts w:eastAsiaTheme="minorEastAsia"/>
                      <w:color w:val="auto"/>
                      <w:szCs w:val="21"/>
                      <w:lang w:val="en-US"/>
                    </w:rPr>
                    <w:t>2020.3.27</w:t>
                  </w:r>
                </w:p>
              </w:tc>
              <w:tc>
                <w:tcPr>
                  <w:tcW w:w="1142"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7</w:t>
                  </w:r>
                </w:p>
              </w:tc>
              <w:tc>
                <w:tcPr>
                  <w:tcW w:w="1142"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8</w:t>
                  </w:r>
                </w:p>
              </w:tc>
              <w:tc>
                <w:tcPr>
                  <w:tcW w:w="1200"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0.7</w:t>
                  </w:r>
                </w:p>
              </w:tc>
              <w:tc>
                <w:tcPr>
                  <w:tcW w:w="1142"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113</w:t>
                  </w:r>
                </w:p>
              </w:tc>
              <w:tc>
                <w:tcPr>
                  <w:tcW w:w="1142"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39</w:t>
                  </w:r>
                </w:p>
              </w:tc>
              <w:tc>
                <w:tcPr>
                  <w:tcW w:w="1142"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7" w:type="dxa"/>
                  <w:vMerge w:val="continue"/>
                  <w:vAlign w:val="center"/>
                </w:tcPr>
                <w:p>
                  <w:pPr>
                    <w:pStyle w:val="28"/>
                    <w:spacing w:line="360" w:lineRule="exact"/>
                    <w:ind w:left="11"/>
                    <w:rPr>
                      <w:rFonts w:eastAsiaTheme="minorEastAsia"/>
                      <w:color w:val="auto"/>
                      <w:szCs w:val="21"/>
                      <w:lang w:val="en-US"/>
                    </w:rPr>
                  </w:pPr>
                </w:p>
              </w:tc>
              <w:tc>
                <w:tcPr>
                  <w:tcW w:w="437" w:type="dxa"/>
                  <w:vMerge w:val="continue"/>
                  <w:vAlign w:val="center"/>
                </w:tcPr>
                <w:p>
                  <w:pPr>
                    <w:pStyle w:val="28"/>
                    <w:spacing w:line="360" w:lineRule="exact"/>
                    <w:ind w:left="11"/>
                    <w:rPr>
                      <w:rFonts w:eastAsiaTheme="minorEastAsia"/>
                      <w:color w:val="auto"/>
                      <w:szCs w:val="21"/>
                      <w:lang w:val="en-US"/>
                    </w:rPr>
                  </w:pPr>
                </w:p>
              </w:tc>
              <w:tc>
                <w:tcPr>
                  <w:tcW w:w="1067" w:type="dxa"/>
                  <w:vAlign w:val="center"/>
                </w:tcPr>
                <w:p>
                  <w:pPr>
                    <w:pStyle w:val="28"/>
                    <w:spacing w:line="360" w:lineRule="exact"/>
                    <w:ind w:left="11"/>
                    <w:rPr>
                      <w:rFonts w:eastAsiaTheme="minorEastAsia"/>
                      <w:color w:val="auto"/>
                      <w:szCs w:val="21"/>
                      <w:lang w:val="en-US"/>
                    </w:rPr>
                  </w:pPr>
                  <w:r>
                    <w:rPr>
                      <w:rFonts w:eastAsiaTheme="minorEastAsia"/>
                      <w:color w:val="auto"/>
                      <w:szCs w:val="21"/>
                      <w:lang w:val="en-US"/>
                    </w:rPr>
                    <w:t>2020.3.28</w:t>
                  </w:r>
                </w:p>
              </w:tc>
              <w:tc>
                <w:tcPr>
                  <w:tcW w:w="1142"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47</w:t>
                  </w:r>
                </w:p>
              </w:tc>
              <w:tc>
                <w:tcPr>
                  <w:tcW w:w="1142"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11</w:t>
                  </w:r>
                </w:p>
              </w:tc>
              <w:tc>
                <w:tcPr>
                  <w:tcW w:w="1200"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0.7</w:t>
                  </w:r>
                </w:p>
              </w:tc>
              <w:tc>
                <w:tcPr>
                  <w:tcW w:w="1142"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102</w:t>
                  </w:r>
                </w:p>
              </w:tc>
              <w:tc>
                <w:tcPr>
                  <w:tcW w:w="1142"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56</w:t>
                  </w:r>
                </w:p>
              </w:tc>
              <w:tc>
                <w:tcPr>
                  <w:tcW w:w="1142"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7" w:type="dxa"/>
                  <w:vMerge w:val="continue"/>
                  <w:vAlign w:val="center"/>
                </w:tcPr>
                <w:p>
                  <w:pPr>
                    <w:pStyle w:val="28"/>
                    <w:spacing w:line="360" w:lineRule="exact"/>
                    <w:ind w:left="11"/>
                    <w:rPr>
                      <w:rFonts w:eastAsiaTheme="minorEastAsia"/>
                      <w:color w:val="auto"/>
                      <w:szCs w:val="21"/>
                      <w:lang w:val="en-US"/>
                    </w:rPr>
                  </w:pPr>
                </w:p>
              </w:tc>
              <w:tc>
                <w:tcPr>
                  <w:tcW w:w="437" w:type="dxa"/>
                  <w:vMerge w:val="continue"/>
                  <w:vAlign w:val="center"/>
                </w:tcPr>
                <w:p>
                  <w:pPr>
                    <w:pStyle w:val="28"/>
                    <w:spacing w:line="360" w:lineRule="exact"/>
                    <w:ind w:left="11"/>
                    <w:rPr>
                      <w:rFonts w:eastAsiaTheme="minorEastAsia"/>
                      <w:color w:val="auto"/>
                      <w:szCs w:val="21"/>
                      <w:lang w:val="en-US"/>
                    </w:rPr>
                  </w:pPr>
                </w:p>
              </w:tc>
              <w:tc>
                <w:tcPr>
                  <w:tcW w:w="1067" w:type="dxa"/>
                  <w:vAlign w:val="center"/>
                </w:tcPr>
                <w:p>
                  <w:pPr>
                    <w:pStyle w:val="28"/>
                    <w:spacing w:line="360" w:lineRule="exact"/>
                    <w:ind w:left="11"/>
                    <w:rPr>
                      <w:rFonts w:eastAsiaTheme="minorEastAsia"/>
                      <w:color w:val="auto"/>
                      <w:szCs w:val="21"/>
                      <w:lang w:val="en-US"/>
                    </w:rPr>
                  </w:pPr>
                  <w:r>
                    <w:rPr>
                      <w:rFonts w:eastAsiaTheme="minorEastAsia"/>
                      <w:color w:val="auto"/>
                      <w:szCs w:val="21"/>
                      <w:lang w:val="en-US"/>
                    </w:rPr>
                    <w:t>2020.3.29</w:t>
                  </w:r>
                </w:p>
              </w:tc>
              <w:tc>
                <w:tcPr>
                  <w:tcW w:w="1142"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19</w:t>
                  </w:r>
                </w:p>
              </w:tc>
              <w:tc>
                <w:tcPr>
                  <w:tcW w:w="1142"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8</w:t>
                  </w:r>
                </w:p>
              </w:tc>
              <w:tc>
                <w:tcPr>
                  <w:tcW w:w="1200"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0.6</w:t>
                  </w:r>
                </w:p>
              </w:tc>
              <w:tc>
                <w:tcPr>
                  <w:tcW w:w="1142"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104</w:t>
                  </w:r>
                </w:p>
              </w:tc>
              <w:tc>
                <w:tcPr>
                  <w:tcW w:w="1142"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58</w:t>
                  </w:r>
                </w:p>
              </w:tc>
              <w:tc>
                <w:tcPr>
                  <w:tcW w:w="1142"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41" w:type="dxa"/>
                  <w:gridSpan w:val="3"/>
                  <w:vAlign w:val="center"/>
                </w:tcPr>
                <w:p>
                  <w:pPr>
                    <w:pStyle w:val="28"/>
                    <w:spacing w:line="360" w:lineRule="exact"/>
                    <w:ind w:left="11"/>
                    <w:rPr>
                      <w:rFonts w:eastAsiaTheme="minorEastAsia"/>
                      <w:color w:val="auto"/>
                      <w:szCs w:val="21"/>
                      <w:lang w:val="en-US"/>
                    </w:rPr>
                  </w:pPr>
                  <w:r>
                    <w:rPr>
                      <w:rFonts w:eastAsiaTheme="minorEastAsia"/>
                      <w:color w:val="auto"/>
                      <w:szCs w:val="21"/>
                    </w:rPr>
                    <w:t>标准值</w:t>
                  </w:r>
                </w:p>
              </w:tc>
              <w:tc>
                <w:tcPr>
                  <w:tcW w:w="1142"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150</w:t>
                  </w:r>
                </w:p>
              </w:tc>
              <w:tc>
                <w:tcPr>
                  <w:tcW w:w="1142"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80</w:t>
                  </w:r>
                </w:p>
              </w:tc>
              <w:tc>
                <w:tcPr>
                  <w:tcW w:w="1200"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4</w:t>
                  </w:r>
                </w:p>
              </w:tc>
              <w:tc>
                <w:tcPr>
                  <w:tcW w:w="1142"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160</w:t>
                  </w:r>
                </w:p>
              </w:tc>
              <w:tc>
                <w:tcPr>
                  <w:tcW w:w="1142"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150</w:t>
                  </w:r>
                </w:p>
              </w:tc>
              <w:tc>
                <w:tcPr>
                  <w:tcW w:w="1142"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75</w:t>
                  </w:r>
                </w:p>
              </w:tc>
            </w:tr>
          </w:tbl>
          <w:p>
            <w:pPr>
              <w:pStyle w:val="35"/>
              <w:spacing w:before="156" w:beforeLines="50"/>
              <w:ind w:firstLine="480"/>
              <w:rPr>
                <w:rFonts w:eastAsiaTheme="minorEastAsia"/>
                <w:szCs w:val="24"/>
              </w:rPr>
            </w:pPr>
            <w:r>
              <w:rPr>
                <w:rFonts w:eastAsiaTheme="minorEastAsia"/>
                <w:szCs w:val="24"/>
              </w:rPr>
              <w:t>由上表可知，根据东川区空气自动站2020年3月23日-29日连续7天的监测结果，东川区环境空气质量可达到《环境空气质量标准》（GB3095-2012）二级标准。</w:t>
            </w:r>
          </w:p>
          <w:p>
            <w:pPr>
              <w:pStyle w:val="35"/>
              <w:ind w:firstLine="482"/>
              <w:rPr>
                <w:rFonts w:eastAsiaTheme="minorEastAsia"/>
                <w:b/>
                <w:szCs w:val="24"/>
              </w:rPr>
            </w:pPr>
            <w:r>
              <w:rPr>
                <w:rFonts w:eastAsiaTheme="minorEastAsia"/>
                <w:b/>
                <w:szCs w:val="24"/>
              </w:rPr>
              <w:t>3.1.2 地表水环境质量现状</w:t>
            </w:r>
          </w:p>
          <w:p>
            <w:pPr>
              <w:pStyle w:val="35"/>
              <w:ind w:firstLine="480"/>
              <w:rPr>
                <w:szCs w:val="24"/>
              </w:rPr>
            </w:pPr>
            <w:r>
              <w:rPr>
                <w:szCs w:val="24"/>
              </w:rPr>
              <w:t>本项目区属于小江的汇水范围，小江位于项目区西侧约50m。根据云南省水利厅发布的《云南省水功能区划》（2014版），小江（清水海-入金沙江口段）到2030年的水质目标为III类水体，执行《地表水环境质量标准》（GB3838-2002）III类水标准。</w:t>
            </w:r>
          </w:p>
          <w:p>
            <w:pPr>
              <w:pStyle w:val="35"/>
              <w:ind w:firstLine="480"/>
              <w:rPr>
                <w:szCs w:val="24"/>
              </w:rPr>
            </w:pPr>
            <w:r>
              <w:rPr>
                <w:szCs w:val="24"/>
              </w:rPr>
              <w:t>小江干流共设有5个常规例行监测断面，分别是姑海断面、板河口断面、小江桥断面、四级站断面、入金沙江口断面。根据《2020年度昆明市生态环境状况公报》，小江阿旺（姑海）断面水质类别为I类，与2019年相比，水质类别保持不变；四级站断面水质类别为III类，与2019年相比，仍保持为优良水体。东川区环境监测站2020年水质监测资料显示，与本项目距离最近的小江桥断面水质满足《地表水环境质量标准》(GB3838-2002）Ⅲ类标准，属于达标水体，详见下表。</w:t>
            </w:r>
          </w:p>
          <w:p>
            <w:pPr>
              <w:jc w:val="center"/>
              <w:rPr>
                <w:rFonts w:ascii="Times New Roman" w:hAnsi="Times New Roman" w:cs="Times New Roman"/>
                <w:b/>
                <w:szCs w:val="24"/>
              </w:rPr>
            </w:pPr>
            <w:r>
              <w:rPr>
                <w:rFonts w:ascii="Times New Roman" w:hAnsi="Times New Roman" w:cs="Times New Roman"/>
                <w:b/>
                <w:szCs w:val="24"/>
              </w:rPr>
              <w:t>表3.1.2-1 项目区域地表水体小江水质检测结果一览表 单位：mg/L</w:t>
            </w:r>
          </w:p>
          <w:tbl>
            <w:tblPr>
              <w:tblStyle w:val="16"/>
              <w:tblW w:w="8615" w:type="dxa"/>
              <w:tblInd w:w="0" w:type="dxa"/>
              <w:tblLayout w:type="fixed"/>
              <w:tblCellMar>
                <w:top w:w="0" w:type="dxa"/>
                <w:left w:w="108" w:type="dxa"/>
                <w:bottom w:w="0" w:type="dxa"/>
                <w:right w:w="108" w:type="dxa"/>
              </w:tblCellMar>
            </w:tblPr>
            <w:tblGrid>
              <w:gridCol w:w="1074"/>
              <w:gridCol w:w="2392"/>
              <w:gridCol w:w="1741"/>
              <w:gridCol w:w="1915"/>
              <w:gridCol w:w="1493"/>
            </w:tblGrid>
            <w:tr>
              <w:tblPrEx>
                <w:tblLayout w:type="fixed"/>
                <w:tblCellMar>
                  <w:top w:w="0" w:type="dxa"/>
                  <w:left w:w="108" w:type="dxa"/>
                  <w:bottom w:w="0" w:type="dxa"/>
                  <w:right w:w="108" w:type="dxa"/>
                </w:tblCellMar>
              </w:tblPrEx>
              <w:trPr>
                <w:trHeight w:val="148" w:hRule="atLeast"/>
              </w:trPr>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eastAsiaTheme="minorEastAsia"/>
                      <w:color w:val="auto"/>
                      <w:szCs w:val="21"/>
                    </w:rPr>
                    <w:t>序号</w:t>
                  </w:r>
                </w:p>
              </w:tc>
              <w:tc>
                <w:tcPr>
                  <w:tcW w:w="2392" w:type="dxa"/>
                  <w:tcBorders>
                    <w:top w:val="single" w:color="auto" w:sz="4" w:space="0"/>
                    <w:left w:val="nil"/>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eastAsiaTheme="minorEastAsia"/>
                      <w:color w:val="auto"/>
                      <w:szCs w:val="21"/>
                    </w:rPr>
                    <w:t>监测项目</w:t>
                  </w:r>
                </w:p>
              </w:tc>
              <w:tc>
                <w:tcPr>
                  <w:tcW w:w="1741" w:type="dxa"/>
                  <w:tcBorders>
                    <w:top w:val="single" w:color="auto" w:sz="4" w:space="0"/>
                    <w:left w:val="nil"/>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lang w:val="en-US"/>
                    </w:rPr>
                  </w:pPr>
                  <w:r>
                    <w:rPr>
                      <w:rFonts w:eastAsiaTheme="minorEastAsia"/>
                      <w:color w:val="auto"/>
                      <w:szCs w:val="21"/>
                      <w:lang w:val="en-US"/>
                    </w:rPr>
                    <w:t>小江桥</w:t>
                  </w:r>
                </w:p>
              </w:tc>
              <w:tc>
                <w:tcPr>
                  <w:tcW w:w="1915" w:type="dxa"/>
                  <w:tcBorders>
                    <w:top w:val="single" w:color="auto" w:sz="4" w:space="0"/>
                    <w:left w:val="nil"/>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eastAsiaTheme="minorEastAsia"/>
                      <w:color w:val="auto"/>
                      <w:szCs w:val="21"/>
                    </w:rPr>
                    <w:t>标准值</w:t>
                  </w:r>
                </w:p>
              </w:tc>
              <w:tc>
                <w:tcPr>
                  <w:tcW w:w="1493" w:type="dxa"/>
                  <w:tcBorders>
                    <w:top w:val="single" w:color="auto" w:sz="4" w:space="0"/>
                    <w:left w:val="nil"/>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eastAsiaTheme="minorEastAsia"/>
                      <w:color w:val="auto"/>
                      <w:szCs w:val="21"/>
                    </w:rPr>
                    <w:t>达标情况</w:t>
                  </w:r>
                </w:p>
              </w:tc>
            </w:tr>
            <w:tr>
              <w:tblPrEx>
                <w:tblLayout w:type="fixed"/>
                <w:tblCellMar>
                  <w:top w:w="0" w:type="dxa"/>
                  <w:left w:w="108" w:type="dxa"/>
                  <w:bottom w:w="0" w:type="dxa"/>
                  <w:right w:w="108" w:type="dxa"/>
                </w:tblCellMar>
              </w:tblPrEx>
              <w:trPr>
                <w:trHeight w:val="300" w:hRule="atLeast"/>
              </w:trPr>
              <w:tc>
                <w:tcPr>
                  <w:tcW w:w="1074" w:type="dxa"/>
                  <w:tcBorders>
                    <w:top w:val="nil"/>
                    <w:left w:val="single" w:color="auto" w:sz="4" w:space="0"/>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eastAsiaTheme="minorEastAsia"/>
                      <w:color w:val="auto"/>
                      <w:szCs w:val="21"/>
                    </w:rPr>
                    <w:t>1</w:t>
                  </w:r>
                </w:p>
              </w:tc>
              <w:tc>
                <w:tcPr>
                  <w:tcW w:w="2392" w:type="dxa"/>
                  <w:tcBorders>
                    <w:top w:val="nil"/>
                    <w:left w:val="nil"/>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eastAsiaTheme="minorEastAsia"/>
                      <w:color w:val="auto"/>
                      <w:szCs w:val="21"/>
                    </w:rPr>
                    <w:t>pH（无量纲）</w:t>
                  </w:r>
                </w:p>
              </w:tc>
              <w:tc>
                <w:tcPr>
                  <w:tcW w:w="1741" w:type="dxa"/>
                  <w:tcBorders>
                    <w:top w:val="nil"/>
                    <w:left w:val="nil"/>
                    <w:bottom w:val="single" w:color="auto" w:sz="4" w:space="0"/>
                    <w:right w:val="single" w:color="auto" w:sz="4" w:space="0"/>
                  </w:tcBorders>
                  <w:shd w:val="clear" w:color="auto" w:fill="auto"/>
                  <w:vAlign w:val="center"/>
                </w:tcPr>
                <w:p>
                  <w:pPr>
                    <w:pStyle w:val="28"/>
                    <w:spacing w:line="360" w:lineRule="exact"/>
                    <w:ind w:left="11"/>
                    <w:rPr>
                      <w:rFonts w:eastAsiaTheme="minorEastAsia"/>
                      <w:bCs w:val="0"/>
                      <w:color w:val="auto"/>
                      <w:szCs w:val="24"/>
                      <w:lang w:val="en-US"/>
                    </w:rPr>
                  </w:pPr>
                  <w:r>
                    <w:rPr>
                      <w:rFonts w:eastAsiaTheme="minorEastAsia"/>
                      <w:bCs w:val="0"/>
                      <w:color w:val="auto"/>
                      <w:szCs w:val="24"/>
                      <w:lang w:val="en-US"/>
                    </w:rPr>
                    <w:t>8.32</w:t>
                  </w:r>
                </w:p>
              </w:tc>
              <w:tc>
                <w:tcPr>
                  <w:tcW w:w="1915" w:type="dxa"/>
                  <w:tcBorders>
                    <w:top w:val="nil"/>
                    <w:left w:val="nil"/>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eastAsiaTheme="minorEastAsia"/>
                      <w:color w:val="auto"/>
                      <w:szCs w:val="21"/>
                    </w:rPr>
                    <w:t>6-9</w:t>
                  </w:r>
                </w:p>
              </w:tc>
              <w:tc>
                <w:tcPr>
                  <w:tcW w:w="1493" w:type="dxa"/>
                  <w:tcBorders>
                    <w:top w:val="nil"/>
                    <w:left w:val="nil"/>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eastAsiaTheme="minorEastAsia"/>
                      <w:color w:val="auto"/>
                      <w:szCs w:val="21"/>
                    </w:rPr>
                    <w:t>达标</w:t>
                  </w:r>
                </w:p>
              </w:tc>
            </w:tr>
            <w:tr>
              <w:tblPrEx>
                <w:tblLayout w:type="fixed"/>
                <w:tblCellMar>
                  <w:top w:w="0" w:type="dxa"/>
                  <w:left w:w="108" w:type="dxa"/>
                  <w:bottom w:w="0" w:type="dxa"/>
                  <w:right w:w="108" w:type="dxa"/>
                </w:tblCellMar>
              </w:tblPrEx>
              <w:trPr>
                <w:trHeight w:val="300" w:hRule="atLeast"/>
              </w:trPr>
              <w:tc>
                <w:tcPr>
                  <w:tcW w:w="1074" w:type="dxa"/>
                  <w:tcBorders>
                    <w:top w:val="nil"/>
                    <w:left w:val="single" w:color="auto" w:sz="4" w:space="0"/>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eastAsiaTheme="minorEastAsia"/>
                      <w:color w:val="auto"/>
                      <w:szCs w:val="21"/>
                    </w:rPr>
                    <w:t>2</w:t>
                  </w:r>
                </w:p>
              </w:tc>
              <w:tc>
                <w:tcPr>
                  <w:tcW w:w="2392" w:type="dxa"/>
                  <w:tcBorders>
                    <w:top w:val="nil"/>
                    <w:left w:val="nil"/>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eastAsiaTheme="minorEastAsia"/>
                      <w:color w:val="auto"/>
                      <w:szCs w:val="21"/>
                    </w:rPr>
                    <w:t>COD</w:t>
                  </w:r>
                  <w:r>
                    <w:rPr>
                      <w:rFonts w:eastAsiaTheme="minorEastAsia"/>
                      <w:color w:val="auto"/>
                      <w:szCs w:val="21"/>
                      <w:vertAlign w:val="subscript"/>
                    </w:rPr>
                    <w:t>Cr</w:t>
                  </w:r>
                </w:p>
              </w:tc>
              <w:tc>
                <w:tcPr>
                  <w:tcW w:w="1741" w:type="dxa"/>
                  <w:tcBorders>
                    <w:top w:val="nil"/>
                    <w:left w:val="nil"/>
                    <w:bottom w:val="single" w:color="auto" w:sz="4" w:space="0"/>
                    <w:right w:val="single" w:color="auto" w:sz="4" w:space="0"/>
                  </w:tcBorders>
                  <w:shd w:val="clear" w:color="auto" w:fill="auto"/>
                  <w:vAlign w:val="center"/>
                </w:tcPr>
                <w:p>
                  <w:pPr>
                    <w:pStyle w:val="28"/>
                    <w:spacing w:line="360" w:lineRule="exact"/>
                    <w:ind w:left="11"/>
                    <w:rPr>
                      <w:rFonts w:eastAsiaTheme="minorEastAsia"/>
                      <w:bCs w:val="0"/>
                      <w:color w:val="auto"/>
                      <w:szCs w:val="24"/>
                    </w:rPr>
                  </w:pPr>
                  <w:r>
                    <w:rPr>
                      <w:rFonts w:eastAsiaTheme="minorEastAsia"/>
                      <w:bCs w:val="0"/>
                      <w:color w:val="auto"/>
                      <w:szCs w:val="24"/>
                      <w:lang w:val="en-US"/>
                    </w:rPr>
                    <w:t>9</w:t>
                  </w:r>
                </w:p>
              </w:tc>
              <w:tc>
                <w:tcPr>
                  <w:tcW w:w="1915" w:type="dxa"/>
                  <w:tcBorders>
                    <w:top w:val="nil"/>
                    <w:left w:val="nil"/>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eastAsiaTheme="minorEastAsia"/>
                      <w:color w:val="auto"/>
                      <w:szCs w:val="21"/>
                    </w:rPr>
                    <w:t>≤20</w:t>
                  </w:r>
                </w:p>
              </w:tc>
              <w:tc>
                <w:tcPr>
                  <w:tcW w:w="1493" w:type="dxa"/>
                  <w:tcBorders>
                    <w:top w:val="nil"/>
                    <w:left w:val="nil"/>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eastAsiaTheme="minorEastAsia"/>
                      <w:color w:val="auto"/>
                      <w:szCs w:val="21"/>
                    </w:rPr>
                    <w:t>达标</w:t>
                  </w:r>
                </w:p>
              </w:tc>
            </w:tr>
            <w:tr>
              <w:tblPrEx>
                <w:tblLayout w:type="fixed"/>
                <w:tblCellMar>
                  <w:top w:w="0" w:type="dxa"/>
                  <w:left w:w="108" w:type="dxa"/>
                  <w:bottom w:w="0" w:type="dxa"/>
                  <w:right w:w="108" w:type="dxa"/>
                </w:tblCellMar>
              </w:tblPrEx>
              <w:trPr>
                <w:trHeight w:val="300" w:hRule="atLeast"/>
              </w:trPr>
              <w:tc>
                <w:tcPr>
                  <w:tcW w:w="1074" w:type="dxa"/>
                  <w:tcBorders>
                    <w:top w:val="nil"/>
                    <w:left w:val="single" w:color="auto" w:sz="4" w:space="0"/>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eastAsiaTheme="minorEastAsia"/>
                      <w:color w:val="auto"/>
                      <w:szCs w:val="21"/>
                    </w:rPr>
                    <w:t>3</w:t>
                  </w:r>
                </w:p>
              </w:tc>
              <w:tc>
                <w:tcPr>
                  <w:tcW w:w="2392" w:type="dxa"/>
                  <w:tcBorders>
                    <w:top w:val="nil"/>
                    <w:left w:val="nil"/>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eastAsiaTheme="minorEastAsia"/>
                      <w:color w:val="auto"/>
                      <w:szCs w:val="21"/>
                    </w:rPr>
                    <w:t>BOD</w:t>
                  </w:r>
                  <w:r>
                    <w:rPr>
                      <w:rFonts w:eastAsiaTheme="minorEastAsia"/>
                      <w:color w:val="auto"/>
                      <w:szCs w:val="21"/>
                      <w:vertAlign w:val="subscript"/>
                    </w:rPr>
                    <w:t>5</w:t>
                  </w:r>
                </w:p>
              </w:tc>
              <w:tc>
                <w:tcPr>
                  <w:tcW w:w="1741" w:type="dxa"/>
                  <w:tcBorders>
                    <w:top w:val="nil"/>
                    <w:left w:val="nil"/>
                    <w:bottom w:val="single" w:color="auto" w:sz="4" w:space="0"/>
                    <w:right w:val="single" w:color="auto" w:sz="4" w:space="0"/>
                  </w:tcBorders>
                  <w:shd w:val="clear" w:color="auto" w:fill="auto"/>
                  <w:vAlign w:val="center"/>
                </w:tcPr>
                <w:p>
                  <w:pPr>
                    <w:pStyle w:val="28"/>
                    <w:spacing w:line="360" w:lineRule="exact"/>
                    <w:ind w:left="11"/>
                    <w:rPr>
                      <w:rFonts w:eastAsiaTheme="minorEastAsia"/>
                      <w:bCs w:val="0"/>
                      <w:color w:val="auto"/>
                      <w:szCs w:val="24"/>
                    </w:rPr>
                  </w:pPr>
                  <w:r>
                    <w:rPr>
                      <w:rFonts w:eastAsiaTheme="minorEastAsia"/>
                      <w:bCs w:val="0"/>
                      <w:color w:val="auto"/>
                      <w:szCs w:val="24"/>
                      <w:lang w:val="en-US"/>
                    </w:rPr>
                    <w:t>2</w:t>
                  </w:r>
                </w:p>
              </w:tc>
              <w:tc>
                <w:tcPr>
                  <w:tcW w:w="1915" w:type="dxa"/>
                  <w:tcBorders>
                    <w:top w:val="nil"/>
                    <w:left w:val="nil"/>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eastAsiaTheme="minorEastAsia"/>
                      <w:color w:val="auto"/>
                      <w:szCs w:val="21"/>
                    </w:rPr>
                    <w:t>≤4</w:t>
                  </w:r>
                </w:p>
              </w:tc>
              <w:tc>
                <w:tcPr>
                  <w:tcW w:w="1493" w:type="dxa"/>
                  <w:tcBorders>
                    <w:top w:val="nil"/>
                    <w:left w:val="nil"/>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eastAsiaTheme="minorEastAsia"/>
                      <w:color w:val="auto"/>
                      <w:szCs w:val="21"/>
                    </w:rPr>
                    <w:t>达标</w:t>
                  </w:r>
                </w:p>
              </w:tc>
            </w:tr>
            <w:tr>
              <w:tblPrEx>
                <w:tblLayout w:type="fixed"/>
                <w:tblCellMar>
                  <w:top w:w="0" w:type="dxa"/>
                  <w:left w:w="108" w:type="dxa"/>
                  <w:bottom w:w="0" w:type="dxa"/>
                  <w:right w:w="108" w:type="dxa"/>
                </w:tblCellMar>
              </w:tblPrEx>
              <w:trPr>
                <w:trHeight w:val="300" w:hRule="atLeast"/>
              </w:trPr>
              <w:tc>
                <w:tcPr>
                  <w:tcW w:w="1074" w:type="dxa"/>
                  <w:tcBorders>
                    <w:top w:val="nil"/>
                    <w:left w:val="single" w:color="auto" w:sz="4" w:space="0"/>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eastAsiaTheme="minorEastAsia"/>
                      <w:color w:val="auto"/>
                      <w:szCs w:val="21"/>
                    </w:rPr>
                    <w:t>4</w:t>
                  </w:r>
                </w:p>
              </w:tc>
              <w:tc>
                <w:tcPr>
                  <w:tcW w:w="2392" w:type="dxa"/>
                  <w:tcBorders>
                    <w:top w:val="nil"/>
                    <w:left w:val="nil"/>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eastAsiaTheme="minorEastAsia"/>
                      <w:color w:val="auto"/>
                      <w:szCs w:val="21"/>
                    </w:rPr>
                    <w:t>NH</w:t>
                  </w:r>
                  <w:r>
                    <w:rPr>
                      <w:rFonts w:eastAsiaTheme="minorEastAsia"/>
                      <w:color w:val="auto"/>
                      <w:szCs w:val="21"/>
                      <w:vertAlign w:val="subscript"/>
                    </w:rPr>
                    <w:t>3</w:t>
                  </w:r>
                  <w:r>
                    <w:rPr>
                      <w:rFonts w:eastAsiaTheme="minorEastAsia"/>
                      <w:color w:val="auto"/>
                      <w:szCs w:val="21"/>
                    </w:rPr>
                    <w:t>-N</w:t>
                  </w:r>
                </w:p>
              </w:tc>
              <w:tc>
                <w:tcPr>
                  <w:tcW w:w="1741" w:type="dxa"/>
                  <w:tcBorders>
                    <w:top w:val="nil"/>
                    <w:left w:val="nil"/>
                    <w:bottom w:val="single" w:color="auto" w:sz="4" w:space="0"/>
                    <w:right w:val="single" w:color="auto" w:sz="4" w:space="0"/>
                  </w:tcBorders>
                  <w:shd w:val="clear" w:color="auto" w:fill="auto"/>
                  <w:vAlign w:val="center"/>
                </w:tcPr>
                <w:p>
                  <w:pPr>
                    <w:pStyle w:val="28"/>
                    <w:spacing w:line="360" w:lineRule="exact"/>
                    <w:ind w:left="11"/>
                    <w:rPr>
                      <w:rFonts w:eastAsiaTheme="minorEastAsia"/>
                      <w:bCs w:val="0"/>
                      <w:color w:val="auto"/>
                      <w:szCs w:val="24"/>
                      <w:lang w:val="en-US"/>
                    </w:rPr>
                  </w:pPr>
                  <w:r>
                    <w:rPr>
                      <w:rFonts w:eastAsiaTheme="minorEastAsia"/>
                      <w:bCs w:val="0"/>
                      <w:color w:val="auto"/>
                      <w:szCs w:val="24"/>
                      <w:lang w:val="en-US"/>
                    </w:rPr>
                    <w:t>0.21</w:t>
                  </w:r>
                </w:p>
              </w:tc>
              <w:tc>
                <w:tcPr>
                  <w:tcW w:w="1915" w:type="dxa"/>
                  <w:tcBorders>
                    <w:top w:val="nil"/>
                    <w:left w:val="nil"/>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color w:val="auto"/>
                      <w:szCs w:val="21"/>
                    </w:rPr>
                    <w:t>≤1.0</w:t>
                  </w:r>
                </w:p>
              </w:tc>
              <w:tc>
                <w:tcPr>
                  <w:tcW w:w="1493" w:type="dxa"/>
                  <w:tcBorders>
                    <w:top w:val="nil"/>
                    <w:left w:val="nil"/>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eastAsiaTheme="minorEastAsia"/>
                      <w:color w:val="auto"/>
                      <w:szCs w:val="21"/>
                    </w:rPr>
                    <w:t>达标</w:t>
                  </w:r>
                </w:p>
              </w:tc>
            </w:tr>
            <w:tr>
              <w:tblPrEx>
                <w:tblLayout w:type="fixed"/>
                <w:tblCellMar>
                  <w:top w:w="0" w:type="dxa"/>
                  <w:left w:w="108" w:type="dxa"/>
                  <w:bottom w:w="0" w:type="dxa"/>
                  <w:right w:w="108" w:type="dxa"/>
                </w:tblCellMar>
              </w:tblPrEx>
              <w:trPr>
                <w:trHeight w:val="300" w:hRule="atLeast"/>
              </w:trPr>
              <w:tc>
                <w:tcPr>
                  <w:tcW w:w="1074" w:type="dxa"/>
                  <w:tcBorders>
                    <w:top w:val="nil"/>
                    <w:left w:val="single" w:color="auto" w:sz="4" w:space="0"/>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eastAsiaTheme="minorEastAsia"/>
                      <w:color w:val="auto"/>
                      <w:szCs w:val="21"/>
                    </w:rPr>
                    <w:t>5</w:t>
                  </w:r>
                </w:p>
              </w:tc>
              <w:tc>
                <w:tcPr>
                  <w:tcW w:w="2392" w:type="dxa"/>
                  <w:tcBorders>
                    <w:top w:val="nil"/>
                    <w:left w:val="nil"/>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eastAsiaTheme="minorEastAsia"/>
                      <w:color w:val="auto"/>
                      <w:szCs w:val="21"/>
                    </w:rPr>
                    <w:t>总磷</w:t>
                  </w:r>
                </w:p>
              </w:tc>
              <w:tc>
                <w:tcPr>
                  <w:tcW w:w="1741" w:type="dxa"/>
                  <w:tcBorders>
                    <w:top w:val="nil"/>
                    <w:left w:val="nil"/>
                    <w:bottom w:val="single" w:color="auto" w:sz="4" w:space="0"/>
                    <w:right w:val="single" w:color="auto" w:sz="4" w:space="0"/>
                  </w:tcBorders>
                  <w:shd w:val="clear" w:color="auto" w:fill="auto"/>
                  <w:vAlign w:val="center"/>
                </w:tcPr>
                <w:p>
                  <w:pPr>
                    <w:pStyle w:val="28"/>
                    <w:spacing w:line="360" w:lineRule="exact"/>
                    <w:ind w:left="11"/>
                    <w:rPr>
                      <w:rFonts w:eastAsiaTheme="minorEastAsia"/>
                      <w:bCs w:val="0"/>
                      <w:color w:val="auto"/>
                      <w:szCs w:val="24"/>
                      <w:lang w:val="en-US"/>
                    </w:rPr>
                  </w:pPr>
                  <w:r>
                    <w:rPr>
                      <w:rFonts w:eastAsiaTheme="minorEastAsia"/>
                      <w:bCs w:val="0"/>
                      <w:color w:val="auto"/>
                      <w:szCs w:val="24"/>
                      <w:lang w:val="en-US"/>
                    </w:rPr>
                    <w:t>0.12</w:t>
                  </w:r>
                </w:p>
              </w:tc>
              <w:tc>
                <w:tcPr>
                  <w:tcW w:w="1915" w:type="dxa"/>
                  <w:tcBorders>
                    <w:top w:val="nil"/>
                    <w:left w:val="nil"/>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color w:val="auto"/>
                      <w:szCs w:val="21"/>
                    </w:rPr>
                    <w:t>≤0.2</w:t>
                  </w:r>
                </w:p>
              </w:tc>
              <w:tc>
                <w:tcPr>
                  <w:tcW w:w="1493" w:type="dxa"/>
                  <w:tcBorders>
                    <w:top w:val="nil"/>
                    <w:left w:val="nil"/>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eastAsiaTheme="minorEastAsia"/>
                      <w:color w:val="auto"/>
                      <w:szCs w:val="21"/>
                    </w:rPr>
                    <w:t>达标</w:t>
                  </w:r>
                </w:p>
              </w:tc>
            </w:tr>
            <w:tr>
              <w:tblPrEx>
                <w:tblLayout w:type="fixed"/>
                <w:tblCellMar>
                  <w:top w:w="0" w:type="dxa"/>
                  <w:left w:w="108" w:type="dxa"/>
                  <w:bottom w:w="0" w:type="dxa"/>
                  <w:right w:w="108" w:type="dxa"/>
                </w:tblCellMar>
              </w:tblPrEx>
              <w:trPr>
                <w:trHeight w:val="300" w:hRule="atLeast"/>
              </w:trPr>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eastAsiaTheme="minorEastAsia"/>
                      <w:color w:val="auto"/>
                      <w:szCs w:val="21"/>
                    </w:rPr>
                    <w:t>6</w:t>
                  </w:r>
                </w:p>
              </w:tc>
              <w:tc>
                <w:tcPr>
                  <w:tcW w:w="2392" w:type="dxa"/>
                  <w:tcBorders>
                    <w:top w:val="single" w:color="auto" w:sz="4" w:space="0"/>
                    <w:left w:val="nil"/>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eastAsiaTheme="minorEastAsia"/>
                      <w:color w:val="auto"/>
                      <w:szCs w:val="21"/>
                    </w:rPr>
                    <w:t>石油类</w:t>
                  </w:r>
                </w:p>
              </w:tc>
              <w:tc>
                <w:tcPr>
                  <w:tcW w:w="1741" w:type="dxa"/>
                  <w:tcBorders>
                    <w:top w:val="single" w:color="auto" w:sz="4" w:space="0"/>
                    <w:left w:val="nil"/>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eastAsiaTheme="minorEastAsia"/>
                      <w:color w:val="auto"/>
                      <w:szCs w:val="21"/>
                    </w:rPr>
                    <w:t>0.01L</w:t>
                  </w:r>
                </w:p>
              </w:tc>
              <w:tc>
                <w:tcPr>
                  <w:tcW w:w="1915" w:type="dxa"/>
                  <w:tcBorders>
                    <w:top w:val="single" w:color="auto" w:sz="4" w:space="0"/>
                    <w:left w:val="nil"/>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color w:val="auto"/>
                      <w:szCs w:val="21"/>
                    </w:rPr>
                    <w:t>≤0.05</w:t>
                  </w:r>
                </w:p>
              </w:tc>
              <w:tc>
                <w:tcPr>
                  <w:tcW w:w="1493" w:type="dxa"/>
                  <w:tcBorders>
                    <w:top w:val="single" w:color="auto" w:sz="4" w:space="0"/>
                    <w:left w:val="nil"/>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eastAsiaTheme="minorEastAsia"/>
                      <w:color w:val="auto"/>
                      <w:szCs w:val="21"/>
                    </w:rPr>
                    <w:t>达标</w:t>
                  </w:r>
                </w:p>
              </w:tc>
            </w:tr>
            <w:tr>
              <w:tblPrEx>
                <w:tblLayout w:type="fixed"/>
                <w:tblCellMar>
                  <w:top w:w="0" w:type="dxa"/>
                  <w:left w:w="108" w:type="dxa"/>
                  <w:bottom w:w="0" w:type="dxa"/>
                  <w:right w:w="108" w:type="dxa"/>
                </w:tblCellMar>
              </w:tblPrEx>
              <w:trPr>
                <w:trHeight w:val="300" w:hRule="atLeast"/>
              </w:trPr>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eastAsiaTheme="minorEastAsia"/>
                      <w:color w:val="auto"/>
                      <w:szCs w:val="21"/>
                    </w:rPr>
                    <w:t>7</w:t>
                  </w:r>
                </w:p>
              </w:tc>
              <w:tc>
                <w:tcPr>
                  <w:tcW w:w="2392" w:type="dxa"/>
                  <w:tcBorders>
                    <w:top w:val="single" w:color="auto" w:sz="4" w:space="0"/>
                    <w:left w:val="nil"/>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eastAsiaTheme="minorEastAsia"/>
                      <w:color w:val="auto"/>
                      <w:szCs w:val="21"/>
                    </w:rPr>
                    <w:t>阴离子表面活性剂</w:t>
                  </w:r>
                </w:p>
              </w:tc>
              <w:tc>
                <w:tcPr>
                  <w:tcW w:w="1741" w:type="dxa"/>
                  <w:tcBorders>
                    <w:top w:val="single" w:color="auto" w:sz="4" w:space="0"/>
                    <w:left w:val="nil"/>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eastAsiaTheme="minorEastAsia"/>
                      <w:color w:val="auto"/>
                      <w:szCs w:val="21"/>
                    </w:rPr>
                    <w:t>0.05L</w:t>
                  </w:r>
                </w:p>
              </w:tc>
              <w:tc>
                <w:tcPr>
                  <w:tcW w:w="1915" w:type="dxa"/>
                  <w:tcBorders>
                    <w:top w:val="single" w:color="auto" w:sz="4" w:space="0"/>
                    <w:left w:val="nil"/>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color w:val="auto"/>
                      <w:szCs w:val="21"/>
                    </w:rPr>
                    <w:t>≤0.2</w:t>
                  </w:r>
                </w:p>
              </w:tc>
              <w:tc>
                <w:tcPr>
                  <w:tcW w:w="1493" w:type="dxa"/>
                  <w:tcBorders>
                    <w:top w:val="single" w:color="auto" w:sz="4" w:space="0"/>
                    <w:left w:val="nil"/>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eastAsiaTheme="minorEastAsia"/>
                      <w:color w:val="auto"/>
                      <w:szCs w:val="21"/>
                    </w:rPr>
                    <w:t>达标</w:t>
                  </w:r>
                </w:p>
              </w:tc>
            </w:tr>
          </w:tbl>
          <w:p>
            <w:pPr>
              <w:pStyle w:val="35"/>
              <w:spacing w:before="156" w:beforeLines="50"/>
              <w:ind w:firstLine="480"/>
              <w:rPr>
                <w:rFonts w:eastAsiaTheme="minorEastAsia"/>
                <w:szCs w:val="24"/>
              </w:rPr>
            </w:pPr>
            <w:r>
              <w:rPr>
                <w:rFonts w:eastAsiaTheme="minorEastAsia"/>
                <w:szCs w:val="24"/>
              </w:rPr>
              <w:t>根据以上监测结果可知，本项目地表水小江水质可达到《地表水环境质量标准》（GB3838-2002）III类标准。</w:t>
            </w:r>
          </w:p>
          <w:p>
            <w:pPr>
              <w:pStyle w:val="35"/>
              <w:ind w:firstLine="482"/>
              <w:rPr>
                <w:rFonts w:eastAsiaTheme="minorEastAsia"/>
                <w:b/>
                <w:szCs w:val="24"/>
              </w:rPr>
            </w:pPr>
            <w:r>
              <w:rPr>
                <w:rFonts w:eastAsiaTheme="minorEastAsia"/>
                <w:b/>
                <w:szCs w:val="24"/>
              </w:rPr>
              <w:t>3.1.3 声环境质量现状</w:t>
            </w:r>
          </w:p>
          <w:p>
            <w:pPr>
              <w:pStyle w:val="35"/>
              <w:ind w:firstLine="480"/>
              <w:rPr>
                <w:rFonts w:eastAsiaTheme="minorEastAsia"/>
                <w:szCs w:val="24"/>
              </w:rPr>
            </w:pPr>
            <w:r>
              <w:rPr>
                <w:rFonts w:eastAsiaTheme="minorEastAsia"/>
                <w:szCs w:val="24"/>
              </w:rPr>
              <w:t>本项目位于昆明市东川区铜都镇小李庄村，按照《声环境功能区划分技术规范》（GB/T15190-2014）的划分要求，项目区域为2类区。在项目区50m范围内无声环境保护目标；根据《建设项目环境影响报告表编制技术指南》（污染影响类）（试行）的要求，可不进行声环境质量现状调查，根据实际情况，预计项目区域声环境可达到《声环境质量标准》（GB3096-2008）2类区标准。</w:t>
            </w:r>
          </w:p>
          <w:p>
            <w:pPr>
              <w:pStyle w:val="35"/>
              <w:ind w:firstLine="482"/>
              <w:rPr>
                <w:rFonts w:eastAsiaTheme="minorEastAsia"/>
                <w:b/>
                <w:szCs w:val="24"/>
              </w:rPr>
            </w:pPr>
            <w:bookmarkStart w:id="6" w:name="_Toc248077256"/>
            <w:r>
              <w:rPr>
                <w:rFonts w:eastAsiaTheme="minorEastAsia"/>
                <w:b/>
                <w:szCs w:val="24"/>
              </w:rPr>
              <w:t>3.1.4 生态环境质量现状</w:t>
            </w:r>
            <w:bookmarkEnd w:id="6"/>
          </w:p>
          <w:p>
            <w:pPr>
              <w:pStyle w:val="35"/>
              <w:ind w:firstLine="480"/>
              <w:rPr>
                <w:rFonts w:eastAsiaTheme="minorEastAsia"/>
                <w:szCs w:val="24"/>
              </w:rPr>
            </w:pPr>
            <w:r>
              <w:rPr>
                <w:rFonts w:eastAsiaTheme="minorEastAsia"/>
                <w:szCs w:val="24"/>
              </w:rPr>
              <w:t>本项目位于昆明市东川区铜都镇小李庄村，根据现场调查，该区域滩涂用地，项目区域土地已平整，已进行了厂区局部建设。自然植被较少，项目场区天然植被已破坏， 局部区域有灌木草丛等天然植被分布，总体来说该区域地表植被种类较少，生物多样性较差，生态环境自身调控能力较低。</w:t>
            </w:r>
          </w:p>
          <w:p>
            <w:pPr>
              <w:pStyle w:val="35"/>
              <w:ind w:firstLine="480"/>
              <w:rPr>
                <w:rFonts w:eastAsiaTheme="minorEastAsia"/>
                <w:szCs w:val="24"/>
              </w:rPr>
            </w:pPr>
            <w:r>
              <w:rPr>
                <w:rFonts w:eastAsiaTheme="minorEastAsia"/>
                <w:szCs w:val="24"/>
              </w:rPr>
              <w:t>项目区及周边200m范围内未发现珍稀濒危和国家重点保护野生动植物，无国家重点保护的鸟类、两栖类、爬行类、哺乳类动物种类分布。</w:t>
            </w:r>
          </w:p>
          <w:p>
            <w:pPr>
              <w:pStyle w:val="35"/>
              <w:ind w:firstLine="480"/>
              <w:rPr>
                <w:rFonts w:eastAsiaTheme="minorEastAsia"/>
                <w:szCs w:val="24"/>
              </w:rPr>
            </w:pPr>
          </w:p>
          <w:p>
            <w:pPr>
              <w:pStyle w:val="35"/>
              <w:ind w:firstLine="480"/>
              <w:rPr>
                <w:rFonts w:eastAsiaTheme="minorEastAsia"/>
                <w:szCs w:val="24"/>
              </w:rPr>
            </w:pPr>
          </w:p>
          <w:p>
            <w:pPr>
              <w:pStyle w:val="35"/>
              <w:ind w:firstLine="0" w:firstLineChars="0"/>
              <w:rPr>
                <w:rFonts w:eastAsiaTheme="minorEastAsia"/>
                <w:szCs w:val="24"/>
              </w:rPr>
            </w:pPr>
          </w:p>
          <w:p>
            <w:pPr>
              <w:pStyle w:val="35"/>
              <w:ind w:firstLine="480"/>
              <w:rPr>
                <w:rFonts w:eastAsiaTheme="minorEastAsia"/>
                <w:szCs w:val="24"/>
              </w:rPr>
            </w:pPr>
          </w:p>
          <w:p>
            <w:pPr>
              <w:pStyle w:val="35"/>
              <w:ind w:firstLine="480"/>
              <w:rPr>
                <w:rFonts w:eastAsiaTheme="minorEastAsia"/>
                <w:szCs w:val="24"/>
              </w:rPr>
            </w:pPr>
          </w:p>
          <w:p>
            <w:pPr>
              <w:pStyle w:val="35"/>
              <w:ind w:firstLine="480"/>
              <w:rPr>
                <w:rFonts w:eastAsiaTheme="minorEastAsia"/>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 w:hRule="atLeast"/>
          <w:jc w:val="center"/>
        </w:trPr>
        <w:tc>
          <w:tcPr>
            <w:tcW w:w="456"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环境保护目标</w:t>
            </w:r>
          </w:p>
        </w:tc>
        <w:tc>
          <w:tcPr>
            <w:tcW w:w="9077" w:type="dxa"/>
            <w:vAlign w:val="center"/>
          </w:tcPr>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3.2 环境保护目标</w:t>
            </w:r>
          </w:p>
          <w:p>
            <w:pPr>
              <w:pStyle w:val="35"/>
              <w:ind w:firstLine="480"/>
              <w:rPr>
                <w:rFonts w:eastAsiaTheme="minorEastAsia"/>
                <w:szCs w:val="24"/>
              </w:rPr>
            </w:pPr>
            <w:r>
              <w:rPr>
                <w:rFonts w:eastAsiaTheme="minorEastAsia"/>
                <w:szCs w:val="24"/>
              </w:rPr>
              <w:t>根据《建设项目环境影响报告表编制技术指南》（污染影响类）（试行）的要求，编制报告表的建设项目环境保护目标类别包括大气环境、声环境、地下水环境和生态环境。本项目设置的环境保护目标具体如下。</w:t>
            </w:r>
          </w:p>
          <w:p>
            <w:pPr>
              <w:pStyle w:val="35"/>
              <w:ind w:firstLine="482"/>
              <w:rPr>
                <w:rFonts w:eastAsiaTheme="minorEastAsia"/>
                <w:b/>
                <w:szCs w:val="24"/>
              </w:rPr>
            </w:pPr>
            <w:r>
              <w:rPr>
                <w:rFonts w:eastAsiaTheme="minorEastAsia"/>
                <w:b/>
                <w:szCs w:val="24"/>
              </w:rPr>
              <w:t>3.2.1 大气环境保护目标</w:t>
            </w:r>
          </w:p>
          <w:p>
            <w:pPr>
              <w:pStyle w:val="35"/>
              <w:ind w:firstLine="480"/>
              <w:rPr>
                <w:rFonts w:eastAsiaTheme="minorEastAsia"/>
                <w:szCs w:val="24"/>
              </w:rPr>
            </w:pPr>
            <w:r>
              <w:rPr>
                <w:rFonts w:eastAsiaTheme="minorEastAsia"/>
                <w:szCs w:val="24"/>
              </w:rPr>
              <w:t>根据《建设项目环境影响报告表编制技术指南》（污染影响类）（试行）中对于大气环境保护目标的要求，环境空气保护目标厂界外500m范围内的自然保护区、风景名胜区、居住区、文化区和农村地区中人群较集中的区域。</w:t>
            </w:r>
          </w:p>
          <w:p>
            <w:pPr>
              <w:pStyle w:val="35"/>
              <w:ind w:firstLine="480"/>
              <w:rPr>
                <w:rFonts w:eastAsiaTheme="minorEastAsia"/>
                <w:szCs w:val="24"/>
              </w:rPr>
            </w:pPr>
            <w:r>
              <w:rPr>
                <w:rFonts w:eastAsiaTheme="minorEastAsia"/>
                <w:szCs w:val="24"/>
              </w:rPr>
              <w:t>本项目位于昆明市东川区铜都镇小李庄村，根据调查，本项目厂界外500m范围内大气环境保护目标</w:t>
            </w:r>
            <w:r>
              <w:rPr>
                <w:rFonts w:hint="eastAsia" w:eastAsiaTheme="minorEastAsia"/>
                <w:szCs w:val="24"/>
              </w:rPr>
              <w:t>为项目东北侧（侧风向）约150m处的小庄村</w:t>
            </w:r>
            <w:r>
              <w:rPr>
                <w:rFonts w:eastAsiaTheme="minorEastAsia"/>
                <w:szCs w:val="24"/>
              </w:rPr>
              <w:t>。</w:t>
            </w:r>
          </w:p>
          <w:p>
            <w:pPr>
              <w:jc w:val="center"/>
              <w:rPr>
                <w:rFonts w:ascii="Times New Roman" w:hAnsi="Times New Roman" w:cs="Times New Roman"/>
                <w:b/>
                <w:szCs w:val="24"/>
              </w:rPr>
            </w:pPr>
            <w:r>
              <w:rPr>
                <w:rFonts w:ascii="Times New Roman" w:hAnsi="Times New Roman" w:cs="Times New Roman"/>
                <w:b/>
                <w:szCs w:val="24"/>
              </w:rPr>
              <w:t>表3.2.</w:t>
            </w:r>
            <w:r>
              <w:rPr>
                <w:rFonts w:hint="eastAsia" w:ascii="Times New Roman" w:hAnsi="Times New Roman" w:cs="Times New Roman"/>
                <w:b/>
                <w:szCs w:val="24"/>
              </w:rPr>
              <w:t>1</w:t>
            </w:r>
            <w:r>
              <w:rPr>
                <w:rFonts w:ascii="Times New Roman" w:hAnsi="Times New Roman" w:cs="Times New Roman"/>
                <w:b/>
                <w:szCs w:val="24"/>
              </w:rPr>
              <w:t>-</w:t>
            </w:r>
            <w:r>
              <w:rPr>
                <w:rFonts w:hint="eastAsia" w:ascii="Times New Roman" w:hAnsi="Times New Roman" w:cs="Times New Roman"/>
                <w:b/>
                <w:szCs w:val="24"/>
              </w:rPr>
              <w:t>1</w:t>
            </w:r>
            <w:r>
              <w:rPr>
                <w:rFonts w:ascii="Times New Roman" w:hAnsi="Times New Roman" w:cs="Times New Roman"/>
                <w:b/>
                <w:szCs w:val="24"/>
              </w:rPr>
              <w:t xml:space="preserve">  </w:t>
            </w:r>
            <w:r>
              <w:rPr>
                <w:rFonts w:hint="eastAsia" w:ascii="Times New Roman" w:hAnsi="Times New Roman" w:cs="Times New Roman"/>
                <w:b/>
                <w:szCs w:val="24"/>
              </w:rPr>
              <w:t>环境空气</w:t>
            </w:r>
            <w:r>
              <w:rPr>
                <w:rFonts w:ascii="Times New Roman" w:hAnsi="Times New Roman" w:cs="Times New Roman"/>
                <w:b/>
                <w:szCs w:val="24"/>
              </w:rPr>
              <w:t>保护目标及保护级别一览表</w:t>
            </w:r>
          </w:p>
          <w:tbl>
            <w:tblPr>
              <w:tblStyle w:val="17"/>
              <w:tblW w:w="8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14"/>
              <w:gridCol w:w="1109"/>
              <w:gridCol w:w="527"/>
              <w:gridCol w:w="737"/>
              <w:gridCol w:w="2311"/>
              <w:gridCol w:w="839"/>
              <w:gridCol w:w="856"/>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494" w:type="dxa"/>
                  <w:vMerge w:val="restart"/>
                  <w:vAlign w:val="center"/>
                </w:tcPr>
                <w:p>
                  <w:pPr>
                    <w:pStyle w:val="35"/>
                    <w:spacing w:line="320" w:lineRule="atLeast"/>
                    <w:ind w:firstLine="0" w:firstLineChars="0"/>
                    <w:jc w:val="center"/>
                    <w:rPr>
                      <w:sz w:val="21"/>
                      <w:szCs w:val="21"/>
                    </w:rPr>
                  </w:pPr>
                  <w:r>
                    <w:rPr>
                      <w:sz w:val="21"/>
                      <w:szCs w:val="21"/>
                    </w:rPr>
                    <w:t>名称</w:t>
                  </w:r>
                </w:p>
              </w:tc>
              <w:tc>
                <w:tcPr>
                  <w:tcW w:w="2323" w:type="dxa"/>
                  <w:gridSpan w:val="2"/>
                  <w:vAlign w:val="center"/>
                </w:tcPr>
                <w:p>
                  <w:pPr>
                    <w:pStyle w:val="35"/>
                    <w:spacing w:line="320" w:lineRule="atLeast"/>
                    <w:ind w:firstLine="0" w:firstLineChars="0"/>
                    <w:jc w:val="center"/>
                    <w:rPr>
                      <w:sz w:val="21"/>
                      <w:szCs w:val="21"/>
                    </w:rPr>
                  </w:pPr>
                  <w:r>
                    <w:rPr>
                      <w:sz w:val="21"/>
                      <w:szCs w:val="21"/>
                    </w:rPr>
                    <w:t>坐标/m</w:t>
                  </w:r>
                </w:p>
              </w:tc>
              <w:tc>
                <w:tcPr>
                  <w:tcW w:w="527" w:type="dxa"/>
                  <w:vMerge w:val="restart"/>
                  <w:vAlign w:val="center"/>
                </w:tcPr>
                <w:p>
                  <w:pPr>
                    <w:pStyle w:val="35"/>
                    <w:spacing w:line="320" w:lineRule="atLeast"/>
                    <w:ind w:firstLine="0" w:firstLineChars="0"/>
                    <w:jc w:val="center"/>
                    <w:rPr>
                      <w:sz w:val="21"/>
                      <w:szCs w:val="21"/>
                    </w:rPr>
                  </w:pPr>
                  <w:r>
                    <w:rPr>
                      <w:sz w:val="21"/>
                      <w:szCs w:val="21"/>
                    </w:rPr>
                    <w:t>保护对象</w:t>
                  </w:r>
                </w:p>
              </w:tc>
              <w:tc>
                <w:tcPr>
                  <w:tcW w:w="737" w:type="dxa"/>
                  <w:vMerge w:val="restart"/>
                  <w:vAlign w:val="center"/>
                </w:tcPr>
                <w:p>
                  <w:pPr>
                    <w:pStyle w:val="35"/>
                    <w:spacing w:line="320" w:lineRule="atLeast"/>
                    <w:ind w:firstLine="0" w:firstLineChars="0"/>
                    <w:jc w:val="center"/>
                    <w:rPr>
                      <w:sz w:val="21"/>
                      <w:szCs w:val="21"/>
                    </w:rPr>
                  </w:pPr>
                  <w:r>
                    <w:rPr>
                      <w:sz w:val="21"/>
                      <w:szCs w:val="21"/>
                    </w:rPr>
                    <w:t>保护内容</w:t>
                  </w:r>
                </w:p>
              </w:tc>
              <w:tc>
                <w:tcPr>
                  <w:tcW w:w="2311" w:type="dxa"/>
                  <w:vMerge w:val="restart"/>
                  <w:vAlign w:val="center"/>
                </w:tcPr>
                <w:p>
                  <w:pPr>
                    <w:pStyle w:val="35"/>
                    <w:spacing w:line="320" w:lineRule="atLeast"/>
                    <w:ind w:firstLine="0" w:firstLineChars="0"/>
                    <w:jc w:val="center"/>
                    <w:rPr>
                      <w:sz w:val="21"/>
                      <w:szCs w:val="21"/>
                    </w:rPr>
                  </w:pPr>
                  <w:r>
                    <w:rPr>
                      <w:sz w:val="21"/>
                      <w:szCs w:val="21"/>
                    </w:rPr>
                    <w:t>保护级别</w:t>
                  </w:r>
                </w:p>
              </w:tc>
              <w:tc>
                <w:tcPr>
                  <w:tcW w:w="839" w:type="dxa"/>
                  <w:vMerge w:val="restart"/>
                  <w:vAlign w:val="center"/>
                </w:tcPr>
                <w:p>
                  <w:pPr>
                    <w:pStyle w:val="35"/>
                    <w:spacing w:line="320" w:lineRule="atLeast"/>
                    <w:ind w:firstLine="0" w:firstLineChars="0"/>
                    <w:jc w:val="center"/>
                    <w:rPr>
                      <w:sz w:val="21"/>
                      <w:szCs w:val="21"/>
                    </w:rPr>
                  </w:pPr>
                  <w:r>
                    <w:rPr>
                      <w:sz w:val="21"/>
                      <w:szCs w:val="21"/>
                    </w:rPr>
                    <w:t>相对厂址方位</w:t>
                  </w:r>
                </w:p>
              </w:tc>
              <w:tc>
                <w:tcPr>
                  <w:tcW w:w="856" w:type="dxa"/>
                  <w:vMerge w:val="restart"/>
                  <w:vAlign w:val="center"/>
                </w:tcPr>
                <w:p>
                  <w:pPr>
                    <w:pStyle w:val="35"/>
                    <w:spacing w:line="320" w:lineRule="atLeast"/>
                    <w:ind w:firstLine="0" w:firstLineChars="0"/>
                    <w:jc w:val="center"/>
                    <w:rPr>
                      <w:sz w:val="21"/>
                      <w:szCs w:val="21"/>
                    </w:rPr>
                  </w:pPr>
                  <w:r>
                    <w:rPr>
                      <w:sz w:val="21"/>
                      <w:szCs w:val="21"/>
                    </w:rPr>
                    <w:t>相对厂址距离/m</w:t>
                  </w:r>
                </w:p>
              </w:tc>
              <w:tc>
                <w:tcPr>
                  <w:tcW w:w="764" w:type="dxa"/>
                  <w:vMerge w:val="restart"/>
                  <w:vAlign w:val="center"/>
                </w:tcPr>
                <w:p>
                  <w:pPr>
                    <w:pStyle w:val="35"/>
                    <w:spacing w:line="320" w:lineRule="atLeast"/>
                    <w:ind w:firstLine="0" w:firstLineChars="0"/>
                    <w:jc w:val="center"/>
                    <w:rPr>
                      <w:sz w:val="21"/>
                      <w:szCs w:val="21"/>
                    </w:rPr>
                  </w:pPr>
                  <w:r>
                    <w:rPr>
                      <w:rFonts w:hint="eastAsia"/>
                      <w:sz w:val="21"/>
                      <w:szCs w:val="21"/>
                    </w:rPr>
                    <w:t>相对高差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494" w:type="dxa"/>
                  <w:vMerge w:val="continue"/>
                  <w:vAlign w:val="center"/>
                </w:tcPr>
                <w:p>
                  <w:pPr>
                    <w:pStyle w:val="35"/>
                    <w:spacing w:line="320" w:lineRule="atLeast"/>
                    <w:ind w:firstLine="0" w:firstLineChars="0"/>
                    <w:jc w:val="center"/>
                    <w:rPr>
                      <w:sz w:val="21"/>
                      <w:szCs w:val="21"/>
                    </w:rPr>
                  </w:pPr>
                </w:p>
              </w:tc>
              <w:tc>
                <w:tcPr>
                  <w:tcW w:w="1214" w:type="dxa"/>
                  <w:vAlign w:val="center"/>
                </w:tcPr>
                <w:p>
                  <w:pPr>
                    <w:pStyle w:val="35"/>
                    <w:spacing w:line="320" w:lineRule="atLeast"/>
                    <w:ind w:firstLine="0" w:firstLineChars="0"/>
                    <w:jc w:val="center"/>
                    <w:rPr>
                      <w:sz w:val="21"/>
                      <w:szCs w:val="21"/>
                    </w:rPr>
                  </w:pPr>
                  <w:r>
                    <w:rPr>
                      <w:sz w:val="21"/>
                      <w:szCs w:val="21"/>
                    </w:rPr>
                    <w:t>经度</w:t>
                  </w:r>
                </w:p>
              </w:tc>
              <w:tc>
                <w:tcPr>
                  <w:tcW w:w="1109" w:type="dxa"/>
                  <w:vAlign w:val="center"/>
                </w:tcPr>
                <w:p>
                  <w:pPr>
                    <w:pStyle w:val="35"/>
                    <w:spacing w:line="320" w:lineRule="atLeast"/>
                    <w:ind w:firstLine="0" w:firstLineChars="0"/>
                    <w:jc w:val="center"/>
                    <w:rPr>
                      <w:sz w:val="21"/>
                      <w:szCs w:val="21"/>
                    </w:rPr>
                  </w:pPr>
                  <w:r>
                    <w:rPr>
                      <w:sz w:val="21"/>
                      <w:szCs w:val="21"/>
                    </w:rPr>
                    <w:t>纬度</w:t>
                  </w:r>
                </w:p>
              </w:tc>
              <w:tc>
                <w:tcPr>
                  <w:tcW w:w="527" w:type="dxa"/>
                  <w:vMerge w:val="continue"/>
                  <w:vAlign w:val="center"/>
                </w:tcPr>
                <w:p>
                  <w:pPr>
                    <w:pStyle w:val="35"/>
                    <w:spacing w:line="320" w:lineRule="atLeast"/>
                    <w:ind w:firstLine="0" w:firstLineChars="0"/>
                    <w:jc w:val="center"/>
                    <w:rPr>
                      <w:sz w:val="21"/>
                      <w:szCs w:val="21"/>
                    </w:rPr>
                  </w:pPr>
                </w:p>
              </w:tc>
              <w:tc>
                <w:tcPr>
                  <w:tcW w:w="737" w:type="dxa"/>
                  <w:vMerge w:val="continue"/>
                  <w:vAlign w:val="center"/>
                </w:tcPr>
                <w:p>
                  <w:pPr>
                    <w:pStyle w:val="35"/>
                    <w:spacing w:line="320" w:lineRule="atLeast"/>
                    <w:ind w:firstLine="0" w:firstLineChars="0"/>
                    <w:jc w:val="center"/>
                    <w:rPr>
                      <w:sz w:val="21"/>
                      <w:szCs w:val="21"/>
                    </w:rPr>
                  </w:pPr>
                </w:p>
              </w:tc>
              <w:tc>
                <w:tcPr>
                  <w:tcW w:w="2311" w:type="dxa"/>
                  <w:vMerge w:val="continue"/>
                  <w:vAlign w:val="center"/>
                </w:tcPr>
                <w:p>
                  <w:pPr>
                    <w:pStyle w:val="35"/>
                    <w:spacing w:line="320" w:lineRule="atLeast"/>
                    <w:ind w:firstLine="0" w:firstLineChars="0"/>
                    <w:jc w:val="center"/>
                    <w:rPr>
                      <w:sz w:val="21"/>
                      <w:szCs w:val="21"/>
                    </w:rPr>
                  </w:pPr>
                </w:p>
              </w:tc>
              <w:tc>
                <w:tcPr>
                  <w:tcW w:w="839" w:type="dxa"/>
                  <w:vMerge w:val="continue"/>
                  <w:vAlign w:val="center"/>
                </w:tcPr>
                <w:p>
                  <w:pPr>
                    <w:pStyle w:val="35"/>
                    <w:spacing w:line="320" w:lineRule="atLeast"/>
                    <w:ind w:firstLine="0" w:firstLineChars="0"/>
                    <w:jc w:val="center"/>
                    <w:rPr>
                      <w:sz w:val="21"/>
                      <w:szCs w:val="21"/>
                    </w:rPr>
                  </w:pPr>
                </w:p>
              </w:tc>
              <w:tc>
                <w:tcPr>
                  <w:tcW w:w="856" w:type="dxa"/>
                  <w:vMerge w:val="continue"/>
                  <w:vAlign w:val="center"/>
                </w:tcPr>
                <w:p>
                  <w:pPr>
                    <w:pStyle w:val="35"/>
                    <w:spacing w:line="320" w:lineRule="atLeast"/>
                    <w:ind w:firstLine="0" w:firstLineChars="0"/>
                    <w:jc w:val="center"/>
                    <w:rPr>
                      <w:sz w:val="21"/>
                      <w:szCs w:val="21"/>
                    </w:rPr>
                  </w:pPr>
                </w:p>
              </w:tc>
              <w:tc>
                <w:tcPr>
                  <w:tcW w:w="764" w:type="dxa"/>
                  <w:vMerge w:val="continue"/>
                  <w:vAlign w:val="center"/>
                </w:tcPr>
                <w:p>
                  <w:pPr>
                    <w:pStyle w:val="35"/>
                    <w:spacing w:line="320" w:lineRule="atLeast"/>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Align w:val="center"/>
                </w:tcPr>
                <w:p>
                  <w:pPr>
                    <w:pStyle w:val="35"/>
                    <w:spacing w:line="320" w:lineRule="atLeast"/>
                    <w:ind w:firstLine="0" w:firstLineChars="0"/>
                    <w:jc w:val="center"/>
                    <w:rPr>
                      <w:sz w:val="21"/>
                      <w:szCs w:val="21"/>
                    </w:rPr>
                  </w:pPr>
                  <w:r>
                    <w:rPr>
                      <w:sz w:val="21"/>
                      <w:szCs w:val="21"/>
                    </w:rPr>
                    <w:t>小李庄</w:t>
                  </w:r>
                </w:p>
              </w:tc>
              <w:tc>
                <w:tcPr>
                  <w:tcW w:w="1214" w:type="dxa"/>
                  <w:vAlign w:val="center"/>
                </w:tcPr>
                <w:p>
                  <w:pPr>
                    <w:pStyle w:val="35"/>
                    <w:spacing w:line="320" w:lineRule="atLeast"/>
                    <w:ind w:firstLine="0" w:firstLineChars="0"/>
                    <w:jc w:val="center"/>
                    <w:rPr>
                      <w:sz w:val="21"/>
                      <w:szCs w:val="21"/>
                    </w:rPr>
                  </w:pPr>
                  <w:r>
                    <w:rPr>
                      <w:sz w:val="21"/>
                      <w:szCs w:val="21"/>
                    </w:rPr>
                    <w:t>103.209308</w:t>
                  </w:r>
                </w:p>
              </w:tc>
              <w:tc>
                <w:tcPr>
                  <w:tcW w:w="1109" w:type="dxa"/>
                  <w:vAlign w:val="center"/>
                </w:tcPr>
                <w:p>
                  <w:pPr>
                    <w:pStyle w:val="35"/>
                    <w:spacing w:line="320" w:lineRule="atLeast"/>
                    <w:ind w:firstLine="0" w:firstLineChars="0"/>
                    <w:jc w:val="center"/>
                    <w:rPr>
                      <w:sz w:val="21"/>
                      <w:szCs w:val="21"/>
                    </w:rPr>
                  </w:pPr>
                  <w:r>
                    <w:rPr>
                      <w:sz w:val="21"/>
                      <w:szCs w:val="21"/>
                    </w:rPr>
                    <w:t>26.026499</w:t>
                  </w:r>
                </w:p>
              </w:tc>
              <w:tc>
                <w:tcPr>
                  <w:tcW w:w="527" w:type="dxa"/>
                  <w:vAlign w:val="center"/>
                </w:tcPr>
                <w:p>
                  <w:pPr>
                    <w:pStyle w:val="35"/>
                    <w:spacing w:line="320" w:lineRule="atLeast"/>
                    <w:ind w:firstLine="0" w:firstLineChars="0"/>
                    <w:jc w:val="center"/>
                    <w:rPr>
                      <w:sz w:val="21"/>
                      <w:szCs w:val="21"/>
                    </w:rPr>
                  </w:pPr>
                  <w:r>
                    <w:rPr>
                      <w:sz w:val="21"/>
                      <w:szCs w:val="21"/>
                    </w:rPr>
                    <w:t>居民</w:t>
                  </w:r>
                </w:p>
              </w:tc>
              <w:tc>
                <w:tcPr>
                  <w:tcW w:w="737" w:type="dxa"/>
                  <w:vAlign w:val="center"/>
                </w:tcPr>
                <w:p>
                  <w:pPr>
                    <w:pStyle w:val="35"/>
                    <w:spacing w:line="320" w:lineRule="atLeast"/>
                    <w:ind w:firstLine="0" w:firstLineChars="0"/>
                    <w:jc w:val="center"/>
                    <w:rPr>
                      <w:sz w:val="21"/>
                      <w:szCs w:val="21"/>
                    </w:rPr>
                  </w:pPr>
                  <w:r>
                    <w:rPr>
                      <w:sz w:val="21"/>
                      <w:szCs w:val="21"/>
                    </w:rPr>
                    <w:t>9户，30人</w:t>
                  </w:r>
                </w:p>
              </w:tc>
              <w:tc>
                <w:tcPr>
                  <w:tcW w:w="2311" w:type="dxa"/>
                  <w:vAlign w:val="center"/>
                </w:tcPr>
                <w:p>
                  <w:pPr>
                    <w:pStyle w:val="35"/>
                    <w:spacing w:line="320" w:lineRule="atLeast"/>
                    <w:ind w:firstLine="0" w:firstLineChars="0"/>
                    <w:jc w:val="center"/>
                    <w:rPr>
                      <w:sz w:val="21"/>
                      <w:szCs w:val="21"/>
                    </w:rPr>
                  </w:pPr>
                  <w:r>
                    <w:rPr>
                      <w:sz w:val="21"/>
                      <w:szCs w:val="21"/>
                    </w:rPr>
                    <w:t>《环境空气质量标准》（GB3095-2012）二级标准</w:t>
                  </w:r>
                </w:p>
              </w:tc>
              <w:tc>
                <w:tcPr>
                  <w:tcW w:w="839" w:type="dxa"/>
                  <w:vAlign w:val="center"/>
                </w:tcPr>
                <w:p>
                  <w:pPr>
                    <w:pStyle w:val="35"/>
                    <w:spacing w:line="320" w:lineRule="atLeast"/>
                    <w:ind w:firstLine="0" w:firstLineChars="0"/>
                    <w:jc w:val="center"/>
                    <w:rPr>
                      <w:sz w:val="21"/>
                      <w:szCs w:val="21"/>
                    </w:rPr>
                  </w:pPr>
                  <w:r>
                    <w:rPr>
                      <w:sz w:val="21"/>
                      <w:szCs w:val="21"/>
                    </w:rPr>
                    <w:t>东北侧（测风向）</w:t>
                  </w:r>
                </w:p>
              </w:tc>
              <w:tc>
                <w:tcPr>
                  <w:tcW w:w="856" w:type="dxa"/>
                  <w:vAlign w:val="center"/>
                </w:tcPr>
                <w:p>
                  <w:pPr>
                    <w:pStyle w:val="35"/>
                    <w:spacing w:line="320" w:lineRule="atLeast"/>
                    <w:ind w:firstLine="0" w:firstLineChars="0"/>
                    <w:jc w:val="center"/>
                    <w:rPr>
                      <w:sz w:val="21"/>
                      <w:szCs w:val="21"/>
                    </w:rPr>
                  </w:pPr>
                  <w:r>
                    <w:rPr>
                      <w:sz w:val="21"/>
                      <w:szCs w:val="21"/>
                    </w:rPr>
                    <w:t>150m</w:t>
                  </w:r>
                </w:p>
              </w:tc>
              <w:tc>
                <w:tcPr>
                  <w:tcW w:w="764" w:type="dxa"/>
                  <w:vAlign w:val="center"/>
                </w:tcPr>
                <w:p>
                  <w:pPr>
                    <w:pStyle w:val="35"/>
                    <w:spacing w:line="320" w:lineRule="atLeast"/>
                    <w:ind w:firstLine="0" w:firstLineChars="0"/>
                    <w:jc w:val="center"/>
                    <w:rPr>
                      <w:sz w:val="21"/>
                      <w:szCs w:val="21"/>
                    </w:rPr>
                  </w:pPr>
                  <w:r>
                    <w:rPr>
                      <w:sz w:val="21"/>
                      <w:szCs w:val="21"/>
                    </w:rPr>
                    <w:t>+10m</w:t>
                  </w:r>
                </w:p>
              </w:tc>
            </w:tr>
          </w:tbl>
          <w:p>
            <w:pPr>
              <w:pStyle w:val="35"/>
              <w:ind w:firstLine="0" w:firstLineChars="0"/>
              <w:rPr>
                <w:rFonts w:eastAsiaTheme="minorEastAsia"/>
                <w:szCs w:val="24"/>
              </w:rPr>
            </w:pPr>
          </w:p>
          <w:p>
            <w:pPr>
              <w:pStyle w:val="35"/>
              <w:ind w:firstLine="482"/>
              <w:rPr>
                <w:rFonts w:eastAsiaTheme="minorEastAsia"/>
                <w:b/>
                <w:szCs w:val="24"/>
              </w:rPr>
            </w:pPr>
            <w:r>
              <w:rPr>
                <w:rFonts w:eastAsiaTheme="minorEastAsia"/>
                <w:b/>
                <w:szCs w:val="24"/>
              </w:rPr>
              <w:t>3.2.2 地表水环境保护目标</w:t>
            </w:r>
          </w:p>
          <w:p>
            <w:pPr>
              <w:pStyle w:val="35"/>
              <w:ind w:firstLine="480"/>
              <w:rPr>
                <w:rFonts w:eastAsiaTheme="minorEastAsia"/>
                <w:szCs w:val="24"/>
              </w:rPr>
            </w:pPr>
            <w:r>
              <w:rPr>
                <w:rFonts w:eastAsiaTheme="minorEastAsia"/>
                <w:szCs w:val="24"/>
              </w:rPr>
              <w:t>根据《建设项目环境影响报告表编制技术指南》（污染影响类）（试行）的要求，未要求设施地表水环境保护目标；但项目所在区域属于小江的汇水范围，因此拟将小江列入本项目水环境保护目标。具体如下表所示。</w:t>
            </w:r>
          </w:p>
          <w:p>
            <w:pPr>
              <w:jc w:val="center"/>
              <w:rPr>
                <w:rFonts w:ascii="Times New Roman" w:hAnsi="Times New Roman" w:cs="Times New Roman"/>
                <w:b/>
                <w:szCs w:val="24"/>
              </w:rPr>
            </w:pPr>
            <w:r>
              <w:rPr>
                <w:rFonts w:ascii="Times New Roman" w:hAnsi="Times New Roman" w:cs="Times New Roman"/>
                <w:b/>
                <w:szCs w:val="24"/>
              </w:rPr>
              <w:t>表3.2.2-</w:t>
            </w:r>
            <w:r>
              <w:rPr>
                <w:rFonts w:hint="eastAsia" w:ascii="Times New Roman" w:hAnsi="Times New Roman" w:cs="Times New Roman"/>
                <w:b/>
                <w:szCs w:val="24"/>
              </w:rPr>
              <w:t>1</w:t>
            </w:r>
            <w:r>
              <w:rPr>
                <w:rFonts w:ascii="Times New Roman" w:hAnsi="Times New Roman" w:cs="Times New Roman"/>
                <w:b/>
                <w:szCs w:val="24"/>
              </w:rPr>
              <w:t xml:space="preserve"> 地表水环境保护目标及保护级别一览表</w:t>
            </w:r>
          </w:p>
          <w:tbl>
            <w:tblPr>
              <w:tblStyle w:val="16"/>
              <w:tblW w:w="8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169"/>
              <w:gridCol w:w="2174"/>
              <w:gridCol w:w="1376"/>
              <w:gridCol w:w="1106"/>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905"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rPr>
                      <w:color w:val="auto"/>
                      <w:szCs w:val="21"/>
                    </w:rPr>
                  </w:pPr>
                  <w:r>
                    <w:rPr>
                      <w:color w:val="auto"/>
                      <w:szCs w:val="21"/>
                    </w:rPr>
                    <w:t>类别</w:t>
                  </w:r>
                </w:p>
              </w:tc>
              <w:tc>
                <w:tcPr>
                  <w:tcW w:w="1169"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rPr>
                      <w:color w:val="auto"/>
                      <w:szCs w:val="21"/>
                    </w:rPr>
                  </w:pPr>
                  <w:r>
                    <w:rPr>
                      <w:color w:val="auto"/>
                      <w:szCs w:val="21"/>
                    </w:rPr>
                    <w:t>保护目标</w:t>
                  </w:r>
                </w:p>
              </w:tc>
              <w:tc>
                <w:tcPr>
                  <w:tcW w:w="2174"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rPr>
                      <w:color w:val="auto"/>
                      <w:szCs w:val="21"/>
                    </w:rPr>
                  </w:pPr>
                  <w:r>
                    <w:rPr>
                      <w:color w:val="auto"/>
                      <w:szCs w:val="21"/>
                    </w:rPr>
                    <w:t>坐标</w:t>
                  </w:r>
                </w:p>
              </w:tc>
              <w:tc>
                <w:tcPr>
                  <w:tcW w:w="1376"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rPr>
                      <w:color w:val="auto"/>
                      <w:szCs w:val="21"/>
                    </w:rPr>
                  </w:pPr>
                  <w:r>
                    <w:rPr>
                      <w:color w:val="auto"/>
                      <w:szCs w:val="21"/>
                    </w:rPr>
                    <w:t>与项目区的方位及距离</w:t>
                  </w:r>
                </w:p>
              </w:tc>
              <w:tc>
                <w:tcPr>
                  <w:tcW w:w="1106"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rPr>
                      <w:color w:val="auto"/>
                      <w:szCs w:val="21"/>
                    </w:rPr>
                  </w:pPr>
                  <w:r>
                    <w:rPr>
                      <w:color w:val="auto"/>
                      <w:szCs w:val="21"/>
                    </w:rPr>
                    <w:t>高差</w:t>
                  </w:r>
                </w:p>
              </w:tc>
              <w:tc>
                <w:tcPr>
                  <w:tcW w:w="2121"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rPr>
                      <w:color w:val="auto"/>
                      <w:szCs w:val="21"/>
                    </w:rPr>
                  </w:pPr>
                  <w:r>
                    <w:rPr>
                      <w:color w:val="auto"/>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905" w:type="dxa"/>
                  <w:tcBorders>
                    <w:top w:val="single" w:color="auto" w:sz="4" w:space="0"/>
                    <w:left w:val="single" w:color="auto" w:sz="4" w:space="0"/>
                    <w:right w:val="single" w:color="auto" w:sz="4" w:space="0"/>
                  </w:tcBorders>
                  <w:vAlign w:val="center"/>
                </w:tcPr>
                <w:p>
                  <w:pPr>
                    <w:pStyle w:val="28"/>
                    <w:spacing w:line="360" w:lineRule="exact"/>
                    <w:rPr>
                      <w:color w:val="auto"/>
                      <w:szCs w:val="21"/>
                    </w:rPr>
                  </w:pPr>
                  <w:r>
                    <w:rPr>
                      <w:color w:val="auto"/>
                      <w:szCs w:val="21"/>
                    </w:rPr>
                    <w:t>地表水</w:t>
                  </w:r>
                </w:p>
              </w:tc>
              <w:tc>
                <w:tcPr>
                  <w:tcW w:w="1169" w:type="dxa"/>
                  <w:tcBorders>
                    <w:top w:val="single" w:color="auto" w:sz="4" w:space="0"/>
                    <w:left w:val="single" w:color="auto" w:sz="4" w:space="0"/>
                    <w:right w:val="single" w:color="auto" w:sz="4" w:space="0"/>
                  </w:tcBorders>
                  <w:vAlign w:val="center"/>
                </w:tcPr>
                <w:p>
                  <w:pPr>
                    <w:pStyle w:val="28"/>
                    <w:spacing w:line="360" w:lineRule="exact"/>
                    <w:rPr>
                      <w:color w:val="auto"/>
                      <w:szCs w:val="21"/>
                    </w:rPr>
                  </w:pPr>
                  <w:r>
                    <w:rPr>
                      <w:bCs w:val="0"/>
                      <w:color w:val="auto"/>
                      <w:szCs w:val="24"/>
                    </w:rPr>
                    <w:t>小江</w:t>
                  </w:r>
                </w:p>
              </w:tc>
              <w:tc>
                <w:tcPr>
                  <w:tcW w:w="2174" w:type="dxa"/>
                  <w:tcBorders>
                    <w:top w:val="single" w:color="auto" w:sz="4" w:space="0"/>
                    <w:left w:val="single" w:color="auto" w:sz="4" w:space="0"/>
                    <w:right w:val="single" w:color="auto" w:sz="4" w:space="0"/>
                  </w:tcBorders>
                  <w:vAlign w:val="center"/>
                </w:tcPr>
                <w:p>
                  <w:pPr>
                    <w:pStyle w:val="28"/>
                    <w:spacing w:line="360" w:lineRule="exact"/>
                    <w:ind w:firstLine="210" w:firstLineChars="100"/>
                    <w:jc w:val="left"/>
                    <w:rPr>
                      <w:color w:val="auto"/>
                      <w:szCs w:val="21"/>
                    </w:rPr>
                  </w:pPr>
                  <w:r>
                    <w:rPr>
                      <w:color w:val="auto"/>
                      <w:szCs w:val="21"/>
                    </w:rPr>
                    <w:t>起点：东经103°08′14.70″，北纬26°08′0.08″；</w:t>
                  </w:r>
                </w:p>
                <w:p>
                  <w:pPr>
                    <w:pStyle w:val="28"/>
                    <w:spacing w:line="360" w:lineRule="exact"/>
                    <w:ind w:firstLine="210" w:firstLineChars="100"/>
                    <w:jc w:val="left"/>
                    <w:rPr>
                      <w:color w:val="auto"/>
                      <w:szCs w:val="21"/>
                    </w:rPr>
                  </w:pPr>
                  <w:r>
                    <w:rPr>
                      <w:color w:val="auto"/>
                      <w:szCs w:val="21"/>
                    </w:rPr>
                    <w:t>终点：东经103°07′49.63″，北纬26°8′32.12″；</w:t>
                  </w:r>
                </w:p>
              </w:tc>
              <w:tc>
                <w:tcPr>
                  <w:tcW w:w="1376"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rPr>
                      <w:color w:val="auto"/>
                      <w:szCs w:val="21"/>
                    </w:rPr>
                  </w:pPr>
                  <w:r>
                    <w:rPr>
                      <w:bCs w:val="0"/>
                      <w:color w:val="auto"/>
                      <w:szCs w:val="24"/>
                    </w:rPr>
                    <w:t>西侧50m</w:t>
                  </w:r>
                </w:p>
              </w:tc>
              <w:tc>
                <w:tcPr>
                  <w:tcW w:w="1106"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rPr>
                      <w:color w:val="auto"/>
                      <w:szCs w:val="21"/>
                    </w:rPr>
                  </w:pPr>
                  <w:r>
                    <w:rPr>
                      <w:rFonts w:hint="eastAsia"/>
                      <w:color w:val="auto"/>
                      <w:szCs w:val="21"/>
                      <w:lang w:val="en-US"/>
                    </w:rPr>
                    <w:t>5</w:t>
                  </w:r>
                  <w:r>
                    <w:rPr>
                      <w:color w:val="auto"/>
                      <w:szCs w:val="21"/>
                    </w:rPr>
                    <w:t>m</w:t>
                  </w:r>
                </w:p>
              </w:tc>
              <w:tc>
                <w:tcPr>
                  <w:tcW w:w="2121" w:type="dxa"/>
                  <w:tcBorders>
                    <w:top w:val="single" w:color="auto" w:sz="4" w:space="0"/>
                    <w:left w:val="single" w:color="auto" w:sz="4" w:space="0"/>
                    <w:right w:val="single" w:color="auto" w:sz="4" w:space="0"/>
                  </w:tcBorders>
                  <w:vAlign w:val="center"/>
                </w:tcPr>
                <w:p>
                  <w:pPr>
                    <w:pStyle w:val="28"/>
                    <w:spacing w:line="360" w:lineRule="exact"/>
                    <w:ind w:firstLine="210" w:firstLineChars="100"/>
                    <w:jc w:val="left"/>
                    <w:rPr>
                      <w:color w:val="auto"/>
                      <w:szCs w:val="21"/>
                    </w:rPr>
                  </w:pPr>
                  <w:r>
                    <w:rPr>
                      <w:color w:val="auto"/>
                      <w:szCs w:val="21"/>
                    </w:rPr>
                    <w:t>《地表水环境质量标准》（GB3838-2002）III类标准</w:t>
                  </w:r>
                </w:p>
              </w:tc>
            </w:tr>
          </w:tbl>
          <w:p>
            <w:pPr>
              <w:pStyle w:val="35"/>
              <w:spacing w:before="156" w:beforeLines="50"/>
              <w:ind w:firstLine="482"/>
              <w:rPr>
                <w:rFonts w:eastAsiaTheme="minorEastAsia"/>
                <w:b/>
                <w:szCs w:val="24"/>
              </w:rPr>
            </w:pPr>
            <w:r>
              <w:rPr>
                <w:rFonts w:eastAsiaTheme="minorEastAsia"/>
                <w:b/>
                <w:szCs w:val="24"/>
              </w:rPr>
              <w:t>3.2.3 地下水环境保护目标</w:t>
            </w:r>
          </w:p>
          <w:p>
            <w:pPr>
              <w:pStyle w:val="35"/>
              <w:ind w:firstLine="480"/>
              <w:rPr>
                <w:rFonts w:eastAsiaTheme="minorEastAsia"/>
                <w:szCs w:val="24"/>
              </w:rPr>
            </w:pPr>
            <w:r>
              <w:rPr>
                <w:rFonts w:eastAsiaTheme="minorEastAsia"/>
                <w:szCs w:val="24"/>
              </w:rPr>
              <w:t>根据《建设项目环境影响报告表编制技术指南》（污染影响类）（试行）的要求，地表水环境保护目标为厂界外500m范围内的地下水集中式饮用水水源和热水、矿泉水、温泉等特殊地下水资源。根据调查，本项目位于昆明市东川区铜都镇小李庄村，本项目选址不涉及到地下水集中式饮用水水源和热水、矿泉水、温泉等特殊地下水资源。</w:t>
            </w:r>
          </w:p>
          <w:p>
            <w:pPr>
              <w:pStyle w:val="35"/>
              <w:ind w:firstLine="482"/>
              <w:rPr>
                <w:rFonts w:eastAsiaTheme="minorEastAsia"/>
                <w:b/>
                <w:szCs w:val="24"/>
              </w:rPr>
            </w:pPr>
            <w:r>
              <w:rPr>
                <w:rFonts w:eastAsiaTheme="minorEastAsia"/>
                <w:b/>
                <w:szCs w:val="24"/>
              </w:rPr>
              <w:t>3.2.4 声环境环境保护目标</w:t>
            </w:r>
          </w:p>
          <w:p>
            <w:pPr>
              <w:pStyle w:val="35"/>
              <w:ind w:firstLine="480"/>
              <w:rPr>
                <w:rFonts w:eastAsiaTheme="minorEastAsia"/>
                <w:szCs w:val="24"/>
              </w:rPr>
            </w:pPr>
            <w:r>
              <w:rPr>
                <w:rFonts w:eastAsiaTheme="minorEastAsia"/>
                <w:szCs w:val="24"/>
              </w:rPr>
              <w:t>根据《建设项目环境影响报告表编制技术指南》（污染影响类）（试行）的要求，本项目声环境评价范围为50m，根据现场调查，本项目50m范围内无声环境保护目标。</w:t>
            </w:r>
          </w:p>
          <w:p>
            <w:pPr>
              <w:pStyle w:val="35"/>
              <w:ind w:firstLine="482"/>
              <w:rPr>
                <w:rFonts w:eastAsiaTheme="minorEastAsia"/>
                <w:b/>
                <w:szCs w:val="24"/>
              </w:rPr>
            </w:pPr>
            <w:r>
              <w:rPr>
                <w:rFonts w:eastAsiaTheme="minorEastAsia"/>
                <w:b/>
                <w:szCs w:val="24"/>
              </w:rPr>
              <w:t>3.2.5 生态环境保护目标</w:t>
            </w:r>
          </w:p>
          <w:p>
            <w:pPr>
              <w:pStyle w:val="35"/>
              <w:ind w:firstLine="480"/>
              <w:rPr>
                <w:rFonts w:eastAsiaTheme="minorEastAsia"/>
                <w:szCs w:val="24"/>
              </w:rPr>
            </w:pPr>
            <w:r>
              <w:rPr>
                <w:rFonts w:eastAsiaTheme="minorEastAsia"/>
                <w:szCs w:val="24"/>
              </w:rPr>
              <w:t>根据《建设项目环境影响报告表编制技术指南》（污染影响类）（试行）的要求，生态环境保护目标主要为在产业园区外建设项目新增用地范围内的生态环境保护目标。本项目位于昆明市东川区铜都镇小李庄村，本环评拟定生态环境评价范围为200m，本项目的主要生态环境保护目标如下。</w:t>
            </w:r>
          </w:p>
          <w:p>
            <w:pPr>
              <w:pStyle w:val="30"/>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sz w:val="21"/>
                <w:szCs w:val="21"/>
              </w:rPr>
            </w:pPr>
            <w:r>
              <w:rPr>
                <w:rFonts w:hAnsi="Times New Roman" w:eastAsia="宋体"/>
                <w:bCs/>
                <w:snapToGrid w:val="0"/>
                <w:sz w:val="21"/>
                <w:szCs w:val="21"/>
              </w:rPr>
              <w:t>表3.2.5-1  生态环境保护目标一览表</w:t>
            </w:r>
          </w:p>
          <w:tbl>
            <w:tblPr>
              <w:tblStyle w:val="17"/>
              <w:tblW w:w="8851"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32"/>
              <w:gridCol w:w="2740"/>
              <w:gridCol w:w="1896"/>
              <w:gridCol w:w="328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32" w:type="dxa"/>
                  <w:vAlign w:val="center"/>
                </w:tcPr>
                <w:p>
                  <w:pPr>
                    <w:pStyle w:val="28"/>
                    <w:spacing w:line="360" w:lineRule="exact"/>
                    <w:rPr>
                      <w:color w:val="auto"/>
                      <w:szCs w:val="21"/>
                    </w:rPr>
                  </w:pPr>
                  <w:r>
                    <w:rPr>
                      <w:color w:val="auto"/>
                      <w:szCs w:val="21"/>
                    </w:rPr>
                    <w:t>类别</w:t>
                  </w:r>
                </w:p>
              </w:tc>
              <w:tc>
                <w:tcPr>
                  <w:tcW w:w="2740" w:type="dxa"/>
                  <w:vAlign w:val="center"/>
                </w:tcPr>
                <w:p>
                  <w:pPr>
                    <w:pStyle w:val="28"/>
                    <w:spacing w:line="360" w:lineRule="exact"/>
                    <w:rPr>
                      <w:color w:val="auto"/>
                      <w:szCs w:val="21"/>
                    </w:rPr>
                  </w:pPr>
                  <w:r>
                    <w:rPr>
                      <w:color w:val="auto"/>
                      <w:szCs w:val="21"/>
                    </w:rPr>
                    <w:t>与项目区的方位及距离</w:t>
                  </w:r>
                </w:p>
              </w:tc>
              <w:tc>
                <w:tcPr>
                  <w:tcW w:w="1896" w:type="dxa"/>
                  <w:vAlign w:val="center"/>
                </w:tcPr>
                <w:p>
                  <w:pPr>
                    <w:pStyle w:val="28"/>
                    <w:spacing w:line="360" w:lineRule="exact"/>
                    <w:rPr>
                      <w:color w:val="auto"/>
                      <w:szCs w:val="21"/>
                    </w:rPr>
                  </w:pPr>
                  <w:r>
                    <w:rPr>
                      <w:color w:val="auto"/>
                      <w:szCs w:val="21"/>
                    </w:rPr>
                    <w:t>生态保护目标</w:t>
                  </w:r>
                </w:p>
              </w:tc>
              <w:tc>
                <w:tcPr>
                  <w:tcW w:w="3283" w:type="dxa"/>
                  <w:vAlign w:val="center"/>
                </w:tcPr>
                <w:p>
                  <w:pPr>
                    <w:pStyle w:val="28"/>
                    <w:spacing w:line="360" w:lineRule="exact"/>
                    <w:rPr>
                      <w:color w:val="auto"/>
                      <w:szCs w:val="21"/>
                    </w:rPr>
                  </w:pPr>
                  <w:r>
                    <w:rPr>
                      <w:color w:val="auto"/>
                      <w:szCs w:val="21"/>
                    </w:rPr>
                    <w:t>保护级别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32" w:type="dxa"/>
                  <w:vAlign w:val="center"/>
                </w:tcPr>
                <w:p>
                  <w:pPr>
                    <w:pStyle w:val="28"/>
                    <w:spacing w:line="360" w:lineRule="exact"/>
                    <w:rPr>
                      <w:color w:val="auto"/>
                      <w:szCs w:val="21"/>
                    </w:rPr>
                  </w:pPr>
                  <w:r>
                    <w:rPr>
                      <w:color w:val="auto"/>
                      <w:szCs w:val="21"/>
                    </w:rPr>
                    <w:t>生态环境</w:t>
                  </w:r>
                </w:p>
              </w:tc>
              <w:tc>
                <w:tcPr>
                  <w:tcW w:w="2740" w:type="dxa"/>
                  <w:vAlign w:val="center"/>
                </w:tcPr>
                <w:p>
                  <w:pPr>
                    <w:pStyle w:val="28"/>
                    <w:spacing w:line="360" w:lineRule="exact"/>
                    <w:ind w:firstLine="210" w:firstLineChars="100"/>
                    <w:jc w:val="left"/>
                    <w:rPr>
                      <w:color w:val="auto"/>
                      <w:szCs w:val="21"/>
                    </w:rPr>
                  </w:pPr>
                  <w:r>
                    <w:rPr>
                      <w:color w:val="auto"/>
                      <w:szCs w:val="21"/>
                    </w:rPr>
                    <w:t>项目区边界200m范围</w:t>
                  </w:r>
                </w:p>
              </w:tc>
              <w:tc>
                <w:tcPr>
                  <w:tcW w:w="1896" w:type="dxa"/>
                  <w:vAlign w:val="center"/>
                </w:tcPr>
                <w:p>
                  <w:pPr>
                    <w:pStyle w:val="28"/>
                    <w:spacing w:line="360" w:lineRule="exact"/>
                    <w:ind w:firstLine="210" w:firstLineChars="100"/>
                    <w:jc w:val="left"/>
                    <w:rPr>
                      <w:color w:val="auto"/>
                      <w:szCs w:val="21"/>
                    </w:rPr>
                  </w:pPr>
                  <w:r>
                    <w:rPr>
                      <w:color w:val="auto"/>
                      <w:szCs w:val="21"/>
                    </w:rPr>
                    <w:t>土地利用、植被、植物、动物。</w:t>
                  </w:r>
                </w:p>
              </w:tc>
              <w:tc>
                <w:tcPr>
                  <w:tcW w:w="3283" w:type="dxa"/>
                  <w:vAlign w:val="center"/>
                </w:tcPr>
                <w:p>
                  <w:pPr>
                    <w:pStyle w:val="28"/>
                    <w:spacing w:line="360" w:lineRule="exact"/>
                    <w:ind w:firstLine="210" w:firstLineChars="100"/>
                    <w:jc w:val="left"/>
                    <w:rPr>
                      <w:color w:val="auto"/>
                      <w:szCs w:val="21"/>
                    </w:rPr>
                  </w:pPr>
                  <w:r>
                    <w:rPr>
                      <w:color w:val="auto"/>
                      <w:szCs w:val="21"/>
                    </w:rPr>
                    <w:t>不得随意破坏、降低当地生态环境质量，使水土流失在可以接受的范围内。</w:t>
                  </w:r>
                </w:p>
              </w:tc>
            </w:tr>
          </w:tbl>
          <w:p>
            <w:pPr>
              <w:pStyle w:val="35"/>
              <w:ind w:firstLine="480"/>
              <w:rPr>
                <w:rFonts w:eastAsiaTheme="minorEastAsia"/>
                <w:szCs w:val="24"/>
              </w:rPr>
            </w:pPr>
          </w:p>
          <w:p>
            <w:pPr>
              <w:pStyle w:val="35"/>
              <w:ind w:firstLine="480"/>
              <w:rPr>
                <w:rFonts w:eastAsiaTheme="minorEastAsia"/>
                <w:szCs w:val="24"/>
              </w:rPr>
            </w:pPr>
          </w:p>
          <w:p>
            <w:pPr>
              <w:pStyle w:val="35"/>
              <w:ind w:firstLine="480"/>
              <w:rPr>
                <w:rFonts w:eastAsiaTheme="minorEastAsia"/>
                <w:szCs w:val="24"/>
              </w:rPr>
            </w:pPr>
          </w:p>
          <w:p>
            <w:pPr>
              <w:pStyle w:val="35"/>
              <w:ind w:firstLine="480"/>
              <w:rPr>
                <w:rFonts w:eastAsiaTheme="minorEastAsia"/>
                <w:szCs w:val="24"/>
              </w:rPr>
            </w:pPr>
          </w:p>
          <w:p>
            <w:pPr>
              <w:pStyle w:val="35"/>
              <w:ind w:firstLine="480"/>
              <w:rPr>
                <w:rFonts w:eastAsiaTheme="minorEastAsia"/>
                <w:szCs w:val="24"/>
              </w:rPr>
            </w:pPr>
          </w:p>
          <w:p>
            <w:pPr>
              <w:pStyle w:val="35"/>
              <w:ind w:firstLine="480"/>
              <w:rPr>
                <w:rFonts w:eastAsiaTheme="minorEastAsia"/>
                <w:szCs w:val="24"/>
              </w:rPr>
            </w:pPr>
          </w:p>
          <w:p>
            <w:pPr>
              <w:pStyle w:val="35"/>
              <w:ind w:firstLine="480"/>
              <w:rPr>
                <w:rFonts w:eastAsiaTheme="minorEastAsia"/>
                <w:szCs w:val="24"/>
              </w:rPr>
            </w:pPr>
          </w:p>
          <w:p>
            <w:pPr>
              <w:pStyle w:val="35"/>
              <w:ind w:firstLine="480"/>
              <w:rPr>
                <w:rFonts w:eastAsiaTheme="minorEastAsia"/>
                <w:szCs w:val="24"/>
              </w:rPr>
            </w:pPr>
          </w:p>
          <w:p>
            <w:pPr>
              <w:pStyle w:val="35"/>
              <w:ind w:firstLine="480"/>
              <w:rPr>
                <w:rFonts w:eastAsiaTheme="minorEastAsia"/>
                <w:szCs w:val="24"/>
              </w:rPr>
            </w:pPr>
          </w:p>
          <w:p>
            <w:pPr>
              <w:pStyle w:val="35"/>
              <w:ind w:firstLine="480"/>
              <w:rPr>
                <w:rFonts w:eastAsiaTheme="minorEastAsia"/>
                <w:szCs w:val="24"/>
              </w:rPr>
            </w:pPr>
          </w:p>
          <w:p>
            <w:pPr>
              <w:pStyle w:val="35"/>
              <w:ind w:firstLine="480"/>
              <w:rPr>
                <w:rFonts w:eastAsiaTheme="minorEastAsia"/>
                <w:szCs w:val="24"/>
              </w:rPr>
            </w:pPr>
          </w:p>
          <w:p>
            <w:pPr>
              <w:pStyle w:val="35"/>
              <w:ind w:firstLine="480"/>
              <w:rPr>
                <w:rFonts w:eastAsiaTheme="minorEastAsia"/>
                <w:szCs w:val="24"/>
              </w:rPr>
            </w:pPr>
          </w:p>
          <w:p>
            <w:pPr>
              <w:pStyle w:val="35"/>
              <w:ind w:firstLine="480"/>
              <w:rPr>
                <w:rFonts w:eastAsiaTheme="minorEastAsia"/>
                <w:szCs w:val="24"/>
              </w:rPr>
            </w:pPr>
          </w:p>
          <w:p>
            <w:pPr>
              <w:pStyle w:val="35"/>
              <w:ind w:firstLine="480"/>
              <w:rPr>
                <w:rFonts w:eastAsiaTheme="minorEastAsia"/>
                <w:szCs w:val="24"/>
              </w:rPr>
            </w:pPr>
          </w:p>
          <w:p>
            <w:pPr>
              <w:pStyle w:val="35"/>
              <w:ind w:firstLine="480"/>
              <w:rPr>
                <w:rFonts w:eastAsiaTheme="minorEastAsia"/>
                <w:szCs w:val="24"/>
              </w:rPr>
            </w:pPr>
          </w:p>
          <w:p>
            <w:pPr>
              <w:pStyle w:val="35"/>
              <w:ind w:firstLine="480"/>
              <w:rPr>
                <w:rFonts w:eastAsiaTheme="minorEastAsia"/>
                <w:szCs w:val="24"/>
              </w:rPr>
            </w:pPr>
          </w:p>
          <w:p>
            <w:pPr>
              <w:pStyle w:val="35"/>
              <w:ind w:firstLine="480"/>
              <w:rPr>
                <w:rFonts w:eastAsiaTheme="minorEastAsia"/>
                <w:szCs w:val="24"/>
              </w:rPr>
            </w:pPr>
          </w:p>
          <w:p>
            <w:pPr>
              <w:pStyle w:val="35"/>
              <w:ind w:firstLine="480"/>
              <w:rPr>
                <w:rFonts w:eastAsiaTheme="minorEastAsia"/>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56"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污染物排放控制标准</w:t>
            </w:r>
          </w:p>
        </w:tc>
        <w:tc>
          <w:tcPr>
            <w:tcW w:w="9077" w:type="dxa"/>
            <w:vAlign w:val="center"/>
          </w:tcPr>
          <w:p>
            <w:pPr>
              <w:spacing w:before="156"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建设项目环境影响报告表编制技术指南》（污染影响类）（试行）的要求，只需填写污染物控制标准，不需填写环境质量标准。但由于环评涉及环境质量现状评价，因此拟填写环境质量标准和污染物排放控制标准。具体如下。</w:t>
            </w:r>
          </w:p>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3.3 环境质量标准</w:t>
            </w:r>
          </w:p>
          <w:p>
            <w:pPr>
              <w:pStyle w:val="35"/>
              <w:ind w:firstLine="482"/>
              <w:rPr>
                <w:rFonts w:eastAsiaTheme="minorEastAsia"/>
                <w:b/>
                <w:szCs w:val="24"/>
              </w:rPr>
            </w:pPr>
            <w:r>
              <w:rPr>
                <w:rFonts w:eastAsiaTheme="minorEastAsia"/>
                <w:b/>
                <w:szCs w:val="24"/>
              </w:rPr>
              <w:t>3.3.1环境空气质量标准</w:t>
            </w:r>
          </w:p>
          <w:p>
            <w:pPr>
              <w:pStyle w:val="35"/>
              <w:ind w:firstLine="480"/>
              <w:rPr>
                <w:rFonts w:eastAsiaTheme="minorEastAsia"/>
                <w:szCs w:val="24"/>
              </w:rPr>
            </w:pPr>
            <w:r>
              <w:rPr>
                <w:rFonts w:eastAsiaTheme="minorEastAsia"/>
                <w:szCs w:val="24"/>
              </w:rPr>
              <w:t>本项目位于昆明市东川区铜都镇小李庄村，属于环境空气二类区，执行《环境空气质量标准》（GB3095-2012）二级标准。标准限值详见下表。</w:t>
            </w:r>
          </w:p>
          <w:p>
            <w:pPr>
              <w:jc w:val="center"/>
              <w:rPr>
                <w:rFonts w:ascii="Times New Roman" w:hAnsi="Times New Roman" w:cs="Times New Roman"/>
                <w:b/>
                <w:szCs w:val="24"/>
              </w:rPr>
            </w:pPr>
            <w:r>
              <w:rPr>
                <w:rFonts w:ascii="Times New Roman" w:hAnsi="Times New Roman" w:cs="Times New Roman"/>
                <w:b/>
                <w:szCs w:val="24"/>
              </w:rPr>
              <w:t>表3.3.1-1 环境空气污染物浓度限值</w:t>
            </w:r>
          </w:p>
          <w:tbl>
            <w:tblPr>
              <w:tblStyle w:val="16"/>
              <w:tblW w:w="8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3064"/>
              <w:gridCol w:w="1900"/>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3"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rPr>
                      <w:color w:val="auto"/>
                      <w:szCs w:val="21"/>
                    </w:rPr>
                  </w:pPr>
                  <w:r>
                    <w:rPr>
                      <w:color w:val="auto"/>
                      <w:szCs w:val="21"/>
                    </w:rPr>
                    <w:t>污染物项目</w:t>
                  </w:r>
                </w:p>
              </w:tc>
              <w:tc>
                <w:tcPr>
                  <w:tcW w:w="3064"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rPr>
                      <w:color w:val="auto"/>
                      <w:szCs w:val="21"/>
                    </w:rPr>
                  </w:pPr>
                  <w:r>
                    <w:rPr>
                      <w:color w:val="auto"/>
                      <w:szCs w:val="21"/>
                    </w:rPr>
                    <w:t>平均时间</w:t>
                  </w:r>
                </w:p>
              </w:tc>
              <w:tc>
                <w:tcPr>
                  <w:tcW w:w="1900" w:type="dxa"/>
                  <w:tcBorders>
                    <w:top w:val="single" w:color="auto" w:sz="4" w:space="0"/>
                    <w:left w:val="single" w:color="auto" w:sz="4" w:space="0"/>
                    <w:bottom w:val="single" w:color="auto" w:sz="4" w:space="0"/>
                    <w:right w:val="single" w:color="000000" w:sz="4" w:space="0"/>
                  </w:tcBorders>
                  <w:vAlign w:val="center"/>
                </w:tcPr>
                <w:p>
                  <w:pPr>
                    <w:pStyle w:val="28"/>
                    <w:spacing w:line="360" w:lineRule="exact"/>
                    <w:rPr>
                      <w:color w:val="auto"/>
                      <w:szCs w:val="21"/>
                    </w:rPr>
                  </w:pPr>
                  <w:r>
                    <w:rPr>
                      <w:color w:val="auto"/>
                      <w:szCs w:val="21"/>
                    </w:rPr>
                    <w:t>二级浓度限值</w:t>
                  </w:r>
                </w:p>
              </w:tc>
              <w:tc>
                <w:tcPr>
                  <w:tcW w:w="1244" w:type="dxa"/>
                  <w:tcBorders>
                    <w:top w:val="single" w:color="auto" w:sz="4" w:space="0"/>
                    <w:left w:val="single" w:color="000000" w:sz="4" w:space="0"/>
                    <w:bottom w:val="single" w:color="auto" w:sz="4" w:space="0"/>
                    <w:right w:val="single" w:color="auto" w:sz="4" w:space="0"/>
                  </w:tcBorders>
                  <w:vAlign w:val="center"/>
                </w:tcPr>
                <w:p>
                  <w:pPr>
                    <w:pStyle w:val="28"/>
                    <w:spacing w:line="360" w:lineRule="exact"/>
                    <w:rPr>
                      <w:color w:val="auto"/>
                      <w:szCs w:val="21"/>
                    </w:rPr>
                  </w:pPr>
                  <w:r>
                    <w:rPr>
                      <w:color w:val="auto"/>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3" w:type="dxa"/>
                  <w:vMerge w:val="restart"/>
                  <w:tcBorders>
                    <w:top w:val="single" w:color="auto" w:sz="4" w:space="0"/>
                    <w:left w:val="single" w:color="auto" w:sz="4" w:space="0"/>
                    <w:bottom w:val="single" w:color="auto" w:sz="4" w:space="0"/>
                    <w:right w:val="single" w:color="auto" w:sz="4" w:space="0"/>
                  </w:tcBorders>
                  <w:vAlign w:val="center"/>
                </w:tcPr>
                <w:p>
                  <w:pPr>
                    <w:pStyle w:val="28"/>
                    <w:spacing w:line="360" w:lineRule="exact"/>
                    <w:rPr>
                      <w:color w:val="auto"/>
                      <w:szCs w:val="21"/>
                    </w:rPr>
                  </w:pPr>
                  <w:r>
                    <w:rPr>
                      <w:color w:val="auto"/>
                      <w:szCs w:val="21"/>
                    </w:rPr>
                    <w:t>二氧化硫（SO</w:t>
                  </w:r>
                  <w:r>
                    <w:rPr>
                      <w:color w:val="auto"/>
                      <w:szCs w:val="21"/>
                      <w:vertAlign w:val="subscript"/>
                    </w:rPr>
                    <w:t>2</w:t>
                  </w:r>
                  <w:r>
                    <w:rPr>
                      <w:color w:val="auto"/>
                      <w:szCs w:val="21"/>
                    </w:rPr>
                    <w:t>）</w:t>
                  </w:r>
                </w:p>
              </w:tc>
              <w:tc>
                <w:tcPr>
                  <w:tcW w:w="3064"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rPr>
                      <w:color w:val="auto"/>
                      <w:szCs w:val="21"/>
                    </w:rPr>
                  </w:pPr>
                  <w:r>
                    <w:rPr>
                      <w:color w:val="auto"/>
                      <w:szCs w:val="21"/>
                    </w:rPr>
                    <w:t>年平均</w:t>
                  </w:r>
                </w:p>
              </w:tc>
              <w:tc>
                <w:tcPr>
                  <w:tcW w:w="1900" w:type="dxa"/>
                  <w:tcBorders>
                    <w:top w:val="single" w:color="auto" w:sz="4" w:space="0"/>
                    <w:left w:val="single" w:color="auto" w:sz="4" w:space="0"/>
                    <w:bottom w:val="single" w:color="auto" w:sz="4" w:space="0"/>
                    <w:right w:val="single" w:color="000000" w:sz="4" w:space="0"/>
                  </w:tcBorders>
                  <w:vAlign w:val="center"/>
                </w:tcPr>
                <w:p>
                  <w:pPr>
                    <w:pStyle w:val="28"/>
                    <w:spacing w:line="360" w:lineRule="exact"/>
                    <w:rPr>
                      <w:color w:val="auto"/>
                      <w:szCs w:val="21"/>
                    </w:rPr>
                  </w:pPr>
                  <w:r>
                    <w:rPr>
                      <w:color w:val="auto"/>
                      <w:szCs w:val="21"/>
                    </w:rPr>
                    <w:t>60</w:t>
                  </w:r>
                </w:p>
              </w:tc>
              <w:tc>
                <w:tcPr>
                  <w:tcW w:w="1244" w:type="dxa"/>
                  <w:vMerge w:val="restart"/>
                  <w:tcBorders>
                    <w:top w:val="single" w:color="auto" w:sz="4" w:space="0"/>
                    <w:left w:val="single" w:color="000000" w:sz="4" w:space="0"/>
                    <w:right w:val="single" w:color="auto" w:sz="4" w:space="0"/>
                  </w:tcBorders>
                  <w:vAlign w:val="center"/>
                </w:tcPr>
                <w:p>
                  <w:pPr>
                    <w:pStyle w:val="28"/>
                    <w:spacing w:line="360" w:lineRule="exact"/>
                    <w:rPr>
                      <w:color w:val="auto"/>
                      <w:szCs w:val="21"/>
                    </w:rPr>
                  </w:pPr>
                  <w:r>
                    <w:rPr>
                      <w:color w:val="auto"/>
                      <w:szCs w:val="21"/>
                    </w:rPr>
                    <w:t>ug/m³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3" w:type="dxa"/>
                  <w:vMerge w:val="continue"/>
                  <w:tcBorders>
                    <w:top w:val="single" w:color="auto" w:sz="4" w:space="0"/>
                    <w:left w:val="single" w:color="auto" w:sz="4" w:space="0"/>
                    <w:bottom w:val="single" w:color="auto" w:sz="4" w:space="0"/>
                    <w:right w:val="single" w:color="auto" w:sz="4" w:space="0"/>
                  </w:tcBorders>
                  <w:vAlign w:val="center"/>
                </w:tcPr>
                <w:p>
                  <w:pPr>
                    <w:pStyle w:val="28"/>
                    <w:spacing w:line="360" w:lineRule="exact"/>
                    <w:rPr>
                      <w:color w:val="auto"/>
                      <w:szCs w:val="21"/>
                    </w:rPr>
                  </w:pPr>
                </w:p>
              </w:tc>
              <w:tc>
                <w:tcPr>
                  <w:tcW w:w="3064"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rPr>
                      <w:color w:val="auto"/>
                      <w:szCs w:val="21"/>
                    </w:rPr>
                  </w:pPr>
                  <w:r>
                    <w:rPr>
                      <w:color w:val="auto"/>
                      <w:szCs w:val="21"/>
                    </w:rPr>
                    <w:t>24小时平均</w:t>
                  </w:r>
                </w:p>
              </w:tc>
              <w:tc>
                <w:tcPr>
                  <w:tcW w:w="1900" w:type="dxa"/>
                  <w:tcBorders>
                    <w:top w:val="single" w:color="auto" w:sz="4" w:space="0"/>
                    <w:left w:val="single" w:color="auto" w:sz="4" w:space="0"/>
                    <w:bottom w:val="single" w:color="auto" w:sz="4" w:space="0"/>
                    <w:right w:val="single" w:color="000000" w:sz="4" w:space="0"/>
                  </w:tcBorders>
                  <w:vAlign w:val="center"/>
                </w:tcPr>
                <w:p>
                  <w:pPr>
                    <w:pStyle w:val="28"/>
                    <w:spacing w:line="360" w:lineRule="exact"/>
                    <w:rPr>
                      <w:color w:val="auto"/>
                      <w:szCs w:val="21"/>
                    </w:rPr>
                  </w:pPr>
                  <w:r>
                    <w:rPr>
                      <w:color w:val="auto"/>
                      <w:szCs w:val="21"/>
                    </w:rPr>
                    <w:t>150</w:t>
                  </w:r>
                </w:p>
              </w:tc>
              <w:tc>
                <w:tcPr>
                  <w:tcW w:w="1244" w:type="dxa"/>
                  <w:vMerge w:val="continue"/>
                  <w:tcBorders>
                    <w:left w:val="single" w:color="000000" w:sz="4" w:space="0"/>
                    <w:right w:val="single" w:color="auto" w:sz="4" w:space="0"/>
                  </w:tcBorders>
                  <w:vAlign w:val="center"/>
                </w:tcPr>
                <w:p>
                  <w:pPr>
                    <w:pStyle w:val="2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3" w:type="dxa"/>
                  <w:vMerge w:val="continue"/>
                  <w:tcBorders>
                    <w:top w:val="single" w:color="auto" w:sz="4" w:space="0"/>
                    <w:left w:val="single" w:color="auto" w:sz="4" w:space="0"/>
                    <w:bottom w:val="single" w:color="auto" w:sz="4" w:space="0"/>
                    <w:right w:val="single" w:color="auto" w:sz="4" w:space="0"/>
                  </w:tcBorders>
                  <w:vAlign w:val="center"/>
                </w:tcPr>
                <w:p>
                  <w:pPr>
                    <w:pStyle w:val="28"/>
                    <w:spacing w:line="360" w:lineRule="exact"/>
                    <w:rPr>
                      <w:color w:val="auto"/>
                      <w:szCs w:val="21"/>
                    </w:rPr>
                  </w:pPr>
                </w:p>
              </w:tc>
              <w:tc>
                <w:tcPr>
                  <w:tcW w:w="3064"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rPr>
                      <w:color w:val="auto"/>
                      <w:szCs w:val="21"/>
                    </w:rPr>
                  </w:pPr>
                  <w:r>
                    <w:rPr>
                      <w:color w:val="auto"/>
                      <w:szCs w:val="21"/>
                    </w:rPr>
                    <w:t>1小时平均</w:t>
                  </w:r>
                </w:p>
              </w:tc>
              <w:tc>
                <w:tcPr>
                  <w:tcW w:w="1900" w:type="dxa"/>
                  <w:tcBorders>
                    <w:top w:val="single" w:color="auto" w:sz="4" w:space="0"/>
                    <w:left w:val="single" w:color="auto" w:sz="4" w:space="0"/>
                    <w:bottom w:val="single" w:color="auto" w:sz="4" w:space="0"/>
                    <w:right w:val="single" w:color="000000" w:sz="4" w:space="0"/>
                  </w:tcBorders>
                  <w:vAlign w:val="center"/>
                </w:tcPr>
                <w:p>
                  <w:pPr>
                    <w:pStyle w:val="28"/>
                    <w:spacing w:line="360" w:lineRule="exact"/>
                    <w:rPr>
                      <w:color w:val="auto"/>
                      <w:szCs w:val="21"/>
                    </w:rPr>
                  </w:pPr>
                  <w:r>
                    <w:rPr>
                      <w:color w:val="auto"/>
                      <w:szCs w:val="21"/>
                    </w:rPr>
                    <w:t>500</w:t>
                  </w:r>
                </w:p>
              </w:tc>
              <w:tc>
                <w:tcPr>
                  <w:tcW w:w="1244" w:type="dxa"/>
                  <w:vMerge w:val="continue"/>
                  <w:tcBorders>
                    <w:left w:val="single" w:color="000000" w:sz="4" w:space="0"/>
                    <w:right w:val="single" w:color="auto" w:sz="4" w:space="0"/>
                  </w:tcBorders>
                  <w:vAlign w:val="center"/>
                </w:tcPr>
                <w:p>
                  <w:pPr>
                    <w:pStyle w:val="2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3" w:type="dxa"/>
                  <w:vMerge w:val="restart"/>
                  <w:tcBorders>
                    <w:top w:val="single" w:color="auto" w:sz="4" w:space="0"/>
                    <w:left w:val="single" w:color="auto" w:sz="4" w:space="0"/>
                    <w:right w:val="single" w:color="auto" w:sz="4" w:space="0"/>
                  </w:tcBorders>
                  <w:vAlign w:val="center"/>
                </w:tcPr>
                <w:p>
                  <w:pPr>
                    <w:pStyle w:val="28"/>
                    <w:spacing w:line="360" w:lineRule="exact"/>
                    <w:rPr>
                      <w:color w:val="auto"/>
                      <w:szCs w:val="21"/>
                    </w:rPr>
                  </w:pPr>
                  <w:r>
                    <w:rPr>
                      <w:color w:val="auto"/>
                      <w:szCs w:val="21"/>
                    </w:rPr>
                    <w:t>二氧化氮（NO</w:t>
                  </w:r>
                  <w:r>
                    <w:rPr>
                      <w:color w:val="auto"/>
                      <w:szCs w:val="21"/>
                      <w:vertAlign w:val="subscript"/>
                    </w:rPr>
                    <w:t>2</w:t>
                  </w:r>
                  <w:r>
                    <w:rPr>
                      <w:color w:val="auto"/>
                      <w:szCs w:val="21"/>
                    </w:rPr>
                    <w:t>）</w:t>
                  </w:r>
                </w:p>
              </w:tc>
              <w:tc>
                <w:tcPr>
                  <w:tcW w:w="3064"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rPr>
                      <w:color w:val="auto"/>
                      <w:szCs w:val="21"/>
                    </w:rPr>
                  </w:pPr>
                  <w:r>
                    <w:rPr>
                      <w:color w:val="auto"/>
                      <w:szCs w:val="21"/>
                    </w:rPr>
                    <w:t>年平均</w:t>
                  </w:r>
                </w:p>
              </w:tc>
              <w:tc>
                <w:tcPr>
                  <w:tcW w:w="1900" w:type="dxa"/>
                  <w:tcBorders>
                    <w:top w:val="single" w:color="auto" w:sz="4" w:space="0"/>
                    <w:left w:val="single" w:color="auto" w:sz="4" w:space="0"/>
                    <w:bottom w:val="single" w:color="auto" w:sz="4" w:space="0"/>
                    <w:right w:val="single" w:color="000000" w:sz="4" w:space="0"/>
                  </w:tcBorders>
                  <w:vAlign w:val="center"/>
                </w:tcPr>
                <w:p>
                  <w:pPr>
                    <w:pStyle w:val="28"/>
                    <w:spacing w:line="360" w:lineRule="exact"/>
                    <w:rPr>
                      <w:color w:val="auto"/>
                      <w:szCs w:val="21"/>
                    </w:rPr>
                  </w:pPr>
                  <w:r>
                    <w:rPr>
                      <w:color w:val="auto"/>
                      <w:szCs w:val="21"/>
                    </w:rPr>
                    <w:t>40</w:t>
                  </w:r>
                </w:p>
              </w:tc>
              <w:tc>
                <w:tcPr>
                  <w:tcW w:w="1244" w:type="dxa"/>
                  <w:vMerge w:val="continue"/>
                  <w:tcBorders>
                    <w:left w:val="single" w:color="000000" w:sz="4" w:space="0"/>
                    <w:right w:val="single" w:color="auto" w:sz="4" w:space="0"/>
                  </w:tcBorders>
                  <w:vAlign w:val="center"/>
                </w:tcPr>
                <w:p>
                  <w:pPr>
                    <w:pStyle w:val="2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3" w:type="dxa"/>
                  <w:vMerge w:val="continue"/>
                  <w:tcBorders>
                    <w:left w:val="single" w:color="auto" w:sz="4" w:space="0"/>
                    <w:right w:val="single" w:color="auto" w:sz="4" w:space="0"/>
                  </w:tcBorders>
                  <w:vAlign w:val="center"/>
                </w:tcPr>
                <w:p>
                  <w:pPr>
                    <w:pStyle w:val="28"/>
                    <w:spacing w:line="360" w:lineRule="exact"/>
                    <w:rPr>
                      <w:color w:val="auto"/>
                      <w:szCs w:val="21"/>
                    </w:rPr>
                  </w:pPr>
                </w:p>
              </w:tc>
              <w:tc>
                <w:tcPr>
                  <w:tcW w:w="3064"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rPr>
                      <w:color w:val="auto"/>
                      <w:szCs w:val="21"/>
                    </w:rPr>
                  </w:pPr>
                  <w:r>
                    <w:rPr>
                      <w:color w:val="auto"/>
                      <w:szCs w:val="21"/>
                    </w:rPr>
                    <w:t>24小时平均</w:t>
                  </w:r>
                </w:p>
              </w:tc>
              <w:tc>
                <w:tcPr>
                  <w:tcW w:w="1900" w:type="dxa"/>
                  <w:tcBorders>
                    <w:top w:val="single" w:color="auto" w:sz="4" w:space="0"/>
                    <w:left w:val="single" w:color="auto" w:sz="4" w:space="0"/>
                    <w:bottom w:val="single" w:color="auto" w:sz="4" w:space="0"/>
                    <w:right w:val="single" w:color="000000" w:sz="4" w:space="0"/>
                  </w:tcBorders>
                  <w:vAlign w:val="center"/>
                </w:tcPr>
                <w:p>
                  <w:pPr>
                    <w:pStyle w:val="28"/>
                    <w:spacing w:line="360" w:lineRule="exact"/>
                    <w:rPr>
                      <w:color w:val="auto"/>
                      <w:szCs w:val="21"/>
                    </w:rPr>
                  </w:pPr>
                  <w:r>
                    <w:rPr>
                      <w:color w:val="auto"/>
                      <w:szCs w:val="21"/>
                    </w:rPr>
                    <w:t>80</w:t>
                  </w:r>
                </w:p>
              </w:tc>
              <w:tc>
                <w:tcPr>
                  <w:tcW w:w="1244" w:type="dxa"/>
                  <w:vMerge w:val="continue"/>
                  <w:tcBorders>
                    <w:left w:val="single" w:color="000000" w:sz="4" w:space="0"/>
                    <w:right w:val="single" w:color="auto" w:sz="4" w:space="0"/>
                  </w:tcBorders>
                  <w:vAlign w:val="center"/>
                </w:tcPr>
                <w:p>
                  <w:pPr>
                    <w:pStyle w:val="2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3" w:type="dxa"/>
                  <w:vMerge w:val="continue"/>
                  <w:tcBorders>
                    <w:left w:val="single" w:color="auto" w:sz="4" w:space="0"/>
                    <w:bottom w:val="single" w:color="auto" w:sz="4" w:space="0"/>
                    <w:right w:val="single" w:color="auto" w:sz="4" w:space="0"/>
                  </w:tcBorders>
                  <w:vAlign w:val="center"/>
                </w:tcPr>
                <w:p>
                  <w:pPr>
                    <w:pStyle w:val="28"/>
                    <w:spacing w:line="360" w:lineRule="exact"/>
                    <w:rPr>
                      <w:color w:val="auto"/>
                      <w:szCs w:val="21"/>
                    </w:rPr>
                  </w:pPr>
                </w:p>
              </w:tc>
              <w:tc>
                <w:tcPr>
                  <w:tcW w:w="3064"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rPr>
                      <w:color w:val="auto"/>
                      <w:szCs w:val="21"/>
                    </w:rPr>
                  </w:pPr>
                  <w:r>
                    <w:rPr>
                      <w:color w:val="auto"/>
                      <w:szCs w:val="21"/>
                    </w:rPr>
                    <w:t>1小时平均</w:t>
                  </w:r>
                </w:p>
              </w:tc>
              <w:tc>
                <w:tcPr>
                  <w:tcW w:w="1900" w:type="dxa"/>
                  <w:tcBorders>
                    <w:top w:val="single" w:color="auto" w:sz="4" w:space="0"/>
                    <w:left w:val="single" w:color="auto" w:sz="4" w:space="0"/>
                    <w:bottom w:val="single" w:color="auto" w:sz="4" w:space="0"/>
                    <w:right w:val="single" w:color="000000" w:sz="4" w:space="0"/>
                  </w:tcBorders>
                  <w:vAlign w:val="center"/>
                </w:tcPr>
                <w:p>
                  <w:pPr>
                    <w:pStyle w:val="28"/>
                    <w:spacing w:line="360" w:lineRule="exact"/>
                    <w:rPr>
                      <w:color w:val="auto"/>
                      <w:szCs w:val="21"/>
                    </w:rPr>
                  </w:pPr>
                  <w:r>
                    <w:rPr>
                      <w:color w:val="auto"/>
                      <w:szCs w:val="21"/>
                    </w:rPr>
                    <w:t>200</w:t>
                  </w:r>
                </w:p>
              </w:tc>
              <w:tc>
                <w:tcPr>
                  <w:tcW w:w="1244" w:type="dxa"/>
                  <w:vMerge w:val="continue"/>
                  <w:tcBorders>
                    <w:left w:val="single" w:color="000000" w:sz="4" w:space="0"/>
                    <w:bottom w:val="single" w:color="auto" w:sz="4" w:space="0"/>
                    <w:right w:val="single" w:color="auto" w:sz="4" w:space="0"/>
                  </w:tcBorders>
                  <w:vAlign w:val="center"/>
                </w:tcPr>
                <w:p>
                  <w:pPr>
                    <w:pStyle w:val="2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3" w:type="dxa"/>
                  <w:vMerge w:val="restart"/>
                  <w:tcBorders>
                    <w:left w:val="single" w:color="auto" w:sz="4" w:space="0"/>
                    <w:right w:val="single" w:color="auto" w:sz="4" w:space="0"/>
                  </w:tcBorders>
                  <w:vAlign w:val="center"/>
                </w:tcPr>
                <w:p>
                  <w:pPr>
                    <w:pStyle w:val="28"/>
                    <w:spacing w:line="360" w:lineRule="exact"/>
                    <w:rPr>
                      <w:color w:val="auto"/>
                      <w:szCs w:val="21"/>
                    </w:rPr>
                  </w:pPr>
                  <w:r>
                    <w:rPr>
                      <w:color w:val="auto"/>
                      <w:szCs w:val="21"/>
                    </w:rPr>
                    <w:t>一氧化碳（CO）</w:t>
                  </w:r>
                </w:p>
              </w:tc>
              <w:tc>
                <w:tcPr>
                  <w:tcW w:w="3064"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rPr>
                      <w:color w:val="auto"/>
                      <w:szCs w:val="21"/>
                    </w:rPr>
                  </w:pPr>
                  <w:r>
                    <w:rPr>
                      <w:color w:val="auto"/>
                      <w:szCs w:val="21"/>
                    </w:rPr>
                    <w:t>24小时平均</w:t>
                  </w:r>
                </w:p>
              </w:tc>
              <w:tc>
                <w:tcPr>
                  <w:tcW w:w="1900" w:type="dxa"/>
                  <w:tcBorders>
                    <w:top w:val="single" w:color="auto" w:sz="4" w:space="0"/>
                    <w:left w:val="single" w:color="auto" w:sz="4" w:space="0"/>
                    <w:bottom w:val="single" w:color="auto" w:sz="4" w:space="0"/>
                    <w:right w:val="single" w:color="000000" w:sz="4" w:space="0"/>
                  </w:tcBorders>
                  <w:vAlign w:val="center"/>
                </w:tcPr>
                <w:p>
                  <w:pPr>
                    <w:pStyle w:val="28"/>
                    <w:spacing w:line="360" w:lineRule="exact"/>
                    <w:rPr>
                      <w:color w:val="auto"/>
                      <w:szCs w:val="21"/>
                    </w:rPr>
                  </w:pPr>
                  <w:r>
                    <w:rPr>
                      <w:color w:val="auto"/>
                      <w:szCs w:val="21"/>
                    </w:rPr>
                    <w:t>4</w:t>
                  </w:r>
                </w:p>
              </w:tc>
              <w:tc>
                <w:tcPr>
                  <w:tcW w:w="1244" w:type="dxa"/>
                  <w:vMerge w:val="restart"/>
                  <w:tcBorders>
                    <w:top w:val="single" w:color="auto" w:sz="4" w:space="0"/>
                    <w:left w:val="single" w:color="000000" w:sz="4" w:space="0"/>
                    <w:right w:val="single" w:color="auto" w:sz="4" w:space="0"/>
                  </w:tcBorders>
                  <w:vAlign w:val="center"/>
                </w:tcPr>
                <w:p>
                  <w:pPr>
                    <w:pStyle w:val="28"/>
                    <w:spacing w:line="360" w:lineRule="exact"/>
                    <w:rPr>
                      <w:color w:val="auto"/>
                      <w:szCs w:val="21"/>
                    </w:rPr>
                  </w:pPr>
                  <w:r>
                    <w:rPr>
                      <w:color w:val="auto"/>
                      <w:szCs w:val="21"/>
                    </w:rPr>
                    <w:t>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3" w:type="dxa"/>
                  <w:vMerge w:val="continue"/>
                  <w:tcBorders>
                    <w:left w:val="single" w:color="auto" w:sz="4" w:space="0"/>
                    <w:bottom w:val="single" w:color="auto" w:sz="4" w:space="0"/>
                    <w:right w:val="single" w:color="auto" w:sz="4" w:space="0"/>
                  </w:tcBorders>
                  <w:vAlign w:val="center"/>
                </w:tcPr>
                <w:p>
                  <w:pPr>
                    <w:pStyle w:val="28"/>
                    <w:spacing w:line="360" w:lineRule="exact"/>
                    <w:rPr>
                      <w:color w:val="auto"/>
                      <w:szCs w:val="21"/>
                    </w:rPr>
                  </w:pPr>
                </w:p>
              </w:tc>
              <w:tc>
                <w:tcPr>
                  <w:tcW w:w="3064"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rPr>
                      <w:color w:val="auto"/>
                      <w:szCs w:val="21"/>
                    </w:rPr>
                  </w:pPr>
                  <w:r>
                    <w:rPr>
                      <w:color w:val="auto"/>
                      <w:szCs w:val="21"/>
                    </w:rPr>
                    <w:t>1小时平均</w:t>
                  </w:r>
                </w:p>
              </w:tc>
              <w:tc>
                <w:tcPr>
                  <w:tcW w:w="1900" w:type="dxa"/>
                  <w:tcBorders>
                    <w:top w:val="single" w:color="auto" w:sz="4" w:space="0"/>
                    <w:left w:val="single" w:color="auto" w:sz="4" w:space="0"/>
                    <w:bottom w:val="single" w:color="auto" w:sz="4" w:space="0"/>
                    <w:right w:val="single" w:color="000000" w:sz="4" w:space="0"/>
                  </w:tcBorders>
                  <w:vAlign w:val="center"/>
                </w:tcPr>
                <w:p>
                  <w:pPr>
                    <w:pStyle w:val="28"/>
                    <w:spacing w:line="360" w:lineRule="exact"/>
                    <w:rPr>
                      <w:color w:val="auto"/>
                      <w:szCs w:val="21"/>
                    </w:rPr>
                  </w:pPr>
                  <w:r>
                    <w:rPr>
                      <w:color w:val="auto"/>
                      <w:szCs w:val="21"/>
                    </w:rPr>
                    <w:t>10</w:t>
                  </w:r>
                </w:p>
              </w:tc>
              <w:tc>
                <w:tcPr>
                  <w:tcW w:w="1244" w:type="dxa"/>
                  <w:vMerge w:val="continue"/>
                  <w:tcBorders>
                    <w:left w:val="single" w:color="000000" w:sz="4" w:space="0"/>
                    <w:bottom w:val="single" w:color="auto" w:sz="4" w:space="0"/>
                    <w:right w:val="single" w:color="auto" w:sz="4" w:space="0"/>
                  </w:tcBorders>
                  <w:vAlign w:val="center"/>
                </w:tcPr>
                <w:p>
                  <w:pPr>
                    <w:pStyle w:val="2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3" w:type="dxa"/>
                  <w:vMerge w:val="restart"/>
                  <w:tcBorders>
                    <w:left w:val="single" w:color="auto" w:sz="4" w:space="0"/>
                    <w:right w:val="single" w:color="auto" w:sz="4" w:space="0"/>
                  </w:tcBorders>
                  <w:vAlign w:val="center"/>
                </w:tcPr>
                <w:p>
                  <w:pPr>
                    <w:pStyle w:val="28"/>
                    <w:spacing w:line="360" w:lineRule="exact"/>
                    <w:rPr>
                      <w:color w:val="auto"/>
                      <w:szCs w:val="21"/>
                    </w:rPr>
                  </w:pPr>
                  <w:r>
                    <w:rPr>
                      <w:color w:val="auto"/>
                      <w:szCs w:val="21"/>
                    </w:rPr>
                    <w:t>臭氧（O</w:t>
                  </w:r>
                  <w:r>
                    <w:rPr>
                      <w:color w:val="auto"/>
                      <w:szCs w:val="21"/>
                      <w:vertAlign w:val="subscript"/>
                    </w:rPr>
                    <w:t>3</w:t>
                  </w:r>
                  <w:r>
                    <w:rPr>
                      <w:color w:val="auto"/>
                      <w:szCs w:val="21"/>
                    </w:rPr>
                    <w:t>）</w:t>
                  </w:r>
                </w:p>
              </w:tc>
              <w:tc>
                <w:tcPr>
                  <w:tcW w:w="3064"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rPr>
                      <w:color w:val="auto"/>
                      <w:szCs w:val="21"/>
                    </w:rPr>
                  </w:pPr>
                  <w:r>
                    <w:rPr>
                      <w:color w:val="auto"/>
                      <w:szCs w:val="21"/>
                    </w:rPr>
                    <w:t>日最大8小时平均</w:t>
                  </w:r>
                </w:p>
              </w:tc>
              <w:tc>
                <w:tcPr>
                  <w:tcW w:w="1900" w:type="dxa"/>
                  <w:tcBorders>
                    <w:top w:val="single" w:color="auto" w:sz="4" w:space="0"/>
                    <w:left w:val="single" w:color="auto" w:sz="4" w:space="0"/>
                    <w:bottom w:val="single" w:color="auto" w:sz="4" w:space="0"/>
                    <w:right w:val="single" w:color="000000" w:sz="4" w:space="0"/>
                  </w:tcBorders>
                  <w:vAlign w:val="center"/>
                </w:tcPr>
                <w:p>
                  <w:pPr>
                    <w:pStyle w:val="28"/>
                    <w:spacing w:line="360" w:lineRule="exact"/>
                    <w:rPr>
                      <w:color w:val="auto"/>
                      <w:szCs w:val="21"/>
                    </w:rPr>
                  </w:pPr>
                  <w:r>
                    <w:rPr>
                      <w:color w:val="auto"/>
                      <w:szCs w:val="21"/>
                    </w:rPr>
                    <w:t>160</w:t>
                  </w:r>
                </w:p>
              </w:tc>
              <w:tc>
                <w:tcPr>
                  <w:tcW w:w="1244" w:type="dxa"/>
                  <w:vMerge w:val="restart"/>
                  <w:tcBorders>
                    <w:left w:val="single" w:color="000000" w:sz="4" w:space="0"/>
                    <w:right w:val="single" w:color="auto" w:sz="4" w:space="0"/>
                  </w:tcBorders>
                  <w:vAlign w:val="center"/>
                </w:tcPr>
                <w:p>
                  <w:pPr>
                    <w:pStyle w:val="28"/>
                    <w:spacing w:line="360" w:lineRule="exact"/>
                    <w:rPr>
                      <w:color w:val="auto"/>
                      <w:szCs w:val="21"/>
                    </w:rPr>
                  </w:pPr>
                  <w:r>
                    <w:rPr>
                      <w:color w:val="auto"/>
                      <w:szCs w:val="21"/>
                    </w:rPr>
                    <w:t>ug/m³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3" w:type="dxa"/>
                  <w:vMerge w:val="continue"/>
                  <w:tcBorders>
                    <w:left w:val="single" w:color="auto" w:sz="4" w:space="0"/>
                    <w:bottom w:val="single" w:color="auto" w:sz="4" w:space="0"/>
                    <w:right w:val="single" w:color="auto" w:sz="4" w:space="0"/>
                  </w:tcBorders>
                  <w:vAlign w:val="center"/>
                </w:tcPr>
                <w:p>
                  <w:pPr>
                    <w:pStyle w:val="28"/>
                    <w:spacing w:line="360" w:lineRule="exact"/>
                    <w:rPr>
                      <w:color w:val="auto"/>
                      <w:szCs w:val="21"/>
                    </w:rPr>
                  </w:pPr>
                </w:p>
              </w:tc>
              <w:tc>
                <w:tcPr>
                  <w:tcW w:w="3064"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rPr>
                      <w:color w:val="auto"/>
                      <w:szCs w:val="21"/>
                    </w:rPr>
                  </w:pPr>
                  <w:r>
                    <w:rPr>
                      <w:color w:val="auto"/>
                      <w:szCs w:val="21"/>
                    </w:rPr>
                    <w:t>1小时平均</w:t>
                  </w:r>
                </w:p>
              </w:tc>
              <w:tc>
                <w:tcPr>
                  <w:tcW w:w="1900" w:type="dxa"/>
                  <w:tcBorders>
                    <w:top w:val="single" w:color="auto" w:sz="4" w:space="0"/>
                    <w:left w:val="single" w:color="auto" w:sz="4" w:space="0"/>
                    <w:bottom w:val="single" w:color="auto" w:sz="4" w:space="0"/>
                    <w:right w:val="single" w:color="000000" w:sz="4" w:space="0"/>
                  </w:tcBorders>
                  <w:vAlign w:val="center"/>
                </w:tcPr>
                <w:p>
                  <w:pPr>
                    <w:pStyle w:val="28"/>
                    <w:spacing w:line="360" w:lineRule="exact"/>
                    <w:rPr>
                      <w:color w:val="auto"/>
                      <w:szCs w:val="21"/>
                    </w:rPr>
                  </w:pPr>
                  <w:r>
                    <w:rPr>
                      <w:color w:val="auto"/>
                      <w:szCs w:val="21"/>
                    </w:rPr>
                    <w:t>200</w:t>
                  </w:r>
                </w:p>
              </w:tc>
              <w:tc>
                <w:tcPr>
                  <w:tcW w:w="1244" w:type="dxa"/>
                  <w:vMerge w:val="continue"/>
                  <w:tcBorders>
                    <w:left w:val="single" w:color="000000" w:sz="4" w:space="0"/>
                    <w:right w:val="single" w:color="auto" w:sz="4" w:space="0"/>
                  </w:tcBorders>
                  <w:vAlign w:val="center"/>
                </w:tcPr>
                <w:p>
                  <w:pPr>
                    <w:pStyle w:val="2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3" w:type="dxa"/>
                  <w:vMerge w:val="restart"/>
                  <w:tcBorders>
                    <w:top w:val="single" w:color="auto" w:sz="4" w:space="0"/>
                    <w:left w:val="single" w:color="auto" w:sz="4" w:space="0"/>
                    <w:bottom w:val="single" w:color="auto" w:sz="4" w:space="0"/>
                    <w:right w:val="single" w:color="auto" w:sz="4" w:space="0"/>
                  </w:tcBorders>
                  <w:vAlign w:val="center"/>
                </w:tcPr>
                <w:p>
                  <w:pPr>
                    <w:pStyle w:val="28"/>
                    <w:spacing w:line="360" w:lineRule="exact"/>
                    <w:rPr>
                      <w:color w:val="auto"/>
                      <w:szCs w:val="21"/>
                    </w:rPr>
                  </w:pPr>
                  <w:r>
                    <w:rPr>
                      <w:color w:val="auto"/>
                      <w:szCs w:val="21"/>
                    </w:rPr>
                    <w:t>颗粒物（粒径小于等于10um）</w:t>
                  </w:r>
                </w:p>
              </w:tc>
              <w:tc>
                <w:tcPr>
                  <w:tcW w:w="3064"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rPr>
                      <w:color w:val="auto"/>
                      <w:szCs w:val="21"/>
                    </w:rPr>
                  </w:pPr>
                  <w:r>
                    <w:rPr>
                      <w:color w:val="auto"/>
                      <w:szCs w:val="21"/>
                    </w:rPr>
                    <w:t>年平均</w:t>
                  </w:r>
                </w:p>
              </w:tc>
              <w:tc>
                <w:tcPr>
                  <w:tcW w:w="1900" w:type="dxa"/>
                  <w:tcBorders>
                    <w:top w:val="single" w:color="auto" w:sz="4" w:space="0"/>
                    <w:left w:val="single" w:color="auto" w:sz="4" w:space="0"/>
                    <w:bottom w:val="single" w:color="auto" w:sz="4" w:space="0"/>
                    <w:right w:val="single" w:color="000000" w:sz="4" w:space="0"/>
                  </w:tcBorders>
                  <w:vAlign w:val="center"/>
                </w:tcPr>
                <w:p>
                  <w:pPr>
                    <w:pStyle w:val="28"/>
                    <w:spacing w:line="360" w:lineRule="exact"/>
                    <w:rPr>
                      <w:color w:val="auto"/>
                      <w:szCs w:val="21"/>
                    </w:rPr>
                  </w:pPr>
                  <w:r>
                    <w:rPr>
                      <w:color w:val="auto"/>
                      <w:szCs w:val="21"/>
                    </w:rPr>
                    <w:t>70</w:t>
                  </w:r>
                </w:p>
              </w:tc>
              <w:tc>
                <w:tcPr>
                  <w:tcW w:w="1244" w:type="dxa"/>
                  <w:vMerge w:val="continue"/>
                  <w:tcBorders>
                    <w:left w:val="single" w:color="000000" w:sz="4" w:space="0"/>
                    <w:right w:val="single" w:color="auto" w:sz="4" w:space="0"/>
                  </w:tcBorders>
                  <w:vAlign w:val="center"/>
                </w:tcPr>
                <w:p>
                  <w:pPr>
                    <w:pStyle w:val="2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3" w:type="dxa"/>
                  <w:vMerge w:val="continue"/>
                  <w:tcBorders>
                    <w:top w:val="single" w:color="auto" w:sz="4" w:space="0"/>
                    <w:left w:val="single" w:color="auto" w:sz="4" w:space="0"/>
                    <w:bottom w:val="single" w:color="auto" w:sz="4" w:space="0"/>
                    <w:right w:val="single" w:color="auto" w:sz="4" w:space="0"/>
                  </w:tcBorders>
                  <w:vAlign w:val="center"/>
                </w:tcPr>
                <w:p>
                  <w:pPr>
                    <w:pStyle w:val="28"/>
                    <w:spacing w:line="360" w:lineRule="exact"/>
                    <w:rPr>
                      <w:color w:val="auto"/>
                      <w:szCs w:val="21"/>
                    </w:rPr>
                  </w:pPr>
                </w:p>
              </w:tc>
              <w:tc>
                <w:tcPr>
                  <w:tcW w:w="3064"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rPr>
                      <w:color w:val="auto"/>
                      <w:szCs w:val="21"/>
                    </w:rPr>
                  </w:pPr>
                  <w:r>
                    <w:rPr>
                      <w:color w:val="auto"/>
                      <w:szCs w:val="21"/>
                    </w:rPr>
                    <w:t>24小时平均</w:t>
                  </w:r>
                </w:p>
              </w:tc>
              <w:tc>
                <w:tcPr>
                  <w:tcW w:w="1900" w:type="dxa"/>
                  <w:tcBorders>
                    <w:top w:val="single" w:color="auto" w:sz="4" w:space="0"/>
                    <w:left w:val="single" w:color="auto" w:sz="4" w:space="0"/>
                    <w:bottom w:val="single" w:color="auto" w:sz="4" w:space="0"/>
                    <w:right w:val="single" w:color="000000" w:sz="4" w:space="0"/>
                  </w:tcBorders>
                  <w:vAlign w:val="center"/>
                </w:tcPr>
                <w:p>
                  <w:pPr>
                    <w:pStyle w:val="28"/>
                    <w:spacing w:line="360" w:lineRule="exact"/>
                    <w:rPr>
                      <w:color w:val="auto"/>
                      <w:szCs w:val="21"/>
                    </w:rPr>
                  </w:pPr>
                  <w:r>
                    <w:rPr>
                      <w:color w:val="auto"/>
                      <w:szCs w:val="21"/>
                    </w:rPr>
                    <w:t>150</w:t>
                  </w:r>
                </w:p>
              </w:tc>
              <w:tc>
                <w:tcPr>
                  <w:tcW w:w="1244" w:type="dxa"/>
                  <w:vMerge w:val="continue"/>
                  <w:tcBorders>
                    <w:left w:val="single" w:color="000000" w:sz="4" w:space="0"/>
                    <w:right w:val="single" w:color="auto" w:sz="4" w:space="0"/>
                  </w:tcBorders>
                  <w:vAlign w:val="center"/>
                </w:tcPr>
                <w:p>
                  <w:pPr>
                    <w:pStyle w:val="2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3" w:type="dxa"/>
                  <w:vMerge w:val="restart"/>
                  <w:tcBorders>
                    <w:top w:val="single" w:color="auto" w:sz="4" w:space="0"/>
                    <w:left w:val="single" w:color="auto" w:sz="4" w:space="0"/>
                    <w:right w:val="single" w:color="auto" w:sz="4" w:space="0"/>
                  </w:tcBorders>
                  <w:vAlign w:val="center"/>
                </w:tcPr>
                <w:p>
                  <w:pPr>
                    <w:pStyle w:val="28"/>
                    <w:spacing w:line="360" w:lineRule="exact"/>
                    <w:rPr>
                      <w:color w:val="auto"/>
                      <w:szCs w:val="21"/>
                    </w:rPr>
                  </w:pPr>
                  <w:r>
                    <w:rPr>
                      <w:color w:val="auto"/>
                      <w:szCs w:val="21"/>
                    </w:rPr>
                    <w:t>颗粒物（粒径小于等于2.5um）</w:t>
                  </w:r>
                </w:p>
              </w:tc>
              <w:tc>
                <w:tcPr>
                  <w:tcW w:w="3064"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rPr>
                      <w:color w:val="auto"/>
                      <w:szCs w:val="21"/>
                    </w:rPr>
                  </w:pPr>
                  <w:r>
                    <w:rPr>
                      <w:color w:val="auto"/>
                      <w:szCs w:val="21"/>
                    </w:rPr>
                    <w:t>年平均</w:t>
                  </w:r>
                </w:p>
              </w:tc>
              <w:tc>
                <w:tcPr>
                  <w:tcW w:w="1900" w:type="dxa"/>
                  <w:tcBorders>
                    <w:top w:val="single" w:color="auto" w:sz="4" w:space="0"/>
                    <w:left w:val="single" w:color="auto" w:sz="4" w:space="0"/>
                    <w:bottom w:val="single" w:color="auto" w:sz="4" w:space="0"/>
                    <w:right w:val="single" w:color="000000" w:sz="4" w:space="0"/>
                  </w:tcBorders>
                  <w:vAlign w:val="center"/>
                </w:tcPr>
                <w:p>
                  <w:pPr>
                    <w:pStyle w:val="28"/>
                    <w:spacing w:line="360" w:lineRule="exact"/>
                    <w:rPr>
                      <w:color w:val="auto"/>
                      <w:szCs w:val="21"/>
                    </w:rPr>
                  </w:pPr>
                  <w:r>
                    <w:rPr>
                      <w:color w:val="auto"/>
                      <w:szCs w:val="21"/>
                    </w:rPr>
                    <w:t>35</w:t>
                  </w:r>
                </w:p>
              </w:tc>
              <w:tc>
                <w:tcPr>
                  <w:tcW w:w="1244" w:type="dxa"/>
                  <w:vMerge w:val="continue"/>
                  <w:tcBorders>
                    <w:left w:val="single" w:color="000000" w:sz="4" w:space="0"/>
                    <w:right w:val="single" w:color="auto" w:sz="4" w:space="0"/>
                  </w:tcBorders>
                  <w:vAlign w:val="center"/>
                </w:tcPr>
                <w:p>
                  <w:pPr>
                    <w:pStyle w:val="2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3" w:type="dxa"/>
                  <w:vMerge w:val="continue"/>
                  <w:tcBorders>
                    <w:left w:val="single" w:color="auto" w:sz="4" w:space="0"/>
                    <w:bottom w:val="single" w:color="auto" w:sz="4" w:space="0"/>
                    <w:right w:val="single" w:color="auto" w:sz="4" w:space="0"/>
                  </w:tcBorders>
                  <w:vAlign w:val="center"/>
                </w:tcPr>
                <w:p>
                  <w:pPr>
                    <w:pStyle w:val="28"/>
                    <w:spacing w:line="360" w:lineRule="exact"/>
                    <w:rPr>
                      <w:color w:val="auto"/>
                      <w:szCs w:val="21"/>
                    </w:rPr>
                  </w:pPr>
                </w:p>
              </w:tc>
              <w:tc>
                <w:tcPr>
                  <w:tcW w:w="3064"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rPr>
                      <w:color w:val="auto"/>
                      <w:szCs w:val="21"/>
                    </w:rPr>
                  </w:pPr>
                  <w:r>
                    <w:rPr>
                      <w:color w:val="auto"/>
                      <w:szCs w:val="21"/>
                    </w:rPr>
                    <w:t>24小时平均</w:t>
                  </w:r>
                </w:p>
              </w:tc>
              <w:tc>
                <w:tcPr>
                  <w:tcW w:w="1900" w:type="dxa"/>
                  <w:tcBorders>
                    <w:top w:val="single" w:color="auto" w:sz="4" w:space="0"/>
                    <w:left w:val="single" w:color="auto" w:sz="4" w:space="0"/>
                    <w:bottom w:val="single" w:color="auto" w:sz="4" w:space="0"/>
                    <w:right w:val="single" w:color="000000" w:sz="4" w:space="0"/>
                  </w:tcBorders>
                  <w:vAlign w:val="center"/>
                </w:tcPr>
                <w:p>
                  <w:pPr>
                    <w:pStyle w:val="28"/>
                    <w:spacing w:line="360" w:lineRule="exact"/>
                    <w:rPr>
                      <w:color w:val="auto"/>
                      <w:szCs w:val="21"/>
                    </w:rPr>
                  </w:pPr>
                  <w:r>
                    <w:rPr>
                      <w:color w:val="auto"/>
                      <w:szCs w:val="21"/>
                    </w:rPr>
                    <w:t>75</w:t>
                  </w:r>
                </w:p>
              </w:tc>
              <w:tc>
                <w:tcPr>
                  <w:tcW w:w="1244" w:type="dxa"/>
                  <w:vMerge w:val="continue"/>
                  <w:tcBorders>
                    <w:left w:val="single" w:color="000000" w:sz="4" w:space="0"/>
                    <w:right w:val="single" w:color="auto" w:sz="4" w:space="0"/>
                  </w:tcBorders>
                  <w:vAlign w:val="center"/>
                </w:tcPr>
                <w:p>
                  <w:pPr>
                    <w:pStyle w:val="2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3" w:type="dxa"/>
                  <w:vMerge w:val="restart"/>
                  <w:tcBorders>
                    <w:left w:val="single" w:color="auto" w:sz="4" w:space="0"/>
                    <w:right w:val="single" w:color="auto" w:sz="4" w:space="0"/>
                  </w:tcBorders>
                  <w:vAlign w:val="center"/>
                </w:tcPr>
                <w:p>
                  <w:pPr>
                    <w:pStyle w:val="28"/>
                    <w:spacing w:line="360" w:lineRule="exact"/>
                    <w:rPr>
                      <w:color w:val="auto"/>
                      <w:szCs w:val="21"/>
                    </w:rPr>
                  </w:pPr>
                  <w:r>
                    <w:rPr>
                      <w:color w:val="auto"/>
                      <w:szCs w:val="21"/>
                    </w:rPr>
                    <w:t>总悬浮颗粒物（TSP）</w:t>
                  </w:r>
                </w:p>
              </w:tc>
              <w:tc>
                <w:tcPr>
                  <w:tcW w:w="3064"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rPr>
                      <w:color w:val="auto"/>
                      <w:szCs w:val="21"/>
                    </w:rPr>
                  </w:pPr>
                  <w:r>
                    <w:rPr>
                      <w:color w:val="auto"/>
                      <w:szCs w:val="21"/>
                    </w:rPr>
                    <w:t>年平均</w:t>
                  </w:r>
                </w:p>
              </w:tc>
              <w:tc>
                <w:tcPr>
                  <w:tcW w:w="1900" w:type="dxa"/>
                  <w:tcBorders>
                    <w:top w:val="single" w:color="auto" w:sz="4" w:space="0"/>
                    <w:left w:val="single" w:color="auto" w:sz="4" w:space="0"/>
                    <w:bottom w:val="single" w:color="auto" w:sz="4" w:space="0"/>
                    <w:right w:val="single" w:color="000000" w:sz="4" w:space="0"/>
                  </w:tcBorders>
                  <w:vAlign w:val="center"/>
                </w:tcPr>
                <w:p>
                  <w:pPr>
                    <w:pStyle w:val="28"/>
                    <w:spacing w:line="360" w:lineRule="exact"/>
                    <w:rPr>
                      <w:color w:val="auto"/>
                      <w:szCs w:val="21"/>
                    </w:rPr>
                  </w:pPr>
                  <w:r>
                    <w:rPr>
                      <w:color w:val="auto"/>
                      <w:szCs w:val="21"/>
                    </w:rPr>
                    <w:t>200</w:t>
                  </w:r>
                </w:p>
              </w:tc>
              <w:tc>
                <w:tcPr>
                  <w:tcW w:w="1244" w:type="dxa"/>
                  <w:vMerge w:val="continue"/>
                  <w:tcBorders>
                    <w:left w:val="single" w:color="000000" w:sz="4" w:space="0"/>
                    <w:right w:val="single" w:color="auto" w:sz="4" w:space="0"/>
                  </w:tcBorders>
                  <w:vAlign w:val="center"/>
                </w:tcPr>
                <w:p>
                  <w:pPr>
                    <w:pStyle w:val="2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3" w:type="dxa"/>
                  <w:vMerge w:val="continue"/>
                  <w:tcBorders>
                    <w:left w:val="single" w:color="auto" w:sz="4" w:space="0"/>
                    <w:right w:val="single" w:color="auto" w:sz="4" w:space="0"/>
                  </w:tcBorders>
                  <w:vAlign w:val="center"/>
                </w:tcPr>
                <w:p>
                  <w:pPr>
                    <w:pStyle w:val="28"/>
                    <w:spacing w:line="360" w:lineRule="exact"/>
                    <w:rPr>
                      <w:color w:val="auto"/>
                      <w:szCs w:val="21"/>
                    </w:rPr>
                  </w:pPr>
                </w:p>
              </w:tc>
              <w:tc>
                <w:tcPr>
                  <w:tcW w:w="3064"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rPr>
                      <w:color w:val="auto"/>
                      <w:szCs w:val="21"/>
                    </w:rPr>
                  </w:pPr>
                  <w:r>
                    <w:rPr>
                      <w:color w:val="auto"/>
                      <w:szCs w:val="21"/>
                    </w:rPr>
                    <w:t>24小时平均</w:t>
                  </w:r>
                </w:p>
              </w:tc>
              <w:tc>
                <w:tcPr>
                  <w:tcW w:w="1900" w:type="dxa"/>
                  <w:tcBorders>
                    <w:top w:val="single" w:color="auto" w:sz="4" w:space="0"/>
                    <w:left w:val="single" w:color="auto" w:sz="4" w:space="0"/>
                    <w:bottom w:val="single" w:color="auto" w:sz="4" w:space="0"/>
                    <w:right w:val="single" w:color="000000" w:sz="4" w:space="0"/>
                  </w:tcBorders>
                  <w:vAlign w:val="center"/>
                </w:tcPr>
                <w:p>
                  <w:pPr>
                    <w:pStyle w:val="28"/>
                    <w:spacing w:line="360" w:lineRule="exact"/>
                    <w:rPr>
                      <w:color w:val="auto"/>
                      <w:szCs w:val="21"/>
                    </w:rPr>
                  </w:pPr>
                  <w:r>
                    <w:rPr>
                      <w:color w:val="auto"/>
                      <w:szCs w:val="21"/>
                    </w:rPr>
                    <w:t>300</w:t>
                  </w:r>
                </w:p>
              </w:tc>
              <w:tc>
                <w:tcPr>
                  <w:tcW w:w="1244" w:type="dxa"/>
                  <w:vMerge w:val="continue"/>
                  <w:tcBorders>
                    <w:left w:val="single" w:color="000000" w:sz="4" w:space="0"/>
                    <w:bottom w:val="single" w:color="auto" w:sz="4" w:space="0"/>
                    <w:right w:val="single" w:color="auto" w:sz="4" w:space="0"/>
                  </w:tcBorders>
                  <w:vAlign w:val="center"/>
                </w:tcPr>
                <w:p>
                  <w:pPr>
                    <w:pStyle w:val="28"/>
                    <w:spacing w:line="360" w:lineRule="exact"/>
                    <w:rPr>
                      <w:color w:val="auto"/>
                      <w:szCs w:val="21"/>
                    </w:rPr>
                  </w:pPr>
                </w:p>
              </w:tc>
            </w:tr>
          </w:tbl>
          <w:p>
            <w:pPr>
              <w:pStyle w:val="35"/>
              <w:spacing w:before="156" w:beforeLines="50"/>
              <w:ind w:firstLine="482"/>
              <w:rPr>
                <w:rFonts w:eastAsiaTheme="minorEastAsia"/>
                <w:b/>
                <w:szCs w:val="24"/>
              </w:rPr>
            </w:pPr>
            <w:r>
              <w:rPr>
                <w:rFonts w:eastAsiaTheme="minorEastAsia"/>
                <w:b/>
                <w:szCs w:val="24"/>
              </w:rPr>
              <w:t>3.3.2 地表水环境</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区属于小江的汇水范围，小江位于项目区西侧50m。根据云南省水利厅发布的《云南省水功能区划》（2014版），小江（清水海-入金沙江口段）到2030年的水质目标为III类水体，执行《地表水环境质量标准》（GB3838-2002）III类水标准。</w:t>
            </w:r>
          </w:p>
          <w:p>
            <w:pPr>
              <w:spacing w:line="360" w:lineRule="auto"/>
              <w:ind w:firstLine="480" w:firstLineChars="200"/>
              <w:rPr>
                <w:rFonts w:ascii="Times New Roman" w:hAnsi="Times New Roman" w:cs="Times New Roman"/>
                <w:b/>
                <w:szCs w:val="24"/>
              </w:rPr>
            </w:pPr>
            <w:r>
              <w:rPr>
                <w:rFonts w:ascii="Times New Roman" w:hAnsi="Times New Roman" w:cs="Times New Roman"/>
                <w:sz w:val="24"/>
                <w:szCs w:val="24"/>
              </w:rPr>
              <w:t>标准限值详见下表。</w:t>
            </w:r>
          </w:p>
          <w:p>
            <w:pPr>
              <w:jc w:val="center"/>
              <w:rPr>
                <w:rFonts w:ascii="Times New Roman" w:hAnsi="Times New Roman" w:cs="Times New Roman"/>
                <w:b/>
                <w:szCs w:val="24"/>
              </w:rPr>
            </w:pPr>
            <w:r>
              <w:rPr>
                <w:rFonts w:ascii="Times New Roman" w:hAnsi="Times New Roman" w:cs="Times New Roman"/>
                <w:b/>
                <w:szCs w:val="24"/>
              </w:rPr>
              <w:t>表3.3.2-1 地表水环境质量评价标准值  单位：mg/L</w:t>
            </w:r>
          </w:p>
          <w:tbl>
            <w:tblPr>
              <w:tblStyle w:val="17"/>
              <w:tblW w:w="8851"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30"/>
              <w:gridCol w:w="1598"/>
              <w:gridCol w:w="1608"/>
              <w:gridCol w:w="2244"/>
              <w:gridCol w:w="17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30" w:type="dxa"/>
                  <w:vAlign w:val="center"/>
                </w:tcPr>
                <w:p>
                  <w:pPr>
                    <w:pStyle w:val="28"/>
                    <w:spacing w:line="360" w:lineRule="exact"/>
                    <w:ind w:left="11"/>
                    <w:rPr>
                      <w:color w:val="auto"/>
                      <w:szCs w:val="21"/>
                    </w:rPr>
                  </w:pPr>
                  <w:r>
                    <w:rPr>
                      <w:color w:val="auto"/>
                      <w:szCs w:val="21"/>
                    </w:rPr>
                    <w:t>项目</w:t>
                  </w:r>
                </w:p>
              </w:tc>
              <w:tc>
                <w:tcPr>
                  <w:tcW w:w="1598" w:type="dxa"/>
                  <w:vAlign w:val="center"/>
                </w:tcPr>
                <w:p>
                  <w:pPr>
                    <w:pStyle w:val="28"/>
                    <w:spacing w:line="360" w:lineRule="exact"/>
                    <w:ind w:left="11"/>
                    <w:rPr>
                      <w:color w:val="auto"/>
                      <w:szCs w:val="21"/>
                    </w:rPr>
                  </w:pPr>
                  <w:r>
                    <w:rPr>
                      <w:color w:val="auto"/>
                      <w:szCs w:val="21"/>
                    </w:rPr>
                    <w:t>pH</w:t>
                  </w:r>
                </w:p>
              </w:tc>
              <w:tc>
                <w:tcPr>
                  <w:tcW w:w="1608" w:type="dxa"/>
                  <w:vAlign w:val="center"/>
                </w:tcPr>
                <w:p>
                  <w:pPr>
                    <w:pStyle w:val="28"/>
                    <w:spacing w:line="360" w:lineRule="exact"/>
                    <w:ind w:left="11"/>
                    <w:rPr>
                      <w:color w:val="auto"/>
                      <w:szCs w:val="21"/>
                    </w:rPr>
                  </w:pPr>
                  <w:r>
                    <w:rPr>
                      <w:color w:val="auto"/>
                      <w:szCs w:val="21"/>
                    </w:rPr>
                    <w:t>CODcr</w:t>
                  </w:r>
                </w:p>
              </w:tc>
              <w:tc>
                <w:tcPr>
                  <w:tcW w:w="2244" w:type="dxa"/>
                  <w:vAlign w:val="center"/>
                </w:tcPr>
                <w:p>
                  <w:pPr>
                    <w:pStyle w:val="28"/>
                    <w:spacing w:line="360" w:lineRule="exact"/>
                    <w:ind w:left="11"/>
                    <w:rPr>
                      <w:color w:val="auto"/>
                      <w:szCs w:val="21"/>
                    </w:rPr>
                  </w:pPr>
                  <w:r>
                    <w:rPr>
                      <w:color w:val="auto"/>
                      <w:szCs w:val="21"/>
                    </w:rPr>
                    <w:t>BOD</w:t>
                  </w:r>
                  <w:r>
                    <w:rPr>
                      <w:color w:val="auto"/>
                      <w:szCs w:val="21"/>
                      <w:vertAlign w:val="subscript"/>
                    </w:rPr>
                    <w:t>5</w:t>
                  </w:r>
                </w:p>
              </w:tc>
              <w:tc>
                <w:tcPr>
                  <w:tcW w:w="1771" w:type="dxa"/>
                  <w:vAlign w:val="center"/>
                </w:tcPr>
                <w:p>
                  <w:pPr>
                    <w:pStyle w:val="28"/>
                    <w:spacing w:line="360" w:lineRule="exact"/>
                    <w:ind w:left="11"/>
                    <w:rPr>
                      <w:color w:val="auto"/>
                      <w:szCs w:val="21"/>
                    </w:rPr>
                  </w:pPr>
                  <w:r>
                    <w:rPr>
                      <w:color w:val="auto"/>
                      <w:szCs w:val="21"/>
                    </w:rPr>
                    <w:t>NH</w:t>
                  </w:r>
                  <w:r>
                    <w:rPr>
                      <w:color w:val="auto"/>
                      <w:szCs w:val="21"/>
                      <w:vertAlign w:val="subscript"/>
                    </w:rPr>
                    <w:t>3</w:t>
                  </w:r>
                  <w:r>
                    <w:rPr>
                      <w:color w:val="auto"/>
                      <w:szCs w:val="21"/>
                    </w:rPr>
                    <w:t>-N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30" w:type="dxa"/>
                  <w:vAlign w:val="center"/>
                </w:tcPr>
                <w:p>
                  <w:pPr>
                    <w:pStyle w:val="28"/>
                    <w:spacing w:line="360" w:lineRule="exact"/>
                    <w:ind w:left="11"/>
                    <w:rPr>
                      <w:color w:val="auto"/>
                      <w:szCs w:val="21"/>
                    </w:rPr>
                  </w:pPr>
                  <w:r>
                    <w:rPr>
                      <w:color w:val="auto"/>
                      <w:szCs w:val="21"/>
                    </w:rPr>
                    <w:t>III类</w:t>
                  </w:r>
                </w:p>
              </w:tc>
              <w:tc>
                <w:tcPr>
                  <w:tcW w:w="1598" w:type="dxa"/>
                  <w:vAlign w:val="center"/>
                </w:tcPr>
                <w:p>
                  <w:pPr>
                    <w:pStyle w:val="28"/>
                    <w:spacing w:line="360" w:lineRule="exact"/>
                    <w:ind w:left="11"/>
                    <w:rPr>
                      <w:color w:val="auto"/>
                      <w:szCs w:val="21"/>
                    </w:rPr>
                  </w:pPr>
                  <w:r>
                    <w:rPr>
                      <w:color w:val="auto"/>
                      <w:szCs w:val="21"/>
                    </w:rPr>
                    <w:t>6-9</w:t>
                  </w:r>
                </w:p>
              </w:tc>
              <w:tc>
                <w:tcPr>
                  <w:tcW w:w="1608" w:type="dxa"/>
                  <w:vAlign w:val="center"/>
                </w:tcPr>
                <w:p>
                  <w:pPr>
                    <w:pStyle w:val="28"/>
                    <w:spacing w:line="360" w:lineRule="exact"/>
                    <w:ind w:left="11"/>
                    <w:rPr>
                      <w:color w:val="auto"/>
                      <w:szCs w:val="21"/>
                    </w:rPr>
                  </w:pPr>
                  <w:r>
                    <w:rPr>
                      <w:color w:val="auto"/>
                      <w:szCs w:val="21"/>
                    </w:rPr>
                    <w:t>≤20</w:t>
                  </w:r>
                </w:p>
              </w:tc>
              <w:tc>
                <w:tcPr>
                  <w:tcW w:w="2244" w:type="dxa"/>
                  <w:vAlign w:val="center"/>
                </w:tcPr>
                <w:p>
                  <w:pPr>
                    <w:pStyle w:val="28"/>
                    <w:spacing w:line="360" w:lineRule="exact"/>
                    <w:ind w:left="11"/>
                    <w:rPr>
                      <w:color w:val="auto"/>
                      <w:szCs w:val="21"/>
                    </w:rPr>
                  </w:pPr>
                  <w:r>
                    <w:rPr>
                      <w:color w:val="auto"/>
                      <w:szCs w:val="21"/>
                    </w:rPr>
                    <w:t>≤4</w:t>
                  </w:r>
                </w:p>
              </w:tc>
              <w:tc>
                <w:tcPr>
                  <w:tcW w:w="1771" w:type="dxa"/>
                  <w:vAlign w:val="center"/>
                </w:tcPr>
                <w:p>
                  <w:pPr>
                    <w:pStyle w:val="28"/>
                    <w:spacing w:line="360" w:lineRule="exact"/>
                    <w:ind w:left="11"/>
                    <w:rPr>
                      <w:color w:val="auto"/>
                      <w:szCs w:val="21"/>
                    </w:rPr>
                  </w:pPr>
                  <w:r>
                    <w:rPr>
                      <w:color w:val="auto"/>
                      <w:szCs w:val="21"/>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30" w:type="dxa"/>
                  <w:vAlign w:val="center"/>
                </w:tcPr>
                <w:p>
                  <w:pPr>
                    <w:pStyle w:val="28"/>
                    <w:spacing w:line="360" w:lineRule="exact"/>
                    <w:ind w:left="11"/>
                    <w:rPr>
                      <w:color w:val="auto"/>
                      <w:szCs w:val="21"/>
                    </w:rPr>
                  </w:pPr>
                  <w:r>
                    <w:rPr>
                      <w:color w:val="auto"/>
                      <w:szCs w:val="21"/>
                    </w:rPr>
                    <w:t>项目</w:t>
                  </w:r>
                </w:p>
              </w:tc>
              <w:tc>
                <w:tcPr>
                  <w:tcW w:w="1598" w:type="dxa"/>
                  <w:vAlign w:val="center"/>
                </w:tcPr>
                <w:p>
                  <w:pPr>
                    <w:pStyle w:val="28"/>
                    <w:spacing w:line="360" w:lineRule="exact"/>
                    <w:ind w:left="11"/>
                    <w:rPr>
                      <w:color w:val="auto"/>
                      <w:szCs w:val="21"/>
                    </w:rPr>
                  </w:pPr>
                  <w:r>
                    <w:rPr>
                      <w:color w:val="auto"/>
                      <w:szCs w:val="21"/>
                    </w:rPr>
                    <w:t>总磷</w:t>
                  </w:r>
                </w:p>
              </w:tc>
              <w:tc>
                <w:tcPr>
                  <w:tcW w:w="1608" w:type="dxa"/>
                  <w:vAlign w:val="center"/>
                </w:tcPr>
                <w:p>
                  <w:pPr>
                    <w:pStyle w:val="28"/>
                    <w:spacing w:line="360" w:lineRule="exact"/>
                    <w:ind w:left="11"/>
                    <w:rPr>
                      <w:color w:val="auto"/>
                      <w:szCs w:val="21"/>
                    </w:rPr>
                  </w:pPr>
                  <w:r>
                    <w:rPr>
                      <w:color w:val="auto"/>
                      <w:szCs w:val="21"/>
                    </w:rPr>
                    <w:t>石油类</w:t>
                  </w:r>
                </w:p>
              </w:tc>
              <w:tc>
                <w:tcPr>
                  <w:tcW w:w="2244" w:type="dxa"/>
                  <w:vAlign w:val="center"/>
                </w:tcPr>
                <w:p>
                  <w:pPr>
                    <w:spacing w:line="360" w:lineRule="exact"/>
                    <w:ind w:left="11"/>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阴离子表面活性剂</w:t>
                  </w:r>
                </w:p>
              </w:tc>
              <w:tc>
                <w:tcPr>
                  <w:tcW w:w="1771" w:type="dxa"/>
                  <w:vAlign w:val="center"/>
                </w:tcPr>
                <w:p>
                  <w:pPr>
                    <w:spacing w:line="360" w:lineRule="exact"/>
                    <w:ind w:left="11"/>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粪大肠菌群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30" w:type="dxa"/>
                  <w:vAlign w:val="center"/>
                </w:tcPr>
                <w:p>
                  <w:pPr>
                    <w:pStyle w:val="28"/>
                    <w:spacing w:line="360" w:lineRule="exact"/>
                    <w:ind w:left="11"/>
                    <w:rPr>
                      <w:color w:val="auto"/>
                      <w:szCs w:val="21"/>
                    </w:rPr>
                  </w:pPr>
                  <w:r>
                    <w:rPr>
                      <w:color w:val="auto"/>
                      <w:szCs w:val="21"/>
                    </w:rPr>
                    <w:t>III类</w:t>
                  </w:r>
                </w:p>
              </w:tc>
              <w:tc>
                <w:tcPr>
                  <w:tcW w:w="1598" w:type="dxa"/>
                  <w:vAlign w:val="center"/>
                </w:tcPr>
                <w:p>
                  <w:pPr>
                    <w:pStyle w:val="28"/>
                    <w:spacing w:line="360" w:lineRule="exact"/>
                    <w:ind w:left="11"/>
                    <w:rPr>
                      <w:color w:val="auto"/>
                      <w:szCs w:val="21"/>
                    </w:rPr>
                  </w:pPr>
                  <w:r>
                    <w:rPr>
                      <w:color w:val="auto"/>
                      <w:szCs w:val="21"/>
                    </w:rPr>
                    <w:t>≤0.2</w:t>
                  </w:r>
                </w:p>
              </w:tc>
              <w:tc>
                <w:tcPr>
                  <w:tcW w:w="1608" w:type="dxa"/>
                  <w:vAlign w:val="center"/>
                </w:tcPr>
                <w:p>
                  <w:pPr>
                    <w:pStyle w:val="28"/>
                    <w:spacing w:line="360" w:lineRule="exact"/>
                    <w:ind w:left="11"/>
                    <w:rPr>
                      <w:color w:val="auto"/>
                      <w:szCs w:val="21"/>
                    </w:rPr>
                  </w:pPr>
                  <w:r>
                    <w:rPr>
                      <w:color w:val="auto"/>
                      <w:szCs w:val="21"/>
                    </w:rPr>
                    <w:t>≤0.05</w:t>
                  </w:r>
                </w:p>
              </w:tc>
              <w:tc>
                <w:tcPr>
                  <w:tcW w:w="2244" w:type="dxa"/>
                  <w:vAlign w:val="center"/>
                </w:tcPr>
                <w:p>
                  <w:pPr>
                    <w:spacing w:line="360" w:lineRule="exact"/>
                    <w:ind w:left="11"/>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≤0.2</w:t>
                  </w:r>
                </w:p>
              </w:tc>
              <w:tc>
                <w:tcPr>
                  <w:tcW w:w="1771" w:type="dxa"/>
                  <w:vAlign w:val="center"/>
                </w:tcPr>
                <w:p>
                  <w:pPr>
                    <w:spacing w:line="360" w:lineRule="exact"/>
                    <w:ind w:left="11"/>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10000个/L</w:t>
                  </w:r>
                </w:p>
              </w:tc>
            </w:tr>
          </w:tbl>
          <w:p>
            <w:pPr>
              <w:pStyle w:val="35"/>
              <w:spacing w:before="156" w:beforeLines="50"/>
              <w:ind w:firstLine="482"/>
              <w:rPr>
                <w:rFonts w:eastAsiaTheme="minorEastAsia"/>
                <w:b/>
                <w:szCs w:val="24"/>
              </w:rPr>
            </w:pPr>
            <w:r>
              <w:rPr>
                <w:rFonts w:eastAsiaTheme="minorEastAsia"/>
                <w:b/>
                <w:szCs w:val="24"/>
              </w:rPr>
              <w:t>3.3.3 声环境</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本项目位于昆明市东川区铜都镇小李庄村，按照《声环境功能区划分技术规范》（GB/T15190-2014）的划分要求，项目区域为2类区，声环境执行《声环境质量标准》（GB3096-2008）2类区标准。标准限值详见下表。</w:t>
            </w:r>
          </w:p>
          <w:p>
            <w:pPr>
              <w:jc w:val="center"/>
              <w:rPr>
                <w:rFonts w:ascii="Times New Roman" w:hAnsi="Times New Roman" w:cs="Times New Roman"/>
                <w:b/>
                <w:szCs w:val="24"/>
              </w:rPr>
            </w:pPr>
            <w:r>
              <w:rPr>
                <w:rFonts w:ascii="Times New Roman" w:hAnsi="Times New Roman" w:cs="Times New Roman"/>
                <w:b/>
                <w:szCs w:val="24"/>
              </w:rPr>
              <w:t>表3.3.3-1  环境噪声限值  单位：dB（A）</w:t>
            </w:r>
          </w:p>
          <w:tbl>
            <w:tblPr>
              <w:tblStyle w:val="16"/>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3"/>
              <w:gridCol w:w="2333"/>
              <w:gridCol w:w="2188"/>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2213" w:type="dxa"/>
                  <w:vMerge w:val="restart"/>
                  <w:vAlign w:val="center"/>
                </w:tcPr>
                <w:p>
                  <w:pPr>
                    <w:pStyle w:val="28"/>
                    <w:spacing w:line="360" w:lineRule="exact"/>
                    <w:rPr>
                      <w:color w:val="auto"/>
                      <w:szCs w:val="21"/>
                    </w:rPr>
                  </w:pPr>
                  <w:r>
                    <w:rPr>
                      <w:color w:val="auto"/>
                      <w:szCs w:val="21"/>
                    </w:rPr>
                    <w:t>执行区域</w:t>
                  </w:r>
                </w:p>
              </w:tc>
              <w:tc>
                <w:tcPr>
                  <w:tcW w:w="2333" w:type="dxa"/>
                  <w:vMerge w:val="restart"/>
                  <w:vAlign w:val="center"/>
                </w:tcPr>
                <w:p>
                  <w:pPr>
                    <w:pStyle w:val="28"/>
                    <w:spacing w:line="360" w:lineRule="exact"/>
                    <w:rPr>
                      <w:color w:val="auto"/>
                      <w:szCs w:val="21"/>
                    </w:rPr>
                  </w:pPr>
                  <w:r>
                    <w:rPr>
                      <w:color w:val="auto"/>
                      <w:szCs w:val="21"/>
                    </w:rPr>
                    <w:t>声环境功能区类别</w:t>
                  </w:r>
                </w:p>
              </w:tc>
              <w:tc>
                <w:tcPr>
                  <w:tcW w:w="4305" w:type="dxa"/>
                  <w:gridSpan w:val="2"/>
                  <w:vAlign w:val="center"/>
                </w:tcPr>
                <w:p>
                  <w:pPr>
                    <w:pStyle w:val="28"/>
                    <w:spacing w:line="360" w:lineRule="exact"/>
                    <w:rPr>
                      <w:color w:val="auto"/>
                      <w:szCs w:val="21"/>
                    </w:rPr>
                  </w:pPr>
                  <w:r>
                    <w:rPr>
                      <w:color w:val="auto"/>
                      <w:szCs w:val="21"/>
                    </w:rPr>
                    <w:t>等效声级Leq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2213" w:type="dxa"/>
                  <w:vMerge w:val="continue"/>
                  <w:vAlign w:val="center"/>
                </w:tcPr>
                <w:p>
                  <w:pPr>
                    <w:pStyle w:val="28"/>
                    <w:spacing w:line="360" w:lineRule="exact"/>
                    <w:rPr>
                      <w:color w:val="auto"/>
                      <w:szCs w:val="21"/>
                    </w:rPr>
                  </w:pPr>
                </w:p>
              </w:tc>
              <w:tc>
                <w:tcPr>
                  <w:tcW w:w="2333" w:type="dxa"/>
                  <w:vMerge w:val="continue"/>
                  <w:vAlign w:val="center"/>
                </w:tcPr>
                <w:p>
                  <w:pPr>
                    <w:pStyle w:val="28"/>
                    <w:spacing w:line="360" w:lineRule="exact"/>
                    <w:rPr>
                      <w:color w:val="auto"/>
                      <w:szCs w:val="21"/>
                    </w:rPr>
                  </w:pPr>
                </w:p>
              </w:tc>
              <w:tc>
                <w:tcPr>
                  <w:tcW w:w="2188" w:type="dxa"/>
                  <w:vAlign w:val="center"/>
                </w:tcPr>
                <w:p>
                  <w:pPr>
                    <w:pStyle w:val="28"/>
                    <w:spacing w:line="360" w:lineRule="exact"/>
                    <w:rPr>
                      <w:color w:val="auto"/>
                      <w:szCs w:val="21"/>
                    </w:rPr>
                  </w:pPr>
                  <w:r>
                    <w:rPr>
                      <w:color w:val="auto"/>
                      <w:szCs w:val="21"/>
                    </w:rPr>
                    <w:t>昼间</w:t>
                  </w:r>
                </w:p>
              </w:tc>
              <w:tc>
                <w:tcPr>
                  <w:tcW w:w="2117" w:type="dxa"/>
                  <w:vAlign w:val="center"/>
                </w:tcPr>
                <w:p>
                  <w:pPr>
                    <w:pStyle w:val="28"/>
                    <w:spacing w:line="360" w:lineRule="exact"/>
                    <w:rPr>
                      <w:color w:val="auto"/>
                      <w:szCs w:val="21"/>
                    </w:rPr>
                  </w:pPr>
                  <w:r>
                    <w:rPr>
                      <w:color w:val="auto"/>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2213" w:type="dxa"/>
                  <w:vAlign w:val="center"/>
                </w:tcPr>
                <w:p>
                  <w:pPr>
                    <w:pStyle w:val="28"/>
                    <w:spacing w:line="360" w:lineRule="exact"/>
                    <w:rPr>
                      <w:color w:val="auto"/>
                      <w:szCs w:val="21"/>
                    </w:rPr>
                  </w:pPr>
                  <w:r>
                    <w:rPr>
                      <w:color w:val="auto"/>
                      <w:szCs w:val="21"/>
                    </w:rPr>
                    <w:t>其他区域</w:t>
                  </w:r>
                </w:p>
              </w:tc>
              <w:tc>
                <w:tcPr>
                  <w:tcW w:w="2333" w:type="dxa"/>
                  <w:vAlign w:val="center"/>
                </w:tcPr>
                <w:p>
                  <w:pPr>
                    <w:pStyle w:val="28"/>
                    <w:spacing w:line="360" w:lineRule="exact"/>
                    <w:rPr>
                      <w:color w:val="auto"/>
                      <w:szCs w:val="21"/>
                    </w:rPr>
                  </w:pPr>
                  <w:r>
                    <w:rPr>
                      <w:color w:val="auto"/>
                      <w:szCs w:val="21"/>
                    </w:rPr>
                    <w:t>2类</w:t>
                  </w:r>
                </w:p>
              </w:tc>
              <w:tc>
                <w:tcPr>
                  <w:tcW w:w="2188" w:type="dxa"/>
                  <w:vAlign w:val="center"/>
                </w:tcPr>
                <w:p>
                  <w:pPr>
                    <w:pStyle w:val="28"/>
                    <w:spacing w:line="360" w:lineRule="exact"/>
                    <w:rPr>
                      <w:color w:val="auto"/>
                      <w:szCs w:val="21"/>
                    </w:rPr>
                  </w:pPr>
                  <w:r>
                    <w:rPr>
                      <w:color w:val="auto"/>
                      <w:szCs w:val="21"/>
                    </w:rPr>
                    <w:t>60</w:t>
                  </w:r>
                </w:p>
              </w:tc>
              <w:tc>
                <w:tcPr>
                  <w:tcW w:w="2117" w:type="dxa"/>
                  <w:vAlign w:val="center"/>
                </w:tcPr>
                <w:p>
                  <w:pPr>
                    <w:pStyle w:val="28"/>
                    <w:spacing w:line="360" w:lineRule="exact"/>
                    <w:rPr>
                      <w:color w:val="auto"/>
                      <w:szCs w:val="21"/>
                    </w:rPr>
                  </w:pPr>
                  <w:r>
                    <w:rPr>
                      <w:color w:val="auto"/>
                      <w:szCs w:val="21"/>
                    </w:rPr>
                    <w:t>50</w:t>
                  </w:r>
                </w:p>
              </w:tc>
            </w:tr>
          </w:tbl>
          <w:p>
            <w:pPr>
              <w:autoSpaceDE w:val="0"/>
              <w:autoSpaceDN w:val="0"/>
              <w:spacing w:before="156" w:beforeLines="50"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3.4 污染物排放控制标准</w:t>
            </w:r>
          </w:p>
          <w:p>
            <w:pPr>
              <w:pStyle w:val="35"/>
              <w:ind w:firstLine="482"/>
              <w:rPr>
                <w:rFonts w:eastAsiaTheme="minorEastAsia"/>
                <w:b/>
                <w:szCs w:val="24"/>
              </w:rPr>
            </w:pPr>
            <w:r>
              <w:rPr>
                <w:rFonts w:eastAsiaTheme="minorEastAsia"/>
                <w:b/>
                <w:szCs w:val="24"/>
              </w:rPr>
              <w:t>3.4.1 废气排放标准</w:t>
            </w:r>
          </w:p>
          <w:p>
            <w:pPr>
              <w:pStyle w:val="35"/>
              <w:ind w:firstLine="361" w:firstLineChars="150"/>
              <w:rPr>
                <w:rFonts w:eastAsiaTheme="minorEastAsia"/>
                <w:b/>
              </w:rPr>
            </w:pPr>
            <w:r>
              <w:rPr>
                <w:rFonts w:eastAsiaTheme="minorEastAsia"/>
                <w:b/>
              </w:rPr>
              <w:t>（1）施工期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施工期扬尘执行《大气污染物综合排放标准》（GB16297-1996）中表2无组织排放监控浓度限值，周界外浓度最高点≤1.0mg/m³。</w:t>
            </w:r>
          </w:p>
          <w:p>
            <w:pPr>
              <w:pStyle w:val="35"/>
              <w:ind w:firstLine="361" w:firstLineChars="150"/>
              <w:rPr>
                <w:rFonts w:eastAsiaTheme="minorEastAsia"/>
                <w:b/>
              </w:rPr>
            </w:pPr>
            <w:r>
              <w:rPr>
                <w:rFonts w:eastAsiaTheme="minorEastAsia"/>
                <w:b/>
              </w:rPr>
              <w:t>（2）运营期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项目生产线采取湿法作业，基本无粉尘产生，主要废气为产品库扬尘。项目产品库产生的扬尘执行《大气污染物综合排放标准》（GB16297-1996）无组织排放标准，标准值如下表所示。</w:t>
            </w:r>
          </w:p>
          <w:p>
            <w:pPr>
              <w:jc w:val="center"/>
              <w:rPr>
                <w:rFonts w:ascii="Times New Roman" w:hAnsi="Times New Roman" w:cs="Times New Roman"/>
                <w:b/>
                <w:szCs w:val="24"/>
              </w:rPr>
            </w:pPr>
            <w:r>
              <w:rPr>
                <w:rFonts w:ascii="Times New Roman" w:hAnsi="Times New Roman" w:cs="Times New Roman"/>
                <w:b/>
                <w:szCs w:val="24"/>
              </w:rPr>
              <w:t>表3.4.1-1  《大气污染物综合排放标准》无组织排放限值 单位mg/Nm³</w:t>
            </w:r>
          </w:p>
          <w:tbl>
            <w:tblPr>
              <w:tblStyle w:val="16"/>
              <w:tblW w:w="8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2417"/>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0" w:type="dxa"/>
                  <w:vAlign w:val="center"/>
                </w:tcPr>
                <w:p>
                  <w:pPr>
                    <w:pStyle w:val="28"/>
                    <w:spacing w:line="360" w:lineRule="exact"/>
                    <w:rPr>
                      <w:color w:val="auto"/>
                      <w:szCs w:val="21"/>
                    </w:rPr>
                  </w:pPr>
                  <w:r>
                    <w:rPr>
                      <w:color w:val="auto"/>
                      <w:szCs w:val="21"/>
                    </w:rPr>
                    <w:t>项目</w:t>
                  </w:r>
                </w:p>
              </w:tc>
              <w:tc>
                <w:tcPr>
                  <w:tcW w:w="2417" w:type="dxa"/>
                  <w:vAlign w:val="center"/>
                </w:tcPr>
                <w:p>
                  <w:pPr>
                    <w:pStyle w:val="28"/>
                    <w:spacing w:line="360" w:lineRule="exact"/>
                    <w:rPr>
                      <w:color w:val="auto"/>
                      <w:szCs w:val="21"/>
                    </w:rPr>
                  </w:pPr>
                  <w:r>
                    <w:rPr>
                      <w:color w:val="auto"/>
                      <w:szCs w:val="21"/>
                    </w:rPr>
                    <w:t>最高允许排放浓度限值</w:t>
                  </w:r>
                </w:p>
              </w:tc>
              <w:tc>
                <w:tcPr>
                  <w:tcW w:w="4234" w:type="dxa"/>
                  <w:vAlign w:val="center"/>
                </w:tcPr>
                <w:p>
                  <w:pPr>
                    <w:pStyle w:val="28"/>
                    <w:spacing w:line="360" w:lineRule="exact"/>
                    <w:rPr>
                      <w:color w:val="auto"/>
                      <w:szCs w:val="21"/>
                    </w:rPr>
                  </w:pPr>
                  <w:r>
                    <w:rPr>
                      <w:color w:val="auto"/>
                      <w:szCs w:val="21"/>
                    </w:rPr>
                    <w:t>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0" w:type="dxa"/>
                  <w:vAlign w:val="center"/>
                </w:tcPr>
                <w:p>
                  <w:pPr>
                    <w:pStyle w:val="28"/>
                    <w:spacing w:line="360" w:lineRule="exact"/>
                    <w:rPr>
                      <w:color w:val="auto"/>
                      <w:szCs w:val="21"/>
                    </w:rPr>
                  </w:pPr>
                  <w:r>
                    <w:rPr>
                      <w:color w:val="auto"/>
                      <w:szCs w:val="21"/>
                    </w:rPr>
                    <w:t>颗粒物</w:t>
                  </w:r>
                </w:p>
              </w:tc>
              <w:tc>
                <w:tcPr>
                  <w:tcW w:w="2417" w:type="dxa"/>
                  <w:vAlign w:val="center"/>
                </w:tcPr>
                <w:p>
                  <w:pPr>
                    <w:pStyle w:val="28"/>
                    <w:spacing w:line="360" w:lineRule="exact"/>
                    <w:rPr>
                      <w:color w:val="auto"/>
                      <w:szCs w:val="21"/>
                    </w:rPr>
                  </w:pPr>
                  <w:r>
                    <w:rPr>
                      <w:color w:val="auto"/>
                      <w:szCs w:val="21"/>
                    </w:rPr>
                    <w:t>≤1.0</w:t>
                  </w:r>
                </w:p>
              </w:tc>
              <w:tc>
                <w:tcPr>
                  <w:tcW w:w="4234" w:type="dxa"/>
                  <w:vAlign w:val="center"/>
                </w:tcPr>
                <w:p>
                  <w:pPr>
                    <w:pStyle w:val="28"/>
                    <w:spacing w:line="360" w:lineRule="exact"/>
                    <w:rPr>
                      <w:color w:val="auto"/>
                      <w:szCs w:val="21"/>
                    </w:rPr>
                  </w:pPr>
                  <w:r>
                    <w:rPr>
                      <w:color w:val="auto"/>
                      <w:szCs w:val="21"/>
                    </w:rPr>
                    <w:t>周外界浓度</w:t>
                  </w:r>
                </w:p>
              </w:tc>
            </w:tr>
          </w:tbl>
          <w:p>
            <w:pPr>
              <w:pStyle w:val="35"/>
              <w:spacing w:before="156" w:beforeLines="50"/>
              <w:ind w:firstLine="482"/>
              <w:rPr>
                <w:rFonts w:eastAsiaTheme="minorEastAsia"/>
                <w:b/>
                <w:szCs w:val="24"/>
              </w:rPr>
            </w:pPr>
            <w:r>
              <w:rPr>
                <w:rFonts w:eastAsiaTheme="minorEastAsia"/>
                <w:b/>
                <w:szCs w:val="24"/>
              </w:rPr>
              <w:t>3.4.2 废水排放标准</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（1）施工期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根据项目特点，本项目施工量较小，施工过程使用的少量施工用水全部自然蒸发，无废水产生。</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（2）运营期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项目运营期废水包括生产废水、初期雨水和生活污水。</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①生产废水和初期雨水执行标准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生产废水主要为洗砂废水，项目拟设置一套生产废水处理系统对其进行处理，该系统由2个生产废水收集池、2个污水处理塔、2个清水池、2个泥浆回收池和4台污泥压滤机组成；项目生产废水经处理后完全回用，不外排。初期雨水通过截排水沟收集后进入有效容积不低于20m³的初期雨水收集池沉淀后回用于生产，不外排。参照执行《城市污水再生利用  工业用水水质》（GB/T 19923-2005）标准，标准值如下表所示。</w:t>
            </w:r>
          </w:p>
          <w:p>
            <w:pPr>
              <w:jc w:val="center"/>
              <w:rPr>
                <w:rFonts w:ascii="Times New Roman" w:hAnsi="Times New Roman" w:cs="Times New Roman"/>
                <w:b/>
                <w:szCs w:val="24"/>
              </w:rPr>
            </w:pPr>
            <w:r>
              <w:rPr>
                <w:rFonts w:ascii="Times New Roman" w:hAnsi="Times New Roman" w:cs="Times New Roman"/>
                <w:b/>
                <w:szCs w:val="24"/>
              </w:rPr>
              <w:t>表3.4.2-1 城市污水再生利用  工业用水水质标准限值</w:t>
            </w:r>
          </w:p>
          <w:tbl>
            <w:tblPr>
              <w:tblStyle w:val="16"/>
              <w:tblW w:w="8861" w:type="dxa"/>
              <w:jc w:val="center"/>
              <w:tblInd w:w="0" w:type="dxa"/>
              <w:tblLayout w:type="fixed"/>
              <w:tblCellMar>
                <w:top w:w="0" w:type="dxa"/>
                <w:left w:w="0" w:type="dxa"/>
                <w:bottom w:w="0" w:type="dxa"/>
                <w:right w:w="0" w:type="dxa"/>
              </w:tblCellMar>
            </w:tblPr>
            <w:tblGrid>
              <w:gridCol w:w="1208"/>
              <w:gridCol w:w="4979"/>
              <w:gridCol w:w="2674"/>
            </w:tblGrid>
            <w:tr>
              <w:tblPrEx>
                <w:tblLayout w:type="fixed"/>
                <w:tblCellMar>
                  <w:top w:w="0" w:type="dxa"/>
                  <w:left w:w="0" w:type="dxa"/>
                  <w:bottom w:w="0" w:type="dxa"/>
                  <w:right w:w="0" w:type="dxa"/>
                </w:tblCellMar>
              </w:tblPrEx>
              <w:trPr>
                <w:cantSplit/>
                <w:trHeight w:val="58" w:hRule="atLeast"/>
                <w:jc w:val="center"/>
              </w:trPr>
              <w:tc>
                <w:tcPr>
                  <w:tcW w:w="1208" w:type="dxa"/>
                  <w:tcBorders>
                    <w:top w:val="single" w:color="auto" w:sz="8" w:space="0"/>
                    <w:left w:val="single" w:color="auto" w:sz="8" w:space="0"/>
                    <w:bottom w:val="single" w:color="auto" w:sz="8" w:space="0"/>
                    <w:right w:val="single" w:color="auto" w:sz="8" w:space="0"/>
                  </w:tcBorders>
                  <w:vAlign w:val="center"/>
                </w:tcPr>
                <w:p>
                  <w:pPr>
                    <w:pStyle w:val="28"/>
                    <w:spacing w:line="360" w:lineRule="exact"/>
                    <w:rPr>
                      <w:color w:val="auto"/>
                      <w:szCs w:val="21"/>
                    </w:rPr>
                  </w:pPr>
                  <w:r>
                    <w:rPr>
                      <w:color w:val="auto"/>
                      <w:szCs w:val="21"/>
                    </w:rPr>
                    <w:t>序号</w:t>
                  </w:r>
                </w:p>
              </w:tc>
              <w:tc>
                <w:tcPr>
                  <w:tcW w:w="4979" w:type="dxa"/>
                  <w:tcBorders>
                    <w:top w:val="single" w:color="auto" w:sz="8" w:space="0"/>
                    <w:left w:val="nil"/>
                    <w:bottom w:val="single" w:color="auto" w:sz="8" w:space="0"/>
                    <w:right w:val="single" w:color="auto" w:sz="8" w:space="0"/>
                  </w:tcBorders>
                  <w:vAlign w:val="center"/>
                </w:tcPr>
                <w:p>
                  <w:pPr>
                    <w:pStyle w:val="28"/>
                    <w:spacing w:line="360" w:lineRule="exact"/>
                    <w:rPr>
                      <w:color w:val="auto"/>
                      <w:szCs w:val="21"/>
                    </w:rPr>
                  </w:pPr>
                  <w:r>
                    <w:rPr>
                      <w:color w:val="auto"/>
                      <w:szCs w:val="21"/>
                    </w:rPr>
                    <w:t>控制项目</w:t>
                  </w:r>
                </w:p>
              </w:tc>
              <w:tc>
                <w:tcPr>
                  <w:tcW w:w="2674" w:type="dxa"/>
                  <w:tcBorders>
                    <w:top w:val="single" w:color="auto" w:sz="8" w:space="0"/>
                    <w:left w:val="nil"/>
                    <w:bottom w:val="single" w:color="auto" w:sz="8" w:space="0"/>
                    <w:right w:val="single" w:color="auto" w:sz="8" w:space="0"/>
                  </w:tcBorders>
                  <w:vAlign w:val="center"/>
                </w:tcPr>
                <w:p>
                  <w:pPr>
                    <w:pStyle w:val="28"/>
                    <w:spacing w:line="360" w:lineRule="exact"/>
                    <w:rPr>
                      <w:color w:val="auto"/>
                      <w:szCs w:val="21"/>
                    </w:rPr>
                  </w:pPr>
                  <w:r>
                    <w:rPr>
                      <w:color w:val="auto"/>
                      <w:szCs w:val="21"/>
                    </w:rPr>
                    <w:t>工艺与产品用水</w:t>
                  </w:r>
                </w:p>
              </w:tc>
            </w:tr>
            <w:tr>
              <w:tblPrEx>
                <w:tblLayout w:type="fixed"/>
                <w:tblCellMar>
                  <w:top w:w="0" w:type="dxa"/>
                  <w:left w:w="0" w:type="dxa"/>
                  <w:bottom w:w="0" w:type="dxa"/>
                  <w:right w:w="0" w:type="dxa"/>
                </w:tblCellMar>
              </w:tblPrEx>
              <w:trPr>
                <w:cantSplit/>
                <w:jc w:val="center"/>
              </w:trPr>
              <w:tc>
                <w:tcPr>
                  <w:tcW w:w="120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1</w:t>
                  </w:r>
                </w:p>
              </w:tc>
              <w:tc>
                <w:tcPr>
                  <w:tcW w:w="497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pH值</w:t>
                  </w:r>
                </w:p>
              </w:tc>
              <w:tc>
                <w:tcPr>
                  <w:tcW w:w="26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6.5-8.5</w:t>
                  </w:r>
                </w:p>
              </w:tc>
            </w:tr>
            <w:tr>
              <w:tblPrEx>
                <w:tblLayout w:type="fixed"/>
                <w:tblCellMar>
                  <w:top w:w="0" w:type="dxa"/>
                  <w:left w:w="0" w:type="dxa"/>
                  <w:bottom w:w="0" w:type="dxa"/>
                  <w:right w:w="0" w:type="dxa"/>
                </w:tblCellMar>
              </w:tblPrEx>
              <w:trPr>
                <w:cantSplit/>
                <w:jc w:val="center"/>
              </w:trPr>
              <w:tc>
                <w:tcPr>
                  <w:tcW w:w="120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2</w:t>
                  </w:r>
                </w:p>
              </w:tc>
              <w:tc>
                <w:tcPr>
                  <w:tcW w:w="497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悬浮物（SS）（mg/L） ≤</w:t>
                  </w:r>
                </w:p>
              </w:tc>
              <w:tc>
                <w:tcPr>
                  <w:tcW w:w="26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w:t>
                  </w:r>
                </w:p>
              </w:tc>
            </w:tr>
            <w:tr>
              <w:tblPrEx>
                <w:tblLayout w:type="fixed"/>
                <w:tblCellMar>
                  <w:top w:w="0" w:type="dxa"/>
                  <w:left w:w="0" w:type="dxa"/>
                  <w:bottom w:w="0" w:type="dxa"/>
                  <w:right w:w="0" w:type="dxa"/>
                </w:tblCellMar>
              </w:tblPrEx>
              <w:trPr>
                <w:cantSplit/>
                <w:jc w:val="center"/>
              </w:trPr>
              <w:tc>
                <w:tcPr>
                  <w:tcW w:w="120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3</w:t>
                  </w:r>
                </w:p>
              </w:tc>
              <w:tc>
                <w:tcPr>
                  <w:tcW w:w="497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浊度（NTU）≤</w:t>
                  </w:r>
                </w:p>
              </w:tc>
              <w:tc>
                <w:tcPr>
                  <w:tcW w:w="26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5</w:t>
                  </w:r>
                </w:p>
              </w:tc>
            </w:tr>
            <w:tr>
              <w:tblPrEx>
                <w:tblLayout w:type="fixed"/>
                <w:tblCellMar>
                  <w:top w:w="0" w:type="dxa"/>
                  <w:left w:w="0" w:type="dxa"/>
                  <w:bottom w:w="0" w:type="dxa"/>
                  <w:right w:w="0" w:type="dxa"/>
                </w:tblCellMar>
              </w:tblPrEx>
              <w:trPr>
                <w:cantSplit/>
                <w:jc w:val="center"/>
              </w:trPr>
              <w:tc>
                <w:tcPr>
                  <w:tcW w:w="120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4</w:t>
                  </w:r>
                </w:p>
              </w:tc>
              <w:tc>
                <w:tcPr>
                  <w:tcW w:w="497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色度（度）≤</w:t>
                  </w:r>
                </w:p>
              </w:tc>
              <w:tc>
                <w:tcPr>
                  <w:tcW w:w="26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30</w:t>
                  </w:r>
                </w:p>
              </w:tc>
            </w:tr>
            <w:tr>
              <w:tblPrEx>
                <w:tblLayout w:type="fixed"/>
                <w:tblCellMar>
                  <w:top w:w="0" w:type="dxa"/>
                  <w:left w:w="0" w:type="dxa"/>
                  <w:bottom w:w="0" w:type="dxa"/>
                  <w:right w:w="0" w:type="dxa"/>
                </w:tblCellMar>
              </w:tblPrEx>
              <w:trPr>
                <w:cantSplit/>
                <w:jc w:val="center"/>
              </w:trPr>
              <w:tc>
                <w:tcPr>
                  <w:tcW w:w="120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5</w:t>
                  </w:r>
                </w:p>
              </w:tc>
              <w:tc>
                <w:tcPr>
                  <w:tcW w:w="497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生化需氧量（BOD5）（mg/L）≤</w:t>
                  </w:r>
                </w:p>
              </w:tc>
              <w:tc>
                <w:tcPr>
                  <w:tcW w:w="26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10</w:t>
                  </w:r>
                </w:p>
              </w:tc>
            </w:tr>
            <w:tr>
              <w:tblPrEx>
                <w:tblLayout w:type="fixed"/>
                <w:tblCellMar>
                  <w:top w:w="0" w:type="dxa"/>
                  <w:left w:w="0" w:type="dxa"/>
                  <w:bottom w:w="0" w:type="dxa"/>
                  <w:right w:w="0" w:type="dxa"/>
                </w:tblCellMar>
              </w:tblPrEx>
              <w:trPr>
                <w:cantSplit/>
                <w:jc w:val="center"/>
              </w:trPr>
              <w:tc>
                <w:tcPr>
                  <w:tcW w:w="120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6</w:t>
                  </w:r>
                </w:p>
              </w:tc>
              <w:tc>
                <w:tcPr>
                  <w:tcW w:w="497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化学需氧量（CODcr）（mg/L）≤</w:t>
                  </w:r>
                </w:p>
              </w:tc>
              <w:tc>
                <w:tcPr>
                  <w:tcW w:w="26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60</w:t>
                  </w:r>
                </w:p>
              </w:tc>
            </w:tr>
            <w:tr>
              <w:tblPrEx>
                <w:tblLayout w:type="fixed"/>
                <w:tblCellMar>
                  <w:top w:w="0" w:type="dxa"/>
                  <w:left w:w="0" w:type="dxa"/>
                  <w:bottom w:w="0" w:type="dxa"/>
                  <w:right w:w="0" w:type="dxa"/>
                </w:tblCellMar>
              </w:tblPrEx>
              <w:trPr>
                <w:cantSplit/>
                <w:jc w:val="center"/>
              </w:trPr>
              <w:tc>
                <w:tcPr>
                  <w:tcW w:w="120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7</w:t>
                  </w:r>
                </w:p>
              </w:tc>
              <w:tc>
                <w:tcPr>
                  <w:tcW w:w="497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铁（mg/L）≤</w:t>
                  </w:r>
                </w:p>
              </w:tc>
              <w:tc>
                <w:tcPr>
                  <w:tcW w:w="26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0.3</w:t>
                  </w:r>
                </w:p>
              </w:tc>
            </w:tr>
            <w:tr>
              <w:tblPrEx>
                <w:tblLayout w:type="fixed"/>
                <w:tblCellMar>
                  <w:top w:w="0" w:type="dxa"/>
                  <w:left w:w="0" w:type="dxa"/>
                  <w:bottom w:w="0" w:type="dxa"/>
                  <w:right w:w="0" w:type="dxa"/>
                </w:tblCellMar>
              </w:tblPrEx>
              <w:trPr>
                <w:cantSplit/>
                <w:jc w:val="center"/>
              </w:trPr>
              <w:tc>
                <w:tcPr>
                  <w:tcW w:w="120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8</w:t>
                  </w:r>
                </w:p>
              </w:tc>
              <w:tc>
                <w:tcPr>
                  <w:tcW w:w="497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锰（mg/L）≤</w:t>
                  </w:r>
                </w:p>
              </w:tc>
              <w:tc>
                <w:tcPr>
                  <w:tcW w:w="26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0.1</w:t>
                  </w:r>
                </w:p>
              </w:tc>
            </w:tr>
            <w:tr>
              <w:tblPrEx>
                <w:tblLayout w:type="fixed"/>
                <w:tblCellMar>
                  <w:top w:w="0" w:type="dxa"/>
                  <w:left w:w="0" w:type="dxa"/>
                  <w:bottom w:w="0" w:type="dxa"/>
                  <w:right w:w="0" w:type="dxa"/>
                </w:tblCellMar>
              </w:tblPrEx>
              <w:trPr>
                <w:cantSplit/>
                <w:jc w:val="center"/>
              </w:trPr>
              <w:tc>
                <w:tcPr>
                  <w:tcW w:w="120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9</w:t>
                  </w:r>
                </w:p>
              </w:tc>
              <w:tc>
                <w:tcPr>
                  <w:tcW w:w="497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氯离子（mg/L）≤</w:t>
                  </w:r>
                </w:p>
              </w:tc>
              <w:tc>
                <w:tcPr>
                  <w:tcW w:w="26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250</w:t>
                  </w:r>
                </w:p>
              </w:tc>
            </w:tr>
            <w:tr>
              <w:tblPrEx>
                <w:tblLayout w:type="fixed"/>
                <w:tblCellMar>
                  <w:top w:w="0" w:type="dxa"/>
                  <w:left w:w="0" w:type="dxa"/>
                  <w:bottom w:w="0" w:type="dxa"/>
                  <w:right w:w="0" w:type="dxa"/>
                </w:tblCellMar>
              </w:tblPrEx>
              <w:trPr>
                <w:cantSplit/>
                <w:jc w:val="center"/>
              </w:trPr>
              <w:tc>
                <w:tcPr>
                  <w:tcW w:w="120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10</w:t>
                  </w:r>
                </w:p>
              </w:tc>
              <w:tc>
                <w:tcPr>
                  <w:tcW w:w="497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二氧化硅（SiO</w:t>
                  </w:r>
                  <w:r>
                    <w:rPr>
                      <w:color w:val="auto"/>
                      <w:szCs w:val="21"/>
                      <w:vertAlign w:val="subscript"/>
                    </w:rPr>
                    <w:t>2</w:t>
                  </w:r>
                  <w:r>
                    <w:rPr>
                      <w:color w:val="auto"/>
                      <w:szCs w:val="21"/>
                    </w:rPr>
                    <w:t>）≤</w:t>
                  </w:r>
                </w:p>
              </w:tc>
              <w:tc>
                <w:tcPr>
                  <w:tcW w:w="26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30</w:t>
                  </w:r>
                </w:p>
              </w:tc>
            </w:tr>
            <w:tr>
              <w:tblPrEx>
                <w:tblLayout w:type="fixed"/>
                <w:tblCellMar>
                  <w:top w:w="0" w:type="dxa"/>
                  <w:left w:w="0" w:type="dxa"/>
                  <w:bottom w:w="0" w:type="dxa"/>
                  <w:right w:w="0" w:type="dxa"/>
                </w:tblCellMar>
              </w:tblPrEx>
              <w:trPr>
                <w:cantSplit/>
                <w:jc w:val="center"/>
              </w:trPr>
              <w:tc>
                <w:tcPr>
                  <w:tcW w:w="120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11</w:t>
                  </w:r>
                </w:p>
              </w:tc>
              <w:tc>
                <w:tcPr>
                  <w:tcW w:w="497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总硬度（以CaCO</w:t>
                  </w:r>
                  <w:r>
                    <w:rPr>
                      <w:color w:val="auto"/>
                      <w:szCs w:val="21"/>
                      <w:vertAlign w:val="subscript"/>
                    </w:rPr>
                    <w:t>3</w:t>
                  </w:r>
                  <w:r>
                    <w:rPr>
                      <w:color w:val="auto"/>
                      <w:szCs w:val="21"/>
                    </w:rPr>
                    <w:t>计/mg/L）≤</w:t>
                  </w:r>
                </w:p>
              </w:tc>
              <w:tc>
                <w:tcPr>
                  <w:tcW w:w="26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450</w:t>
                  </w:r>
                </w:p>
              </w:tc>
            </w:tr>
            <w:tr>
              <w:tblPrEx>
                <w:tblLayout w:type="fixed"/>
                <w:tblCellMar>
                  <w:top w:w="0" w:type="dxa"/>
                  <w:left w:w="0" w:type="dxa"/>
                  <w:bottom w:w="0" w:type="dxa"/>
                  <w:right w:w="0" w:type="dxa"/>
                </w:tblCellMar>
              </w:tblPrEx>
              <w:trPr>
                <w:cantSplit/>
                <w:jc w:val="center"/>
              </w:trPr>
              <w:tc>
                <w:tcPr>
                  <w:tcW w:w="120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12</w:t>
                  </w:r>
                </w:p>
              </w:tc>
              <w:tc>
                <w:tcPr>
                  <w:tcW w:w="497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总碱度（以CaCO</w:t>
                  </w:r>
                  <w:r>
                    <w:rPr>
                      <w:color w:val="auto"/>
                      <w:szCs w:val="21"/>
                      <w:vertAlign w:val="subscript"/>
                    </w:rPr>
                    <w:t>3</w:t>
                  </w:r>
                  <w:r>
                    <w:rPr>
                      <w:color w:val="auto"/>
                      <w:szCs w:val="21"/>
                    </w:rPr>
                    <w:t>计 mg/L）≤</w:t>
                  </w:r>
                </w:p>
              </w:tc>
              <w:tc>
                <w:tcPr>
                  <w:tcW w:w="26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350</w:t>
                  </w:r>
                </w:p>
              </w:tc>
            </w:tr>
            <w:tr>
              <w:tblPrEx>
                <w:tblLayout w:type="fixed"/>
                <w:tblCellMar>
                  <w:top w:w="0" w:type="dxa"/>
                  <w:left w:w="0" w:type="dxa"/>
                  <w:bottom w:w="0" w:type="dxa"/>
                  <w:right w:w="0" w:type="dxa"/>
                </w:tblCellMar>
              </w:tblPrEx>
              <w:trPr>
                <w:cantSplit/>
                <w:jc w:val="center"/>
              </w:trPr>
              <w:tc>
                <w:tcPr>
                  <w:tcW w:w="120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13</w:t>
                  </w:r>
                </w:p>
              </w:tc>
              <w:tc>
                <w:tcPr>
                  <w:tcW w:w="497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硫酸盐（mg/L）≤</w:t>
                  </w:r>
                </w:p>
              </w:tc>
              <w:tc>
                <w:tcPr>
                  <w:tcW w:w="26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250</w:t>
                  </w:r>
                </w:p>
              </w:tc>
            </w:tr>
            <w:tr>
              <w:tblPrEx>
                <w:tblLayout w:type="fixed"/>
                <w:tblCellMar>
                  <w:top w:w="0" w:type="dxa"/>
                  <w:left w:w="0" w:type="dxa"/>
                  <w:bottom w:w="0" w:type="dxa"/>
                  <w:right w:w="0" w:type="dxa"/>
                </w:tblCellMar>
              </w:tblPrEx>
              <w:trPr>
                <w:cantSplit/>
                <w:jc w:val="center"/>
              </w:trPr>
              <w:tc>
                <w:tcPr>
                  <w:tcW w:w="120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14</w:t>
                  </w:r>
                </w:p>
              </w:tc>
              <w:tc>
                <w:tcPr>
                  <w:tcW w:w="497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氨氮（以N计 mg/L）≤</w:t>
                  </w:r>
                </w:p>
              </w:tc>
              <w:tc>
                <w:tcPr>
                  <w:tcW w:w="26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10</w:t>
                  </w:r>
                </w:p>
              </w:tc>
            </w:tr>
            <w:tr>
              <w:tblPrEx>
                <w:tblLayout w:type="fixed"/>
                <w:tblCellMar>
                  <w:top w:w="0" w:type="dxa"/>
                  <w:left w:w="0" w:type="dxa"/>
                  <w:bottom w:w="0" w:type="dxa"/>
                  <w:right w:w="0" w:type="dxa"/>
                </w:tblCellMar>
              </w:tblPrEx>
              <w:trPr>
                <w:cantSplit/>
                <w:jc w:val="center"/>
              </w:trPr>
              <w:tc>
                <w:tcPr>
                  <w:tcW w:w="120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15</w:t>
                  </w:r>
                </w:p>
              </w:tc>
              <w:tc>
                <w:tcPr>
                  <w:tcW w:w="497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总磷（以P计 mg/L）≤</w:t>
                  </w:r>
                </w:p>
              </w:tc>
              <w:tc>
                <w:tcPr>
                  <w:tcW w:w="26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1</w:t>
                  </w:r>
                </w:p>
              </w:tc>
            </w:tr>
            <w:tr>
              <w:tblPrEx>
                <w:tblLayout w:type="fixed"/>
                <w:tblCellMar>
                  <w:top w:w="0" w:type="dxa"/>
                  <w:left w:w="0" w:type="dxa"/>
                  <w:bottom w:w="0" w:type="dxa"/>
                  <w:right w:w="0" w:type="dxa"/>
                </w:tblCellMar>
              </w:tblPrEx>
              <w:trPr>
                <w:cantSplit/>
                <w:jc w:val="center"/>
              </w:trPr>
              <w:tc>
                <w:tcPr>
                  <w:tcW w:w="120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16</w:t>
                  </w:r>
                </w:p>
              </w:tc>
              <w:tc>
                <w:tcPr>
                  <w:tcW w:w="497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溶解性总固体（mg/L）≤</w:t>
                  </w:r>
                </w:p>
              </w:tc>
              <w:tc>
                <w:tcPr>
                  <w:tcW w:w="26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1000</w:t>
                  </w:r>
                </w:p>
              </w:tc>
            </w:tr>
            <w:tr>
              <w:tblPrEx>
                <w:tblLayout w:type="fixed"/>
                <w:tblCellMar>
                  <w:top w:w="0" w:type="dxa"/>
                  <w:left w:w="0" w:type="dxa"/>
                  <w:bottom w:w="0" w:type="dxa"/>
                  <w:right w:w="0" w:type="dxa"/>
                </w:tblCellMar>
              </w:tblPrEx>
              <w:trPr>
                <w:cantSplit/>
                <w:jc w:val="center"/>
              </w:trPr>
              <w:tc>
                <w:tcPr>
                  <w:tcW w:w="120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17</w:t>
                  </w:r>
                </w:p>
              </w:tc>
              <w:tc>
                <w:tcPr>
                  <w:tcW w:w="497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石油类（mg/L）≤</w:t>
                  </w:r>
                </w:p>
              </w:tc>
              <w:tc>
                <w:tcPr>
                  <w:tcW w:w="26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8"/>
                    <w:spacing w:line="360" w:lineRule="exact"/>
                    <w:rPr>
                      <w:color w:val="auto"/>
                      <w:szCs w:val="21"/>
                    </w:rPr>
                  </w:pPr>
                  <w:r>
                    <w:rPr>
                      <w:color w:val="auto"/>
                      <w:szCs w:val="21"/>
                    </w:rPr>
                    <w:t>1</w:t>
                  </w:r>
                </w:p>
              </w:tc>
            </w:tr>
          </w:tbl>
          <w:p>
            <w:pPr>
              <w:spacing w:before="156" w:beforeLines="50"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②生活污水执行标准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项目生活污水经化粪池和一体化污水处理设施处理后，回用于绿化不外排。执行《城市污水再生利用 城市杂用水水质》（GB/T18920-2020）城市绿化标准。标准限值详见下表。</w:t>
            </w:r>
          </w:p>
          <w:p>
            <w:pPr>
              <w:jc w:val="center"/>
              <w:rPr>
                <w:rFonts w:ascii="Times New Roman" w:hAnsi="Times New Roman" w:cs="Times New Roman"/>
                <w:b/>
                <w:szCs w:val="24"/>
              </w:rPr>
            </w:pPr>
            <w:r>
              <w:rPr>
                <w:rFonts w:ascii="Times New Roman" w:hAnsi="Times New Roman" w:cs="Times New Roman"/>
                <w:b/>
                <w:szCs w:val="24"/>
              </w:rPr>
              <w:t>表3.4.2-2  城市污水再生利用 城市杂用水标准</w:t>
            </w:r>
          </w:p>
          <w:tbl>
            <w:tblPr>
              <w:tblStyle w:val="16"/>
              <w:tblW w:w="8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4519"/>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1" w:type="dxa"/>
                  <w:vAlign w:val="center"/>
                </w:tcPr>
                <w:p>
                  <w:pPr>
                    <w:pStyle w:val="28"/>
                    <w:spacing w:line="360" w:lineRule="exact"/>
                    <w:rPr>
                      <w:color w:val="auto"/>
                      <w:szCs w:val="21"/>
                    </w:rPr>
                  </w:pPr>
                  <w:r>
                    <w:rPr>
                      <w:color w:val="auto"/>
                      <w:szCs w:val="21"/>
                    </w:rPr>
                    <w:t>序号</w:t>
                  </w:r>
                </w:p>
              </w:tc>
              <w:tc>
                <w:tcPr>
                  <w:tcW w:w="4519" w:type="dxa"/>
                  <w:vAlign w:val="center"/>
                </w:tcPr>
                <w:p>
                  <w:pPr>
                    <w:pStyle w:val="28"/>
                    <w:spacing w:line="360" w:lineRule="exact"/>
                    <w:rPr>
                      <w:color w:val="auto"/>
                      <w:szCs w:val="21"/>
                    </w:rPr>
                  </w:pPr>
                  <w:r>
                    <w:rPr>
                      <w:color w:val="auto"/>
                      <w:szCs w:val="21"/>
                    </w:rPr>
                    <w:t>项目</w:t>
                  </w:r>
                </w:p>
              </w:tc>
              <w:tc>
                <w:tcPr>
                  <w:tcW w:w="3261" w:type="dxa"/>
                  <w:vAlign w:val="center"/>
                </w:tcPr>
                <w:p>
                  <w:pPr>
                    <w:pStyle w:val="28"/>
                    <w:spacing w:line="360" w:lineRule="exact"/>
                    <w:rPr>
                      <w:color w:val="auto"/>
                      <w:szCs w:val="21"/>
                    </w:rPr>
                  </w:pPr>
                  <w:r>
                    <w:rPr>
                      <w:color w:val="auto"/>
                      <w:szCs w:val="21"/>
                    </w:rPr>
                    <w:t>城市绿化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1" w:type="dxa"/>
                  <w:vAlign w:val="center"/>
                </w:tcPr>
                <w:p>
                  <w:pPr>
                    <w:pStyle w:val="28"/>
                    <w:spacing w:line="360" w:lineRule="exact"/>
                    <w:rPr>
                      <w:color w:val="auto"/>
                      <w:szCs w:val="21"/>
                    </w:rPr>
                  </w:pPr>
                  <w:r>
                    <w:rPr>
                      <w:color w:val="auto"/>
                      <w:szCs w:val="21"/>
                    </w:rPr>
                    <w:t>1</w:t>
                  </w:r>
                </w:p>
              </w:tc>
              <w:tc>
                <w:tcPr>
                  <w:tcW w:w="4519" w:type="dxa"/>
                  <w:vAlign w:val="center"/>
                </w:tcPr>
                <w:p>
                  <w:pPr>
                    <w:pStyle w:val="28"/>
                    <w:spacing w:line="360" w:lineRule="exact"/>
                    <w:rPr>
                      <w:color w:val="auto"/>
                      <w:szCs w:val="21"/>
                    </w:rPr>
                  </w:pPr>
                  <w:r>
                    <w:rPr>
                      <w:color w:val="auto"/>
                      <w:szCs w:val="21"/>
                    </w:rPr>
                    <w:t>pH</w:t>
                  </w:r>
                </w:p>
              </w:tc>
              <w:tc>
                <w:tcPr>
                  <w:tcW w:w="3261" w:type="dxa"/>
                  <w:vAlign w:val="center"/>
                </w:tcPr>
                <w:p>
                  <w:pPr>
                    <w:pStyle w:val="28"/>
                    <w:spacing w:line="360" w:lineRule="exact"/>
                    <w:rPr>
                      <w:color w:val="auto"/>
                      <w:szCs w:val="21"/>
                    </w:rPr>
                  </w:pPr>
                  <w:r>
                    <w:rPr>
                      <w:color w:val="auto"/>
                      <w:szCs w:val="21"/>
                    </w:rPr>
                    <w:t>6.0-9.0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1" w:type="dxa"/>
                  <w:vAlign w:val="center"/>
                </w:tcPr>
                <w:p>
                  <w:pPr>
                    <w:pStyle w:val="28"/>
                    <w:spacing w:line="360" w:lineRule="exact"/>
                    <w:rPr>
                      <w:color w:val="auto"/>
                      <w:szCs w:val="21"/>
                    </w:rPr>
                  </w:pPr>
                  <w:r>
                    <w:rPr>
                      <w:color w:val="auto"/>
                      <w:szCs w:val="21"/>
                    </w:rPr>
                    <w:t>2</w:t>
                  </w:r>
                </w:p>
              </w:tc>
              <w:tc>
                <w:tcPr>
                  <w:tcW w:w="4519" w:type="dxa"/>
                  <w:vAlign w:val="center"/>
                </w:tcPr>
                <w:p>
                  <w:pPr>
                    <w:pStyle w:val="28"/>
                    <w:spacing w:line="360" w:lineRule="exact"/>
                    <w:rPr>
                      <w:color w:val="auto"/>
                      <w:szCs w:val="21"/>
                    </w:rPr>
                  </w:pPr>
                  <w:r>
                    <w:rPr>
                      <w:color w:val="auto"/>
                      <w:szCs w:val="21"/>
                    </w:rPr>
                    <w:t>色（度）≤</w:t>
                  </w:r>
                </w:p>
              </w:tc>
              <w:tc>
                <w:tcPr>
                  <w:tcW w:w="3261" w:type="dxa"/>
                  <w:vAlign w:val="center"/>
                </w:tcPr>
                <w:p>
                  <w:pPr>
                    <w:pStyle w:val="28"/>
                    <w:spacing w:line="360" w:lineRule="exact"/>
                    <w:rPr>
                      <w:color w:val="auto"/>
                      <w:szCs w:val="21"/>
                    </w:rPr>
                  </w:pPr>
                  <w:r>
                    <w:rPr>
                      <w:color w:val="auto"/>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1" w:type="dxa"/>
                  <w:vAlign w:val="center"/>
                </w:tcPr>
                <w:p>
                  <w:pPr>
                    <w:pStyle w:val="28"/>
                    <w:spacing w:line="360" w:lineRule="exact"/>
                    <w:rPr>
                      <w:color w:val="auto"/>
                      <w:szCs w:val="21"/>
                    </w:rPr>
                  </w:pPr>
                  <w:r>
                    <w:rPr>
                      <w:color w:val="auto"/>
                      <w:szCs w:val="21"/>
                    </w:rPr>
                    <w:t>3</w:t>
                  </w:r>
                </w:p>
              </w:tc>
              <w:tc>
                <w:tcPr>
                  <w:tcW w:w="4519" w:type="dxa"/>
                  <w:vAlign w:val="center"/>
                </w:tcPr>
                <w:p>
                  <w:pPr>
                    <w:pStyle w:val="28"/>
                    <w:spacing w:line="360" w:lineRule="exact"/>
                    <w:rPr>
                      <w:color w:val="auto"/>
                      <w:szCs w:val="21"/>
                    </w:rPr>
                  </w:pPr>
                  <w:r>
                    <w:rPr>
                      <w:color w:val="auto"/>
                      <w:szCs w:val="21"/>
                    </w:rPr>
                    <w:t>嗅</w:t>
                  </w:r>
                </w:p>
              </w:tc>
              <w:tc>
                <w:tcPr>
                  <w:tcW w:w="3261" w:type="dxa"/>
                  <w:vAlign w:val="center"/>
                </w:tcPr>
                <w:p>
                  <w:pPr>
                    <w:pStyle w:val="28"/>
                    <w:spacing w:line="360" w:lineRule="exact"/>
                    <w:rPr>
                      <w:color w:val="auto"/>
                      <w:szCs w:val="21"/>
                    </w:rPr>
                  </w:pPr>
                  <w:r>
                    <w:rPr>
                      <w:color w:val="auto"/>
                      <w:szCs w:val="21"/>
                    </w:rPr>
                    <w:t>无不快感觉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1" w:type="dxa"/>
                  <w:vAlign w:val="center"/>
                </w:tcPr>
                <w:p>
                  <w:pPr>
                    <w:pStyle w:val="28"/>
                    <w:spacing w:line="360" w:lineRule="exact"/>
                    <w:rPr>
                      <w:color w:val="auto"/>
                      <w:szCs w:val="21"/>
                    </w:rPr>
                  </w:pPr>
                  <w:r>
                    <w:rPr>
                      <w:color w:val="auto"/>
                      <w:szCs w:val="21"/>
                    </w:rPr>
                    <w:t>4</w:t>
                  </w:r>
                </w:p>
              </w:tc>
              <w:tc>
                <w:tcPr>
                  <w:tcW w:w="4519" w:type="dxa"/>
                  <w:vAlign w:val="center"/>
                </w:tcPr>
                <w:p>
                  <w:pPr>
                    <w:pStyle w:val="28"/>
                    <w:spacing w:line="360" w:lineRule="exact"/>
                    <w:rPr>
                      <w:color w:val="auto"/>
                      <w:szCs w:val="21"/>
                    </w:rPr>
                  </w:pPr>
                  <w:r>
                    <w:rPr>
                      <w:color w:val="auto"/>
                      <w:szCs w:val="21"/>
                    </w:rPr>
                    <w:t>浊度（NTU）≤</w:t>
                  </w:r>
                </w:p>
              </w:tc>
              <w:tc>
                <w:tcPr>
                  <w:tcW w:w="3261" w:type="dxa"/>
                  <w:vAlign w:val="center"/>
                </w:tcPr>
                <w:p>
                  <w:pPr>
                    <w:pStyle w:val="28"/>
                    <w:spacing w:line="360" w:lineRule="exact"/>
                    <w:rPr>
                      <w:color w:val="auto"/>
                      <w:szCs w:val="21"/>
                    </w:rPr>
                  </w:pPr>
                  <w:r>
                    <w:rPr>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1" w:type="dxa"/>
                  <w:vAlign w:val="center"/>
                </w:tcPr>
                <w:p>
                  <w:pPr>
                    <w:pStyle w:val="28"/>
                    <w:spacing w:line="360" w:lineRule="exact"/>
                    <w:rPr>
                      <w:color w:val="auto"/>
                      <w:szCs w:val="21"/>
                    </w:rPr>
                  </w:pPr>
                  <w:r>
                    <w:rPr>
                      <w:color w:val="auto"/>
                      <w:szCs w:val="21"/>
                    </w:rPr>
                    <w:t>5</w:t>
                  </w:r>
                </w:p>
              </w:tc>
              <w:tc>
                <w:tcPr>
                  <w:tcW w:w="4519" w:type="dxa"/>
                  <w:vAlign w:val="center"/>
                </w:tcPr>
                <w:p>
                  <w:pPr>
                    <w:pStyle w:val="28"/>
                    <w:spacing w:line="360" w:lineRule="exact"/>
                    <w:rPr>
                      <w:color w:val="auto"/>
                      <w:szCs w:val="21"/>
                    </w:rPr>
                  </w:pPr>
                  <w:r>
                    <w:rPr>
                      <w:color w:val="auto"/>
                      <w:szCs w:val="21"/>
                    </w:rPr>
                    <w:t>溶解性总固体（mg/L）≤</w:t>
                  </w:r>
                </w:p>
              </w:tc>
              <w:tc>
                <w:tcPr>
                  <w:tcW w:w="3261" w:type="dxa"/>
                  <w:vAlign w:val="center"/>
                </w:tcPr>
                <w:p>
                  <w:pPr>
                    <w:pStyle w:val="28"/>
                    <w:spacing w:line="360" w:lineRule="exact"/>
                    <w:rPr>
                      <w:color w:val="auto"/>
                      <w:szCs w:val="21"/>
                    </w:rPr>
                  </w:pPr>
                  <w:r>
                    <w:rPr>
                      <w:color w:val="auto"/>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1" w:type="dxa"/>
                  <w:vAlign w:val="center"/>
                </w:tcPr>
                <w:p>
                  <w:pPr>
                    <w:pStyle w:val="28"/>
                    <w:spacing w:line="360" w:lineRule="exact"/>
                    <w:rPr>
                      <w:color w:val="auto"/>
                      <w:szCs w:val="21"/>
                    </w:rPr>
                  </w:pPr>
                  <w:r>
                    <w:rPr>
                      <w:color w:val="auto"/>
                      <w:szCs w:val="21"/>
                    </w:rPr>
                    <w:t>6</w:t>
                  </w:r>
                </w:p>
              </w:tc>
              <w:tc>
                <w:tcPr>
                  <w:tcW w:w="4519" w:type="dxa"/>
                  <w:vAlign w:val="center"/>
                </w:tcPr>
                <w:p>
                  <w:pPr>
                    <w:pStyle w:val="28"/>
                    <w:spacing w:line="360" w:lineRule="exact"/>
                    <w:rPr>
                      <w:color w:val="auto"/>
                      <w:szCs w:val="21"/>
                    </w:rPr>
                  </w:pPr>
                  <w:r>
                    <w:rPr>
                      <w:color w:val="auto"/>
                      <w:szCs w:val="21"/>
                    </w:rPr>
                    <w:t>五日生化需氧量BOD</w:t>
                  </w:r>
                  <w:r>
                    <w:rPr>
                      <w:color w:val="auto"/>
                      <w:szCs w:val="21"/>
                      <w:vertAlign w:val="subscript"/>
                    </w:rPr>
                    <w:t>5</w:t>
                  </w:r>
                  <w:r>
                    <w:rPr>
                      <w:color w:val="auto"/>
                      <w:szCs w:val="21"/>
                    </w:rPr>
                    <w:t>（mg/L）≤</w:t>
                  </w:r>
                </w:p>
              </w:tc>
              <w:tc>
                <w:tcPr>
                  <w:tcW w:w="3261" w:type="dxa"/>
                  <w:vAlign w:val="center"/>
                </w:tcPr>
                <w:p>
                  <w:pPr>
                    <w:pStyle w:val="28"/>
                    <w:spacing w:line="360" w:lineRule="exact"/>
                    <w:rPr>
                      <w:color w:val="auto"/>
                      <w:szCs w:val="21"/>
                    </w:rPr>
                  </w:pPr>
                  <w:r>
                    <w:rPr>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1" w:type="dxa"/>
                  <w:vAlign w:val="center"/>
                </w:tcPr>
                <w:p>
                  <w:pPr>
                    <w:pStyle w:val="28"/>
                    <w:spacing w:line="360" w:lineRule="exact"/>
                    <w:rPr>
                      <w:color w:val="auto"/>
                      <w:szCs w:val="21"/>
                    </w:rPr>
                  </w:pPr>
                  <w:r>
                    <w:rPr>
                      <w:color w:val="auto"/>
                      <w:szCs w:val="21"/>
                    </w:rPr>
                    <w:t>7</w:t>
                  </w:r>
                </w:p>
              </w:tc>
              <w:tc>
                <w:tcPr>
                  <w:tcW w:w="4519" w:type="dxa"/>
                  <w:vAlign w:val="center"/>
                </w:tcPr>
                <w:p>
                  <w:pPr>
                    <w:pStyle w:val="28"/>
                    <w:spacing w:line="360" w:lineRule="exact"/>
                    <w:rPr>
                      <w:color w:val="auto"/>
                      <w:szCs w:val="21"/>
                    </w:rPr>
                  </w:pPr>
                  <w:r>
                    <w:rPr>
                      <w:color w:val="auto"/>
                      <w:szCs w:val="21"/>
                    </w:rPr>
                    <w:t>氨氮（mg/L）≤</w:t>
                  </w:r>
                </w:p>
              </w:tc>
              <w:tc>
                <w:tcPr>
                  <w:tcW w:w="3261" w:type="dxa"/>
                  <w:vAlign w:val="center"/>
                </w:tcPr>
                <w:p>
                  <w:pPr>
                    <w:pStyle w:val="28"/>
                    <w:spacing w:line="360" w:lineRule="exact"/>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1" w:type="dxa"/>
                  <w:vAlign w:val="center"/>
                </w:tcPr>
                <w:p>
                  <w:pPr>
                    <w:pStyle w:val="28"/>
                    <w:spacing w:line="360" w:lineRule="exact"/>
                    <w:rPr>
                      <w:color w:val="auto"/>
                      <w:szCs w:val="21"/>
                    </w:rPr>
                  </w:pPr>
                  <w:r>
                    <w:rPr>
                      <w:color w:val="auto"/>
                      <w:szCs w:val="21"/>
                    </w:rPr>
                    <w:t>8</w:t>
                  </w:r>
                </w:p>
              </w:tc>
              <w:tc>
                <w:tcPr>
                  <w:tcW w:w="4519" w:type="dxa"/>
                  <w:vAlign w:val="center"/>
                </w:tcPr>
                <w:p>
                  <w:pPr>
                    <w:pStyle w:val="28"/>
                    <w:spacing w:line="360" w:lineRule="exact"/>
                    <w:rPr>
                      <w:color w:val="auto"/>
                      <w:szCs w:val="21"/>
                    </w:rPr>
                  </w:pPr>
                  <w:r>
                    <w:rPr>
                      <w:color w:val="auto"/>
                      <w:szCs w:val="21"/>
                    </w:rPr>
                    <w:t>阴离子表面活性（mg/L）≤</w:t>
                  </w:r>
                </w:p>
              </w:tc>
              <w:tc>
                <w:tcPr>
                  <w:tcW w:w="3261" w:type="dxa"/>
                  <w:vAlign w:val="center"/>
                </w:tcPr>
                <w:p>
                  <w:pPr>
                    <w:pStyle w:val="28"/>
                    <w:spacing w:line="360" w:lineRule="exact"/>
                    <w:rPr>
                      <w:color w:val="auto"/>
                      <w:szCs w:val="21"/>
                    </w:rPr>
                  </w:pPr>
                  <w:r>
                    <w:rPr>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1" w:type="dxa"/>
                  <w:vAlign w:val="center"/>
                </w:tcPr>
                <w:p>
                  <w:pPr>
                    <w:pStyle w:val="28"/>
                    <w:spacing w:line="360" w:lineRule="exact"/>
                    <w:rPr>
                      <w:color w:val="auto"/>
                      <w:szCs w:val="21"/>
                    </w:rPr>
                  </w:pPr>
                  <w:r>
                    <w:rPr>
                      <w:color w:val="auto"/>
                      <w:szCs w:val="21"/>
                    </w:rPr>
                    <w:t>9</w:t>
                  </w:r>
                </w:p>
              </w:tc>
              <w:tc>
                <w:tcPr>
                  <w:tcW w:w="4519" w:type="dxa"/>
                  <w:vAlign w:val="center"/>
                </w:tcPr>
                <w:p>
                  <w:pPr>
                    <w:pStyle w:val="28"/>
                    <w:spacing w:line="360" w:lineRule="exact"/>
                    <w:rPr>
                      <w:color w:val="auto"/>
                      <w:szCs w:val="21"/>
                    </w:rPr>
                  </w:pPr>
                  <w:r>
                    <w:rPr>
                      <w:color w:val="auto"/>
                      <w:szCs w:val="21"/>
                    </w:rPr>
                    <w:t>铁（mg/L）≤</w:t>
                  </w:r>
                </w:p>
              </w:tc>
              <w:tc>
                <w:tcPr>
                  <w:tcW w:w="3261" w:type="dxa"/>
                  <w:vAlign w:val="center"/>
                </w:tcPr>
                <w:p>
                  <w:pPr>
                    <w:pStyle w:val="28"/>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1" w:type="dxa"/>
                  <w:vAlign w:val="center"/>
                </w:tcPr>
                <w:p>
                  <w:pPr>
                    <w:pStyle w:val="28"/>
                    <w:spacing w:line="360" w:lineRule="exact"/>
                    <w:rPr>
                      <w:color w:val="auto"/>
                      <w:szCs w:val="21"/>
                    </w:rPr>
                  </w:pPr>
                  <w:r>
                    <w:rPr>
                      <w:color w:val="auto"/>
                      <w:szCs w:val="21"/>
                    </w:rPr>
                    <w:t>10</w:t>
                  </w:r>
                </w:p>
              </w:tc>
              <w:tc>
                <w:tcPr>
                  <w:tcW w:w="4519" w:type="dxa"/>
                  <w:vAlign w:val="center"/>
                </w:tcPr>
                <w:p>
                  <w:pPr>
                    <w:pStyle w:val="28"/>
                    <w:spacing w:line="360" w:lineRule="exact"/>
                    <w:rPr>
                      <w:color w:val="auto"/>
                      <w:szCs w:val="21"/>
                    </w:rPr>
                  </w:pPr>
                  <w:r>
                    <w:rPr>
                      <w:color w:val="auto"/>
                      <w:szCs w:val="21"/>
                    </w:rPr>
                    <w:t>锰（mg/L）≤</w:t>
                  </w:r>
                </w:p>
              </w:tc>
              <w:tc>
                <w:tcPr>
                  <w:tcW w:w="3261" w:type="dxa"/>
                  <w:vAlign w:val="center"/>
                </w:tcPr>
                <w:p>
                  <w:pPr>
                    <w:pStyle w:val="28"/>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1" w:type="dxa"/>
                  <w:vAlign w:val="center"/>
                </w:tcPr>
                <w:p>
                  <w:pPr>
                    <w:pStyle w:val="28"/>
                    <w:spacing w:line="360" w:lineRule="exact"/>
                    <w:rPr>
                      <w:color w:val="auto"/>
                      <w:szCs w:val="21"/>
                    </w:rPr>
                  </w:pPr>
                  <w:r>
                    <w:rPr>
                      <w:color w:val="auto"/>
                      <w:szCs w:val="21"/>
                    </w:rPr>
                    <w:t>11</w:t>
                  </w:r>
                </w:p>
              </w:tc>
              <w:tc>
                <w:tcPr>
                  <w:tcW w:w="4519" w:type="dxa"/>
                  <w:vAlign w:val="center"/>
                </w:tcPr>
                <w:p>
                  <w:pPr>
                    <w:pStyle w:val="28"/>
                    <w:spacing w:line="360" w:lineRule="exact"/>
                    <w:rPr>
                      <w:color w:val="auto"/>
                      <w:szCs w:val="21"/>
                    </w:rPr>
                  </w:pPr>
                  <w:r>
                    <w:rPr>
                      <w:color w:val="auto"/>
                      <w:szCs w:val="21"/>
                    </w:rPr>
                    <w:t>溶解氧（mg/L）≥</w:t>
                  </w:r>
                </w:p>
              </w:tc>
              <w:tc>
                <w:tcPr>
                  <w:tcW w:w="3261" w:type="dxa"/>
                  <w:vAlign w:val="center"/>
                </w:tcPr>
                <w:p>
                  <w:pPr>
                    <w:pStyle w:val="28"/>
                    <w:spacing w:line="360" w:lineRule="exact"/>
                    <w:rPr>
                      <w:color w:val="auto"/>
                      <w:szCs w:val="21"/>
                    </w:rPr>
                  </w:pPr>
                  <w:r>
                    <w:rPr>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1" w:type="dxa"/>
                  <w:vAlign w:val="center"/>
                </w:tcPr>
                <w:p>
                  <w:pPr>
                    <w:pStyle w:val="28"/>
                    <w:spacing w:line="360" w:lineRule="exact"/>
                    <w:rPr>
                      <w:color w:val="auto"/>
                      <w:szCs w:val="21"/>
                    </w:rPr>
                  </w:pPr>
                  <w:r>
                    <w:rPr>
                      <w:color w:val="auto"/>
                      <w:szCs w:val="21"/>
                    </w:rPr>
                    <w:t>12</w:t>
                  </w:r>
                </w:p>
              </w:tc>
              <w:tc>
                <w:tcPr>
                  <w:tcW w:w="4519" w:type="dxa"/>
                  <w:vAlign w:val="center"/>
                </w:tcPr>
                <w:p>
                  <w:pPr>
                    <w:pStyle w:val="28"/>
                    <w:spacing w:line="360" w:lineRule="exact"/>
                    <w:rPr>
                      <w:color w:val="auto"/>
                      <w:szCs w:val="21"/>
                    </w:rPr>
                  </w:pPr>
                  <w:r>
                    <w:rPr>
                      <w:color w:val="auto"/>
                      <w:szCs w:val="21"/>
                    </w:rPr>
                    <w:t>总余氯（mg/L）</w:t>
                  </w:r>
                </w:p>
              </w:tc>
              <w:tc>
                <w:tcPr>
                  <w:tcW w:w="3261" w:type="dxa"/>
                  <w:vAlign w:val="center"/>
                </w:tcPr>
                <w:p>
                  <w:pPr>
                    <w:pStyle w:val="28"/>
                    <w:spacing w:line="360" w:lineRule="exact"/>
                    <w:rPr>
                      <w:color w:val="auto"/>
                      <w:szCs w:val="21"/>
                    </w:rPr>
                  </w:pPr>
                  <w:r>
                    <w:rPr>
                      <w:color w:val="auto"/>
                      <w:szCs w:val="21"/>
                    </w:rPr>
                    <w:t>1.0（出厂），0.2（管网末端）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1" w:type="dxa"/>
                  <w:vAlign w:val="center"/>
                </w:tcPr>
                <w:p>
                  <w:pPr>
                    <w:pStyle w:val="28"/>
                    <w:spacing w:line="360" w:lineRule="exact"/>
                    <w:rPr>
                      <w:color w:val="auto"/>
                      <w:szCs w:val="21"/>
                    </w:rPr>
                  </w:pPr>
                  <w:r>
                    <w:rPr>
                      <w:color w:val="auto"/>
                      <w:szCs w:val="21"/>
                    </w:rPr>
                    <w:t>13</w:t>
                  </w:r>
                </w:p>
              </w:tc>
              <w:tc>
                <w:tcPr>
                  <w:tcW w:w="4519" w:type="dxa"/>
                  <w:vAlign w:val="center"/>
                </w:tcPr>
                <w:p>
                  <w:pPr>
                    <w:pStyle w:val="28"/>
                    <w:spacing w:line="360" w:lineRule="exact"/>
                    <w:rPr>
                      <w:color w:val="auto"/>
                      <w:szCs w:val="21"/>
                    </w:rPr>
                  </w:pPr>
                  <w:r>
                    <w:rPr>
                      <w:color w:val="auto"/>
                      <w:szCs w:val="21"/>
                    </w:rPr>
                    <w:t>大肠埃氏菌/(MPN/100mL，或CFU/100 mL)</w:t>
                  </w:r>
                </w:p>
              </w:tc>
              <w:tc>
                <w:tcPr>
                  <w:tcW w:w="3261" w:type="dxa"/>
                  <w:vAlign w:val="center"/>
                </w:tcPr>
                <w:p>
                  <w:pPr>
                    <w:pStyle w:val="28"/>
                    <w:spacing w:line="360" w:lineRule="exact"/>
                    <w:rPr>
                      <w:color w:val="auto"/>
                      <w:szCs w:val="21"/>
                    </w:rPr>
                  </w:pPr>
                  <w:r>
                    <w:rPr>
                      <w:color w:val="auto"/>
                      <w:szCs w:val="21"/>
                    </w:rPr>
                    <w:t>无</w:t>
                  </w:r>
                </w:p>
              </w:tc>
            </w:tr>
          </w:tbl>
          <w:p>
            <w:pPr>
              <w:pStyle w:val="35"/>
              <w:spacing w:before="156" w:beforeLines="50"/>
              <w:ind w:firstLine="482"/>
              <w:rPr>
                <w:rFonts w:eastAsiaTheme="minorEastAsia"/>
                <w:b/>
                <w:szCs w:val="24"/>
              </w:rPr>
            </w:pPr>
            <w:r>
              <w:rPr>
                <w:rFonts w:eastAsiaTheme="minorEastAsia"/>
                <w:b/>
                <w:szCs w:val="24"/>
              </w:rPr>
              <w:t>3.4.3 噪声排放标准</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（1）施工期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施工期噪声排放执行《建筑施工场界噪声环境噪声排放标准》（GB12523-2011）。标准值详见下表。</w:t>
            </w:r>
          </w:p>
          <w:p>
            <w:pPr>
              <w:jc w:val="center"/>
              <w:rPr>
                <w:rFonts w:ascii="Times New Roman" w:hAnsi="Times New Roman" w:cs="Times New Roman"/>
                <w:b/>
                <w:szCs w:val="24"/>
              </w:rPr>
            </w:pPr>
            <w:r>
              <w:rPr>
                <w:rFonts w:ascii="Times New Roman" w:hAnsi="Times New Roman" w:cs="Times New Roman"/>
                <w:b/>
                <w:szCs w:val="24"/>
              </w:rPr>
              <w:t>表3.4.3-1 建筑施工场界噪声标准限值  单位：dB（A）</w:t>
            </w:r>
          </w:p>
          <w:tbl>
            <w:tblPr>
              <w:tblStyle w:val="16"/>
              <w:tblW w:w="8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6"/>
              <w:gridCol w:w="2905"/>
              <w:gridCol w:w="2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3136" w:type="dxa"/>
                  <w:vMerge w:val="restart"/>
                  <w:vAlign w:val="center"/>
                </w:tcPr>
                <w:p>
                  <w:pPr>
                    <w:pStyle w:val="28"/>
                    <w:spacing w:line="360" w:lineRule="exact"/>
                    <w:ind w:left="11"/>
                    <w:rPr>
                      <w:rFonts w:eastAsiaTheme="minorEastAsia"/>
                      <w:color w:val="auto"/>
                      <w:szCs w:val="21"/>
                    </w:rPr>
                  </w:pPr>
                  <w:r>
                    <w:rPr>
                      <w:rFonts w:eastAsiaTheme="minorEastAsia"/>
                      <w:color w:val="auto"/>
                      <w:szCs w:val="21"/>
                    </w:rPr>
                    <w:t>控制区域</w:t>
                  </w:r>
                </w:p>
              </w:tc>
              <w:tc>
                <w:tcPr>
                  <w:tcW w:w="5715" w:type="dxa"/>
                  <w:gridSpan w:val="2"/>
                  <w:vAlign w:val="center"/>
                </w:tcPr>
                <w:p>
                  <w:pPr>
                    <w:pStyle w:val="28"/>
                    <w:spacing w:line="360" w:lineRule="exact"/>
                    <w:ind w:left="11"/>
                    <w:rPr>
                      <w:rFonts w:eastAsiaTheme="minorEastAsia"/>
                      <w:color w:val="auto"/>
                      <w:szCs w:val="21"/>
                    </w:rPr>
                  </w:pPr>
                  <w:r>
                    <w:rPr>
                      <w:rFonts w:eastAsiaTheme="minorEastAsia"/>
                      <w:color w:val="auto"/>
                      <w:szCs w:val="21"/>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3136" w:type="dxa"/>
                  <w:vMerge w:val="continue"/>
                  <w:vAlign w:val="center"/>
                </w:tcPr>
                <w:p>
                  <w:pPr>
                    <w:pStyle w:val="28"/>
                    <w:spacing w:line="360" w:lineRule="exact"/>
                    <w:ind w:left="11"/>
                    <w:rPr>
                      <w:rFonts w:eastAsiaTheme="minorEastAsia"/>
                      <w:color w:val="auto"/>
                      <w:szCs w:val="21"/>
                    </w:rPr>
                  </w:pPr>
                </w:p>
              </w:tc>
              <w:tc>
                <w:tcPr>
                  <w:tcW w:w="2905" w:type="dxa"/>
                  <w:vAlign w:val="center"/>
                </w:tcPr>
                <w:p>
                  <w:pPr>
                    <w:pStyle w:val="28"/>
                    <w:spacing w:line="360" w:lineRule="exact"/>
                    <w:ind w:left="11"/>
                    <w:rPr>
                      <w:rFonts w:eastAsiaTheme="minorEastAsia"/>
                      <w:color w:val="auto"/>
                      <w:szCs w:val="21"/>
                    </w:rPr>
                  </w:pPr>
                  <w:r>
                    <w:rPr>
                      <w:rFonts w:eastAsiaTheme="minorEastAsia"/>
                      <w:color w:val="auto"/>
                      <w:szCs w:val="21"/>
                    </w:rPr>
                    <w:t>昼间</w:t>
                  </w:r>
                </w:p>
              </w:tc>
              <w:tc>
                <w:tcPr>
                  <w:tcW w:w="2810" w:type="dxa"/>
                  <w:vAlign w:val="center"/>
                </w:tcPr>
                <w:p>
                  <w:pPr>
                    <w:pStyle w:val="28"/>
                    <w:spacing w:line="360" w:lineRule="exact"/>
                    <w:ind w:left="11"/>
                    <w:rPr>
                      <w:rFonts w:eastAsiaTheme="minorEastAsia"/>
                      <w:color w:val="auto"/>
                      <w:szCs w:val="21"/>
                    </w:rPr>
                  </w:pPr>
                  <w:r>
                    <w:rPr>
                      <w:rFonts w:eastAsiaTheme="minorEastAsia"/>
                      <w:color w:val="auto"/>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3136" w:type="dxa"/>
                  <w:vAlign w:val="center"/>
                </w:tcPr>
                <w:p>
                  <w:pPr>
                    <w:pStyle w:val="28"/>
                    <w:spacing w:line="360" w:lineRule="exact"/>
                    <w:ind w:left="11"/>
                    <w:rPr>
                      <w:rFonts w:eastAsiaTheme="minorEastAsia"/>
                      <w:color w:val="auto"/>
                      <w:szCs w:val="21"/>
                    </w:rPr>
                  </w:pPr>
                  <w:r>
                    <w:rPr>
                      <w:rFonts w:eastAsiaTheme="minorEastAsia"/>
                      <w:color w:val="auto"/>
                      <w:szCs w:val="21"/>
                    </w:rPr>
                    <w:t>厂界</w:t>
                  </w:r>
                </w:p>
              </w:tc>
              <w:tc>
                <w:tcPr>
                  <w:tcW w:w="2905" w:type="dxa"/>
                  <w:vAlign w:val="center"/>
                </w:tcPr>
                <w:p>
                  <w:pPr>
                    <w:pStyle w:val="28"/>
                    <w:spacing w:line="360" w:lineRule="exact"/>
                    <w:ind w:left="11"/>
                    <w:rPr>
                      <w:rFonts w:eastAsiaTheme="minorEastAsia"/>
                      <w:color w:val="auto"/>
                      <w:szCs w:val="21"/>
                    </w:rPr>
                  </w:pPr>
                  <w:r>
                    <w:rPr>
                      <w:rFonts w:eastAsiaTheme="minorEastAsia"/>
                      <w:color w:val="auto"/>
                      <w:szCs w:val="21"/>
                    </w:rPr>
                    <w:t>70</w:t>
                  </w:r>
                </w:p>
              </w:tc>
              <w:tc>
                <w:tcPr>
                  <w:tcW w:w="2810" w:type="dxa"/>
                  <w:vAlign w:val="center"/>
                </w:tcPr>
                <w:p>
                  <w:pPr>
                    <w:pStyle w:val="28"/>
                    <w:spacing w:line="360" w:lineRule="exact"/>
                    <w:ind w:left="11"/>
                    <w:rPr>
                      <w:rFonts w:eastAsiaTheme="minorEastAsia"/>
                      <w:color w:val="auto"/>
                      <w:szCs w:val="21"/>
                    </w:rPr>
                  </w:pPr>
                  <w:r>
                    <w:rPr>
                      <w:rFonts w:eastAsiaTheme="minorEastAsia"/>
                      <w:color w:val="auto"/>
                      <w:szCs w:val="21"/>
                    </w:rPr>
                    <w:t>55</w:t>
                  </w:r>
                </w:p>
              </w:tc>
            </w:tr>
          </w:tbl>
          <w:p>
            <w:pPr>
              <w:spacing w:before="156"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（2）运营期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项目位于昆明市东川区铜都镇小李庄村，本项目噪声执行《工业企业厂界环境噪声排放标准》（GB12348-2008）2类标准。标准限值详见下表。</w:t>
            </w:r>
          </w:p>
          <w:p>
            <w:pPr>
              <w:jc w:val="center"/>
              <w:rPr>
                <w:rFonts w:ascii="Times New Roman" w:hAnsi="Times New Roman" w:cs="Times New Roman"/>
                <w:b/>
                <w:szCs w:val="24"/>
              </w:rPr>
            </w:pPr>
            <w:r>
              <w:rPr>
                <w:rFonts w:ascii="Times New Roman" w:hAnsi="Times New Roman" w:cs="Times New Roman"/>
                <w:b/>
                <w:szCs w:val="24"/>
              </w:rPr>
              <w:t>表3.4.3-2 《工业企业厂界环境噪声排放标准》  Leq[dB（A）</w:t>
            </w:r>
          </w:p>
          <w:tbl>
            <w:tblPr>
              <w:tblStyle w:val="16"/>
              <w:tblW w:w="8846"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863"/>
              <w:gridCol w:w="3004"/>
              <w:gridCol w:w="2979"/>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2863" w:type="dxa"/>
                  <w:vMerge w:val="restart"/>
                  <w:vAlign w:val="center"/>
                </w:tcPr>
                <w:p>
                  <w:pPr>
                    <w:pStyle w:val="28"/>
                    <w:spacing w:line="360" w:lineRule="exact"/>
                    <w:ind w:left="11"/>
                    <w:rPr>
                      <w:rFonts w:eastAsiaTheme="minorEastAsia"/>
                      <w:color w:val="auto"/>
                      <w:szCs w:val="21"/>
                    </w:rPr>
                  </w:pPr>
                  <w:r>
                    <w:rPr>
                      <w:rFonts w:eastAsiaTheme="minorEastAsia"/>
                      <w:color w:val="auto"/>
                      <w:szCs w:val="21"/>
                    </w:rPr>
                    <w:t>声环境功能区类别</w:t>
                  </w:r>
                </w:p>
              </w:tc>
              <w:tc>
                <w:tcPr>
                  <w:tcW w:w="5983" w:type="dxa"/>
                  <w:gridSpan w:val="2"/>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时段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2863" w:type="dxa"/>
                  <w:vMerge w:val="continue"/>
                  <w:vAlign w:val="center"/>
                </w:tcPr>
                <w:p>
                  <w:pPr>
                    <w:pStyle w:val="28"/>
                    <w:spacing w:line="360" w:lineRule="exact"/>
                    <w:ind w:left="11"/>
                    <w:rPr>
                      <w:rFonts w:eastAsiaTheme="minorEastAsia"/>
                      <w:color w:val="auto"/>
                      <w:szCs w:val="21"/>
                    </w:rPr>
                  </w:pPr>
                </w:p>
              </w:tc>
              <w:tc>
                <w:tcPr>
                  <w:tcW w:w="3004" w:type="dxa"/>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昼间</w:t>
                  </w:r>
                </w:p>
              </w:tc>
              <w:tc>
                <w:tcPr>
                  <w:tcW w:w="2979" w:type="dxa"/>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夜间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863" w:type="dxa"/>
                  <w:vAlign w:val="center"/>
                </w:tcPr>
                <w:p>
                  <w:pPr>
                    <w:pStyle w:val="28"/>
                    <w:spacing w:line="360" w:lineRule="exact"/>
                    <w:ind w:left="11"/>
                    <w:rPr>
                      <w:rFonts w:eastAsiaTheme="minorEastAsia"/>
                      <w:color w:val="auto"/>
                      <w:szCs w:val="21"/>
                    </w:rPr>
                  </w:pPr>
                  <w:r>
                    <w:rPr>
                      <w:rFonts w:eastAsiaTheme="minorEastAsia"/>
                      <w:color w:val="auto"/>
                      <w:szCs w:val="21"/>
                    </w:rPr>
                    <w:t>2类</w:t>
                  </w:r>
                </w:p>
              </w:tc>
              <w:tc>
                <w:tcPr>
                  <w:tcW w:w="3004" w:type="dxa"/>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60</w:t>
                  </w:r>
                </w:p>
              </w:tc>
              <w:tc>
                <w:tcPr>
                  <w:tcW w:w="2979" w:type="dxa"/>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50</w:t>
                  </w:r>
                </w:p>
              </w:tc>
            </w:tr>
          </w:tbl>
          <w:p>
            <w:pPr>
              <w:pStyle w:val="35"/>
              <w:spacing w:before="156" w:beforeLines="50"/>
              <w:ind w:firstLine="482"/>
              <w:rPr>
                <w:rFonts w:eastAsiaTheme="minorEastAsia"/>
                <w:b/>
                <w:szCs w:val="24"/>
              </w:rPr>
            </w:pPr>
            <w:r>
              <w:rPr>
                <w:rFonts w:eastAsiaTheme="minorEastAsia"/>
                <w:b/>
                <w:szCs w:val="24"/>
              </w:rPr>
              <w:t>3.4.4 固废执行标准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1 \* GB3 </w:instrText>
            </w:r>
            <w:r>
              <w:rPr>
                <w:rFonts w:ascii="Times New Roman" w:hAnsi="Times New Roman" w:cs="Times New Roman"/>
                <w:sz w:val="24"/>
                <w:szCs w:val="24"/>
              </w:rPr>
              <w:fldChar w:fldCharType="separate"/>
            </w:r>
            <w:r>
              <w:rPr>
                <w:rFonts w:ascii="Times New Roman" w:hAnsi="Times New Roman" w:eastAsia="宋体" w:cs="Times New Roman"/>
                <w:sz w:val="24"/>
                <w:szCs w:val="24"/>
              </w:rPr>
              <w:t>①</w:t>
            </w:r>
            <w:r>
              <w:rPr>
                <w:rFonts w:ascii="Times New Roman" w:hAnsi="Times New Roman" w:cs="Times New Roman"/>
                <w:sz w:val="24"/>
                <w:szCs w:val="24"/>
              </w:rPr>
              <w:fldChar w:fldCharType="end"/>
            </w:r>
            <w:r>
              <w:rPr>
                <w:rFonts w:ascii="Times New Roman" w:hAnsi="Times New Roman" w:cs="Times New Roman"/>
                <w:sz w:val="24"/>
                <w:szCs w:val="24"/>
              </w:rPr>
              <w:t>危险废物执行《危险废物贮存污染控制标准》（GB18597-2001）及修改单。</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2 \* GB3 </w:instrText>
            </w:r>
            <w:r>
              <w:rPr>
                <w:rFonts w:ascii="Times New Roman" w:hAnsi="Times New Roman" w:cs="Times New Roman"/>
                <w:sz w:val="24"/>
                <w:szCs w:val="24"/>
              </w:rPr>
              <w:fldChar w:fldCharType="separate"/>
            </w:r>
            <w:r>
              <w:rPr>
                <w:rFonts w:ascii="Times New Roman" w:hAnsi="Times New Roman" w:eastAsia="宋体" w:cs="Times New Roman"/>
                <w:sz w:val="24"/>
                <w:szCs w:val="24"/>
              </w:rPr>
              <w:t>②</w:t>
            </w:r>
            <w:r>
              <w:rPr>
                <w:rFonts w:ascii="Times New Roman" w:hAnsi="Times New Roman" w:cs="Times New Roman"/>
                <w:sz w:val="24"/>
                <w:szCs w:val="24"/>
              </w:rPr>
              <w:fldChar w:fldCharType="end"/>
            </w:r>
            <w:r>
              <w:rPr>
                <w:rFonts w:ascii="Times New Roman" w:hAnsi="Times New Roman" w:cs="Times New Roman"/>
                <w:sz w:val="24"/>
                <w:szCs w:val="24"/>
              </w:rPr>
              <w:t>一般固体废物处置执行《一般工业固体废物贮存和填埋污染控制标准》（GB18599-2020）。</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2" w:hRule="atLeast"/>
          <w:jc w:val="center"/>
        </w:trPr>
        <w:tc>
          <w:tcPr>
            <w:tcW w:w="456"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总量控制指标</w:t>
            </w:r>
          </w:p>
        </w:tc>
        <w:tc>
          <w:tcPr>
            <w:tcW w:w="9077" w:type="dxa"/>
            <w:vAlign w:val="center"/>
          </w:tcPr>
          <w:p>
            <w:pPr>
              <w:spacing w:before="156" w:beforeLines="50" w:line="360" w:lineRule="auto"/>
              <w:ind w:firstLine="360" w:firstLineChars="150"/>
              <w:rPr>
                <w:rFonts w:ascii="Times New Roman" w:hAnsi="Times New Roman" w:cs="Times New Roman"/>
                <w:b/>
                <w:sz w:val="24"/>
                <w:szCs w:val="24"/>
              </w:rPr>
            </w:pPr>
            <w:r>
              <w:rPr>
                <w:rFonts w:ascii="Times New Roman" w:hAnsi="Times New Roman" w:cs="Times New Roman"/>
                <w:sz w:val="24"/>
                <w:szCs w:val="24"/>
              </w:rPr>
              <w:t>根据《建设项目环境影响报告表编制技术指南》（污染影响类）（试行）的要求，总量指标主要为地方生态环境主管部门核定的总量控制指标。</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（1）废气产排量</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本项目废气产生及排放情况主要为产品库扬尘，无组织扬尘产生量为2.57t/a，无组织排放量为0.28t/a。</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（2）废水产排量</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①生产废水</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项目生产废水产生量为363452.1m³/a ，其中CODcr产生量为18.17t/a；SS产生量为1054.01t/a；NH</w:t>
            </w:r>
            <w:r>
              <w:rPr>
                <w:rFonts w:ascii="Times New Roman" w:hAnsi="Times New Roman" w:cs="Times New Roman"/>
                <w:sz w:val="24"/>
                <w:szCs w:val="24"/>
                <w:vertAlign w:val="subscript"/>
              </w:rPr>
              <w:t>3</w:t>
            </w:r>
            <w:r>
              <w:rPr>
                <w:rFonts w:ascii="Times New Roman" w:hAnsi="Times New Roman" w:cs="Times New Roman"/>
                <w:sz w:val="24"/>
                <w:szCs w:val="24"/>
              </w:rPr>
              <w:t>-N产生量为1.63t/a；项目拟设置一套生产废水处理系统对其进行处理，该系统由2个生产废水收集池、2个污水处理塔、2个清水池、2个泥浆回收池和4台污泥压滤机组成；项目生产废水经处理后完全回用，不外排。</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②生活污水</w:t>
            </w:r>
          </w:p>
          <w:p>
            <w:pPr>
              <w:spacing w:line="360" w:lineRule="auto"/>
              <w:ind w:firstLine="480" w:firstLineChars="200"/>
              <w:rPr>
                <w:rFonts w:ascii="Times New Roman" w:hAnsi="Times New Roman" w:cs="Times New Roman"/>
                <w:color w:val="FF0000"/>
                <w:sz w:val="24"/>
                <w:szCs w:val="24"/>
              </w:rPr>
            </w:pPr>
            <w:r>
              <w:rPr>
                <w:rFonts w:ascii="Times New Roman" w:hAnsi="Times New Roman" w:cs="Times New Roman"/>
                <w:color w:val="FF0000"/>
                <w:sz w:val="24"/>
                <w:szCs w:val="24"/>
              </w:rPr>
              <w:t>项目生活污水产生量为356.4m³/a，CODcr产生量为0.10t/a、BOD</w:t>
            </w:r>
            <w:r>
              <w:rPr>
                <w:rFonts w:ascii="Times New Roman" w:hAnsi="Times New Roman" w:cs="Times New Roman"/>
                <w:color w:val="FF0000"/>
                <w:sz w:val="24"/>
                <w:szCs w:val="24"/>
                <w:vertAlign w:val="subscript"/>
              </w:rPr>
              <w:t>5</w:t>
            </w:r>
            <w:r>
              <w:rPr>
                <w:rFonts w:ascii="Times New Roman" w:hAnsi="Times New Roman" w:cs="Times New Roman"/>
                <w:color w:val="FF0000"/>
                <w:sz w:val="24"/>
                <w:szCs w:val="24"/>
              </w:rPr>
              <w:t>产生量为0.07t/a、NH</w:t>
            </w:r>
            <w:r>
              <w:rPr>
                <w:rFonts w:ascii="Times New Roman" w:hAnsi="Times New Roman" w:cs="Times New Roman"/>
                <w:color w:val="FF0000"/>
                <w:sz w:val="24"/>
                <w:szCs w:val="24"/>
                <w:vertAlign w:val="subscript"/>
              </w:rPr>
              <w:t>3</w:t>
            </w:r>
            <w:r>
              <w:rPr>
                <w:rFonts w:ascii="Times New Roman" w:hAnsi="Times New Roman" w:cs="Times New Roman"/>
                <w:color w:val="FF0000"/>
                <w:sz w:val="24"/>
                <w:szCs w:val="24"/>
              </w:rPr>
              <w:t>-N产生量为0.01</w:t>
            </w:r>
            <w:r>
              <w:rPr>
                <w:rFonts w:hint="eastAsia" w:ascii="Times New Roman" w:hAnsi="Times New Roman" w:cs="Times New Roman"/>
                <w:color w:val="FF0000"/>
                <w:sz w:val="24"/>
                <w:szCs w:val="24"/>
                <w:lang w:val="en-US" w:eastAsia="zh-CN"/>
              </w:rPr>
              <w:t>t</w:t>
            </w:r>
            <w:r>
              <w:rPr>
                <w:rFonts w:ascii="Times New Roman" w:hAnsi="Times New Roman" w:cs="Times New Roman"/>
                <w:color w:val="FF0000"/>
                <w:sz w:val="24"/>
                <w:szCs w:val="24"/>
              </w:rPr>
              <w:t>/a、SS产生量为0.06t/a、总磷产生量为0.002t/a、总氮产生量为0.01t/a、阴离子表面活性剂产生量为0.004t/a。项目生活污水经化粪池和一体化污水处理设施处理后，可达到《城市污水再生利用 城市杂用水水质》（GB/T18920-2020）中城市绿化标准</w:t>
            </w:r>
            <w:r>
              <w:rPr>
                <w:rFonts w:hint="eastAsia" w:ascii="Times New Roman" w:hAnsi="Times New Roman" w:cs="Times New Roman"/>
                <w:color w:val="FF0000"/>
                <w:sz w:val="24"/>
                <w:szCs w:val="24"/>
                <w:lang w:val="en-US" w:eastAsia="zh-CN"/>
              </w:rPr>
              <w:t>回用于厂区绿化和降尘，</w:t>
            </w:r>
            <w:r>
              <w:rPr>
                <w:rFonts w:ascii="Times New Roman" w:hAnsi="Times New Roman" w:cs="Times New Roman"/>
                <w:color w:val="FF0000"/>
                <w:sz w:val="24"/>
                <w:szCs w:val="24"/>
              </w:rPr>
              <w:t>不外排。</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③初期雨水</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初期雨水产生量约为19.16m³/次；项目拟在厂房外围及厂区周围设置900m的截排水沟对雨天厂区产生的初期雨水及地表径流进行疏导，初期雨水通过截排水沟收集后进入有效容积不低于20m³的初期雨水收集池沉淀后回用于生产，不外排。</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（3）固体废物</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固体废物产生量包括：生产废水污泥产生量1024.93t/a主要成分为小江河流中的泥土，一部分用于厂区周围绿化覆土和道路建设，剩余部分将其用于小李庄村肥田；废机油产生量约为50kg/a，废机油部分用于生产设备润滑使用，无法使用部分委托有资质的单位处置；废弃沾油抹布产生量为10kg/a，委托环卫部门定期清运处置；</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生活污水污泥产生量约为0.06t/a，委托环卫部门定期清运处置；生活垃圾产生量为9.9t/a，委托环卫部门定期清运处置。处置率为100%。</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根据国家要求，需进行总量控制指标的因子主要包括有组织排放的SO</w:t>
            </w:r>
            <w:r>
              <w:rPr>
                <w:rFonts w:ascii="Times New Roman" w:hAnsi="Times New Roman" w:cs="Times New Roman"/>
                <w:sz w:val="24"/>
                <w:szCs w:val="24"/>
                <w:vertAlign w:val="subscript"/>
              </w:rPr>
              <w:t>2</w:t>
            </w:r>
            <w:r>
              <w:rPr>
                <w:rFonts w:ascii="Times New Roman" w:hAnsi="Times New Roman" w:cs="Times New Roman"/>
                <w:sz w:val="24"/>
                <w:szCs w:val="24"/>
              </w:rPr>
              <w:t>、NOx、有机废气和CODcr、NH</w:t>
            </w:r>
            <w:r>
              <w:rPr>
                <w:rFonts w:ascii="Times New Roman" w:hAnsi="Times New Roman" w:cs="Times New Roman"/>
                <w:sz w:val="24"/>
                <w:szCs w:val="24"/>
                <w:vertAlign w:val="subscript"/>
              </w:rPr>
              <w:t>3</w:t>
            </w:r>
            <w:r>
              <w:rPr>
                <w:rFonts w:ascii="Times New Roman" w:hAnsi="Times New Roman" w:cs="Times New Roman"/>
                <w:sz w:val="24"/>
                <w:szCs w:val="24"/>
              </w:rPr>
              <w:t>-N。综上，本项目无总量控制指。</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tc>
      </w:tr>
    </w:tbl>
    <w:p>
      <w:pPr>
        <w:pageBreakBefore/>
        <w:spacing w:line="360" w:lineRule="auto"/>
        <w:jc w:val="left"/>
        <w:outlineLvl w:val="0"/>
        <w:rPr>
          <w:rFonts w:ascii="Times New Roman" w:hAnsi="Times New Roman" w:cs="Times New Roman"/>
          <w:b/>
          <w:color w:val="000000" w:themeColor="text1"/>
          <w:sz w:val="28"/>
          <w:szCs w:val="20"/>
          <w14:textFill>
            <w14:solidFill>
              <w14:schemeClr w14:val="tx1"/>
            </w14:solidFill>
          </w14:textFill>
        </w:rPr>
      </w:pPr>
      <w:bookmarkStart w:id="7" w:name="_Toc3693"/>
      <w:r>
        <w:rPr>
          <w:rFonts w:ascii="Times New Roman" w:hAnsi="Times New Roman" w:cs="Times New Roman"/>
          <w:b/>
          <w:color w:val="000000" w:themeColor="text1"/>
          <w:sz w:val="28"/>
          <w:szCs w:val="20"/>
          <w14:textFill>
            <w14:solidFill>
              <w14:schemeClr w14:val="tx1"/>
            </w14:solidFill>
          </w14:textFill>
        </w:rPr>
        <w:t>四、主要环境影响和保护措施</w:t>
      </w:r>
      <w:bookmarkEnd w:id="7"/>
    </w:p>
    <w:tbl>
      <w:tblPr>
        <w:tblStyle w:val="17"/>
        <w:tblW w:w="9523"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56"/>
        <w:gridCol w:w="906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56"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施工期环境保护措施</w:t>
            </w:r>
          </w:p>
        </w:tc>
        <w:tc>
          <w:tcPr>
            <w:tcW w:w="9067" w:type="dxa"/>
            <w:vAlign w:val="center"/>
          </w:tcPr>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4.1 施工期环境保护措施</w:t>
            </w:r>
          </w:p>
          <w:p>
            <w:pPr>
              <w:pStyle w:val="35"/>
              <w:ind w:firstLine="482"/>
              <w:rPr>
                <w:rFonts w:eastAsiaTheme="minorEastAsia"/>
                <w:b/>
                <w:szCs w:val="24"/>
              </w:rPr>
            </w:pPr>
            <w:r>
              <w:rPr>
                <w:rFonts w:eastAsiaTheme="minorEastAsia"/>
                <w:b/>
                <w:szCs w:val="24"/>
              </w:rPr>
              <w:t>4.1.1 施工期废气污染防治措施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项目施工期拟采取的扬尘防治措施主要包括：</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1 \* GB3 </w:instrText>
            </w:r>
            <w:r>
              <w:rPr>
                <w:rFonts w:ascii="Times New Roman" w:hAnsi="Times New Roman" w:cs="Times New Roman"/>
                <w:sz w:val="24"/>
                <w:szCs w:val="24"/>
              </w:rPr>
              <w:fldChar w:fldCharType="separate"/>
            </w:r>
            <w:r>
              <w:rPr>
                <w:rFonts w:ascii="Times New Roman" w:hAnsi="Times New Roman" w:cs="Times New Roman"/>
                <w:sz w:val="24"/>
                <w:szCs w:val="24"/>
              </w:rPr>
              <w:t>①</w:t>
            </w:r>
            <w:r>
              <w:rPr>
                <w:rFonts w:ascii="Times New Roman" w:hAnsi="Times New Roman" w:cs="Times New Roman"/>
                <w:sz w:val="24"/>
                <w:szCs w:val="24"/>
              </w:rPr>
              <w:fldChar w:fldCharType="end"/>
            </w:r>
            <w:r>
              <w:rPr>
                <w:rFonts w:ascii="Times New Roman" w:hAnsi="Times New Roman" w:cs="Times New Roman"/>
                <w:sz w:val="24"/>
                <w:szCs w:val="24"/>
              </w:rPr>
              <w:t>在施工场地安排员工定期对施工场地洒水以减少扬尘量，若遇到大风或干燥天气可适当增加洒水次数；并采取遮阴网覆盖等措施降低扬尘产生；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2 \* GB3 </w:instrText>
            </w:r>
            <w:r>
              <w:rPr>
                <w:rFonts w:ascii="Times New Roman" w:hAnsi="Times New Roman" w:cs="Times New Roman"/>
                <w:sz w:val="24"/>
                <w:szCs w:val="24"/>
              </w:rPr>
              <w:fldChar w:fldCharType="separate"/>
            </w:r>
            <w:r>
              <w:rPr>
                <w:rFonts w:ascii="Times New Roman" w:hAnsi="Times New Roman" w:cs="Times New Roman"/>
                <w:sz w:val="24"/>
                <w:szCs w:val="24"/>
              </w:rPr>
              <w:t>②</w:t>
            </w:r>
            <w:r>
              <w:rPr>
                <w:rFonts w:ascii="Times New Roman" w:hAnsi="Times New Roman" w:cs="Times New Roman"/>
                <w:sz w:val="24"/>
                <w:szCs w:val="24"/>
              </w:rPr>
              <w:fldChar w:fldCharType="end"/>
            </w:r>
            <w:r>
              <w:rPr>
                <w:rFonts w:ascii="Times New Roman" w:hAnsi="Times New Roman" w:cs="Times New Roman"/>
                <w:sz w:val="24"/>
                <w:szCs w:val="24"/>
              </w:rPr>
              <w:t>尽量避免在大风天气下进行施工作业。根据同类项目工程经验，4级以上大风天气不宜实施土方施工；</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3 \* GB3 </w:instrText>
            </w:r>
            <w:r>
              <w:rPr>
                <w:rFonts w:ascii="Times New Roman" w:hAnsi="Times New Roman" w:cs="Times New Roman"/>
                <w:sz w:val="24"/>
                <w:szCs w:val="24"/>
              </w:rPr>
              <w:fldChar w:fldCharType="separate"/>
            </w:r>
            <w:r>
              <w:rPr>
                <w:rFonts w:ascii="Times New Roman" w:hAnsi="Times New Roman" w:cs="Times New Roman"/>
                <w:sz w:val="24"/>
                <w:szCs w:val="24"/>
              </w:rPr>
              <w:t>③</w:t>
            </w:r>
            <w:r>
              <w:rPr>
                <w:rFonts w:ascii="Times New Roman" w:hAnsi="Times New Roman" w:cs="Times New Roman"/>
                <w:sz w:val="24"/>
                <w:szCs w:val="24"/>
              </w:rPr>
              <w:fldChar w:fldCharType="end"/>
            </w:r>
            <w:r>
              <w:rPr>
                <w:rFonts w:ascii="Times New Roman" w:hAnsi="Times New Roman" w:cs="Times New Roman"/>
                <w:sz w:val="24"/>
                <w:szCs w:val="24"/>
              </w:rPr>
              <w:t>加强施工现场运输车辆管理。进出建筑工地的运输车辆必须车身整洁，装载车厢完好，装载货物堆码整齐，不得污染道路；运输车辆严禁带泥上路，严禁超载，渣土及易抛洒材料实行封闭车辆运输，防止建筑材料、垃圾和尘土飞扬、洒落和流溢，在进出施工工地的出入口地面设置湿润的草席，以减轻汽车轮胎行驶携带的扬尘。</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另外，在施工期，建设单位、施工单位和监理单位必须严格执行《昆明市人民政府办公厅关于进一步落实工地扬尘污染防治责任的通知》（昆政办【2018】27号）相关规定，具体如下：</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（1）建设单位相关要求</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①将工地扬尘污染防治的费用列入工程造价，并在施工承包合同中明确施工单位扬尘污染防治责任；认真审查施工单位编制的扬尘污染防治实施方案；在工地现场安排专人负责扬尘污染防治，督促项目施工、监理单位落实《建筑工地扬尘污染防治细化规定》；</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②督促施工单位按规定做好工地现场PM</w:t>
            </w:r>
            <w:r>
              <w:rPr>
                <w:rFonts w:ascii="Times New Roman" w:hAnsi="Times New Roman" w:cs="Times New Roman"/>
                <w:sz w:val="24"/>
                <w:szCs w:val="24"/>
                <w:vertAlign w:val="subscript"/>
              </w:rPr>
              <w:t>10</w:t>
            </w:r>
            <w:r>
              <w:rPr>
                <w:rFonts w:ascii="Times New Roman" w:hAnsi="Times New Roman" w:cs="Times New Roman"/>
                <w:sz w:val="24"/>
                <w:szCs w:val="24"/>
              </w:rPr>
              <w:t>监测、视频监控等扬尘信息化监管设备的安装、使用、维护工作，工地现场PM</w:t>
            </w:r>
            <w:r>
              <w:rPr>
                <w:rFonts w:ascii="Times New Roman" w:hAnsi="Times New Roman" w:cs="Times New Roman"/>
                <w:sz w:val="24"/>
                <w:szCs w:val="24"/>
                <w:vertAlign w:val="subscript"/>
              </w:rPr>
              <w:t>10</w:t>
            </w:r>
            <w:r>
              <w:rPr>
                <w:rFonts w:ascii="Times New Roman" w:hAnsi="Times New Roman" w:cs="Times New Roman"/>
                <w:sz w:val="24"/>
                <w:szCs w:val="24"/>
              </w:rPr>
              <w:t>浓度达到规定的临界值时，督促施工单位采取相应的应急措施；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③配合管理部门，督促项目施工、监理等单位做好渣土车等工程运输车辆扬尘污染防治的工地源头管理工作。</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（2）施工单位相关要求</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①施工单位必须设立建筑工地扬尘污染防治专门工作机构，层层落实工作责任，工地现场必须有专人负责扬尘污染防治工作、专人负责台帐管理；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②按照《建筑工地扬尘污染防治细化规定》要求，开工前必须编制扬尘污染防治实施方案，报建设单位和监理单位审核通过后，在项目施工全过程严格实施。确保建筑工地扬尘污染防治专项经费专款专用；</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③按规定做好工地现场PM</w:t>
            </w:r>
            <w:r>
              <w:rPr>
                <w:rFonts w:ascii="Times New Roman" w:hAnsi="Times New Roman" w:cs="Times New Roman"/>
                <w:sz w:val="24"/>
                <w:szCs w:val="24"/>
                <w:vertAlign w:val="subscript"/>
              </w:rPr>
              <w:t>10</w:t>
            </w:r>
            <w:r>
              <w:rPr>
                <w:rFonts w:ascii="Times New Roman" w:hAnsi="Times New Roman" w:cs="Times New Roman"/>
                <w:sz w:val="24"/>
                <w:szCs w:val="24"/>
              </w:rPr>
              <w:t>监测、视频监控等扬尘信息化监管设备的安装、使用、维护工作，现场PM</w:t>
            </w:r>
            <w:r>
              <w:rPr>
                <w:rFonts w:ascii="Times New Roman" w:hAnsi="Times New Roman" w:cs="Times New Roman"/>
                <w:sz w:val="24"/>
                <w:szCs w:val="24"/>
                <w:vertAlign w:val="subscript"/>
              </w:rPr>
              <w:t>10</w:t>
            </w:r>
            <w:r>
              <w:rPr>
                <w:rFonts w:ascii="Times New Roman" w:hAnsi="Times New Roman" w:cs="Times New Roman"/>
                <w:sz w:val="24"/>
                <w:szCs w:val="24"/>
              </w:rPr>
              <w:t>浓度超过60时，立即采取洒水降尘+喷雾降尘等综合降尘措施，12h平均PM</w:t>
            </w:r>
            <w:r>
              <w:rPr>
                <w:rFonts w:ascii="Times New Roman" w:hAnsi="Times New Roman" w:cs="Times New Roman"/>
                <w:sz w:val="24"/>
                <w:szCs w:val="24"/>
                <w:vertAlign w:val="subscript"/>
              </w:rPr>
              <w:t>10</w:t>
            </w:r>
            <w:r>
              <w:rPr>
                <w:rFonts w:ascii="Times New Roman" w:hAnsi="Times New Roman" w:cs="Times New Roman"/>
                <w:sz w:val="24"/>
                <w:szCs w:val="24"/>
              </w:rPr>
              <w:t>浓度超过100时，必须停工整改、加强综合降尘措施；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④施工全过程，一是坚持每天自检自查，各项扬尘污染防治措施必须落实到位，特别是洒水、喷淋降尘和渣土、裸露地面的全苫盖；二是每天24小时对进出工地的渣土车等工程车辆进行检查、登记，规范使用“三池一设备”，未清洗干净的车辆，未按规定密闭容易产生泼洒、滴漏的渣运车辆，不得驶出工地现场。发现渣土车违法违规行为及时上报城管综合执法部门和项目监督机构；三是依法依规开展渣土外运作业，对项目渣土外运全过程负责；</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⑤必须服从各级政府及相关管理部门的管理，被责令整改的工地，必须按要求认真、及时、全面的进行整改；被责令停工的工地，非经同意，严禁复工。</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（3）监理单位</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①在监理规划、监理实施细则中建立完善的建筑工地扬尘污染防治监理制度、台帐管理制度并严格按要求开展监理工作；</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②认真审查施工单位编制的文明施工、扬尘污染防治实施方案，并在施工全过程监督施工单位认真履行工地扬尘污染防治主体责任；</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③监督施工单位做好工地现场PM</w:t>
            </w:r>
            <w:r>
              <w:rPr>
                <w:rFonts w:ascii="Times New Roman" w:hAnsi="Times New Roman" w:cs="Times New Roman"/>
                <w:sz w:val="24"/>
                <w:szCs w:val="24"/>
                <w:vertAlign w:val="subscript"/>
              </w:rPr>
              <w:t>10</w:t>
            </w:r>
            <w:r>
              <w:rPr>
                <w:rFonts w:ascii="Times New Roman" w:hAnsi="Times New Roman" w:cs="Times New Roman"/>
                <w:sz w:val="24"/>
                <w:szCs w:val="24"/>
              </w:rPr>
              <w:t>监测、视频监控等扬尘信息化监管设备的安装、使用、维护工作，现场PM</w:t>
            </w:r>
            <w:r>
              <w:rPr>
                <w:rFonts w:ascii="Times New Roman" w:hAnsi="Times New Roman" w:cs="Times New Roman"/>
                <w:sz w:val="24"/>
                <w:szCs w:val="24"/>
                <w:vertAlign w:val="subscript"/>
              </w:rPr>
              <w:t>10</w:t>
            </w:r>
            <w:r>
              <w:rPr>
                <w:rFonts w:ascii="Times New Roman" w:hAnsi="Times New Roman" w:cs="Times New Roman"/>
                <w:sz w:val="24"/>
                <w:szCs w:val="24"/>
              </w:rPr>
              <w:t>浓度超过临界值时，督促施工单位及时采取应急措施；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④安排专门监理人员，每天对施工单位落实苫盖和洒水喷淋降尘措施进行监理，参照“旁站监理”模式，每天对施工单位工程车辆监管、规范使用“三池一设备”情况进行监理，形成台帐；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⑤对施工单位扬尘污染防治工作不到位的，予以责令整改，拒不整改或整改不到位的及时上报建设单位和项目监督机构。</w:t>
            </w:r>
          </w:p>
          <w:p>
            <w:pPr>
              <w:pStyle w:val="35"/>
              <w:ind w:firstLine="482"/>
              <w:rPr>
                <w:rFonts w:eastAsiaTheme="minorEastAsia"/>
                <w:b/>
                <w:szCs w:val="24"/>
              </w:rPr>
            </w:pPr>
            <w:r>
              <w:rPr>
                <w:rFonts w:eastAsiaTheme="minorEastAsia"/>
                <w:b/>
                <w:szCs w:val="24"/>
              </w:rPr>
              <w:t>4.1.2 施工期废水污染防治措施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①施工期施工人员不在项目区食宿，生活污水仅为洗手污水，通过施工场地的临时沉淀池沉淀处理后，回用于施工场地洒水降尘，不外排。</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②施工场地雨天产生的地表径流与施工期间天气状况有较大的关系，难以定量分析。雨天地表径流含有大量泥沙，直接外排会使周围水体的悬浮物含量增加，项目拟设临时排水沟、沉淀池收集雨天地表径流，使其经沉淀池处理后，回用于施工过程或施工场地洒水降尘。</w:t>
            </w:r>
          </w:p>
          <w:p>
            <w:pPr>
              <w:pStyle w:val="35"/>
              <w:ind w:firstLine="482"/>
              <w:rPr>
                <w:rFonts w:eastAsiaTheme="minorEastAsia"/>
                <w:b/>
                <w:szCs w:val="24"/>
              </w:rPr>
            </w:pPr>
            <w:r>
              <w:rPr>
                <w:rFonts w:eastAsiaTheme="minorEastAsia"/>
                <w:b/>
                <w:szCs w:val="24"/>
              </w:rPr>
              <w:t>4.1.3 施工期噪声污染防治措施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①加强施工期的操作规范；</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②运输车辆进出施工场地时应控制车速，禁止鸣笛，减少车辆在施工场地的停留时间，减小运输噪声对环境的影响；</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③加强与周围居民的沟通，避免扰民事件发生。</w:t>
            </w:r>
          </w:p>
          <w:p>
            <w:pPr>
              <w:pStyle w:val="35"/>
              <w:ind w:firstLine="482"/>
              <w:rPr>
                <w:rFonts w:eastAsiaTheme="minorEastAsia"/>
                <w:b/>
                <w:szCs w:val="24"/>
              </w:rPr>
            </w:pPr>
            <w:r>
              <w:rPr>
                <w:rFonts w:eastAsiaTheme="minorEastAsia"/>
                <w:b/>
                <w:szCs w:val="24"/>
              </w:rPr>
              <w:t>4.1.4 施工期固体废物污染防治措施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项目施工期产生的固体废弃物主要包括建筑垃圾和施工人员产生的生活垃圾。主要采取的施工固废防治措施如下：</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①建设垃圾包括混凝土块、废木材、废钢材等，严格按照相关部门的要求，对其进行分类收集，其中废钢材收集后外售废品收购站，其他不能回收部分运至相关部门指定地点进行合理处置。</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②生活垃圾委托环卫部门清运处置。</w:t>
            </w:r>
          </w:p>
          <w:p>
            <w:pPr>
              <w:pStyle w:val="35"/>
              <w:ind w:firstLine="482"/>
              <w:rPr>
                <w:rFonts w:eastAsiaTheme="minorEastAsia"/>
                <w:b/>
                <w:szCs w:val="24"/>
              </w:rPr>
            </w:pPr>
            <w:r>
              <w:rPr>
                <w:rFonts w:eastAsiaTheme="minorEastAsia"/>
                <w:b/>
                <w:szCs w:val="24"/>
              </w:rPr>
              <w:t>4.1.5 施工期生态保护措施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本项目位于昆明市东川区铜都镇小李庄村，项目占地全部为滩涂地，建设过程中主要采取的生态保护措施为对靠河一侧建设绿化带。</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56"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运营期环境影响和保护措施</w:t>
            </w:r>
          </w:p>
        </w:tc>
        <w:tc>
          <w:tcPr>
            <w:tcW w:w="9067" w:type="dxa"/>
            <w:vAlign w:val="center"/>
          </w:tcPr>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4.2 运营期环境影响和保护措施</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4.2.1 运营期废气环境影响和保护措施</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（1）废气污染源强核算</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建设内容及生产工艺，本项目生产工艺各环节均为湿法作业，基本无废气产生，另外项目为降低清淤固废（河沙）暂存对对环境造成的影响，项目对小江小李庄段产生的清淤固废（河沙）直接运输至厂区生产车间进行加工，不设置原料堆场；因此项目的主要废气产生节点为产品库扬尘。根据颗粒料生产车间的工程内容，该生产车间不设原料库，设置了1个2000m²产品库，共分为3个分区，产品库区域在物料堆存和装卸过程会有一定量扬尘产生，其扬尘产生量受风速、水分含量等多种因素的影响。本环评采用经验公式对其进行计算，公示如下：</w:t>
            </w:r>
          </w:p>
          <w:p>
            <w:pPr>
              <w:spacing w:line="360" w:lineRule="auto"/>
              <w:ind w:firstLine="480" w:firstLineChars="200"/>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Q</m:t>
                </m:r>
                <m:sSup>
                  <m:sSupPr>
                    <m:ctrlPr>
                      <w:rPr>
                        <w:rFonts w:ascii="Cambria Math" w:hAnsi="Cambria Math" w:cs="Times New Roman"/>
                        <w:sz w:val="24"/>
                        <w:szCs w:val="24"/>
                      </w:rPr>
                    </m:ctrlPr>
                  </m:sSupPr>
                  <m:e>
                    <m:r>
                      <m:rPr>
                        <m:sty m:val="p"/>
                      </m:rPr>
                      <w:rPr>
                        <w:rFonts w:ascii="Cambria Math" w:hAnsi="Cambria Math" w:cs="Times New Roman"/>
                        <w:sz w:val="24"/>
                        <w:szCs w:val="24"/>
                      </w:rPr>
                      <m:t>=0.009U</m:t>
                    </m:r>
                    <m:ctrlPr>
                      <w:rPr>
                        <w:rFonts w:ascii="Cambria Math" w:hAnsi="Cambria Math" w:cs="Times New Roman"/>
                        <w:sz w:val="24"/>
                        <w:szCs w:val="24"/>
                      </w:rPr>
                    </m:ctrlPr>
                  </m:e>
                  <m:sup>
                    <m:r>
                      <m:rPr>
                        <m:sty m:val="p"/>
                      </m:rPr>
                      <w:rPr>
                        <w:rFonts w:ascii="Cambria Math" w:hAnsi="Cambria Math" w:cs="Times New Roman"/>
                        <w:sz w:val="24"/>
                        <w:szCs w:val="24"/>
                      </w:rPr>
                      <m:t>4.1</m:t>
                    </m:r>
                    <m:ctrlPr>
                      <w:rPr>
                        <w:rFonts w:ascii="Cambria Math" w:hAnsi="Cambria Math" w:cs="Times New Roman"/>
                        <w:sz w:val="24"/>
                        <w:szCs w:val="24"/>
                      </w:rPr>
                    </m:ctrlPr>
                  </m:sup>
                </m:sSup>
                <m:sSup>
                  <m:sSupPr>
                    <m:ctrlPr>
                      <w:rPr>
                        <w:rFonts w:ascii="Cambria Math" w:hAnsi="Cambria Math" w:cs="Times New Roman"/>
                        <w:sz w:val="24"/>
                        <w:szCs w:val="24"/>
                      </w:rPr>
                    </m:ctrlPr>
                  </m:sSupPr>
                  <m:e>
                    <m:r>
                      <m:rPr>
                        <m:sty m:val="p"/>
                      </m:rPr>
                      <w:rPr>
                        <w:rFonts w:ascii="Cambria Math" w:hAnsi="Cambria Math" w:cs="Times New Roman"/>
                        <w:sz w:val="24"/>
                        <w:szCs w:val="24"/>
                      </w:rPr>
                      <m:t>e</m:t>
                    </m:r>
                    <m:ctrlPr>
                      <w:rPr>
                        <w:rFonts w:ascii="Cambria Math" w:hAnsi="Cambria Math" w:cs="Times New Roman"/>
                        <w:sz w:val="24"/>
                        <w:szCs w:val="24"/>
                      </w:rPr>
                    </m:ctrlPr>
                  </m:e>
                  <m:sup>
                    <m:r>
                      <m:rPr>
                        <m:sty m:val="p"/>
                      </m:rPr>
                      <w:rPr>
                        <w:rFonts w:ascii="Cambria Math" w:hAnsi="Cambria Math" w:cs="Times New Roman"/>
                        <w:sz w:val="24"/>
                        <w:szCs w:val="24"/>
                      </w:rPr>
                      <m:t>−0.55w</m:t>
                    </m:r>
                    <m:ctrlPr>
                      <w:rPr>
                        <w:rFonts w:ascii="Cambria Math" w:hAnsi="Cambria Math" w:cs="Times New Roman"/>
                        <w:sz w:val="24"/>
                        <w:szCs w:val="24"/>
                      </w:rPr>
                    </m:ctrlPr>
                  </m:sup>
                </m:sSup>
              </m:oMath>
            </m:oMathPara>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式中：Q--起尘量，（kg/a·m²）</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U--当地风速，（m/s），当地平均风速约为3.4m/s</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w--物料含水率，（%）</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特点可知，产品库堆存的颗粒料，其中1#库合计面积为500m²，堆存颗粒料的含水率约为15%；3#库面积为1500m²，堆存颗粒料含水率为6%；经计算，项目产生的扬尘量为2.57t/a；为最大限度降低扬尘对环境造成的影响，项目拟将产品库设置为车间式全封闭库房，则其扬尘抑制率约为90%，则产品库堆存和装卸过程扬尘排放量为0.2</w:t>
            </w:r>
            <w:r>
              <w:rPr>
                <w:rFonts w:hint="eastAsia" w:ascii="Times New Roman" w:hAnsi="Times New Roman" w:cs="Times New Roman"/>
                <w:sz w:val="24"/>
                <w:szCs w:val="24"/>
                <w:lang w:val="en-US" w:eastAsia="zh-CN"/>
              </w:rPr>
              <w:t>6</w:t>
            </w:r>
            <w:r>
              <w:rPr>
                <w:rFonts w:ascii="Times New Roman" w:hAnsi="Times New Roman" w:cs="Times New Roman"/>
                <w:sz w:val="24"/>
                <w:szCs w:val="24"/>
              </w:rPr>
              <w:t>t/a；为无组织排放。</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（2）废气污染物污染防治措施及达标性分析</w:t>
            </w:r>
          </w:p>
          <w:p>
            <w:pPr>
              <w:spacing w:line="360" w:lineRule="auto"/>
              <w:ind w:firstLine="482" w:firstLineChars="200"/>
              <w:rPr>
                <w:rFonts w:ascii="Times New Roman" w:hAnsi="Times New Roman" w:cs="Times New Roman"/>
                <w:b/>
                <w:sz w:val="24"/>
              </w:rPr>
            </w:pPr>
            <w:r>
              <w:rPr>
                <w:rFonts w:ascii="Times New Roman" w:hAnsi="Times New Roman" w:eastAsia="宋体" w:cs="Times New Roman"/>
                <w:b/>
                <w:sz w:val="24"/>
              </w:rPr>
              <w:t>①</w:t>
            </w:r>
            <w:r>
              <w:rPr>
                <w:rFonts w:ascii="Times New Roman" w:hAnsi="Times New Roman" w:cs="Times New Roman"/>
                <w:b/>
                <w:sz w:val="24"/>
              </w:rPr>
              <w:t>废气污染物治理措施及排放方式</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根据项目产污环节和废气污染源强核算可知，项目废气污染物排放源的治理措施及排放方式如下表所示。</w:t>
            </w:r>
          </w:p>
          <w:p>
            <w:pPr>
              <w:jc w:val="center"/>
              <w:rPr>
                <w:rFonts w:ascii="Times New Roman" w:hAnsi="Times New Roman" w:cs="Times New Roman"/>
                <w:b/>
                <w:szCs w:val="24"/>
              </w:rPr>
            </w:pPr>
            <w:r>
              <w:rPr>
                <w:rFonts w:ascii="Times New Roman" w:hAnsi="Times New Roman" w:cs="Times New Roman"/>
                <w:b/>
                <w:szCs w:val="24"/>
              </w:rPr>
              <w:t>4.2.1-1 废气污染物治理措施及排放方式一览表</w:t>
            </w:r>
          </w:p>
          <w:tbl>
            <w:tblPr>
              <w:tblStyle w:val="17"/>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0"/>
              <w:gridCol w:w="918"/>
              <w:gridCol w:w="848"/>
              <w:gridCol w:w="3260"/>
              <w:gridCol w:w="992"/>
              <w:gridCol w:w="19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88" w:type="dxa"/>
                  <w:gridSpan w:val="2"/>
                  <w:vAlign w:val="center"/>
                </w:tcPr>
                <w:p>
                  <w:pPr>
                    <w:pStyle w:val="28"/>
                    <w:spacing w:line="360" w:lineRule="exact"/>
                    <w:rPr>
                      <w:color w:val="auto"/>
                      <w:szCs w:val="21"/>
                    </w:rPr>
                  </w:pPr>
                  <w:r>
                    <w:rPr>
                      <w:color w:val="auto"/>
                      <w:szCs w:val="21"/>
                    </w:rPr>
                    <w:t>产排污环节</w:t>
                  </w:r>
                </w:p>
              </w:tc>
              <w:tc>
                <w:tcPr>
                  <w:tcW w:w="848" w:type="dxa"/>
                  <w:vAlign w:val="center"/>
                </w:tcPr>
                <w:p>
                  <w:pPr>
                    <w:pStyle w:val="28"/>
                    <w:spacing w:line="360" w:lineRule="exact"/>
                    <w:rPr>
                      <w:color w:val="auto"/>
                      <w:szCs w:val="21"/>
                    </w:rPr>
                  </w:pPr>
                  <w:r>
                    <w:rPr>
                      <w:color w:val="auto"/>
                      <w:szCs w:val="21"/>
                    </w:rPr>
                    <w:t>污染物种类</w:t>
                  </w:r>
                </w:p>
              </w:tc>
              <w:tc>
                <w:tcPr>
                  <w:tcW w:w="3260" w:type="dxa"/>
                  <w:vAlign w:val="center"/>
                </w:tcPr>
                <w:p>
                  <w:pPr>
                    <w:pStyle w:val="28"/>
                    <w:spacing w:line="360" w:lineRule="exact"/>
                    <w:rPr>
                      <w:color w:val="auto"/>
                      <w:szCs w:val="21"/>
                    </w:rPr>
                  </w:pPr>
                  <w:r>
                    <w:rPr>
                      <w:color w:val="auto"/>
                      <w:szCs w:val="21"/>
                    </w:rPr>
                    <w:t>治理设施及效率</w:t>
                  </w:r>
                </w:p>
              </w:tc>
              <w:tc>
                <w:tcPr>
                  <w:tcW w:w="992" w:type="dxa"/>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eastAsia="宋体" w:cs="Times New Roman"/>
                      <w:bCs/>
                      <w:snapToGrid w:val="0"/>
                      <w:kern w:val="32"/>
                      <w:lang w:val="zh-CN"/>
                    </w:rPr>
                    <w:t>排放形式</w:t>
                  </w:r>
                </w:p>
              </w:tc>
              <w:tc>
                <w:tcPr>
                  <w:tcW w:w="1917" w:type="dxa"/>
                  <w:vAlign w:val="center"/>
                </w:tcPr>
                <w:p>
                  <w:pPr>
                    <w:pStyle w:val="28"/>
                    <w:spacing w:line="360" w:lineRule="exact"/>
                    <w:rPr>
                      <w:color w:val="auto"/>
                      <w:szCs w:val="21"/>
                    </w:rPr>
                  </w:pPr>
                  <w:r>
                    <w:rPr>
                      <w:color w:val="auto"/>
                      <w:szCs w:val="21"/>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0" w:type="dxa"/>
                  <w:vAlign w:val="center"/>
                </w:tcPr>
                <w:p>
                  <w:pPr>
                    <w:pStyle w:val="28"/>
                    <w:spacing w:line="360" w:lineRule="exact"/>
                    <w:rPr>
                      <w:color w:val="auto"/>
                      <w:szCs w:val="21"/>
                    </w:rPr>
                  </w:pPr>
                  <w:r>
                    <w:rPr>
                      <w:color w:val="auto"/>
                      <w:szCs w:val="21"/>
                    </w:rPr>
                    <w:t>产品库</w:t>
                  </w:r>
                </w:p>
              </w:tc>
              <w:tc>
                <w:tcPr>
                  <w:tcW w:w="918" w:type="dxa"/>
                  <w:vAlign w:val="center"/>
                </w:tcPr>
                <w:p>
                  <w:pPr>
                    <w:pStyle w:val="28"/>
                    <w:spacing w:line="360" w:lineRule="exact"/>
                    <w:rPr>
                      <w:color w:val="auto"/>
                      <w:szCs w:val="21"/>
                    </w:rPr>
                  </w:pPr>
                  <w:r>
                    <w:rPr>
                      <w:color w:val="auto"/>
                      <w:szCs w:val="21"/>
                    </w:rPr>
                    <w:t>装卸、暂存</w:t>
                  </w:r>
                </w:p>
              </w:tc>
              <w:tc>
                <w:tcPr>
                  <w:tcW w:w="848" w:type="dxa"/>
                  <w:vAlign w:val="center"/>
                </w:tcPr>
                <w:p>
                  <w:pPr>
                    <w:pStyle w:val="28"/>
                    <w:spacing w:line="360" w:lineRule="exact"/>
                    <w:rPr>
                      <w:color w:val="auto"/>
                      <w:szCs w:val="21"/>
                    </w:rPr>
                  </w:pPr>
                  <w:r>
                    <w:rPr>
                      <w:color w:val="auto"/>
                      <w:szCs w:val="21"/>
                    </w:rPr>
                    <w:t>颗粒物</w:t>
                  </w:r>
                </w:p>
              </w:tc>
              <w:tc>
                <w:tcPr>
                  <w:tcW w:w="3260" w:type="dxa"/>
                  <w:vAlign w:val="center"/>
                </w:tcPr>
                <w:p>
                  <w:pPr>
                    <w:pStyle w:val="28"/>
                    <w:spacing w:line="360" w:lineRule="exact"/>
                    <w:ind w:firstLine="210" w:firstLineChars="100"/>
                    <w:jc w:val="both"/>
                    <w:rPr>
                      <w:color w:val="auto"/>
                      <w:szCs w:val="21"/>
                    </w:rPr>
                  </w:pPr>
                  <w:r>
                    <w:rPr>
                      <w:rFonts w:eastAsiaTheme="minorEastAsia"/>
                      <w:color w:val="auto"/>
                      <w:szCs w:val="21"/>
                    </w:rPr>
                    <w:t>为最大限度降低扬尘对环境造成的影响，项目拟将产品库设置为车间式全封闭库房，则其扬尘抑制率约为90%。</w:t>
                  </w:r>
                </w:p>
              </w:tc>
              <w:tc>
                <w:tcPr>
                  <w:tcW w:w="992" w:type="dxa"/>
                  <w:vAlign w:val="center"/>
                </w:tcPr>
                <w:p>
                  <w:pPr>
                    <w:pStyle w:val="28"/>
                    <w:spacing w:line="360" w:lineRule="exact"/>
                    <w:rPr>
                      <w:color w:val="auto"/>
                      <w:szCs w:val="21"/>
                    </w:rPr>
                  </w:pPr>
                  <w:r>
                    <w:rPr>
                      <w:color w:val="auto"/>
                      <w:szCs w:val="21"/>
                    </w:rPr>
                    <w:t>无组织</w:t>
                  </w:r>
                </w:p>
              </w:tc>
              <w:tc>
                <w:tcPr>
                  <w:tcW w:w="1917" w:type="dxa"/>
                  <w:vAlign w:val="center"/>
                </w:tcPr>
                <w:p>
                  <w:pPr>
                    <w:pStyle w:val="28"/>
                    <w:spacing w:line="360" w:lineRule="exact"/>
                    <w:rPr>
                      <w:color w:val="auto"/>
                      <w:szCs w:val="21"/>
                    </w:rPr>
                  </w:pPr>
                  <w:r>
                    <w:rPr>
                      <w:color w:val="auto"/>
                      <w:szCs w:val="21"/>
                    </w:rPr>
                    <w:t>--</w:t>
                  </w:r>
                </w:p>
              </w:tc>
            </w:tr>
          </w:tbl>
          <w:p>
            <w:pPr>
              <w:spacing w:before="156" w:beforeLines="50" w:line="360" w:lineRule="auto"/>
              <w:ind w:firstLine="482" w:firstLineChars="200"/>
              <w:rPr>
                <w:rFonts w:ascii="Times New Roman" w:hAnsi="Times New Roman" w:cs="Times New Roman"/>
                <w:b/>
                <w:sz w:val="24"/>
              </w:rPr>
            </w:pPr>
            <w:r>
              <w:rPr>
                <w:rFonts w:ascii="Times New Roman" w:hAnsi="Times New Roman" w:eastAsia="宋体" w:cs="Times New Roman"/>
                <w:b/>
                <w:sz w:val="24"/>
              </w:rPr>
              <w:t>②</w:t>
            </w:r>
            <w:r>
              <w:rPr>
                <w:rFonts w:ascii="Times New Roman" w:hAnsi="Times New Roman" w:cs="Times New Roman"/>
                <w:b/>
                <w:sz w:val="24"/>
              </w:rPr>
              <w:t>废气污染物排放源产排量及达标情况</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根据项目产污环节和废气污染源强核算可知，项目废气污染物排放源产排量及达标情况如下表所示。</w:t>
            </w:r>
          </w:p>
          <w:p>
            <w:pPr>
              <w:jc w:val="center"/>
              <w:rPr>
                <w:rFonts w:ascii="Times New Roman" w:hAnsi="Times New Roman" w:cs="Times New Roman"/>
                <w:b/>
                <w:szCs w:val="24"/>
              </w:rPr>
            </w:pPr>
            <w:r>
              <w:rPr>
                <w:rFonts w:ascii="Times New Roman" w:hAnsi="Times New Roman" w:cs="Times New Roman"/>
                <w:b/>
                <w:szCs w:val="24"/>
              </w:rPr>
              <w:t>表4.2.1-2  废气污染物排放源产排量及达标情况一览表</w:t>
            </w:r>
          </w:p>
          <w:tbl>
            <w:tblPr>
              <w:tblStyle w:val="17"/>
              <w:tblW w:w="884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3"/>
              <w:gridCol w:w="926"/>
              <w:gridCol w:w="874"/>
              <w:gridCol w:w="1023"/>
              <w:gridCol w:w="874"/>
              <w:gridCol w:w="873"/>
              <w:gridCol w:w="870"/>
              <w:gridCol w:w="748"/>
              <w:gridCol w:w="1290"/>
              <w:gridCol w:w="6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29" w:type="dxa"/>
                  <w:gridSpan w:val="2"/>
                  <w:vMerge w:val="restart"/>
                  <w:vAlign w:val="center"/>
                </w:tcPr>
                <w:p>
                  <w:pPr>
                    <w:pStyle w:val="28"/>
                    <w:spacing w:line="360" w:lineRule="exact"/>
                    <w:rPr>
                      <w:color w:val="auto"/>
                      <w:szCs w:val="21"/>
                    </w:rPr>
                  </w:pPr>
                  <w:r>
                    <w:rPr>
                      <w:color w:val="auto"/>
                      <w:szCs w:val="21"/>
                    </w:rPr>
                    <w:t>产排污环节</w:t>
                  </w:r>
                </w:p>
              </w:tc>
              <w:tc>
                <w:tcPr>
                  <w:tcW w:w="874" w:type="dxa"/>
                  <w:vMerge w:val="restart"/>
                  <w:vAlign w:val="center"/>
                </w:tcPr>
                <w:p>
                  <w:pPr>
                    <w:pStyle w:val="28"/>
                    <w:spacing w:line="360" w:lineRule="exact"/>
                    <w:rPr>
                      <w:color w:val="auto"/>
                      <w:szCs w:val="21"/>
                    </w:rPr>
                  </w:pPr>
                  <w:r>
                    <w:rPr>
                      <w:color w:val="auto"/>
                      <w:szCs w:val="21"/>
                    </w:rPr>
                    <w:t>污染物种类</w:t>
                  </w:r>
                </w:p>
              </w:tc>
              <w:tc>
                <w:tcPr>
                  <w:tcW w:w="1897" w:type="dxa"/>
                  <w:gridSpan w:val="2"/>
                  <w:vAlign w:val="center"/>
                </w:tcPr>
                <w:p>
                  <w:pPr>
                    <w:pStyle w:val="28"/>
                    <w:spacing w:line="360" w:lineRule="exact"/>
                    <w:rPr>
                      <w:color w:val="auto"/>
                      <w:szCs w:val="21"/>
                    </w:rPr>
                  </w:pPr>
                  <w:r>
                    <w:rPr>
                      <w:color w:val="auto"/>
                      <w:szCs w:val="21"/>
                    </w:rPr>
                    <w:t>污染物产生情况</w:t>
                  </w:r>
                </w:p>
              </w:tc>
              <w:tc>
                <w:tcPr>
                  <w:tcW w:w="2491" w:type="dxa"/>
                  <w:gridSpan w:val="3"/>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污染物排放量和浓度</w:t>
                  </w:r>
                </w:p>
              </w:tc>
              <w:tc>
                <w:tcPr>
                  <w:tcW w:w="1290" w:type="dxa"/>
                  <w:vMerge w:val="restart"/>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排放标准mg/m³</w:t>
                  </w:r>
                </w:p>
              </w:tc>
              <w:tc>
                <w:tcPr>
                  <w:tcW w:w="660" w:type="dxa"/>
                  <w:vMerge w:val="restart"/>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29" w:type="dxa"/>
                  <w:gridSpan w:val="2"/>
                  <w:vMerge w:val="continue"/>
                  <w:vAlign w:val="center"/>
                </w:tcPr>
                <w:p>
                  <w:pPr>
                    <w:pStyle w:val="28"/>
                    <w:spacing w:line="360" w:lineRule="exact"/>
                    <w:rPr>
                      <w:color w:val="auto"/>
                      <w:szCs w:val="21"/>
                    </w:rPr>
                  </w:pPr>
                </w:p>
              </w:tc>
              <w:tc>
                <w:tcPr>
                  <w:tcW w:w="874" w:type="dxa"/>
                  <w:vMerge w:val="continue"/>
                  <w:vAlign w:val="center"/>
                </w:tcPr>
                <w:p>
                  <w:pPr>
                    <w:pStyle w:val="28"/>
                    <w:spacing w:line="360" w:lineRule="exact"/>
                    <w:rPr>
                      <w:color w:val="auto"/>
                      <w:szCs w:val="21"/>
                    </w:rPr>
                  </w:pPr>
                </w:p>
              </w:tc>
              <w:tc>
                <w:tcPr>
                  <w:tcW w:w="1023" w:type="dxa"/>
                  <w:vAlign w:val="center"/>
                </w:tcPr>
                <w:p>
                  <w:pPr>
                    <w:pStyle w:val="28"/>
                    <w:spacing w:line="360" w:lineRule="exact"/>
                    <w:rPr>
                      <w:color w:val="auto"/>
                      <w:szCs w:val="21"/>
                    </w:rPr>
                  </w:pPr>
                  <w:r>
                    <w:rPr>
                      <w:color w:val="auto"/>
                      <w:szCs w:val="21"/>
                    </w:rPr>
                    <w:t>产生浓度mg/m³</w:t>
                  </w:r>
                </w:p>
              </w:tc>
              <w:tc>
                <w:tcPr>
                  <w:tcW w:w="874" w:type="dxa"/>
                  <w:vAlign w:val="center"/>
                </w:tcPr>
                <w:p>
                  <w:pPr>
                    <w:pStyle w:val="28"/>
                    <w:spacing w:line="360" w:lineRule="exact"/>
                    <w:rPr>
                      <w:color w:val="auto"/>
                      <w:szCs w:val="21"/>
                    </w:rPr>
                  </w:pPr>
                  <w:r>
                    <w:rPr>
                      <w:color w:val="auto"/>
                      <w:szCs w:val="21"/>
                    </w:rPr>
                    <w:t>产生量t/a</w:t>
                  </w:r>
                </w:p>
              </w:tc>
              <w:tc>
                <w:tcPr>
                  <w:tcW w:w="873" w:type="dxa"/>
                  <w:vAlign w:val="center"/>
                </w:tcPr>
                <w:p>
                  <w:pPr>
                    <w:pStyle w:val="28"/>
                    <w:spacing w:line="360" w:lineRule="exact"/>
                    <w:rPr>
                      <w:color w:val="auto"/>
                      <w:szCs w:val="21"/>
                    </w:rPr>
                  </w:pPr>
                  <w:r>
                    <w:rPr>
                      <w:color w:val="auto"/>
                      <w:szCs w:val="21"/>
                    </w:rPr>
                    <w:t>排放浓度mg/m³</w:t>
                  </w:r>
                </w:p>
              </w:tc>
              <w:tc>
                <w:tcPr>
                  <w:tcW w:w="870" w:type="dxa"/>
                  <w:tcBorders>
                    <w:top w:val="single" w:color="auto" w:sz="4" w:space="0"/>
                    <w:right w:val="single" w:color="auto" w:sz="4" w:space="0"/>
                  </w:tcBorders>
                  <w:vAlign w:val="center"/>
                </w:tcPr>
                <w:p>
                  <w:pPr>
                    <w:pStyle w:val="28"/>
                    <w:spacing w:line="360" w:lineRule="exact"/>
                    <w:rPr>
                      <w:color w:val="auto"/>
                      <w:szCs w:val="21"/>
                    </w:rPr>
                  </w:pPr>
                  <w:r>
                    <w:rPr>
                      <w:color w:val="auto"/>
                      <w:szCs w:val="21"/>
                    </w:rPr>
                    <w:t>排放量t/a</w:t>
                  </w:r>
                </w:p>
              </w:tc>
              <w:tc>
                <w:tcPr>
                  <w:tcW w:w="748" w:type="dxa"/>
                  <w:tcBorders>
                    <w:top w:val="single" w:color="auto" w:sz="4" w:space="0"/>
                    <w:left w:val="single" w:color="auto" w:sz="4" w:space="0"/>
                  </w:tcBorders>
                  <w:vAlign w:val="center"/>
                </w:tcPr>
                <w:p>
                  <w:pPr>
                    <w:pStyle w:val="28"/>
                    <w:spacing w:line="360" w:lineRule="exact"/>
                    <w:rPr>
                      <w:color w:val="auto"/>
                      <w:szCs w:val="21"/>
                    </w:rPr>
                  </w:pPr>
                  <w:r>
                    <w:rPr>
                      <w:color w:val="auto"/>
                      <w:szCs w:val="21"/>
                    </w:rPr>
                    <w:t>排放速率kg/h</w:t>
                  </w:r>
                </w:p>
              </w:tc>
              <w:tc>
                <w:tcPr>
                  <w:tcW w:w="1290" w:type="dxa"/>
                  <w:vMerge w:val="continue"/>
                  <w:vAlign w:val="center"/>
                </w:tcPr>
                <w:p>
                  <w:pPr>
                    <w:pStyle w:val="28"/>
                    <w:spacing w:line="360" w:lineRule="exact"/>
                    <w:rPr>
                      <w:color w:val="auto"/>
                      <w:szCs w:val="21"/>
                    </w:rPr>
                  </w:pPr>
                </w:p>
              </w:tc>
              <w:tc>
                <w:tcPr>
                  <w:tcW w:w="660" w:type="dxa"/>
                  <w:vMerge w:val="continue"/>
                  <w:vAlign w:val="center"/>
                </w:tcPr>
                <w:p>
                  <w:pPr>
                    <w:spacing w:line="360" w:lineRule="exact"/>
                    <w:jc w:val="center"/>
                    <w:rPr>
                      <w:rFonts w:ascii="Times New Roman" w:hAnsi="Times New Roman" w:eastAsia="宋体" w:cs="Times New Roman"/>
                      <w:bCs/>
                      <w:snapToGrid w:val="0"/>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3" w:type="dxa"/>
                  <w:vAlign w:val="center"/>
                </w:tcPr>
                <w:p>
                  <w:pPr>
                    <w:pStyle w:val="28"/>
                    <w:spacing w:line="360" w:lineRule="exact"/>
                    <w:rPr>
                      <w:color w:val="auto"/>
                      <w:szCs w:val="21"/>
                    </w:rPr>
                  </w:pPr>
                  <w:r>
                    <w:rPr>
                      <w:color w:val="auto"/>
                      <w:szCs w:val="21"/>
                    </w:rPr>
                    <w:t>产品库</w:t>
                  </w:r>
                </w:p>
              </w:tc>
              <w:tc>
                <w:tcPr>
                  <w:tcW w:w="926" w:type="dxa"/>
                  <w:vAlign w:val="center"/>
                </w:tcPr>
                <w:p>
                  <w:pPr>
                    <w:pStyle w:val="28"/>
                    <w:spacing w:line="360" w:lineRule="exact"/>
                    <w:rPr>
                      <w:color w:val="auto"/>
                      <w:szCs w:val="21"/>
                    </w:rPr>
                  </w:pPr>
                  <w:r>
                    <w:rPr>
                      <w:color w:val="auto"/>
                      <w:szCs w:val="21"/>
                    </w:rPr>
                    <w:t>装卸、暂存</w:t>
                  </w:r>
                </w:p>
              </w:tc>
              <w:tc>
                <w:tcPr>
                  <w:tcW w:w="874" w:type="dxa"/>
                  <w:vAlign w:val="center"/>
                </w:tcPr>
                <w:p>
                  <w:pPr>
                    <w:pStyle w:val="28"/>
                    <w:spacing w:line="360" w:lineRule="exact"/>
                    <w:rPr>
                      <w:color w:val="auto"/>
                      <w:szCs w:val="21"/>
                    </w:rPr>
                  </w:pPr>
                  <w:r>
                    <w:rPr>
                      <w:color w:val="auto"/>
                      <w:szCs w:val="21"/>
                    </w:rPr>
                    <w:t>颗粒物</w:t>
                  </w:r>
                </w:p>
              </w:tc>
              <w:tc>
                <w:tcPr>
                  <w:tcW w:w="1023" w:type="dxa"/>
                  <w:tcBorders>
                    <w:top w:val="single" w:color="auto" w:sz="4" w:space="0"/>
                  </w:tcBorders>
                  <w:vAlign w:val="center"/>
                </w:tcPr>
                <w:p>
                  <w:pPr>
                    <w:pStyle w:val="28"/>
                    <w:spacing w:before="78" w:line="360" w:lineRule="exact"/>
                    <w:rPr>
                      <w:color w:val="auto"/>
                      <w:szCs w:val="21"/>
                    </w:rPr>
                  </w:pPr>
                  <w:r>
                    <w:rPr>
                      <w:color w:val="auto"/>
                      <w:szCs w:val="21"/>
                    </w:rPr>
                    <w:t>--</w:t>
                  </w:r>
                </w:p>
              </w:tc>
              <w:tc>
                <w:tcPr>
                  <w:tcW w:w="874" w:type="dxa"/>
                  <w:tcBorders>
                    <w:top w:val="single" w:color="auto" w:sz="4" w:space="0"/>
                  </w:tcBorders>
                  <w:vAlign w:val="center"/>
                </w:tcPr>
                <w:p>
                  <w:pPr>
                    <w:pStyle w:val="28"/>
                    <w:spacing w:line="360" w:lineRule="exact"/>
                    <w:rPr>
                      <w:color w:val="auto"/>
                      <w:szCs w:val="21"/>
                    </w:rPr>
                  </w:pPr>
                  <w:r>
                    <w:rPr>
                      <w:color w:val="auto"/>
                      <w:szCs w:val="21"/>
                    </w:rPr>
                    <w:t>2.57</w:t>
                  </w:r>
                </w:p>
              </w:tc>
              <w:tc>
                <w:tcPr>
                  <w:tcW w:w="873" w:type="dxa"/>
                  <w:vAlign w:val="center"/>
                </w:tcPr>
                <w:p>
                  <w:pPr>
                    <w:pStyle w:val="28"/>
                    <w:spacing w:line="360" w:lineRule="exact"/>
                    <w:rPr>
                      <w:color w:val="auto"/>
                      <w:szCs w:val="21"/>
                    </w:rPr>
                  </w:pPr>
                  <w:r>
                    <w:rPr>
                      <w:color w:val="auto"/>
                      <w:szCs w:val="21"/>
                    </w:rPr>
                    <w:t>--</w:t>
                  </w:r>
                </w:p>
              </w:tc>
              <w:tc>
                <w:tcPr>
                  <w:tcW w:w="870" w:type="dxa"/>
                  <w:tcBorders>
                    <w:right w:val="single" w:color="auto" w:sz="4" w:space="0"/>
                  </w:tcBorders>
                  <w:vAlign w:val="center"/>
                </w:tcPr>
                <w:p>
                  <w:pPr>
                    <w:pStyle w:val="28"/>
                    <w:spacing w:line="360" w:lineRule="exact"/>
                    <w:rPr>
                      <w:rFonts w:hint="eastAsia" w:eastAsia="宋体"/>
                      <w:color w:val="auto"/>
                      <w:szCs w:val="21"/>
                      <w:lang w:eastAsia="zh-CN"/>
                    </w:rPr>
                  </w:pPr>
                  <w:r>
                    <w:rPr>
                      <w:color w:val="auto"/>
                      <w:szCs w:val="21"/>
                    </w:rPr>
                    <w:t>0.2</w:t>
                  </w:r>
                  <w:r>
                    <w:rPr>
                      <w:rFonts w:hint="eastAsia"/>
                      <w:color w:val="auto"/>
                      <w:szCs w:val="21"/>
                      <w:lang w:val="en-US" w:eastAsia="zh-CN"/>
                    </w:rPr>
                    <w:t>6</w:t>
                  </w:r>
                </w:p>
              </w:tc>
              <w:tc>
                <w:tcPr>
                  <w:tcW w:w="748" w:type="dxa"/>
                  <w:tcBorders>
                    <w:left w:val="single" w:color="auto" w:sz="4" w:space="0"/>
                  </w:tcBorders>
                  <w:vAlign w:val="center"/>
                </w:tcPr>
                <w:p>
                  <w:pPr>
                    <w:pStyle w:val="28"/>
                    <w:spacing w:before="78" w:line="360" w:lineRule="exact"/>
                    <w:rPr>
                      <w:color w:val="auto"/>
                      <w:szCs w:val="21"/>
                    </w:rPr>
                  </w:pPr>
                  <w:r>
                    <w:rPr>
                      <w:color w:val="auto"/>
                      <w:szCs w:val="21"/>
                    </w:rPr>
                    <w:t>--</w:t>
                  </w:r>
                </w:p>
              </w:tc>
              <w:tc>
                <w:tcPr>
                  <w:tcW w:w="1290" w:type="dxa"/>
                  <w:vAlign w:val="center"/>
                </w:tcPr>
                <w:p>
                  <w:pPr>
                    <w:pStyle w:val="28"/>
                    <w:spacing w:before="78" w:line="360" w:lineRule="exact"/>
                    <w:rPr>
                      <w:color w:val="auto"/>
                      <w:szCs w:val="21"/>
                    </w:rPr>
                  </w:pPr>
                  <w:r>
                    <w:rPr>
                      <w:color w:val="auto"/>
                      <w:szCs w:val="21"/>
                    </w:rPr>
                    <w:t>≤1.0</w:t>
                  </w:r>
                </w:p>
              </w:tc>
              <w:tc>
                <w:tcPr>
                  <w:tcW w:w="660" w:type="dxa"/>
                  <w:vAlign w:val="center"/>
                </w:tcPr>
                <w:p>
                  <w:pPr>
                    <w:pStyle w:val="28"/>
                    <w:spacing w:before="78" w:line="360" w:lineRule="exact"/>
                    <w:rPr>
                      <w:color w:val="auto"/>
                      <w:szCs w:val="21"/>
                    </w:rPr>
                  </w:pPr>
                  <w:r>
                    <w:rPr>
                      <w:color w:val="auto"/>
                      <w:szCs w:val="21"/>
                    </w:rPr>
                    <w:t>达标</w:t>
                  </w:r>
                </w:p>
              </w:tc>
            </w:tr>
          </w:tbl>
          <w:p>
            <w:pPr>
              <w:pStyle w:val="35"/>
              <w:spacing w:before="156" w:beforeLines="50"/>
              <w:ind w:firstLine="480"/>
              <w:rPr>
                <w:color w:val="FF0000"/>
                <w:szCs w:val="24"/>
              </w:rPr>
            </w:pPr>
            <w:r>
              <w:rPr>
                <w:color w:val="FF0000"/>
                <w:szCs w:val="24"/>
              </w:rPr>
              <w:t>由上表可知，项目拟将产品库设置为车间式全封闭库房，其装卸和暂存扬尘可达到《大气污染物综合排放标准》（GB16297-1996）无组织排放标准限值</w:t>
            </w:r>
            <w:r>
              <w:rPr>
                <w:rFonts w:hint="eastAsia"/>
                <w:color w:val="FF0000"/>
                <w:szCs w:val="24"/>
                <w:lang w:eastAsia="zh-CN"/>
              </w:rPr>
              <w:t>，</w:t>
            </w:r>
            <w:r>
              <w:rPr>
                <w:rFonts w:hint="eastAsia"/>
                <w:color w:val="FF0000"/>
                <w:szCs w:val="24"/>
                <w:lang w:val="en-US" w:eastAsia="zh-CN"/>
              </w:rPr>
              <w:t>对区域大气环境影响较小</w:t>
            </w:r>
            <w:r>
              <w:rPr>
                <w:color w:val="FF0000"/>
                <w:szCs w:val="24"/>
              </w:rPr>
              <w:t>。</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（3）废气污染治理设施可行性分析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项目设计提出拟建设的废气污染治理设施为车间式全封闭库房，为常见可行的废气污染防治措施，属于可行技术，措施可行。</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（4）自行监测要求</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根据《排污单位自行监测技术指南 总则》（HJ819-2017）的要求，项目废气自行监测要求如下表所示。</w:t>
            </w:r>
          </w:p>
          <w:p>
            <w:pPr>
              <w:jc w:val="center"/>
              <w:rPr>
                <w:rFonts w:ascii="Times New Roman" w:hAnsi="Times New Roman" w:cs="Times New Roman"/>
                <w:b/>
                <w:szCs w:val="24"/>
              </w:rPr>
            </w:pPr>
            <w:r>
              <w:rPr>
                <w:rFonts w:ascii="Times New Roman" w:hAnsi="Times New Roman" w:cs="Times New Roman"/>
                <w:b/>
                <w:szCs w:val="24"/>
              </w:rPr>
              <w:t>表4.2.1-3  项目运营期废气自行监测计划一览表</w:t>
            </w:r>
          </w:p>
          <w:tbl>
            <w:tblPr>
              <w:tblStyle w:val="16"/>
              <w:tblW w:w="88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403"/>
              <w:gridCol w:w="1165"/>
              <w:gridCol w:w="1165"/>
              <w:gridCol w:w="4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3" w:type="dxa"/>
                  <w:vAlign w:val="center"/>
                </w:tcPr>
                <w:p>
                  <w:pPr>
                    <w:pStyle w:val="28"/>
                    <w:spacing w:line="360" w:lineRule="exact"/>
                    <w:rPr>
                      <w:rFonts w:eastAsiaTheme="minorEastAsia"/>
                      <w:color w:val="auto"/>
                      <w:szCs w:val="21"/>
                    </w:rPr>
                  </w:pPr>
                  <w:r>
                    <w:rPr>
                      <w:rFonts w:eastAsiaTheme="minorEastAsia"/>
                      <w:color w:val="auto"/>
                      <w:szCs w:val="21"/>
                    </w:rPr>
                    <w:t>对象</w:t>
                  </w:r>
                </w:p>
              </w:tc>
              <w:tc>
                <w:tcPr>
                  <w:tcW w:w="1403" w:type="dxa"/>
                  <w:vAlign w:val="center"/>
                </w:tcPr>
                <w:p>
                  <w:pPr>
                    <w:pStyle w:val="28"/>
                    <w:spacing w:line="360" w:lineRule="exact"/>
                    <w:rPr>
                      <w:rFonts w:eastAsiaTheme="minorEastAsia"/>
                      <w:color w:val="auto"/>
                      <w:szCs w:val="21"/>
                    </w:rPr>
                  </w:pPr>
                  <w:r>
                    <w:rPr>
                      <w:rFonts w:eastAsiaTheme="minorEastAsia"/>
                      <w:color w:val="auto"/>
                      <w:szCs w:val="21"/>
                    </w:rPr>
                    <w:t>监测点位</w:t>
                  </w:r>
                </w:p>
              </w:tc>
              <w:tc>
                <w:tcPr>
                  <w:tcW w:w="1165" w:type="dxa"/>
                  <w:vAlign w:val="center"/>
                </w:tcPr>
                <w:p>
                  <w:pPr>
                    <w:pStyle w:val="28"/>
                    <w:spacing w:line="360" w:lineRule="exact"/>
                    <w:rPr>
                      <w:rFonts w:eastAsiaTheme="minorEastAsia"/>
                      <w:color w:val="auto"/>
                      <w:szCs w:val="21"/>
                    </w:rPr>
                  </w:pPr>
                  <w:r>
                    <w:rPr>
                      <w:rFonts w:eastAsiaTheme="minorEastAsia"/>
                      <w:color w:val="auto"/>
                      <w:szCs w:val="21"/>
                    </w:rPr>
                    <w:t>监测因子</w:t>
                  </w:r>
                </w:p>
              </w:tc>
              <w:tc>
                <w:tcPr>
                  <w:tcW w:w="1165" w:type="dxa"/>
                  <w:vAlign w:val="center"/>
                </w:tcPr>
                <w:p>
                  <w:pPr>
                    <w:pStyle w:val="28"/>
                    <w:spacing w:line="360" w:lineRule="exact"/>
                    <w:rPr>
                      <w:rFonts w:eastAsiaTheme="minorEastAsia"/>
                      <w:color w:val="auto"/>
                      <w:szCs w:val="21"/>
                    </w:rPr>
                  </w:pPr>
                  <w:r>
                    <w:rPr>
                      <w:rFonts w:eastAsiaTheme="minorEastAsia"/>
                      <w:color w:val="auto"/>
                      <w:szCs w:val="21"/>
                    </w:rPr>
                    <w:t>最低监测频率</w:t>
                  </w:r>
                </w:p>
              </w:tc>
              <w:tc>
                <w:tcPr>
                  <w:tcW w:w="4155" w:type="dxa"/>
                  <w:vAlign w:val="center"/>
                </w:tcPr>
                <w:p>
                  <w:pPr>
                    <w:pStyle w:val="28"/>
                    <w:spacing w:line="360" w:lineRule="exact"/>
                    <w:rPr>
                      <w:rFonts w:eastAsiaTheme="minorEastAsia"/>
                      <w:color w:val="auto"/>
                      <w:szCs w:val="21"/>
                    </w:rPr>
                  </w:pPr>
                  <w:r>
                    <w:rPr>
                      <w:rFonts w:eastAsiaTheme="minorEastAsia"/>
                      <w:color w:val="auto"/>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953" w:type="dxa"/>
                  <w:vAlign w:val="center"/>
                </w:tcPr>
                <w:p>
                  <w:pPr>
                    <w:pStyle w:val="28"/>
                    <w:spacing w:line="360" w:lineRule="exact"/>
                    <w:rPr>
                      <w:rFonts w:eastAsiaTheme="minorEastAsia"/>
                      <w:color w:val="auto"/>
                      <w:szCs w:val="21"/>
                    </w:rPr>
                  </w:pPr>
                  <w:r>
                    <w:rPr>
                      <w:rFonts w:eastAsiaTheme="minorEastAsia"/>
                      <w:color w:val="auto"/>
                      <w:szCs w:val="21"/>
                    </w:rPr>
                    <w:t>废气</w:t>
                  </w:r>
                </w:p>
              </w:tc>
              <w:tc>
                <w:tcPr>
                  <w:tcW w:w="1403" w:type="dxa"/>
                  <w:vAlign w:val="center"/>
                </w:tcPr>
                <w:p>
                  <w:pPr>
                    <w:pStyle w:val="28"/>
                    <w:spacing w:line="360" w:lineRule="exact"/>
                    <w:ind w:firstLine="210" w:firstLineChars="100"/>
                    <w:jc w:val="left"/>
                    <w:rPr>
                      <w:rFonts w:eastAsiaTheme="minorEastAsia"/>
                      <w:color w:val="auto"/>
                      <w:szCs w:val="21"/>
                    </w:rPr>
                  </w:pPr>
                  <w:r>
                    <w:rPr>
                      <w:rFonts w:eastAsiaTheme="minorEastAsia"/>
                      <w:color w:val="auto"/>
                      <w:szCs w:val="21"/>
                    </w:rPr>
                    <w:t>企业边界</w:t>
                  </w:r>
                </w:p>
              </w:tc>
              <w:tc>
                <w:tcPr>
                  <w:tcW w:w="1165" w:type="dxa"/>
                  <w:vAlign w:val="center"/>
                </w:tcPr>
                <w:p>
                  <w:pPr>
                    <w:pStyle w:val="28"/>
                    <w:spacing w:line="360" w:lineRule="exact"/>
                    <w:rPr>
                      <w:rFonts w:eastAsiaTheme="minorEastAsia"/>
                      <w:color w:val="auto"/>
                      <w:szCs w:val="21"/>
                    </w:rPr>
                  </w:pPr>
                  <w:r>
                    <w:rPr>
                      <w:color w:val="auto"/>
                      <w:szCs w:val="21"/>
                    </w:rPr>
                    <w:t>颗粒物</w:t>
                  </w:r>
                </w:p>
              </w:tc>
              <w:tc>
                <w:tcPr>
                  <w:tcW w:w="1165" w:type="dxa"/>
                  <w:vAlign w:val="center"/>
                </w:tcPr>
                <w:p>
                  <w:pPr>
                    <w:pStyle w:val="28"/>
                    <w:spacing w:line="360" w:lineRule="exact"/>
                    <w:rPr>
                      <w:rFonts w:eastAsiaTheme="minorEastAsia"/>
                      <w:color w:val="auto"/>
                      <w:szCs w:val="21"/>
                    </w:rPr>
                  </w:pPr>
                  <w:r>
                    <w:rPr>
                      <w:rFonts w:eastAsiaTheme="minorEastAsia"/>
                      <w:color w:val="auto"/>
                      <w:szCs w:val="21"/>
                    </w:rPr>
                    <w:t>1次/年</w:t>
                  </w:r>
                </w:p>
              </w:tc>
              <w:tc>
                <w:tcPr>
                  <w:tcW w:w="4155" w:type="dxa"/>
                  <w:vAlign w:val="center"/>
                </w:tcPr>
                <w:p>
                  <w:pPr>
                    <w:pStyle w:val="28"/>
                    <w:spacing w:line="360" w:lineRule="exact"/>
                    <w:ind w:firstLine="210" w:firstLineChars="100"/>
                    <w:jc w:val="both"/>
                    <w:rPr>
                      <w:rFonts w:eastAsiaTheme="minorEastAsia"/>
                      <w:color w:val="auto"/>
                      <w:szCs w:val="21"/>
                    </w:rPr>
                  </w:pPr>
                  <w:r>
                    <w:rPr>
                      <w:rFonts w:eastAsiaTheme="minorEastAsia"/>
                      <w:color w:val="auto"/>
                      <w:szCs w:val="21"/>
                    </w:rPr>
                    <w:t>《大气污染物综合排放标准》（GB16297-1996）表2中无组织排放限值</w:t>
                  </w:r>
                </w:p>
              </w:tc>
            </w:tr>
          </w:tbl>
          <w:p>
            <w:pPr>
              <w:spacing w:before="156"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（4）大气环境影响分析结论</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上述分析可知，本项目生产工艺各环节均为湿法作业，基本无废气产生，主要废气产生节点为产品库扬尘。为最大限度降低扬尘对环境造成的影响，项目拟将产品库设置为车间式全封闭库房，其装卸和暂存扬尘可达到《大气污染物综合排放标准》（GB16297-1996）无组织排放标准限值。且项目位于环境空气质量达标区，而主要大气环境保护目标东北侧（侧风向）150m处的小李庄村，距离该项目较远因此项目排放的废气对大气环境影响较小。</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w:t>
            </w:r>
            <w:r>
              <w:rPr>
                <w:rFonts w:ascii="Times New Roman" w:hAnsi="Times New Roman" w:cs="Times New Roman"/>
                <w:b/>
                <w:sz w:val="24"/>
              </w:rPr>
              <w:t>2</w:t>
            </w:r>
            <w:r>
              <w:rPr>
                <w:rFonts w:ascii="Times New Roman" w:hAnsi="Times New Roman" w:cs="Times New Roman"/>
                <w:b/>
                <w:sz w:val="24"/>
                <w:szCs w:val="24"/>
              </w:rPr>
              <w:t xml:space="preserve"> 运营期</w:t>
            </w:r>
            <w:r>
              <w:rPr>
                <w:rFonts w:ascii="Times New Roman" w:hAnsi="Times New Roman" w:cs="Times New Roman"/>
                <w:b/>
                <w:sz w:val="24"/>
              </w:rPr>
              <w:t>废水</w:t>
            </w:r>
            <w:r>
              <w:rPr>
                <w:rFonts w:ascii="Times New Roman" w:hAnsi="Times New Roman" w:cs="Times New Roman"/>
                <w:b/>
                <w:sz w:val="24"/>
                <w:szCs w:val="24"/>
              </w:rPr>
              <w:t>环境影响和保护措施</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（1）废水污染源分析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根据项目产污环节可知，本项目废水类型包括生产废水、生活污水和初期雨水。具体产排情况核算如下：</w:t>
            </w:r>
          </w:p>
          <w:p>
            <w:pPr>
              <w:spacing w:line="360" w:lineRule="auto"/>
              <w:ind w:firstLine="482" w:firstLineChars="200"/>
              <w:rPr>
                <w:rFonts w:ascii="Times New Roman" w:hAnsi="Times New Roman" w:cs="Times New Roman"/>
                <w:b/>
                <w:sz w:val="24"/>
                <w:szCs w:val="24"/>
              </w:rPr>
            </w:pPr>
            <w:r>
              <w:rPr>
                <w:rFonts w:ascii="Times New Roman" w:hAnsi="Times New Roman" w:eastAsia="宋体" w:cs="Times New Roman"/>
                <w:b/>
                <w:sz w:val="24"/>
                <w:szCs w:val="24"/>
              </w:rPr>
              <w:t>①</w:t>
            </w:r>
            <w:r>
              <w:rPr>
                <w:rFonts w:ascii="Times New Roman" w:hAnsi="Times New Roman" w:cs="Times New Roman"/>
                <w:b/>
                <w:sz w:val="24"/>
                <w:szCs w:val="24"/>
              </w:rPr>
              <w:t>生产废水产排核算</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根据工艺流程可知，本项目生产工艺各环节均为湿法作业，项目生产用水定额为1.5m³/（m³·河沙），日处清淤固废（河沙）784.8m³，则用水量为1177.2m³/d，主要添加水的环节包括破碎、筛分、水洗等工序。</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1 \* GB2 </w:instrText>
            </w:r>
            <w:r>
              <w:rPr>
                <w:rFonts w:ascii="Times New Roman" w:hAnsi="Times New Roman" w:cs="Times New Roman"/>
                <w:sz w:val="24"/>
                <w:szCs w:val="24"/>
              </w:rPr>
              <w:fldChar w:fldCharType="separate"/>
            </w:r>
            <w:r>
              <w:rPr>
                <w:rFonts w:ascii="Times New Roman" w:hAnsi="Times New Roman" w:cs="Times New Roman"/>
                <w:sz w:val="24"/>
                <w:szCs w:val="24"/>
              </w:rPr>
              <w:t>⑴</w:t>
            </w:r>
            <w:r>
              <w:rPr>
                <w:rFonts w:ascii="Times New Roman" w:hAnsi="Times New Roman" w:cs="Times New Roman"/>
                <w:sz w:val="24"/>
                <w:szCs w:val="24"/>
              </w:rPr>
              <w:fldChar w:fldCharType="end"/>
            </w:r>
            <w:r>
              <w:rPr>
                <w:rFonts w:ascii="Times New Roman" w:hAnsi="Times New Roman" w:cs="Times New Roman"/>
                <w:sz w:val="24"/>
                <w:szCs w:val="24"/>
              </w:rPr>
              <w:t>用水环节</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根据设计，为了保证各生产段的物料的含水率，各工段废水添加量情况具体如为：破碎加水量为350m³/d、水洗加水量为477.2m³/d、筛分加水量为350m³/d，合计为1177.2m³/d。</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2 \* GB2 </w:instrText>
            </w:r>
            <w:r>
              <w:rPr>
                <w:rFonts w:ascii="Times New Roman" w:hAnsi="Times New Roman" w:cs="Times New Roman"/>
                <w:sz w:val="24"/>
                <w:szCs w:val="24"/>
              </w:rPr>
              <w:fldChar w:fldCharType="separate"/>
            </w:r>
            <w:r>
              <w:rPr>
                <w:rFonts w:ascii="Times New Roman" w:hAnsi="Times New Roman" w:cs="Times New Roman"/>
                <w:sz w:val="24"/>
                <w:szCs w:val="24"/>
              </w:rPr>
              <w:t>⑵</w:t>
            </w:r>
            <w:r>
              <w:rPr>
                <w:rFonts w:ascii="Times New Roman" w:hAnsi="Times New Roman" w:cs="Times New Roman"/>
                <w:sz w:val="24"/>
                <w:szCs w:val="24"/>
              </w:rPr>
              <w:fldChar w:fldCharType="end"/>
            </w:r>
            <w:r>
              <w:rPr>
                <w:rFonts w:ascii="Times New Roman" w:hAnsi="Times New Roman" w:cs="Times New Roman"/>
                <w:sz w:val="24"/>
                <w:szCs w:val="24"/>
              </w:rPr>
              <w:t>废水量</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生产工艺，进入系统的水量为1177.2m³/d，除了产品、污泥带走以外，其他全部变为废水，损失环节主要包括各颗粒料带走和污泥带走，其中规格为Φ0-5mm（自然砂）、Φ0-5mm（机制砂）颗粒料的含水率为15%，规格为Φ10-20mm、Φ20-31.5mm颗粒料的含水率为6%，污泥含水率为10%；则Φ0-5mm（自然砂）产品带走水量为23.8m³/d、Φ0-5mm（自然砂）产品带走水量为23.8m³/d、Φ10-20mm产品带走水量为15.02m³/d、Φ20-31.5mm产品带走水量为12.98m³/d、污泥带走水量为0.23m³/d。则废水量约为1101.37m³/d（363452.1m³/a）。项目生产废水产排如下表所示。</w:t>
            </w:r>
          </w:p>
          <w:p>
            <w:pPr>
              <w:jc w:val="center"/>
              <w:rPr>
                <w:rFonts w:ascii="Times New Roman" w:hAnsi="Times New Roman" w:cs="Times New Roman"/>
                <w:b/>
                <w:bCs/>
                <w:kern w:val="0"/>
              </w:rPr>
            </w:pPr>
            <w:r>
              <w:rPr>
                <w:rFonts w:ascii="Times New Roman" w:hAnsi="Times New Roman" w:cs="Times New Roman"/>
                <w:b/>
                <w:bCs/>
                <w:kern w:val="0"/>
              </w:rPr>
              <w:t>表4.2.2-1 项目生产废水产排情况一览表  m³/d</w:t>
            </w:r>
          </w:p>
          <w:tbl>
            <w:tblPr>
              <w:tblStyle w:val="17"/>
              <w:tblW w:w="884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4"/>
              <w:gridCol w:w="1835"/>
              <w:gridCol w:w="1165"/>
              <w:gridCol w:w="2621"/>
              <w:gridCol w:w="1165"/>
              <w:gridCol w:w="12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4" w:type="dxa"/>
                  <w:vMerge w:val="restart"/>
                  <w:vAlign w:val="center"/>
                </w:tcPr>
                <w:p>
                  <w:pPr>
                    <w:pStyle w:val="28"/>
                    <w:spacing w:line="360" w:lineRule="exact"/>
                    <w:rPr>
                      <w:rFonts w:eastAsiaTheme="minorEastAsia"/>
                      <w:color w:val="auto"/>
                      <w:szCs w:val="21"/>
                    </w:rPr>
                  </w:pPr>
                  <w:r>
                    <w:rPr>
                      <w:rFonts w:eastAsiaTheme="minorEastAsia"/>
                      <w:color w:val="auto"/>
                      <w:szCs w:val="21"/>
                    </w:rPr>
                    <w:t>序号</w:t>
                  </w:r>
                </w:p>
              </w:tc>
              <w:tc>
                <w:tcPr>
                  <w:tcW w:w="3000" w:type="dxa"/>
                  <w:gridSpan w:val="2"/>
                  <w:vAlign w:val="center"/>
                </w:tcPr>
                <w:p>
                  <w:pPr>
                    <w:pStyle w:val="28"/>
                    <w:spacing w:line="360" w:lineRule="exact"/>
                    <w:rPr>
                      <w:rFonts w:eastAsiaTheme="minorEastAsia"/>
                      <w:color w:val="auto"/>
                      <w:szCs w:val="21"/>
                    </w:rPr>
                  </w:pPr>
                  <w:r>
                    <w:rPr>
                      <w:rFonts w:eastAsiaTheme="minorEastAsia"/>
                      <w:color w:val="auto"/>
                      <w:szCs w:val="21"/>
                    </w:rPr>
                    <w:t>用水环节</w:t>
                  </w:r>
                </w:p>
              </w:tc>
              <w:tc>
                <w:tcPr>
                  <w:tcW w:w="3786" w:type="dxa"/>
                  <w:gridSpan w:val="2"/>
                  <w:tcBorders>
                    <w:right w:val="single" w:color="auto" w:sz="4" w:space="0"/>
                  </w:tcBorders>
                  <w:vAlign w:val="center"/>
                </w:tcPr>
                <w:p>
                  <w:pPr>
                    <w:pStyle w:val="28"/>
                    <w:spacing w:line="360" w:lineRule="exact"/>
                    <w:rPr>
                      <w:rFonts w:eastAsiaTheme="minorEastAsia"/>
                      <w:color w:val="auto"/>
                      <w:szCs w:val="21"/>
                    </w:rPr>
                  </w:pPr>
                  <w:r>
                    <w:rPr>
                      <w:rFonts w:eastAsiaTheme="minorEastAsia"/>
                      <w:color w:val="auto"/>
                      <w:szCs w:val="21"/>
                    </w:rPr>
                    <w:t>损失环节</w:t>
                  </w:r>
                </w:p>
              </w:tc>
              <w:tc>
                <w:tcPr>
                  <w:tcW w:w="1241" w:type="dxa"/>
                  <w:tcBorders>
                    <w:left w:val="single" w:color="auto" w:sz="4" w:space="0"/>
                  </w:tcBorders>
                  <w:vAlign w:val="center"/>
                </w:tcPr>
                <w:p>
                  <w:pPr>
                    <w:pStyle w:val="28"/>
                    <w:spacing w:line="360" w:lineRule="exact"/>
                    <w:rPr>
                      <w:rFonts w:eastAsiaTheme="minorEastAsia"/>
                      <w:color w:val="auto"/>
                      <w:szCs w:val="21"/>
                    </w:rPr>
                  </w:pPr>
                  <w:r>
                    <w:rPr>
                      <w:rFonts w:eastAsiaTheme="minorEastAsia"/>
                      <w:color w:val="auto"/>
                      <w:szCs w:val="21"/>
                    </w:rPr>
                    <w:t>废水产生环节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4" w:type="dxa"/>
                  <w:vMerge w:val="continue"/>
                  <w:vAlign w:val="center"/>
                </w:tcPr>
                <w:p>
                  <w:pPr>
                    <w:pStyle w:val="28"/>
                    <w:spacing w:line="360" w:lineRule="exact"/>
                    <w:rPr>
                      <w:rFonts w:eastAsiaTheme="minorEastAsia"/>
                      <w:color w:val="auto"/>
                      <w:szCs w:val="21"/>
                    </w:rPr>
                  </w:pPr>
                </w:p>
              </w:tc>
              <w:tc>
                <w:tcPr>
                  <w:tcW w:w="1835" w:type="dxa"/>
                  <w:vAlign w:val="center"/>
                </w:tcPr>
                <w:p>
                  <w:pPr>
                    <w:pStyle w:val="28"/>
                    <w:spacing w:line="360" w:lineRule="exact"/>
                    <w:rPr>
                      <w:rFonts w:eastAsiaTheme="minorEastAsia"/>
                      <w:color w:val="auto"/>
                      <w:szCs w:val="21"/>
                    </w:rPr>
                  </w:pPr>
                  <w:r>
                    <w:rPr>
                      <w:rFonts w:eastAsiaTheme="minorEastAsia"/>
                      <w:color w:val="auto"/>
                      <w:szCs w:val="21"/>
                    </w:rPr>
                    <w:t>用水工序</w:t>
                  </w:r>
                </w:p>
              </w:tc>
              <w:tc>
                <w:tcPr>
                  <w:tcW w:w="1165" w:type="dxa"/>
                  <w:vAlign w:val="center"/>
                </w:tcPr>
                <w:p>
                  <w:pPr>
                    <w:pStyle w:val="28"/>
                    <w:spacing w:line="360" w:lineRule="exact"/>
                    <w:rPr>
                      <w:rFonts w:eastAsiaTheme="minorEastAsia"/>
                      <w:color w:val="auto"/>
                      <w:szCs w:val="21"/>
                    </w:rPr>
                  </w:pPr>
                  <w:r>
                    <w:rPr>
                      <w:rFonts w:eastAsiaTheme="minorEastAsia"/>
                      <w:color w:val="auto"/>
                      <w:szCs w:val="21"/>
                    </w:rPr>
                    <w:t>用水量</w:t>
                  </w:r>
                </w:p>
              </w:tc>
              <w:tc>
                <w:tcPr>
                  <w:tcW w:w="2621" w:type="dxa"/>
                  <w:vAlign w:val="center"/>
                </w:tcPr>
                <w:p>
                  <w:pPr>
                    <w:pStyle w:val="28"/>
                    <w:spacing w:line="360" w:lineRule="exact"/>
                    <w:rPr>
                      <w:rFonts w:eastAsiaTheme="minorEastAsia"/>
                      <w:color w:val="auto"/>
                      <w:szCs w:val="21"/>
                    </w:rPr>
                  </w:pPr>
                  <w:r>
                    <w:rPr>
                      <w:rFonts w:eastAsiaTheme="minorEastAsia"/>
                      <w:color w:val="auto"/>
                      <w:szCs w:val="21"/>
                    </w:rPr>
                    <w:t>损失或废水产生工序</w:t>
                  </w:r>
                </w:p>
              </w:tc>
              <w:tc>
                <w:tcPr>
                  <w:tcW w:w="1165" w:type="dxa"/>
                  <w:tcBorders>
                    <w:right w:val="single" w:color="auto" w:sz="4" w:space="0"/>
                  </w:tcBorders>
                  <w:vAlign w:val="center"/>
                </w:tcPr>
                <w:p>
                  <w:pPr>
                    <w:pStyle w:val="28"/>
                    <w:spacing w:line="360" w:lineRule="exact"/>
                    <w:rPr>
                      <w:rFonts w:eastAsiaTheme="minorEastAsia"/>
                      <w:color w:val="auto"/>
                      <w:szCs w:val="21"/>
                    </w:rPr>
                  </w:pPr>
                  <w:r>
                    <w:rPr>
                      <w:rFonts w:eastAsiaTheme="minorEastAsia"/>
                      <w:color w:val="auto"/>
                      <w:szCs w:val="21"/>
                    </w:rPr>
                    <w:t>损失量</w:t>
                  </w:r>
                </w:p>
              </w:tc>
              <w:tc>
                <w:tcPr>
                  <w:tcW w:w="1241" w:type="dxa"/>
                  <w:tcBorders>
                    <w:left w:val="single" w:color="auto" w:sz="4" w:space="0"/>
                  </w:tcBorders>
                  <w:vAlign w:val="center"/>
                </w:tcPr>
                <w:p>
                  <w:pPr>
                    <w:pStyle w:val="28"/>
                    <w:spacing w:line="360" w:lineRule="exact"/>
                    <w:rPr>
                      <w:rFonts w:eastAsiaTheme="minorEastAsia"/>
                      <w:color w:val="auto"/>
                      <w:szCs w:val="21"/>
                    </w:rPr>
                  </w:pPr>
                  <w:r>
                    <w:rPr>
                      <w:rFonts w:eastAsiaTheme="minorEastAsia"/>
                      <w:color w:val="auto"/>
                      <w:szCs w:val="21"/>
                    </w:rPr>
                    <w:t>废水量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4" w:type="dxa"/>
                  <w:vAlign w:val="center"/>
                </w:tcPr>
                <w:p>
                  <w:pPr>
                    <w:pStyle w:val="28"/>
                    <w:spacing w:line="360" w:lineRule="exact"/>
                    <w:rPr>
                      <w:rFonts w:eastAsiaTheme="minorEastAsia"/>
                      <w:color w:val="auto"/>
                      <w:szCs w:val="21"/>
                    </w:rPr>
                  </w:pPr>
                  <w:r>
                    <w:rPr>
                      <w:rFonts w:eastAsiaTheme="minorEastAsia"/>
                      <w:color w:val="auto"/>
                      <w:szCs w:val="21"/>
                    </w:rPr>
                    <w:t>1</w:t>
                  </w:r>
                </w:p>
              </w:tc>
              <w:tc>
                <w:tcPr>
                  <w:tcW w:w="1835" w:type="dxa"/>
                  <w:vAlign w:val="center"/>
                </w:tcPr>
                <w:p>
                  <w:pPr>
                    <w:pStyle w:val="28"/>
                    <w:spacing w:line="360" w:lineRule="exact"/>
                    <w:rPr>
                      <w:rFonts w:eastAsiaTheme="minorEastAsia"/>
                      <w:color w:val="auto"/>
                      <w:szCs w:val="21"/>
                    </w:rPr>
                  </w:pPr>
                  <w:r>
                    <w:rPr>
                      <w:rFonts w:eastAsiaTheme="minorEastAsia"/>
                      <w:color w:val="auto"/>
                      <w:szCs w:val="21"/>
                    </w:rPr>
                    <w:t>生产线破碎</w:t>
                  </w:r>
                </w:p>
              </w:tc>
              <w:tc>
                <w:tcPr>
                  <w:tcW w:w="1165"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238.63</w:t>
                  </w:r>
                </w:p>
              </w:tc>
              <w:tc>
                <w:tcPr>
                  <w:tcW w:w="2621" w:type="dxa"/>
                  <w:vAlign w:val="center"/>
                </w:tcPr>
                <w:p>
                  <w:pPr>
                    <w:pStyle w:val="28"/>
                    <w:spacing w:line="360" w:lineRule="exact"/>
                    <w:rPr>
                      <w:rFonts w:eastAsiaTheme="minorEastAsia"/>
                      <w:color w:val="auto"/>
                      <w:szCs w:val="21"/>
                    </w:rPr>
                  </w:pPr>
                  <w:r>
                    <w:rPr>
                      <w:rFonts w:eastAsiaTheme="minorEastAsia"/>
                      <w:color w:val="auto"/>
                      <w:szCs w:val="21"/>
                    </w:rPr>
                    <w:t>Φ0-</w:t>
                  </w:r>
                  <w:r>
                    <w:rPr>
                      <w:rFonts w:eastAsiaTheme="minorEastAsia"/>
                      <w:color w:val="auto"/>
                      <w:szCs w:val="21"/>
                      <w:lang w:val="en-US"/>
                    </w:rPr>
                    <w:t>5</w:t>
                  </w:r>
                  <w:r>
                    <w:rPr>
                      <w:rFonts w:eastAsiaTheme="minorEastAsia"/>
                      <w:color w:val="auto"/>
                      <w:szCs w:val="21"/>
                    </w:rPr>
                    <w:t>mm（</w:t>
                  </w:r>
                  <w:r>
                    <w:rPr>
                      <w:rFonts w:eastAsiaTheme="minorEastAsia"/>
                      <w:color w:val="auto"/>
                      <w:szCs w:val="21"/>
                      <w:lang w:val="en-US"/>
                    </w:rPr>
                    <w:t>自然砂</w:t>
                  </w:r>
                  <w:r>
                    <w:rPr>
                      <w:rFonts w:eastAsiaTheme="minorEastAsia"/>
                      <w:color w:val="auto"/>
                      <w:szCs w:val="21"/>
                    </w:rPr>
                    <w:t>）产品带走</w:t>
                  </w:r>
                </w:p>
              </w:tc>
              <w:tc>
                <w:tcPr>
                  <w:tcW w:w="1165" w:type="dxa"/>
                  <w:vAlign w:val="center"/>
                </w:tcPr>
                <w:p>
                  <w:pPr>
                    <w:pStyle w:val="28"/>
                    <w:spacing w:line="360" w:lineRule="exact"/>
                    <w:rPr>
                      <w:rFonts w:eastAsiaTheme="minorEastAsia"/>
                      <w:color w:val="auto"/>
                      <w:szCs w:val="21"/>
                    </w:rPr>
                  </w:pPr>
                  <w:r>
                    <w:rPr>
                      <w:rFonts w:eastAsiaTheme="minorEastAsia"/>
                      <w:color w:val="auto"/>
                      <w:szCs w:val="21"/>
                    </w:rPr>
                    <w:t>23.</w:t>
                  </w:r>
                  <w:r>
                    <w:rPr>
                      <w:rFonts w:eastAsiaTheme="minorEastAsia"/>
                      <w:color w:val="auto"/>
                      <w:szCs w:val="21"/>
                      <w:lang w:val="en-US"/>
                    </w:rPr>
                    <w:t>8</w:t>
                  </w:r>
                </w:p>
              </w:tc>
              <w:tc>
                <w:tcPr>
                  <w:tcW w:w="1241" w:type="dxa"/>
                  <w:vMerge w:val="restart"/>
                  <w:vAlign w:val="center"/>
                </w:tcPr>
                <w:p>
                  <w:pPr>
                    <w:pStyle w:val="28"/>
                    <w:spacing w:line="360" w:lineRule="exact"/>
                    <w:rPr>
                      <w:rFonts w:eastAsiaTheme="minorEastAsia"/>
                      <w:color w:val="auto"/>
                      <w:szCs w:val="21"/>
                    </w:rPr>
                  </w:pPr>
                  <w:r>
                    <w:rPr>
                      <w:rFonts w:eastAsiaTheme="minorEastAsia"/>
                      <w:color w:val="auto"/>
                      <w:szCs w:val="21"/>
                    </w:rPr>
                    <w:t>1101.37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4" w:type="dxa"/>
                  <w:vAlign w:val="center"/>
                </w:tcPr>
                <w:p>
                  <w:pPr>
                    <w:pStyle w:val="28"/>
                    <w:spacing w:line="360" w:lineRule="exact"/>
                    <w:rPr>
                      <w:rFonts w:eastAsiaTheme="minorEastAsia"/>
                      <w:color w:val="auto"/>
                      <w:szCs w:val="21"/>
                    </w:rPr>
                  </w:pPr>
                  <w:r>
                    <w:rPr>
                      <w:rFonts w:eastAsiaTheme="minorEastAsia"/>
                      <w:color w:val="auto"/>
                      <w:szCs w:val="21"/>
                    </w:rPr>
                    <w:t>2</w:t>
                  </w:r>
                </w:p>
              </w:tc>
              <w:tc>
                <w:tcPr>
                  <w:tcW w:w="1835" w:type="dxa"/>
                  <w:vAlign w:val="center"/>
                </w:tcPr>
                <w:p>
                  <w:pPr>
                    <w:pStyle w:val="28"/>
                    <w:spacing w:line="360" w:lineRule="exact"/>
                    <w:rPr>
                      <w:rFonts w:eastAsiaTheme="minorEastAsia"/>
                      <w:color w:val="auto"/>
                      <w:szCs w:val="21"/>
                    </w:rPr>
                  </w:pPr>
                  <w:r>
                    <w:rPr>
                      <w:rFonts w:eastAsiaTheme="minorEastAsia"/>
                      <w:color w:val="auto"/>
                      <w:szCs w:val="21"/>
                    </w:rPr>
                    <w:t>生产线筛分</w:t>
                  </w:r>
                </w:p>
              </w:tc>
              <w:tc>
                <w:tcPr>
                  <w:tcW w:w="1165"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238.63</w:t>
                  </w:r>
                </w:p>
              </w:tc>
              <w:tc>
                <w:tcPr>
                  <w:tcW w:w="2621" w:type="dxa"/>
                  <w:vAlign w:val="center"/>
                </w:tcPr>
                <w:p>
                  <w:pPr>
                    <w:pStyle w:val="28"/>
                    <w:spacing w:line="360" w:lineRule="exact"/>
                    <w:rPr>
                      <w:rFonts w:eastAsiaTheme="minorEastAsia"/>
                      <w:color w:val="auto"/>
                      <w:szCs w:val="21"/>
                    </w:rPr>
                  </w:pPr>
                  <w:r>
                    <w:rPr>
                      <w:rFonts w:eastAsiaTheme="minorEastAsia"/>
                      <w:color w:val="auto"/>
                      <w:szCs w:val="21"/>
                    </w:rPr>
                    <w:t>Φ0-</w:t>
                  </w:r>
                  <w:r>
                    <w:rPr>
                      <w:rFonts w:eastAsiaTheme="minorEastAsia"/>
                      <w:color w:val="auto"/>
                      <w:szCs w:val="21"/>
                      <w:lang w:val="en-US"/>
                    </w:rPr>
                    <w:t>5</w:t>
                  </w:r>
                  <w:r>
                    <w:rPr>
                      <w:rFonts w:eastAsiaTheme="minorEastAsia"/>
                      <w:color w:val="auto"/>
                      <w:szCs w:val="21"/>
                    </w:rPr>
                    <w:t>mm（</w:t>
                  </w:r>
                  <w:r>
                    <w:rPr>
                      <w:rFonts w:eastAsiaTheme="minorEastAsia"/>
                      <w:color w:val="auto"/>
                      <w:szCs w:val="21"/>
                      <w:lang w:val="en-US"/>
                    </w:rPr>
                    <w:t>机制砂</w:t>
                  </w:r>
                  <w:r>
                    <w:rPr>
                      <w:rFonts w:eastAsiaTheme="minorEastAsia"/>
                      <w:color w:val="auto"/>
                      <w:szCs w:val="21"/>
                    </w:rPr>
                    <w:t>）产品带走</w:t>
                  </w:r>
                </w:p>
              </w:tc>
              <w:tc>
                <w:tcPr>
                  <w:tcW w:w="1165"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23.8</w:t>
                  </w:r>
                </w:p>
              </w:tc>
              <w:tc>
                <w:tcPr>
                  <w:tcW w:w="1241" w:type="dxa"/>
                  <w:vMerge w:val="continue"/>
                  <w:vAlign w:val="center"/>
                </w:tcPr>
                <w:p>
                  <w:pPr>
                    <w:pStyle w:val="28"/>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4" w:type="dxa"/>
                  <w:vAlign w:val="center"/>
                </w:tcPr>
                <w:p>
                  <w:pPr>
                    <w:pStyle w:val="28"/>
                    <w:spacing w:line="360" w:lineRule="exact"/>
                    <w:rPr>
                      <w:rFonts w:eastAsiaTheme="minorEastAsia"/>
                      <w:color w:val="auto"/>
                      <w:szCs w:val="21"/>
                    </w:rPr>
                  </w:pPr>
                  <w:r>
                    <w:rPr>
                      <w:rFonts w:eastAsiaTheme="minorEastAsia"/>
                      <w:color w:val="auto"/>
                      <w:szCs w:val="21"/>
                      <w:lang w:val="en-US"/>
                    </w:rPr>
                    <w:t>3</w:t>
                  </w:r>
                </w:p>
              </w:tc>
              <w:tc>
                <w:tcPr>
                  <w:tcW w:w="1835" w:type="dxa"/>
                  <w:vAlign w:val="center"/>
                </w:tcPr>
                <w:p>
                  <w:pPr>
                    <w:pStyle w:val="28"/>
                    <w:spacing w:line="360" w:lineRule="exact"/>
                    <w:rPr>
                      <w:rFonts w:eastAsiaTheme="minorEastAsia"/>
                      <w:color w:val="auto"/>
                      <w:szCs w:val="21"/>
                    </w:rPr>
                  </w:pPr>
                  <w:r>
                    <w:rPr>
                      <w:rFonts w:eastAsiaTheme="minorEastAsia"/>
                      <w:color w:val="auto"/>
                      <w:szCs w:val="21"/>
                    </w:rPr>
                    <w:t>生产线破碎</w:t>
                  </w:r>
                </w:p>
              </w:tc>
              <w:tc>
                <w:tcPr>
                  <w:tcW w:w="1165"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375.45</w:t>
                  </w:r>
                </w:p>
              </w:tc>
              <w:tc>
                <w:tcPr>
                  <w:tcW w:w="2621" w:type="dxa"/>
                  <w:vAlign w:val="center"/>
                </w:tcPr>
                <w:p>
                  <w:pPr>
                    <w:pStyle w:val="28"/>
                    <w:spacing w:line="360" w:lineRule="exact"/>
                    <w:rPr>
                      <w:rFonts w:eastAsiaTheme="minorEastAsia"/>
                      <w:color w:val="auto"/>
                      <w:szCs w:val="21"/>
                    </w:rPr>
                  </w:pPr>
                  <w:r>
                    <w:rPr>
                      <w:rFonts w:eastAsiaTheme="minorEastAsia"/>
                      <w:color w:val="auto"/>
                      <w:szCs w:val="21"/>
                    </w:rPr>
                    <w:t>Φ10-20mm产品带走</w:t>
                  </w:r>
                </w:p>
              </w:tc>
              <w:tc>
                <w:tcPr>
                  <w:tcW w:w="1165"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15.02</w:t>
                  </w:r>
                </w:p>
              </w:tc>
              <w:tc>
                <w:tcPr>
                  <w:tcW w:w="1241" w:type="dxa"/>
                  <w:vMerge w:val="continue"/>
                  <w:vAlign w:val="center"/>
                </w:tcPr>
                <w:p>
                  <w:pPr>
                    <w:pStyle w:val="28"/>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4" w:type="dxa"/>
                  <w:vAlign w:val="center"/>
                </w:tcPr>
                <w:p>
                  <w:pPr>
                    <w:pStyle w:val="28"/>
                    <w:spacing w:line="360" w:lineRule="exact"/>
                    <w:rPr>
                      <w:rFonts w:eastAsiaTheme="minorEastAsia"/>
                      <w:color w:val="auto"/>
                      <w:szCs w:val="21"/>
                    </w:rPr>
                  </w:pPr>
                  <w:r>
                    <w:rPr>
                      <w:rFonts w:eastAsiaTheme="minorEastAsia"/>
                      <w:color w:val="auto"/>
                      <w:szCs w:val="21"/>
                      <w:lang w:val="en-US"/>
                    </w:rPr>
                    <w:t>4</w:t>
                  </w:r>
                </w:p>
              </w:tc>
              <w:tc>
                <w:tcPr>
                  <w:tcW w:w="1835" w:type="dxa"/>
                  <w:vAlign w:val="center"/>
                </w:tcPr>
                <w:p>
                  <w:pPr>
                    <w:pStyle w:val="28"/>
                    <w:spacing w:line="360" w:lineRule="exact"/>
                    <w:rPr>
                      <w:rFonts w:eastAsiaTheme="minorEastAsia"/>
                      <w:color w:val="auto"/>
                      <w:szCs w:val="21"/>
                    </w:rPr>
                  </w:pPr>
                  <w:r>
                    <w:rPr>
                      <w:rFonts w:eastAsiaTheme="minorEastAsia"/>
                      <w:color w:val="auto"/>
                      <w:szCs w:val="21"/>
                    </w:rPr>
                    <w:t>生产线筛分</w:t>
                  </w:r>
                </w:p>
              </w:tc>
              <w:tc>
                <w:tcPr>
                  <w:tcW w:w="1165"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324.49</w:t>
                  </w:r>
                </w:p>
              </w:tc>
              <w:tc>
                <w:tcPr>
                  <w:tcW w:w="2621" w:type="dxa"/>
                  <w:vAlign w:val="center"/>
                </w:tcPr>
                <w:p>
                  <w:pPr>
                    <w:pStyle w:val="28"/>
                    <w:spacing w:line="360" w:lineRule="exact"/>
                    <w:rPr>
                      <w:rFonts w:eastAsiaTheme="minorEastAsia"/>
                      <w:color w:val="auto"/>
                      <w:szCs w:val="21"/>
                    </w:rPr>
                  </w:pPr>
                  <w:r>
                    <w:rPr>
                      <w:rFonts w:eastAsiaTheme="minorEastAsia"/>
                      <w:color w:val="auto"/>
                      <w:szCs w:val="21"/>
                    </w:rPr>
                    <w:t>Φ20-31.5mm产品带走</w:t>
                  </w:r>
                </w:p>
              </w:tc>
              <w:tc>
                <w:tcPr>
                  <w:tcW w:w="1165"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12.98</w:t>
                  </w:r>
                </w:p>
              </w:tc>
              <w:tc>
                <w:tcPr>
                  <w:tcW w:w="1241" w:type="dxa"/>
                  <w:vMerge w:val="continue"/>
                  <w:vAlign w:val="center"/>
                </w:tcPr>
                <w:p>
                  <w:pPr>
                    <w:pStyle w:val="28"/>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4" w:type="dxa"/>
                  <w:vAlign w:val="center"/>
                </w:tcPr>
                <w:p>
                  <w:pPr>
                    <w:pStyle w:val="28"/>
                    <w:spacing w:line="360" w:lineRule="exact"/>
                    <w:rPr>
                      <w:rFonts w:eastAsiaTheme="minorEastAsia"/>
                      <w:color w:val="auto"/>
                      <w:szCs w:val="21"/>
                    </w:rPr>
                  </w:pPr>
                  <w:r>
                    <w:rPr>
                      <w:rFonts w:eastAsiaTheme="minorEastAsia"/>
                      <w:color w:val="auto"/>
                      <w:szCs w:val="21"/>
                      <w:lang w:val="en-US"/>
                    </w:rPr>
                    <w:t>5</w:t>
                  </w:r>
                </w:p>
              </w:tc>
              <w:tc>
                <w:tcPr>
                  <w:tcW w:w="1835" w:type="dxa"/>
                  <w:vAlign w:val="center"/>
                </w:tcPr>
                <w:p>
                  <w:pPr>
                    <w:pStyle w:val="28"/>
                    <w:spacing w:line="360" w:lineRule="exact"/>
                    <w:rPr>
                      <w:rFonts w:eastAsiaTheme="minorEastAsia"/>
                      <w:color w:val="auto"/>
                      <w:szCs w:val="21"/>
                    </w:rPr>
                  </w:pPr>
                  <w:r>
                    <w:rPr>
                      <w:rFonts w:eastAsiaTheme="minorEastAsia"/>
                      <w:color w:val="auto"/>
                      <w:szCs w:val="21"/>
                    </w:rPr>
                    <w:t>生产线水洗</w:t>
                  </w:r>
                </w:p>
              </w:tc>
              <w:tc>
                <w:tcPr>
                  <w:tcW w:w="1165"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w:t>
                  </w:r>
                </w:p>
              </w:tc>
              <w:tc>
                <w:tcPr>
                  <w:tcW w:w="2621" w:type="dxa"/>
                  <w:vAlign w:val="center"/>
                </w:tcPr>
                <w:p>
                  <w:pPr>
                    <w:pStyle w:val="28"/>
                    <w:spacing w:line="360" w:lineRule="exact"/>
                    <w:rPr>
                      <w:rFonts w:eastAsiaTheme="minorEastAsia"/>
                      <w:color w:val="auto"/>
                      <w:szCs w:val="21"/>
                    </w:rPr>
                  </w:pPr>
                  <w:r>
                    <w:rPr>
                      <w:rFonts w:eastAsiaTheme="minorEastAsia"/>
                      <w:color w:val="auto"/>
                      <w:szCs w:val="21"/>
                    </w:rPr>
                    <w:t>污泥带走</w:t>
                  </w:r>
                </w:p>
              </w:tc>
              <w:tc>
                <w:tcPr>
                  <w:tcW w:w="1165" w:type="dxa"/>
                  <w:vAlign w:val="center"/>
                </w:tcPr>
                <w:p>
                  <w:pPr>
                    <w:pStyle w:val="28"/>
                    <w:spacing w:line="360" w:lineRule="exact"/>
                    <w:rPr>
                      <w:rFonts w:eastAsiaTheme="minorEastAsia"/>
                      <w:color w:val="auto"/>
                      <w:szCs w:val="21"/>
                      <w:lang w:val="en-US"/>
                    </w:rPr>
                  </w:pPr>
                  <w:r>
                    <w:rPr>
                      <w:rFonts w:eastAsiaTheme="minorEastAsia"/>
                      <w:color w:val="auto"/>
                      <w:szCs w:val="21"/>
                    </w:rPr>
                    <w:t>0.</w:t>
                  </w:r>
                  <w:r>
                    <w:rPr>
                      <w:rFonts w:eastAsiaTheme="minorEastAsia"/>
                      <w:color w:val="auto"/>
                      <w:szCs w:val="21"/>
                      <w:lang w:val="en-US"/>
                    </w:rPr>
                    <w:t>23</w:t>
                  </w:r>
                </w:p>
              </w:tc>
              <w:tc>
                <w:tcPr>
                  <w:tcW w:w="1241" w:type="dxa"/>
                  <w:vMerge w:val="continue"/>
                  <w:vAlign w:val="center"/>
                </w:tcPr>
                <w:p>
                  <w:pPr>
                    <w:pStyle w:val="28"/>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4" w:type="dxa"/>
                  <w:vAlign w:val="center"/>
                </w:tcPr>
                <w:p>
                  <w:pPr>
                    <w:pStyle w:val="28"/>
                    <w:spacing w:line="360" w:lineRule="exact"/>
                    <w:rPr>
                      <w:rFonts w:eastAsiaTheme="minorEastAsia"/>
                      <w:color w:val="auto"/>
                      <w:szCs w:val="21"/>
                    </w:rPr>
                  </w:pPr>
                  <w:r>
                    <w:rPr>
                      <w:rFonts w:eastAsiaTheme="minorEastAsia"/>
                      <w:color w:val="auto"/>
                      <w:szCs w:val="21"/>
                      <w:lang w:val="en-US"/>
                    </w:rPr>
                    <w:t>6</w:t>
                  </w:r>
                </w:p>
              </w:tc>
              <w:tc>
                <w:tcPr>
                  <w:tcW w:w="1835" w:type="dxa"/>
                  <w:vAlign w:val="center"/>
                </w:tcPr>
                <w:p>
                  <w:pPr>
                    <w:pStyle w:val="28"/>
                    <w:spacing w:line="360" w:lineRule="exact"/>
                    <w:rPr>
                      <w:rFonts w:eastAsiaTheme="minorEastAsia"/>
                      <w:color w:val="auto"/>
                      <w:szCs w:val="21"/>
                    </w:rPr>
                  </w:pPr>
                  <w:r>
                    <w:rPr>
                      <w:rFonts w:eastAsiaTheme="minorEastAsia"/>
                      <w:color w:val="auto"/>
                      <w:szCs w:val="21"/>
                    </w:rPr>
                    <w:t>合计</w:t>
                  </w:r>
                </w:p>
              </w:tc>
              <w:tc>
                <w:tcPr>
                  <w:tcW w:w="1165"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1177.2</w:t>
                  </w:r>
                </w:p>
              </w:tc>
              <w:tc>
                <w:tcPr>
                  <w:tcW w:w="2621" w:type="dxa"/>
                  <w:vAlign w:val="center"/>
                </w:tcPr>
                <w:p>
                  <w:pPr>
                    <w:pStyle w:val="28"/>
                    <w:spacing w:line="360" w:lineRule="exact"/>
                    <w:rPr>
                      <w:rFonts w:eastAsiaTheme="minorEastAsia"/>
                      <w:color w:val="auto"/>
                      <w:szCs w:val="21"/>
                    </w:rPr>
                  </w:pPr>
                  <w:r>
                    <w:rPr>
                      <w:rFonts w:eastAsiaTheme="minorEastAsia"/>
                      <w:color w:val="auto"/>
                      <w:szCs w:val="21"/>
                    </w:rPr>
                    <w:t>--</w:t>
                  </w:r>
                </w:p>
              </w:tc>
              <w:tc>
                <w:tcPr>
                  <w:tcW w:w="1165"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75.83</w:t>
                  </w:r>
                </w:p>
              </w:tc>
              <w:tc>
                <w:tcPr>
                  <w:tcW w:w="1241"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1101.37</w:t>
                  </w:r>
                </w:p>
              </w:tc>
            </w:tr>
          </w:tbl>
          <w:p>
            <w:pPr>
              <w:spacing w:before="156"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根据项目废水特点，项目生产废水的水质如下表所示。</w:t>
            </w:r>
          </w:p>
          <w:p>
            <w:pPr>
              <w:jc w:val="center"/>
              <w:rPr>
                <w:rFonts w:ascii="Times New Roman" w:hAnsi="Times New Roman" w:cs="Times New Roman"/>
                <w:b/>
                <w:bCs/>
                <w:kern w:val="0"/>
              </w:rPr>
            </w:pPr>
          </w:p>
          <w:p>
            <w:pPr>
              <w:jc w:val="center"/>
              <w:rPr>
                <w:rFonts w:ascii="Times New Roman" w:hAnsi="Times New Roman" w:cs="Times New Roman"/>
                <w:b/>
                <w:bCs/>
                <w:kern w:val="0"/>
              </w:rPr>
            </w:pPr>
            <w:r>
              <w:rPr>
                <w:rFonts w:ascii="Times New Roman" w:hAnsi="Times New Roman" w:cs="Times New Roman"/>
                <w:b/>
                <w:bCs/>
                <w:kern w:val="0"/>
              </w:rPr>
              <w:t>表4.2.2-2 生产废水水质指标一览表 mg/L</w:t>
            </w:r>
          </w:p>
          <w:tbl>
            <w:tblPr>
              <w:tblStyle w:val="16"/>
              <w:tblW w:w="8851" w:type="dxa"/>
              <w:tblInd w:w="0" w:type="dxa"/>
              <w:tblLayout w:type="fixed"/>
              <w:tblCellMar>
                <w:top w:w="0" w:type="dxa"/>
                <w:left w:w="108" w:type="dxa"/>
                <w:bottom w:w="0" w:type="dxa"/>
                <w:right w:w="108" w:type="dxa"/>
              </w:tblCellMar>
            </w:tblPr>
            <w:tblGrid>
              <w:gridCol w:w="1994"/>
              <w:gridCol w:w="1714"/>
              <w:gridCol w:w="1715"/>
              <w:gridCol w:w="1714"/>
              <w:gridCol w:w="1714"/>
            </w:tblGrid>
            <w:tr>
              <w:tblPrEx>
                <w:tblLayout w:type="fixed"/>
                <w:tblCellMar>
                  <w:top w:w="0" w:type="dxa"/>
                  <w:left w:w="108" w:type="dxa"/>
                  <w:bottom w:w="0" w:type="dxa"/>
                  <w:right w:w="108" w:type="dxa"/>
                </w:tblCellMar>
              </w:tblPrEx>
              <w:trPr>
                <w:trHeight w:val="336" w:hRule="atLeast"/>
              </w:trPr>
              <w:tc>
                <w:tcPr>
                  <w:tcW w:w="1994" w:type="dxa"/>
                  <w:tcBorders>
                    <w:top w:val="single" w:color="auto" w:sz="4" w:space="0"/>
                    <w:left w:val="single" w:color="auto" w:sz="8" w:space="0"/>
                    <w:bottom w:val="single" w:color="000000" w:sz="8" w:space="0"/>
                    <w:right w:val="single" w:color="auto" w:sz="8" w:space="0"/>
                  </w:tcBorders>
                  <w:vAlign w:val="center"/>
                </w:tcPr>
                <w:p>
                  <w:pPr>
                    <w:pStyle w:val="28"/>
                    <w:spacing w:line="360" w:lineRule="exact"/>
                    <w:rPr>
                      <w:rFonts w:eastAsiaTheme="minorEastAsia"/>
                      <w:color w:val="auto"/>
                      <w:szCs w:val="21"/>
                    </w:rPr>
                  </w:pPr>
                  <w:r>
                    <w:rPr>
                      <w:rFonts w:eastAsiaTheme="minorEastAsia"/>
                      <w:color w:val="auto"/>
                      <w:szCs w:val="21"/>
                    </w:rPr>
                    <w:t>污染物</w:t>
                  </w:r>
                </w:p>
              </w:tc>
              <w:tc>
                <w:tcPr>
                  <w:tcW w:w="1714" w:type="dxa"/>
                  <w:tcBorders>
                    <w:top w:val="single" w:color="auto" w:sz="4" w:space="0"/>
                    <w:left w:val="nil"/>
                    <w:bottom w:val="single" w:color="auto" w:sz="8" w:space="0"/>
                    <w:right w:val="single" w:color="auto"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pH</w:t>
                  </w:r>
                </w:p>
              </w:tc>
              <w:tc>
                <w:tcPr>
                  <w:tcW w:w="1715" w:type="dxa"/>
                  <w:tcBorders>
                    <w:top w:val="single" w:color="auto" w:sz="4" w:space="0"/>
                    <w:left w:val="nil"/>
                    <w:bottom w:val="single" w:color="auto" w:sz="8" w:space="0"/>
                    <w:right w:val="single" w:color="auto"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CODcr</w:t>
                  </w:r>
                </w:p>
              </w:tc>
              <w:tc>
                <w:tcPr>
                  <w:tcW w:w="1714" w:type="dxa"/>
                  <w:tcBorders>
                    <w:top w:val="single" w:color="auto" w:sz="4" w:space="0"/>
                    <w:left w:val="nil"/>
                    <w:bottom w:val="single" w:color="auto" w:sz="8" w:space="0"/>
                    <w:right w:val="single" w:color="auto"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SS</w:t>
                  </w:r>
                </w:p>
              </w:tc>
              <w:tc>
                <w:tcPr>
                  <w:tcW w:w="1714" w:type="dxa"/>
                  <w:tcBorders>
                    <w:top w:val="single" w:color="auto" w:sz="4" w:space="0"/>
                    <w:left w:val="nil"/>
                    <w:bottom w:val="single" w:color="auto" w:sz="8" w:space="0"/>
                    <w:right w:val="single" w:color="auto" w:sz="4"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NH</w:t>
                  </w:r>
                  <w:r>
                    <w:rPr>
                      <w:rFonts w:eastAsiaTheme="minorEastAsia"/>
                      <w:color w:val="auto"/>
                      <w:szCs w:val="21"/>
                      <w:vertAlign w:val="subscript"/>
                    </w:rPr>
                    <w:t>3</w:t>
                  </w:r>
                  <w:r>
                    <w:rPr>
                      <w:rFonts w:eastAsiaTheme="minorEastAsia"/>
                      <w:color w:val="auto"/>
                      <w:szCs w:val="21"/>
                    </w:rPr>
                    <w:t>-N</w:t>
                  </w:r>
                </w:p>
              </w:tc>
            </w:tr>
            <w:tr>
              <w:tblPrEx>
                <w:tblLayout w:type="fixed"/>
                <w:tblCellMar>
                  <w:top w:w="0" w:type="dxa"/>
                  <w:left w:w="108" w:type="dxa"/>
                  <w:bottom w:w="0" w:type="dxa"/>
                  <w:right w:w="108" w:type="dxa"/>
                </w:tblCellMar>
              </w:tblPrEx>
              <w:trPr>
                <w:trHeight w:val="300" w:hRule="atLeast"/>
              </w:trPr>
              <w:tc>
                <w:tcPr>
                  <w:tcW w:w="1994" w:type="dxa"/>
                  <w:tcBorders>
                    <w:top w:val="nil"/>
                    <w:left w:val="single" w:color="auto" w:sz="8" w:space="0"/>
                    <w:bottom w:val="single" w:color="auto" w:sz="8" w:space="0"/>
                    <w:right w:val="single" w:color="auto"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生产废水</w:t>
                  </w:r>
                </w:p>
              </w:tc>
              <w:tc>
                <w:tcPr>
                  <w:tcW w:w="1714" w:type="dxa"/>
                  <w:tcBorders>
                    <w:top w:val="nil"/>
                    <w:left w:val="nil"/>
                    <w:bottom w:val="single" w:color="auto" w:sz="8" w:space="0"/>
                    <w:right w:val="single" w:color="auto" w:sz="8" w:space="0"/>
                  </w:tcBorders>
                  <w:shd w:val="clear" w:color="auto" w:fill="auto"/>
                  <w:vAlign w:val="center"/>
                </w:tcPr>
                <w:p>
                  <w:pPr>
                    <w:pStyle w:val="28"/>
                    <w:spacing w:line="360" w:lineRule="exact"/>
                    <w:rPr>
                      <w:rFonts w:eastAsiaTheme="minorEastAsia"/>
                      <w:color w:val="auto"/>
                      <w:szCs w:val="21"/>
                    </w:rPr>
                  </w:pPr>
                  <w:r>
                    <w:rPr>
                      <w:color w:val="auto"/>
                      <w:szCs w:val="21"/>
                    </w:rPr>
                    <w:t>6.5-8.5</w:t>
                  </w:r>
                </w:p>
              </w:tc>
              <w:tc>
                <w:tcPr>
                  <w:tcW w:w="1715" w:type="dxa"/>
                  <w:tcBorders>
                    <w:top w:val="nil"/>
                    <w:left w:val="nil"/>
                    <w:bottom w:val="single" w:color="auto" w:sz="8" w:space="0"/>
                    <w:right w:val="single" w:color="auto"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50</w:t>
                  </w:r>
                </w:p>
              </w:tc>
              <w:tc>
                <w:tcPr>
                  <w:tcW w:w="1714" w:type="dxa"/>
                  <w:tcBorders>
                    <w:top w:val="nil"/>
                    <w:left w:val="nil"/>
                    <w:bottom w:val="single" w:color="auto" w:sz="8" w:space="0"/>
                    <w:right w:val="single" w:color="auto"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2900</w:t>
                  </w:r>
                </w:p>
              </w:tc>
              <w:tc>
                <w:tcPr>
                  <w:tcW w:w="1714" w:type="dxa"/>
                  <w:tcBorders>
                    <w:top w:val="nil"/>
                    <w:left w:val="nil"/>
                    <w:bottom w:val="single" w:color="auto" w:sz="8" w:space="0"/>
                    <w:right w:val="single" w:color="auto"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4.5</w:t>
                  </w:r>
                </w:p>
              </w:tc>
            </w:tr>
          </w:tbl>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项目废水特点，项目生产废水主要为洗砂废水，项目拟设置一套生产废水处理系统对其进行处理，该系统由2个生产废水收集池、2个污水处理塔、2个清水池、2个泥浆回收池和4台污泥压滤机组成；项目生产废水经处理后完全回用，不外排。</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②生活污水产排核算</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根据项目特点，本项目拟设置员工30人</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均在厂区食宿</w:t>
            </w:r>
            <w:r>
              <w:rPr>
                <w:rFonts w:ascii="Times New Roman" w:hAnsi="Times New Roman" w:cs="Times New Roman"/>
                <w:sz w:val="24"/>
              </w:rPr>
              <w:t>。根据《云南省地方标准用水定额》（DB53/T168-2019），用水定额取40L/d·人，则生活用水量1.2m³/d，合计为396m³/a；废水率按90%计，则废水量为1.08m³/d，合计为356.4m³/a。</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根据类比调查，生活污水水质如下表所示。</w:t>
            </w:r>
          </w:p>
          <w:p>
            <w:pPr>
              <w:jc w:val="center"/>
              <w:rPr>
                <w:rFonts w:ascii="Times New Roman" w:hAnsi="Times New Roman" w:cs="Times New Roman"/>
                <w:b/>
                <w:bCs/>
                <w:kern w:val="0"/>
              </w:rPr>
            </w:pPr>
            <w:r>
              <w:rPr>
                <w:rFonts w:ascii="Times New Roman" w:hAnsi="Times New Roman" w:cs="Times New Roman"/>
                <w:b/>
                <w:bCs/>
                <w:kern w:val="0"/>
              </w:rPr>
              <w:t xml:space="preserve">表4.2.2-3 生活污水水质指标一览表 </w:t>
            </w:r>
            <w:r>
              <w:rPr>
                <w:rFonts w:ascii="Times New Roman" w:hAnsi="Times New Roman" w:cs="Times New Roman"/>
              </w:rPr>
              <w:t>mg/L</w:t>
            </w:r>
          </w:p>
          <w:tbl>
            <w:tblPr>
              <w:tblStyle w:val="16"/>
              <w:tblW w:w="8844" w:type="dxa"/>
              <w:jc w:val="center"/>
              <w:tblInd w:w="0" w:type="dxa"/>
              <w:tblLayout w:type="fixed"/>
              <w:tblCellMar>
                <w:top w:w="0" w:type="dxa"/>
                <w:left w:w="108" w:type="dxa"/>
                <w:bottom w:w="0" w:type="dxa"/>
                <w:right w:w="108" w:type="dxa"/>
              </w:tblCellMar>
            </w:tblPr>
            <w:tblGrid>
              <w:gridCol w:w="1146"/>
              <w:gridCol w:w="563"/>
              <w:gridCol w:w="935"/>
              <w:gridCol w:w="827"/>
              <w:gridCol w:w="662"/>
              <w:gridCol w:w="919"/>
              <w:gridCol w:w="683"/>
              <w:gridCol w:w="761"/>
              <w:gridCol w:w="898"/>
              <w:gridCol w:w="1450"/>
            </w:tblGrid>
            <w:tr>
              <w:tblPrEx>
                <w:tblLayout w:type="fixed"/>
                <w:tblCellMar>
                  <w:top w:w="0" w:type="dxa"/>
                  <w:left w:w="108" w:type="dxa"/>
                  <w:bottom w:w="0" w:type="dxa"/>
                  <w:right w:w="108" w:type="dxa"/>
                </w:tblCellMar>
              </w:tblPrEx>
              <w:trPr>
                <w:trHeight w:val="285" w:hRule="atLeast"/>
                <w:jc w:val="center"/>
              </w:trPr>
              <w:tc>
                <w:tcPr>
                  <w:tcW w:w="1146" w:type="dxa"/>
                  <w:tcBorders>
                    <w:top w:val="single" w:color="auto" w:sz="4" w:space="0"/>
                    <w:left w:val="single" w:color="auto" w:sz="8" w:space="0"/>
                    <w:bottom w:val="single" w:color="000000" w:sz="8" w:space="0"/>
                    <w:right w:val="single" w:color="auto" w:sz="8" w:space="0"/>
                  </w:tcBorders>
                  <w:vAlign w:val="center"/>
                </w:tcPr>
                <w:p>
                  <w:pPr>
                    <w:pStyle w:val="28"/>
                    <w:spacing w:line="360" w:lineRule="exact"/>
                    <w:rPr>
                      <w:rFonts w:eastAsiaTheme="minorEastAsia"/>
                      <w:color w:val="auto"/>
                      <w:szCs w:val="21"/>
                    </w:rPr>
                  </w:pPr>
                  <w:r>
                    <w:rPr>
                      <w:rFonts w:eastAsiaTheme="minorEastAsia"/>
                      <w:color w:val="auto"/>
                      <w:szCs w:val="21"/>
                    </w:rPr>
                    <w:t>污染物</w:t>
                  </w:r>
                </w:p>
              </w:tc>
              <w:tc>
                <w:tcPr>
                  <w:tcW w:w="563" w:type="dxa"/>
                  <w:tcBorders>
                    <w:top w:val="single" w:color="auto" w:sz="4" w:space="0"/>
                    <w:left w:val="nil"/>
                    <w:bottom w:val="single" w:color="auto" w:sz="8" w:space="0"/>
                    <w:right w:val="single" w:color="auto" w:sz="8" w:space="0"/>
                  </w:tcBorders>
                  <w:vAlign w:val="center"/>
                </w:tcPr>
                <w:p>
                  <w:pPr>
                    <w:pStyle w:val="28"/>
                    <w:spacing w:line="360" w:lineRule="exact"/>
                    <w:rPr>
                      <w:rFonts w:eastAsiaTheme="minorEastAsia"/>
                      <w:color w:val="auto"/>
                      <w:szCs w:val="21"/>
                    </w:rPr>
                  </w:pPr>
                  <w:r>
                    <w:rPr>
                      <w:rFonts w:eastAsiaTheme="minorEastAsia"/>
                      <w:color w:val="auto"/>
                      <w:szCs w:val="21"/>
                    </w:rPr>
                    <w:t>pH</w:t>
                  </w:r>
                </w:p>
              </w:tc>
              <w:tc>
                <w:tcPr>
                  <w:tcW w:w="935" w:type="dxa"/>
                  <w:tcBorders>
                    <w:top w:val="single" w:color="auto" w:sz="4" w:space="0"/>
                    <w:left w:val="nil"/>
                    <w:bottom w:val="single" w:color="auto" w:sz="8" w:space="0"/>
                    <w:right w:val="single" w:color="auto" w:sz="8" w:space="0"/>
                  </w:tcBorders>
                  <w:vAlign w:val="center"/>
                </w:tcPr>
                <w:p>
                  <w:pPr>
                    <w:pStyle w:val="28"/>
                    <w:spacing w:line="360" w:lineRule="exact"/>
                    <w:rPr>
                      <w:rFonts w:eastAsiaTheme="minorEastAsia"/>
                      <w:color w:val="auto"/>
                      <w:szCs w:val="21"/>
                    </w:rPr>
                  </w:pPr>
                  <w:r>
                    <w:rPr>
                      <w:rFonts w:eastAsiaTheme="minorEastAsia"/>
                      <w:color w:val="auto"/>
                      <w:szCs w:val="21"/>
                    </w:rPr>
                    <w:t>CODcr</w:t>
                  </w:r>
                </w:p>
              </w:tc>
              <w:tc>
                <w:tcPr>
                  <w:tcW w:w="827" w:type="dxa"/>
                  <w:tcBorders>
                    <w:top w:val="single" w:color="auto" w:sz="4" w:space="0"/>
                    <w:left w:val="nil"/>
                    <w:bottom w:val="single" w:color="auto" w:sz="8" w:space="0"/>
                    <w:right w:val="single" w:color="auto" w:sz="8" w:space="0"/>
                  </w:tcBorders>
                  <w:vAlign w:val="center"/>
                </w:tcPr>
                <w:p>
                  <w:pPr>
                    <w:pStyle w:val="28"/>
                    <w:spacing w:line="360" w:lineRule="exact"/>
                    <w:rPr>
                      <w:rFonts w:eastAsiaTheme="minorEastAsia"/>
                      <w:color w:val="auto"/>
                      <w:szCs w:val="21"/>
                    </w:rPr>
                  </w:pPr>
                  <w:r>
                    <w:rPr>
                      <w:rFonts w:eastAsiaTheme="minorEastAsia"/>
                      <w:color w:val="auto"/>
                      <w:szCs w:val="21"/>
                    </w:rPr>
                    <w:t>BOD</w:t>
                  </w:r>
                  <w:r>
                    <w:rPr>
                      <w:rFonts w:eastAsiaTheme="minorEastAsia"/>
                      <w:color w:val="auto"/>
                      <w:szCs w:val="21"/>
                      <w:vertAlign w:val="subscript"/>
                    </w:rPr>
                    <w:t>5</w:t>
                  </w:r>
                </w:p>
              </w:tc>
              <w:tc>
                <w:tcPr>
                  <w:tcW w:w="662" w:type="dxa"/>
                  <w:tcBorders>
                    <w:top w:val="single" w:color="auto" w:sz="4" w:space="0"/>
                    <w:left w:val="nil"/>
                    <w:bottom w:val="single" w:color="auto" w:sz="8" w:space="0"/>
                    <w:right w:val="single" w:color="auto" w:sz="8" w:space="0"/>
                  </w:tcBorders>
                  <w:vAlign w:val="center"/>
                </w:tcPr>
                <w:p>
                  <w:pPr>
                    <w:pStyle w:val="28"/>
                    <w:spacing w:line="360" w:lineRule="exact"/>
                    <w:rPr>
                      <w:rFonts w:eastAsiaTheme="minorEastAsia"/>
                      <w:color w:val="auto"/>
                      <w:szCs w:val="21"/>
                    </w:rPr>
                  </w:pPr>
                  <w:r>
                    <w:rPr>
                      <w:rFonts w:eastAsiaTheme="minorEastAsia"/>
                      <w:color w:val="auto"/>
                      <w:szCs w:val="21"/>
                    </w:rPr>
                    <w:t>SS</w:t>
                  </w:r>
                </w:p>
              </w:tc>
              <w:tc>
                <w:tcPr>
                  <w:tcW w:w="919" w:type="dxa"/>
                  <w:tcBorders>
                    <w:top w:val="single" w:color="auto" w:sz="4" w:space="0"/>
                    <w:left w:val="nil"/>
                    <w:bottom w:val="single" w:color="auto" w:sz="8" w:space="0"/>
                    <w:right w:val="single" w:color="auto" w:sz="8" w:space="0"/>
                  </w:tcBorders>
                  <w:vAlign w:val="center"/>
                </w:tcPr>
                <w:p>
                  <w:pPr>
                    <w:pStyle w:val="28"/>
                    <w:spacing w:line="360" w:lineRule="exact"/>
                    <w:rPr>
                      <w:rFonts w:eastAsiaTheme="minorEastAsia"/>
                      <w:color w:val="auto"/>
                      <w:szCs w:val="21"/>
                    </w:rPr>
                  </w:pPr>
                  <w:r>
                    <w:rPr>
                      <w:rFonts w:eastAsiaTheme="minorEastAsia"/>
                      <w:color w:val="auto"/>
                      <w:szCs w:val="21"/>
                    </w:rPr>
                    <w:t>NH</w:t>
                  </w:r>
                  <w:r>
                    <w:rPr>
                      <w:rFonts w:eastAsiaTheme="minorEastAsia"/>
                      <w:color w:val="auto"/>
                      <w:szCs w:val="21"/>
                      <w:vertAlign w:val="subscript"/>
                    </w:rPr>
                    <w:t>3</w:t>
                  </w:r>
                  <w:r>
                    <w:rPr>
                      <w:rFonts w:eastAsiaTheme="minorEastAsia"/>
                      <w:color w:val="auto"/>
                      <w:szCs w:val="21"/>
                    </w:rPr>
                    <w:t>-N</w:t>
                  </w:r>
                </w:p>
              </w:tc>
              <w:tc>
                <w:tcPr>
                  <w:tcW w:w="683" w:type="dxa"/>
                  <w:tcBorders>
                    <w:top w:val="single" w:color="auto" w:sz="4" w:space="0"/>
                    <w:left w:val="nil"/>
                    <w:bottom w:val="single" w:color="auto" w:sz="8" w:space="0"/>
                    <w:right w:val="single" w:color="auto" w:sz="8" w:space="0"/>
                  </w:tcBorders>
                  <w:vAlign w:val="center"/>
                </w:tcPr>
                <w:p>
                  <w:pPr>
                    <w:pStyle w:val="28"/>
                    <w:spacing w:line="360" w:lineRule="exact"/>
                    <w:rPr>
                      <w:rFonts w:eastAsiaTheme="minorEastAsia"/>
                      <w:color w:val="auto"/>
                      <w:szCs w:val="21"/>
                    </w:rPr>
                  </w:pPr>
                  <w:r>
                    <w:rPr>
                      <w:rFonts w:eastAsiaTheme="minorEastAsia"/>
                      <w:color w:val="auto"/>
                      <w:szCs w:val="21"/>
                    </w:rPr>
                    <w:t>TN</w:t>
                  </w:r>
                </w:p>
              </w:tc>
              <w:tc>
                <w:tcPr>
                  <w:tcW w:w="761" w:type="dxa"/>
                  <w:tcBorders>
                    <w:top w:val="single" w:color="auto" w:sz="4" w:space="0"/>
                    <w:left w:val="nil"/>
                    <w:bottom w:val="single" w:color="auto" w:sz="8" w:space="0"/>
                    <w:right w:val="single" w:color="auto" w:sz="4" w:space="0"/>
                  </w:tcBorders>
                  <w:vAlign w:val="center"/>
                </w:tcPr>
                <w:p>
                  <w:pPr>
                    <w:pStyle w:val="28"/>
                    <w:spacing w:line="360" w:lineRule="exact"/>
                    <w:rPr>
                      <w:rFonts w:eastAsiaTheme="minorEastAsia"/>
                      <w:color w:val="auto"/>
                      <w:szCs w:val="21"/>
                    </w:rPr>
                  </w:pPr>
                  <w:r>
                    <w:rPr>
                      <w:rFonts w:eastAsiaTheme="minorEastAsia"/>
                      <w:color w:val="auto"/>
                      <w:szCs w:val="21"/>
                    </w:rPr>
                    <w:t>TP</w:t>
                  </w:r>
                </w:p>
              </w:tc>
              <w:tc>
                <w:tcPr>
                  <w:tcW w:w="898" w:type="dxa"/>
                  <w:tcBorders>
                    <w:top w:val="single" w:color="auto" w:sz="4" w:space="0"/>
                    <w:left w:val="nil"/>
                    <w:bottom w:val="single" w:color="auto" w:sz="8" w:space="0"/>
                    <w:right w:val="single" w:color="auto" w:sz="4" w:space="0"/>
                  </w:tcBorders>
                  <w:vAlign w:val="center"/>
                </w:tcPr>
                <w:p>
                  <w:pPr>
                    <w:pStyle w:val="28"/>
                    <w:spacing w:line="360" w:lineRule="exact"/>
                    <w:rPr>
                      <w:rFonts w:eastAsiaTheme="minorEastAsia"/>
                      <w:color w:val="auto"/>
                      <w:szCs w:val="21"/>
                    </w:rPr>
                  </w:pPr>
                  <w:r>
                    <w:rPr>
                      <w:rFonts w:eastAsiaTheme="minorEastAsia"/>
                      <w:color w:val="auto"/>
                      <w:szCs w:val="21"/>
                    </w:rPr>
                    <w:t>阴离子表面活性剂</w:t>
                  </w:r>
                </w:p>
              </w:tc>
              <w:tc>
                <w:tcPr>
                  <w:tcW w:w="1450" w:type="dxa"/>
                  <w:tcBorders>
                    <w:top w:val="single" w:color="auto" w:sz="4" w:space="0"/>
                    <w:left w:val="nil"/>
                    <w:bottom w:val="single" w:color="auto" w:sz="8" w:space="0"/>
                    <w:right w:val="single" w:color="auto" w:sz="4" w:space="0"/>
                  </w:tcBorders>
                  <w:vAlign w:val="center"/>
                </w:tcPr>
                <w:p>
                  <w:pPr>
                    <w:pStyle w:val="28"/>
                    <w:spacing w:line="360" w:lineRule="exact"/>
                    <w:rPr>
                      <w:rFonts w:eastAsiaTheme="minorEastAsia"/>
                      <w:color w:val="auto"/>
                      <w:szCs w:val="21"/>
                    </w:rPr>
                  </w:pPr>
                  <w:r>
                    <w:rPr>
                      <w:rFonts w:eastAsiaTheme="minorEastAsia"/>
                      <w:color w:val="auto"/>
                      <w:szCs w:val="21"/>
                    </w:rPr>
                    <w:t>粪大肠菌群数（MPN/L）</w:t>
                  </w:r>
                </w:p>
              </w:tc>
            </w:tr>
            <w:tr>
              <w:tblPrEx>
                <w:tblLayout w:type="fixed"/>
                <w:tblCellMar>
                  <w:top w:w="0" w:type="dxa"/>
                  <w:left w:w="108" w:type="dxa"/>
                  <w:bottom w:w="0" w:type="dxa"/>
                  <w:right w:w="108" w:type="dxa"/>
                </w:tblCellMar>
              </w:tblPrEx>
              <w:trPr>
                <w:trHeight w:val="300" w:hRule="atLeast"/>
                <w:jc w:val="center"/>
              </w:trPr>
              <w:tc>
                <w:tcPr>
                  <w:tcW w:w="1146" w:type="dxa"/>
                  <w:tcBorders>
                    <w:top w:val="nil"/>
                    <w:left w:val="single" w:color="auto" w:sz="8" w:space="0"/>
                    <w:bottom w:val="single" w:color="auto" w:sz="8" w:space="0"/>
                    <w:right w:val="single" w:color="auto" w:sz="8" w:space="0"/>
                  </w:tcBorders>
                  <w:vAlign w:val="center"/>
                </w:tcPr>
                <w:p>
                  <w:pPr>
                    <w:pStyle w:val="28"/>
                    <w:spacing w:line="360" w:lineRule="exact"/>
                    <w:rPr>
                      <w:rFonts w:eastAsiaTheme="minorEastAsia"/>
                      <w:color w:val="auto"/>
                      <w:szCs w:val="21"/>
                    </w:rPr>
                  </w:pPr>
                  <w:r>
                    <w:rPr>
                      <w:rFonts w:eastAsiaTheme="minorEastAsia"/>
                      <w:color w:val="auto"/>
                      <w:szCs w:val="21"/>
                    </w:rPr>
                    <w:t>生活污水</w:t>
                  </w:r>
                </w:p>
              </w:tc>
              <w:tc>
                <w:tcPr>
                  <w:tcW w:w="563" w:type="dxa"/>
                  <w:tcBorders>
                    <w:top w:val="nil"/>
                    <w:left w:val="nil"/>
                    <w:bottom w:val="single" w:color="auto" w:sz="8" w:space="0"/>
                    <w:right w:val="single" w:color="auto" w:sz="8" w:space="0"/>
                  </w:tcBorders>
                  <w:vAlign w:val="center"/>
                </w:tcPr>
                <w:p>
                  <w:pPr>
                    <w:pStyle w:val="28"/>
                    <w:spacing w:line="360" w:lineRule="exact"/>
                    <w:rPr>
                      <w:rFonts w:eastAsiaTheme="minorEastAsia"/>
                      <w:color w:val="auto"/>
                      <w:szCs w:val="21"/>
                    </w:rPr>
                  </w:pPr>
                  <w:r>
                    <w:rPr>
                      <w:rFonts w:eastAsiaTheme="minorEastAsia"/>
                      <w:color w:val="auto"/>
                      <w:szCs w:val="21"/>
                    </w:rPr>
                    <w:t>6-9</w:t>
                  </w:r>
                </w:p>
              </w:tc>
              <w:tc>
                <w:tcPr>
                  <w:tcW w:w="935" w:type="dxa"/>
                  <w:tcBorders>
                    <w:top w:val="nil"/>
                    <w:left w:val="nil"/>
                    <w:bottom w:val="single" w:color="auto" w:sz="8" w:space="0"/>
                    <w:right w:val="single" w:color="auto" w:sz="8" w:space="0"/>
                  </w:tcBorders>
                  <w:vAlign w:val="center"/>
                </w:tcPr>
                <w:p>
                  <w:pPr>
                    <w:pStyle w:val="28"/>
                    <w:spacing w:line="360" w:lineRule="exact"/>
                    <w:rPr>
                      <w:rFonts w:eastAsiaTheme="minorEastAsia"/>
                      <w:color w:val="auto"/>
                      <w:szCs w:val="21"/>
                    </w:rPr>
                  </w:pPr>
                  <w:r>
                    <w:rPr>
                      <w:rFonts w:eastAsiaTheme="minorEastAsia"/>
                      <w:color w:val="auto"/>
                      <w:szCs w:val="21"/>
                    </w:rPr>
                    <w:t>350</w:t>
                  </w:r>
                </w:p>
              </w:tc>
              <w:tc>
                <w:tcPr>
                  <w:tcW w:w="827" w:type="dxa"/>
                  <w:tcBorders>
                    <w:top w:val="nil"/>
                    <w:left w:val="nil"/>
                    <w:bottom w:val="single" w:color="auto" w:sz="8" w:space="0"/>
                    <w:right w:val="single" w:color="auto" w:sz="8" w:space="0"/>
                  </w:tcBorders>
                  <w:vAlign w:val="center"/>
                </w:tcPr>
                <w:p>
                  <w:pPr>
                    <w:pStyle w:val="28"/>
                    <w:spacing w:line="360" w:lineRule="exact"/>
                    <w:rPr>
                      <w:rFonts w:eastAsiaTheme="minorEastAsia"/>
                      <w:color w:val="auto"/>
                      <w:szCs w:val="21"/>
                    </w:rPr>
                  </w:pPr>
                  <w:r>
                    <w:rPr>
                      <w:rFonts w:eastAsiaTheme="minorEastAsia"/>
                      <w:color w:val="auto"/>
                      <w:szCs w:val="21"/>
                    </w:rPr>
                    <w:t>220</w:t>
                  </w:r>
                </w:p>
              </w:tc>
              <w:tc>
                <w:tcPr>
                  <w:tcW w:w="662" w:type="dxa"/>
                  <w:tcBorders>
                    <w:top w:val="nil"/>
                    <w:left w:val="nil"/>
                    <w:bottom w:val="single" w:color="auto" w:sz="8" w:space="0"/>
                    <w:right w:val="single" w:color="auto" w:sz="8" w:space="0"/>
                  </w:tcBorders>
                  <w:vAlign w:val="center"/>
                </w:tcPr>
                <w:p>
                  <w:pPr>
                    <w:pStyle w:val="28"/>
                    <w:spacing w:line="360" w:lineRule="exact"/>
                    <w:rPr>
                      <w:rFonts w:eastAsiaTheme="minorEastAsia"/>
                      <w:color w:val="auto"/>
                      <w:szCs w:val="21"/>
                    </w:rPr>
                  </w:pPr>
                  <w:r>
                    <w:rPr>
                      <w:rFonts w:eastAsiaTheme="minorEastAsia"/>
                      <w:color w:val="auto"/>
                      <w:szCs w:val="21"/>
                    </w:rPr>
                    <w:t>300</w:t>
                  </w:r>
                </w:p>
              </w:tc>
              <w:tc>
                <w:tcPr>
                  <w:tcW w:w="919" w:type="dxa"/>
                  <w:tcBorders>
                    <w:top w:val="nil"/>
                    <w:left w:val="nil"/>
                    <w:bottom w:val="single" w:color="auto" w:sz="8" w:space="0"/>
                    <w:right w:val="single" w:color="auto" w:sz="8" w:space="0"/>
                  </w:tcBorders>
                  <w:vAlign w:val="center"/>
                </w:tcPr>
                <w:p>
                  <w:pPr>
                    <w:pStyle w:val="28"/>
                    <w:spacing w:line="360" w:lineRule="exact"/>
                    <w:rPr>
                      <w:rFonts w:eastAsiaTheme="minorEastAsia"/>
                      <w:color w:val="auto"/>
                      <w:szCs w:val="21"/>
                    </w:rPr>
                  </w:pPr>
                  <w:r>
                    <w:rPr>
                      <w:rFonts w:eastAsiaTheme="minorEastAsia"/>
                      <w:color w:val="auto"/>
                      <w:szCs w:val="21"/>
                    </w:rPr>
                    <w:t>38</w:t>
                  </w:r>
                </w:p>
              </w:tc>
              <w:tc>
                <w:tcPr>
                  <w:tcW w:w="683" w:type="dxa"/>
                  <w:tcBorders>
                    <w:top w:val="nil"/>
                    <w:left w:val="nil"/>
                    <w:bottom w:val="single" w:color="auto" w:sz="8" w:space="0"/>
                    <w:right w:val="single" w:color="auto" w:sz="8" w:space="0"/>
                  </w:tcBorders>
                  <w:vAlign w:val="center"/>
                </w:tcPr>
                <w:p>
                  <w:pPr>
                    <w:pStyle w:val="28"/>
                    <w:spacing w:line="360" w:lineRule="exact"/>
                    <w:rPr>
                      <w:rFonts w:eastAsiaTheme="minorEastAsia"/>
                      <w:color w:val="auto"/>
                      <w:szCs w:val="21"/>
                    </w:rPr>
                  </w:pPr>
                  <w:r>
                    <w:rPr>
                      <w:rFonts w:eastAsiaTheme="minorEastAsia"/>
                      <w:color w:val="auto"/>
                      <w:szCs w:val="21"/>
                    </w:rPr>
                    <w:t>45</w:t>
                  </w:r>
                </w:p>
              </w:tc>
              <w:tc>
                <w:tcPr>
                  <w:tcW w:w="761" w:type="dxa"/>
                  <w:tcBorders>
                    <w:top w:val="nil"/>
                    <w:left w:val="nil"/>
                    <w:bottom w:val="single" w:color="auto" w:sz="8" w:space="0"/>
                    <w:right w:val="single" w:color="auto" w:sz="4" w:space="0"/>
                  </w:tcBorders>
                  <w:vAlign w:val="center"/>
                </w:tcPr>
                <w:p>
                  <w:pPr>
                    <w:pStyle w:val="28"/>
                    <w:spacing w:line="360" w:lineRule="exact"/>
                    <w:rPr>
                      <w:rFonts w:eastAsiaTheme="minorEastAsia"/>
                      <w:color w:val="auto"/>
                      <w:szCs w:val="21"/>
                    </w:rPr>
                  </w:pPr>
                  <w:r>
                    <w:rPr>
                      <w:rFonts w:eastAsiaTheme="minorEastAsia"/>
                      <w:color w:val="auto"/>
                      <w:szCs w:val="21"/>
                    </w:rPr>
                    <w:t>8</w:t>
                  </w:r>
                </w:p>
              </w:tc>
              <w:tc>
                <w:tcPr>
                  <w:tcW w:w="898"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16</w:t>
                  </w:r>
                </w:p>
              </w:tc>
              <w:tc>
                <w:tcPr>
                  <w:tcW w:w="1450"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16000</w:t>
                  </w:r>
                </w:p>
              </w:tc>
            </w:tr>
          </w:tbl>
          <w:p>
            <w:pPr>
              <w:spacing w:before="156"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根据设计，项目拟设置一个有效容积为2m³的化粪池、处理规模为2m³/d的一体化污水处理设施和一个有效容积为8m³的再生水收集池；项目生活污水经化粪池和一体化污水处理设施处理后，回用于绿化</w:t>
            </w:r>
            <w:r>
              <w:rPr>
                <w:rFonts w:hint="eastAsia" w:ascii="Times New Roman" w:hAnsi="Times New Roman" w:cs="Times New Roman"/>
                <w:sz w:val="24"/>
                <w:szCs w:val="24"/>
                <w:lang w:eastAsia="zh-CN"/>
              </w:rPr>
              <w:t>，</w:t>
            </w:r>
            <w:r>
              <w:rPr>
                <w:rFonts w:ascii="Times New Roman" w:hAnsi="Times New Roman" w:cs="Times New Roman"/>
                <w:sz w:val="24"/>
                <w:szCs w:val="24"/>
              </w:rPr>
              <w:t>不外排。</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③初期雨水产排核算</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本项目生产区及产品库均处于厂房内，不会有淋滤水产生，但项目非生产区域在雨天会产生初期雨水，项目区初期雨水产生量按下述公式进行计算：</w:t>
            </w:r>
          </w:p>
          <w:p>
            <w:pPr>
              <w:spacing w:line="360" w:lineRule="auto"/>
              <w:jc w:val="center"/>
              <w:rPr>
                <w:rFonts w:ascii="Times New Roman" w:hAnsi="Times New Roman" w:cs="Times New Roman"/>
                <w:sz w:val="24"/>
              </w:rPr>
            </w:pPr>
            <w:r>
              <w:rPr>
                <w:rFonts w:ascii="Times New Roman" w:hAnsi="Times New Roman" w:cs="Times New Roman"/>
                <w:sz w:val="24"/>
              </w:rPr>
              <w:t>Qm=F·Hm·Ψ÷1000</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式中：Qm：最大径流量（m³）；</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 xml:space="preserve">      F：汇水面积（m²）；</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 xml:space="preserve">      Hm：降雨量（mm）；</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 xml:space="preserve">      Ψ：径流系数，取0.6；</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汇水面积取雨水直接落到地面上的占地面积，经现场踏勘统计，项目区汇水面积约2500m²，考虑到项目区场地的硬化程度，径流系数取0.6。该区30年一遇最大日降雨量153.3mm，经计算项目区最大日雨水量为229.95m³，初期雨水主要产生于暴雨前</w:t>
            </w:r>
            <w:r>
              <w:rPr>
                <w:rFonts w:hint="eastAsia" w:ascii="Times New Roman" w:hAnsi="Times New Roman" w:cs="Times New Roman"/>
                <w:sz w:val="24"/>
                <w:lang w:val="en-US" w:eastAsia="zh-CN"/>
              </w:rPr>
              <w:t>15分钟</w:t>
            </w:r>
            <w:r>
              <w:rPr>
                <w:rFonts w:ascii="Times New Roman" w:hAnsi="Times New Roman" w:cs="Times New Roman"/>
                <w:sz w:val="24"/>
              </w:rPr>
              <w:t>，经计算，项目初期雨水产生量约为19.16m³/次；初期雨水的特征污染物主要为SS，项目为了防止雨天地表径流进入产品库及生产区，使项目区域砂石料流失，造成环境污染，项目拟在厂房外围及厂区周围设置900m的截排水沟对雨天厂区产生的初期雨水及地表径流进行疏导，初期雨水通过截排水沟收集后进入有效容积不低于20m³的初期雨水收集池沉淀后回用于生产，不外排；同时在截排水沟至废水收集管道末端设置闸门，初期雨水收集后，关闭闸门，后期雨水外排。</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rPr>
              <w:t>废水</w:t>
            </w:r>
            <w:r>
              <w:rPr>
                <w:rFonts w:ascii="Times New Roman" w:hAnsi="Times New Roman" w:cs="Times New Roman"/>
                <w:b/>
                <w:sz w:val="24"/>
                <w:szCs w:val="24"/>
              </w:rPr>
              <w:t>污染物排放源及达标性分析</w:t>
            </w:r>
          </w:p>
          <w:p>
            <w:pPr>
              <w:spacing w:line="360" w:lineRule="auto"/>
              <w:ind w:firstLine="482" w:firstLineChars="200"/>
              <w:rPr>
                <w:rFonts w:ascii="Times New Roman" w:hAnsi="Times New Roman" w:cs="Times New Roman"/>
                <w:b/>
                <w:sz w:val="24"/>
              </w:rPr>
            </w:pPr>
            <w:r>
              <w:rPr>
                <w:rFonts w:ascii="Times New Roman" w:hAnsi="Times New Roman" w:eastAsia="宋体" w:cs="Times New Roman"/>
                <w:b/>
                <w:sz w:val="24"/>
              </w:rPr>
              <w:t>①</w:t>
            </w:r>
            <w:r>
              <w:rPr>
                <w:rFonts w:ascii="Times New Roman" w:hAnsi="Times New Roman" w:cs="Times New Roman"/>
                <w:b/>
                <w:sz w:val="24"/>
              </w:rPr>
              <w:t>废水污染物治理措施及排放方式</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项目废水污染物排放源的治理措施及排放方式如下表所示。</w:t>
            </w:r>
          </w:p>
          <w:p>
            <w:pPr>
              <w:jc w:val="center"/>
              <w:rPr>
                <w:rFonts w:ascii="Times New Roman" w:hAnsi="Times New Roman" w:cs="Times New Roman"/>
                <w:b/>
                <w:szCs w:val="24"/>
              </w:rPr>
            </w:pPr>
            <w:r>
              <w:rPr>
                <w:rFonts w:ascii="Times New Roman" w:hAnsi="Times New Roman" w:cs="Times New Roman"/>
                <w:b/>
                <w:szCs w:val="24"/>
              </w:rPr>
              <w:t xml:space="preserve">4.2.2-2 </w:t>
            </w:r>
            <w:r>
              <w:rPr>
                <w:rFonts w:ascii="Times New Roman" w:hAnsi="Times New Roman" w:cs="Times New Roman"/>
                <w:b/>
              </w:rPr>
              <w:t>废水</w:t>
            </w:r>
            <w:r>
              <w:rPr>
                <w:rFonts w:ascii="Times New Roman" w:hAnsi="Times New Roman" w:cs="Times New Roman"/>
                <w:b/>
                <w:szCs w:val="24"/>
              </w:rPr>
              <w:t>污染物治理措施及排放方式一览表</w:t>
            </w:r>
          </w:p>
          <w:tbl>
            <w:tblPr>
              <w:tblStyle w:val="17"/>
              <w:tblW w:w="884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5"/>
              <w:gridCol w:w="712"/>
              <w:gridCol w:w="1414"/>
              <w:gridCol w:w="3969"/>
              <w:gridCol w:w="992"/>
              <w:gridCol w:w="10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5" w:type="dxa"/>
                  <w:vAlign w:val="center"/>
                </w:tcPr>
                <w:p>
                  <w:pPr>
                    <w:pStyle w:val="28"/>
                    <w:spacing w:line="360" w:lineRule="exact"/>
                    <w:rPr>
                      <w:rFonts w:eastAsiaTheme="minorEastAsia"/>
                      <w:color w:val="auto"/>
                      <w:szCs w:val="21"/>
                    </w:rPr>
                  </w:pPr>
                  <w:r>
                    <w:rPr>
                      <w:rFonts w:eastAsiaTheme="minorEastAsia"/>
                      <w:color w:val="auto"/>
                      <w:szCs w:val="21"/>
                    </w:rPr>
                    <w:t>产排污环节</w:t>
                  </w:r>
                </w:p>
              </w:tc>
              <w:tc>
                <w:tcPr>
                  <w:tcW w:w="712" w:type="dxa"/>
                  <w:vAlign w:val="center"/>
                </w:tcPr>
                <w:p>
                  <w:pPr>
                    <w:pStyle w:val="28"/>
                    <w:spacing w:line="360" w:lineRule="exact"/>
                    <w:rPr>
                      <w:rFonts w:eastAsiaTheme="minorEastAsia"/>
                      <w:color w:val="auto"/>
                      <w:szCs w:val="21"/>
                    </w:rPr>
                  </w:pPr>
                  <w:r>
                    <w:rPr>
                      <w:rFonts w:eastAsiaTheme="minorEastAsia"/>
                      <w:color w:val="auto"/>
                      <w:szCs w:val="21"/>
                    </w:rPr>
                    <w:t>类别</w:t>
                  </w:r>
                </w:p>
              </w:tc>
              <w:tc>
                <w:tcPr>
                  <w:tcW w:w="1414" w:type="dxa"/>
                  <w:vAlign w:val="center"/>
                </w:tcPr>
                <w:p>
                  <w:pPr>
                    <w:pStyle w:val="28"/>
                    <w:spacing w:line="360" w:lineRule="exact"/>
                    <w:rPr>
                      <w:rFonts w:eastAsiaTheme="minorEastAsia"/>
                      <w:color w:val="auto"/>
                      <w:szCs w:val="21"/>
                    </w:rPr>
                  </w:pPr>
                  <w:r>
                    <w:rPr>
                      <w:rFonts w:eastAsiaTheme="minorEastAsia"/>
                      <w:color w:val="auto"/>
                      <w:szCs w:val="21"/>
                    </w:rPr>
                    <w:t>污染物种类</w:t>
                  </w:r>
                </w:p>
              </w:tc>
              <w:tc>
                <w:tcPr>
                  <w:tcW w:w="3969" w:type="dxa"/>
                  <w:vAlign w:val="center"/>
                </w:tcPr>
                <w:p>
                  <w:pPr>
                    <w:pStyle w:val="28"/>
                    <w:spacing w:line="360" w:lineRule="exact"/>
                    <w:rPr>
                      <w:rFonts w:eastAsiaTheme="minorEastAsia"/>
                      <w:color w:val="auto"/>
                      <w:szCs w:val="21"/>
                    </w:rPr>
                  </w:pPr>
                  <w:r>
                    <w:rPr>
                      <w:rFonts w:eastAsiaTheme="minorEastAsia"/>
                      <w:color w:val="auto"/>
                      <w:szCs w:val="21"/>
                    </w:rPr>
                    <w:t>治理设施、效率及去向</w:t>
                  </w:r>
                </w:p>
              </w:tc>
              <w:tc>
                <w:tcPr>
                  <w:tcW w:w="992" w:type="dxa"/>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排放形式及规律</w:t>
                  </w:r>
                </w:p>
              </w:tc>
              <w:tc>
                <w:tcPr>
                  <w:tcW w:w="1019" w:type="dxa"/>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5" w:type="dxa"/>
                  <w:vMerge w:val="restart"/>
                  <w:vAlign w:val="center"/>
                </w:tcPr>
                <w:p>
                  <w:pPr>
                    <w:pStyle w:val="28"/>
                    <w:spacing w:line="360" w:lineRule="exact"/>
                    <w:rPr>
                      <w:rFonts w:eastAsiaTheme="minorEastAsia"/>
                      <w:color w:val="auto"/>
                      <w:szCs w:val="21"/>
                    </w:rPr>
                  </w:pPr>
                  <w:r>
                    <w:rPr>
                      <w:rFonts w:eastAsiaTheme="minorEastAsia"/>
                      <w:color w:val="auto"/>
                      <w:szCs w:val="21"/>
                    </w:rPr>
                    <w:t>生产车间</w:t>
                  </w:r>
                </w:p>
              </w:tc>
              <w:tc>
                <w:tcPr>
                  <w:tcW w:w="712" w:type="dxa"/>
                  <w:vMerge w:val="restart"/>
                  <w:vAlign w:val="center"/>
                </w:tcPr>
                <w:p>
                  <w:pPr>
                    <w:pStyle w:val="28"/>
                    <w:spacing w:line="360" w:lineRule="exact"/>
                    <w:rPr>
                      <w:rFonts w:eastAsiaTheme="minorEastAsia"/>
                      <w:color w:val="auto"/>
                      <w:szCs w:val="21"/>
                    </w:rPr>
                  </w:pPr>
                  <w:r>
                    <w:rPr>
                      <w:rFonts w:eastAsiaTheme="minorEastAsia"/>
                      <w:color w:val="auto"/>
                      <w:szCs w:val="21"/>
                    </w:rPr>
                    <w:t>生产废水</w:t>
                  </w:r>
                </w:p>
              </w:tc>
              <w:tc>
                <w:tcPr>
                  <w:tcW w:w="1414" w:type="dxa"/>
                  <w:vAlign w:val="center"/>
                </w:tcPr>
                <w:p>
                  <w:pPr>
                    <w:pStyle w:val="28"/>
                    <w:spacing w:line="360" w:lineRule="exact"/>
                    <w:rPr>
                      <w:rFonts w:eastAsiaTheme="minorEastAsia"/>
                      <w:color w:val="auto"/>
                      <w:szCs w:val="21"/>
                    </w:rPr>
                  </w:pPr>
                  <w:r>
                    <w:rPr>
                      <w:rFonts w:eastAsiaTheme="minorEastAsia"/>
                      <w:color w:val="auto"/>
                      <w:szCs w:val="21"/>
                    </w:rPr>
                    <w:t>pH</w:t>
                  </w:r>
                </w:p>
              </w:tc>
              <w:tc>
                <w:tcPr>
                  <w:tcW w:w="3969" w:type="dxa"/>
                  <w:vMerge w:val="restart"/>
                  <w:vAlign w:val="center"/>
                </w:tcPr>
                <w:p>
                  <w:pPr>
                    <w:pStyle w:val="28"/>
                    <w:spacing w:line="360" w:lineRule="exact"/>
                    <w:ind w:firstLine="210" w:firstLineChars="100"/>
                    <w:jc w:val="both"/>
                    <w:rPr>
                      <w:rFonts w:eastAsiaTheme="minorEastAsia"/>
                      <w:color w:val="auto"/>
                      <w:szCs w:val="21"/>
                    </w:rPr>
                  </w:pPr>
                  <w:r>
                    <w:rPr>
                      <w:rFonts w:eastAsiaTheme="minorEastAsia"/>
                      <w:color w:val="auto"/>
                      <w:szCs w:val="21"/>
                    </w:rPr>
                    <w:t>项目生产废水主要为洗砂废水，项目拟设置一套生产废水处理系统对其进行处理，该系统由</w:t>
                  </w:r>
                  <w:r>
                    <w:rPr>
                      <w:color w:val="auto"/>
                      <w:szCs w:val="21"/>
                    </w:rPr>
                    <w:t>2个生产废水收集池、2个</w:t>
                  </w:r>
                  <w:r>
                    <w:rPr>
                      <w:color w:val="auto"/>
                      <w:szCs w:val="21"/>
                      <w:lang w:val="en-US"/>
                    </w:rPr>
                    <w:t>污水处理塔</w:t>
                  </w:r>
                  <w:r>
                    <w:rPr>
                      <w:color w:val="auto"/>
                      <w:szCs w:val="21"/>
                    </w:rPr>
                    <w:t>、</w:t>
                  </w:r>
                  <w:r>
                    <w:rPr>
                      <w:color w:val="auto"/>
                      <w:szCs w:val="21"/>
                      <w:lang w:val="en-US"/>
                    </w:rPr>
                    <w:t>2</w:t>
                  </w:r>
                  <w:r>
                    <w:rPr>
                      <w:color w:val="auto"/>
                      <w:szCs w:val="21"/>
                    </w:rPr>
                    <w:t>个清水池、</w:t>
                  </w:r>
                  <w:r>
                    <w:rPr>
                      <w:color w:val="auto"/>
                      <w:szCs w:val="21"/>
                      <w:lang w:val="en-US"/>
                    </w:rPr>
                    <w:t>2个泥浆回收池</w:t>
                  </w:r>
                  <w:r>
                    <w:rPr>
                      <w:color w:val="auto"/>
                      <w:szCs w:val="21"/>
                    </w:rPr>
                    <w:t>和</w:t>
                  </w:r>
                  <w:r>
                    <w:rPr>
                      <w:color w:val="auto"/>
                      <w:szCs w:val="21"/>
                      <w:lang w:val="en-US"/>
                    </w:rPr>
                    <w:t>4台污泥压滤机</w:t>
                  </w:r>
                  <w:r>
                    <w:rPr>
                      <w:color w:val="auto"/>
                      <w:szCs w:val="21"/>
                    </w:rPr>
                    <w:t>组成</w:t>
                  </w:r>
                  <w:r>
                    <w:rPr>
                      <w:rFonts w:eastAsiaTheme="minorEastAsia"/>
                      <w:color w:val="auto"/>
                      <w:szCs w:val="21"/>
                    </w:rPr>
                    <w:t>；项目生产废水经处理后完全回用，不外排。</w:t>
                  </w:r>
                </w:p>
              </w:tc>
              <w:tc>
                <w:tcPr>
                  <w:tcW w:w="992" w:type="dxa"/>
                  <w:vMerge w:val="restart"/>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不外排</w:t>
                  </w:r>
                </w:p>
              </w:tc>
              <w:tc>
                <w:tcPr>
                  <w:tcW w:w="1019" w:type="dxa"/>
                  <w:vMerge w:val="restart"/>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5" w:type="dxa"/>
                  <w:vMerge w:val="continue"/>
                  <w:vAlign w:val="center"/>
                </w:tcPr>
                <w:p>
                  <w:pPr>
                    <w:pStyle w:val="28"/>
                    <w:spacing w:line="360" w:lineRule="exact"/>
                    <w:rPr>
                      <w:rFonts w:eastAsiaTheme="minorEastAsia"/>
                      <w:color w:val="auto"/>
                      <w:szCs w:val="21"/>
                    </w:rPr>
                  </w:pPr>
                </w:p>
              </w:tc>
              <w:tc>
                <w:tcPr>
                  <w:tcW w:w="712" w:type="dxa"/>
                  <w:vMerge w:val="continue"/>
                  <w:vAlign w:val="center"/>
                </w:tcPr>
                <w:p>
                  <w:pPr>
                    <w:pStyle w:val="28"/>
                    <w:spacing w:line="360" w:lineRule="exact"/>
                    <w:rPr>
                      <w:rFonts w:eastAsiaTheme="minorEastAsia"/>
                      <w:color w:val="auto"/>
                      <w:szCs w:val="21"/>
                    </w:rPr>
                  </w:pPr>
                </w:p>
              </w:tc>
              <w:tc>
                <w:tcPr>
                  <w:tcW w:w="1414" w:type="dxa"/>
                  <w:vAlign w:val="center"/>
                </w:tcPr>
                <w:p>
                  <w:pPr>
                    <w:pStyle w:val="28"/>
                    <w:spacing w:line="360" w:lineRule="exact"/>
                    <w:rPr>
                      <w:rFonts w:eastAsiaTheme="minorEastAsia"/>
                      <w:color w:val="auto"/>
                      <w:szCs w:val="21"/>
                    </w:rPr>
                  </w:pPr>
                  <w:r>
                    <w:rPr>
                      <w:rFonts w:eastAsiaTheme="minorEastAsia"/>
                      <w:color w:val="auto"/>
                      <w:szCs w:val="21"/>
                    </w:rPr>
                    <w:t>CODcr</w:t>
                  </w:r>
                </w:p>
              </w:tc>
              <w:tc>
                <w:tcPr>
                  <w:tcW w:w="3969" w:type="dxa"/>
                  <w:vMerge w:val="continue"/>
                  <w:vAlign w:val="center"/>
                </w:tcPr>
                <w:p>
                  <w:pPr>
                    <w:pStyle w:val="28"/>
                    <w:spacing w:line="360" w:lineRule="exact"/>
                    <w:ind w:firstLine="210" w:firstLineChars="100"/>
                    <w:jc w:val="both"/>
                    <w:rPr>
                      <w:rFonts w:eastAsiaTheme="minorEastAsia"/>
                      <w:color w:val="auto"/>
                      <w:szCs w:val="21"/>
                    </w:rPr>
                  </w:pPr>
                </w:p>
              </w:tc>
              <w:tc>
                <w:tcPr>
                  <w:tcW w:w="992" w:type="dxa"/>
                  <w:vMerge w:val="continue"/>
                  <w:vAlign w:val="center"/>
                </w:tcPr>
                <w:p>
                  <w:pPr>
                    <w:spacing w:line="360" w:lineRule="exact"/>
                    <w:jc w:val="center"/>
                    <w:rPr>
                      <w:rFonts w:ascii="Times New Roman" w:hAnsi="Times New Roman" w:cs="Times New Roman"/>
                      <w:bCs/>
                      <w:snapToGrid w:val="0"/>
                      <w:kern w:val="32"/>
                      <w:lang w:val="zh-CN"/>
                    </w:rPr>
                  </w:pPr>
                </w:p>
              </w:tc>
              <w:tc>
                <w:tcPr>
                  <w:tcW w:w="1019" w:type="dxa"/>
                  <w:vMerge w:val="continue"/>
                  <w:vAlign w:val="center"/>
                </w:tcPr>
                <w:p>
                  <w:pPr>
                    <w:spacing w:line="360" w:lineRule="exact"/>
                    <w:jc w:val="center"/>
                    <w:rPr>
                      <w:rFonts w:ascii="Times New Roman" w:hAnsi="Times New Roman" w:cs="Times New Roman"/>
                      <w:bCs/>
                      <w:snapToGrid w:val="0"/>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5" w:type="dxa"/>
                  <w:vMerge w:val="continue"/>
                  <w:vAlign w:val="center"/>
                </w:tcPr>
                <w:p>
                  <w:pPr>
                    <w:pStyle w:val="28"/>
                    <w:spacing w:line="360" w:lineRule="exact"/>
                    <w:rPr>
                      <w:rFonts w:eastAsiaTheme="minorEastAsia"/>
                      <w:color w:val="auto"/>
                      <w:szCs w:val="21"/>
                    </w:rPr>
                  </w:pPr>
                </w:p>
              </w:tc>
              <w:tc>
                <w:tcPr>
                  <w:tcW w:w="712" w:type="dxa"/>
                  <w:vMerge w:val="continue"/>
                  <w:vAlign w:val="center"/>
                </w:tcPr>
                <w:p>
                  <w:pPr>
                    <w:pStyle w:val="28"/>
                    <w:spacing w:line="360" w:lineRule="exact"/>
                    <w:rPr>
                      <w:rFonts w:eastAsiaTheme="minorEastAsia"/>
                      <w:color w:val="auto"/>
                      <w:szCs w:val="21"/>
                    </w:rPr>
                  </w:pPr>
                </w:p>
              </w:tc>
              <w:tc>
                <w:tcPr>
                  <w:tcW w:w="1414" w:type="dxa"/>
                  <w:vAlign w:val="center"/>
                </w:tcPr>
                <w:p>
                  <w:pPr>
                    <w:pStyle w:val="28"/>
                    <w:spacing w:line="360" w:lineRule="exact"/>
                    <w:rPr>
                      <w:rFonts w:eastAsiaTheme="minorEastAsia"/>
                      <w:color w:val="auto"/>
                      <w:szCs w:val="21"/>
                    </w:rPr>
                  </w:pPr>
                  <w:r>
                    <w:rPr>
                      <w:rFonts w:eastAsiaTheme="minorEastAsia"/>
                      <w:color w:val="auto"/>
                      <w:szCs w:val="21"/>
                    </w:rPr>
                    <w:t>SS</w:t>
                  </w:r>
                </w:p>
              </w:tc>
              <w:tc>
                <w:tcPr>
                  <w:tcW w:w="3969" w:type="dxa"/>
                  <w:vMerge w:val="continue"/>
                  <w:vAlign w:val="center"/>
                </w:tcPr>
                <w:p>
                  <w:pPr>
                    <w:pStyle w:val="28"/>
                    <w:spacing w:line="360" w:lineRule="exact"/>
                    <w:ind w:firstLine="210" w:firstLineChars="100"/>
                    <w:jc w:val="both"/>
                    <w:rPr>
                      <w:rFonts w:eastAsiaTheme="minorEastAsia"/>
                      <w:color w:val="auto"/>
                      <w:szCs w:val="21"/>
                    </w:rPr>
                  </w:pPr>
                </w:p>
              </w:tc>
              <w:tc>
                <w:tcPr>
                  <w:tcW w:w="992" w:type="dxa"/>
                  <w:vMerge w:val="continue"/>
                  <w:vAlign w:val="center"/>
                </w:tcPr>
                <w:p>
                  <w:pPr>
                    <w:spacing w:line="360" w:lineRule="exact"/>
                    <w:jc w:val="center"/>
                    <w:rPr>
                      <w:rFonts w:ascii="Times New Roman" w:hAnsi="Times New Roman" w:cs="Times New Roman"/>
                      <w:bCs/>
                      <w:snapToGrid w:val="0"/>
                      <w:kern w:val="32"/>
                      <w:lang w:val="zh-CN"/>
                    </w:rPr>
                  </w:pPr>
                </w:p>
              </w:tc>
              <w:tc>
                <w:tcPr>
                  <w:tcW w:w="1019" w:type="dxa"/>
                  <w:vMerge w:val="continue"/>
                  <w:vAlign w:val="center"/>
                </w:tcPr>
                <w:p>
                  <w:pPr>
                    <w:spacing w:line="360" w:lineRule="exact"/>
                    <w:jc w:val="center"/>
                    <w:rPr>
                      <w:rFonts w:ascii="Times New Roman" w:hAnsi="Times New Roman" w:cs="Times New Roman"/>
                      <w:bCs/>
                      <w:snapToGrid w:val="0"/>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5" w:type="dxa"/>
                  <w:vMerge w:val="continue"/>
                  <w:vAlign w:val="center"/>
                </w:tcPr>
                <w:p>
                  <w:pPr>
                    <w:pStyle w:val="28"/>
                    <w:spacing w:line="360" w:lineRule="exact"/>
                    <w:rPr>
                      <w:rFonts w:eastAsiaTheme="minorEastAsia"/>
                      <w:color w:val="auto"/>
                      <w:szCs w:val="21"/>
                    </w:rPr>
                  </w:pPr>
                </w:p>
              </w:tc>
              <w:tc>
                <w:tcPr>
                  <w:tcW w:w="712" w:type="dxa"/>
                  <w:vMerge w:val="continue"/>
                  <w:vAlign w:val="center"/>
                </w:tcPr>
                <w:p>
                  <w:pPr>
                    <w:pStyle w:val="28"/>
                    <w:spacing w:line="360" w:lineRule="exact"/>
                    <w:rPr>
                      <w:rFonts w:eastAsiaTheme="minorEastAsia"/>
                      <w:color w:val="auto"/>
                      <w:szCs w:val="21"/>
                    </w:rPr>
                  </w:pPr>
                </w:p>
              </w:tc>
              <w:tc>
                <w:tcPr>
                  <w:tcW w:w="1414" w:type="dxa"/>
                  <w:vAlign w:val="center"/>
                </w:tcPr>
                <w:p>
                  <w:pPr>
                    <w:pStyle w:val="28"/>
                    <w:spacing w:line="360" w:lineRule="exact"/>
                    <w:rPr>
                      <w:rFonts w:eastAsiaTheme="minorEastAsia"/>
                      <w:color w:val="auto"/>
                      <w:szCs w:val="21"/>
                    </w:rPr>
                  </w:pPr>
                  <w:r>
                    <w:rPr>
                      <w:rFonts w:eastAsiaTheme="minorEastAsia"/>
                      <w:color w:val="auto"/>
                      <w:szCs w:val="21"/>
                    </w:rPr>
                    <w:t>NH</w:t>
                  </w:r>
                  <w:r>
                    <w:rPr>
                      <w:rFonts w:eastAsiaTheme="minorEastAsia"/>
                      <w:color w:val="auto"/>
                      <w:szCs w:val="21"/>
                      <w:vertAlign w:val="subscript"/>
                    </w:rPr>
                    <w:t>3</w:t>
                  </w:r>
                  <w:r>
                    <w:rPr>
                      <w:rFonts w:eastAsiaTheme="minorEastAsia"/>
                      <w:color w:val="auto"/>
                      <w:szCs w:val="21"/>
                    </w:rPr>
                    <w:t>-N</w:t>
                  </w:r>
                </w:p>
              </w:tc>
              <w:tc>
                <w:tcPr>
                  <w:tcW w:w="3969" w:type="dxa"/>
                  <w:vMerge w:val="continue"/>
                  <w:vAlign w:val="center"/>
                </w:tcPr>
                <w:p>
                  <w:pPr>
                    <w:pStyle w:val="28"/>
                    <w:spacing w:line="360" w:lineRule="exact"/>
                    <w:ind w:firstLine="210" w:firstLineChars="100"/>
                    <w:jc w:val="both"/>
                    <w:rPr>
                      <w:rFonts w:eastAsiaTheme="minorEastAsia"/>
                      <w:color w:val="auto"/>
                      <w:szCs w:val="21"/>
                    </w:rPr>
                  </w:pPr>
                </w:p>
              </w:tc>
              <w:tc>
                <w:tcPr>
                  <w:tcW w:w="992" w:type="dxa"/>
                  <w:vMerge w:val="continue"/>
                  <w:vAlign w:val="center"/>
                </w:tcPr>
                <w:p>
                  <w:pPr>
                    <w:spacing w:line="360" w:lineRule="exact"/>
                    <w:jc w:val="center"/>
                    <w:rPr>
                      <w:rFonts w:ascii="Times New Roman" w:hAnsi="Times New Roman" w:cs="Times New Roman"/>
                      <w:bCs/>
                      <w:snapToGrid w:val="0"/>
                      <w:kern w:val="32"/>
                      <w:lang w:val="zh-CN"/>
                    </w:rPr>
                  </w:pPr>
                </w:p>
              </w:tc>
              <w:tc>
                <w:tcPr>
                  <w:tcW w:w="1019" w:type="dxa"/>
                  <w:vMerge w:val="continue"/>
                  <w:vAlign w:val="center"/>
                </w:tcPr>
                <w:p>
                  <w:pPr>
                    <w:spacing w:line="360" w:lineRule="exact"/>
                    <w:jc w:val="center"/>
                    <w:rPr>
                      <w:rFonts w:ascii="Times New Roman" w:hAnsi="Times New Roman" w:cs="Times New Roman"/>
                      <w:bCs/>
                      <w:snapToGrid w:val="0"/>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5" w:type="dxa"/>
                  <w:vMerge w:val="restart"/>
                  <w:vAlign w:val="center"/>
                </w:tcPr>
                <w:p>
                  <w:pPr>
                    <w:pStyle w:val="28"/>
                    <w:spacing w:line="360" w:lineRule="exact"/>
                    <w:rPr>
                      <w:rFonts w:eastAsiaTheme="minorEastAsia"/>
                      <w:color w:val="auto"/>
                      <w:szCs w:val="21"/>
                    </w:rPr>
                  </w:pPr>
                  <w:r>
                    <w:rPr>
                      <w:rFonts w:eastAsiaTheme="minorEastAsia"/>
                      <w:color w:val="auto"/>
                      <w:szCs w:val="21"/>
                    </w:rPr>
                    <w:t>员工生活</w:t>
                  </w:r>
                </w:p>
              </w:tc>
              <w:tc>
                <w:tcPr>
                  <w:tcW w:w="712" w:type="dxa"/>
                  <w:vMerge w:val="restart"/>
                  <w:vAlign w:val="center"/>
                </w:tcPr>
                <w:p>
                  <w:pPr>
                    <w:pStyle w:val="28"/>
                    <w:spacing w:line="360" w:lineRule="exact"/>
                    <w:rPr>
                      <w:rFonts w:eastAsiaTheme="minorEastAsia"/>
                      <w:color w:val="auto"/>
                      <w:szCs w:val="21"/>
                    </w:rPr>
                  </w:pPr>
                  <w:r>
                    <w:rPr>
                      <w:rFonts w:eastAsiaTheme="minorEastAsia"/>
                      <w:color w:val="auto"/>
                      <w:szCs w:val="21"/>
                    </w:rPr>
                    <w:t>生活污水</w:t>
                  </w:r>
                </w:p>
              </w:tc>
              <w:tc>
                <w:tcPr>
                  <w:tcW w:w="1414" w:type="dxa"/>
                  <w:vAlign w:val="center"/>
                </w:tcPr>
                <w:p>
                  <w:pPr>
                    <w:pStyle w:val="28"/>
                    <w:spacing w:line="360" w:lineRule="exact"/>
                    <w:rPr>
                      <w:rFonts w:eastAsiaTheme="minorEastAsia"/>
                      <w:color w:val="auto"/>
                      <w:szCs w:val="21"/>
                    </w:rPr>
                  </w:pPr>
                  <w:r>
                    <w:rPr>
                      <w:rFonts w:eastAsiaTheme="minorEastAsia"/>
                      <w:color w:val="auto"/>
                      <w:szCs w:val="21"/>
                    </w:rPr>
                    <w:t>pH</w:t>
                  </w:r>
                </w:p>
              </w:tc>
              <w:tc>
                <w:tcPr>
                  <w:tcW w:w="3969" w:type="dxa"/>
                  <w:vMerge w:val="restart"/>
                  <w:vAlign w:val="center"/>
                </w:tcPr>
                <w:p>
                  <w:pPr>
                    <w:pStyle w:val="28"/>
                    <w:spacing w:line="360" w:lineRule="exact"/>
                    <w:ind w:firstLine="210" w:firstLineChars="100"/>
                    <w:jc w:val="both"/>
                    <w:rPr>
                      <w:rFonts w:eastAsiaTheme="minorEastAsia"/>
                      <w:color w:val="auto"/>
                      <w:szCs w:val="21"/>
                    </w:rPr>
                  </w:pPr>
                  <w:r>
                    <w:rPr>
                      <w:rFonts w:eastAsiaTheme="minorEastAsia"/>
                      <w:color w:val="auto"/>
                      <w:szCs w:val="21"/>
                    </w:rPr>
                    <w:t>项目拟设置一个有效容积为2m³的化粪池、处理规模为2m³/d的一体化污水处理设施和一个有效容积为8m³的再生水收集池；项目生活污水经化粪池和一体化污水处理设施处理后，回用于绿化不外排。</w:t>
                  </w:r>
                </w:p>
              </w:tc>
              <w:tc>
                <w:tcPr>
                  <w:tcW w:w="992" w:type="dxa"/>
                  <w:vMerge w:val="restart"/>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不外排</w:t>
                  </w:r>
                </w:p>
              </w:tc>
              <w:tc>
                <w:tcPr>
                  <w:tcW w:w="1019" w:type="dxa"/>
                  <w:vMerge w:val="restart"/>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5" w:type="dxa"/>
                  <w:vMerge w:val="continue"/>
                  <w:vAlign w:val="center"/>
                </w:tcPr>
                <w:p>
                  <w:pPr>
                    <w:pStyle w:val="28"/>
                    <w:spacing w:line="360" w:lineRule="exact"/>
                    <w:rPr>
                      <w:rFonts w:eastAsiaTheme="minorEastAsia"/>
                      <w:color w:val="auto"/>
                      <w:szCs w:val="21"/>
                    </w:rPr>
                  </w:pPr>
                </w:p>
              </w:tc>
              <w:tc>
                <w:tcPr>
                  <w:tcW w:w="712" w:type="dxa"/>
                  <w:vMerge w:val="continue"/>
                  <w:vAlign w:val="center"/>
                </w:tcPr>
                <w:p>
                  <w:pPr>
                    <w:pStyle w:val="28"/>
                    <w:spacing w:line="360" w:lineRule="exact"/>
                    <w:rPr>
                      <w:rFonts w:eastAsiaTheme="minorEastAsia"/>
                      <w:color w:val="auto"/>
                      <w:szCs w:val="21"/>
                    </w:rPr>
                  </w:pPr>
                </w:p>
              </w:tc>
              <w:tc>
                <w:tcPr>
                  <w:tcW w:w="1414" w:type="dxa"/>
                  <w:vAlign w:val="center"/>
                </w:tcPr>
                <w:p>
                  <w:pPr>
                    <w:pStyle w:val="28"/>
                    <w:spacing w:line="360" w:lineRule="exact"/>
                    <w:rPr>
                      <w:rFonts w:eastAsiaTheme="minorEastAsia"/>
                      <w:color w:val="auto"/>
                      <w:szCs w:val="21"/>
                    </w:rPr>
                  </w:pPr>
                  <w:r>
                    <w:rPr>
                      <w:rFonts w:eastAsiaTheme="minorEastAsia"/>
                      <w:color w:val="auto"/>
                      <w:szCs w:val="21"/>
                    </w:rPr>
                    <w:t>CODcr</w:t>
                  </w:r>
                </w:p>
              </w:tc>
              <w:tc>
                <w:tcPr>
                  <w:tcW w:w="3969" w:type="dxa"/>
                  <w:vMerge w:val="continue"/>
                  <w:vAlign w:val="center"/>
                </w:tcPr>
                <w:p>
                  <w:pPr>
                    <w:pStyle w:val="28"/>
                    <w:spacing w:line="360" w:lineRule="exact"/>
                    <w:ind w:firstLine="210" w:firstLineChars="100"/>
                    <w:jc w:val="left"/>
                    <w:rPr>
                      <w:rFonts w:eastAsiaTheme="minorEastAsia"/>
                      <w:color w:val="auto"/>
                      <w:szCs w:val="21"/>
                    </w:rPr>
                  </w:pPr>
                </w:p>
              </w:tc>
              <w:tc>
                <w:tcPr>
                  <w:tcW w:w="992" w:type="dxa"/>
                  <w:vMerge w:val="continue"/>
                  <w:vAlign w:val="center"/>
                </w:tcPr>
                <w:p>
                  <w:pPr>
                    <w:pStyle w:val="28"/>
                    <w:spacing w:line="360" w:lineRule="exact"/>
                    <w:rPr>
                      <w:rFonts w:eastAsiaTheme="minorEastAsia"/>
                      <w:color w:val="auto"/>
                      <w:szCs w:val="21"/>
                    </w:rPr>
                  </w:pPr>
                </w:p>
              </w:tc>
              <w:tc>
                <w:tcPr>
                  <w:tcW w:w="1019" w:type="dxa"/>
                  <w:vMerge w:val="continue"/>
                  <w:vAlign w:val="center"/>
                </w:tcPr>
                <w:p>
                  <w:pPr>
                    <w:pStyle w:val="28"/>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5" w:type="dxa"/>
                  <w:vMerge w:val="continue"/>
                  <w:vAlign w:val="center"/>
                </w:tcPr>
                <w:p>
                  <w:pPr>
                    <w:pStyle w:val="28"/>
                    <w:spacing w:line="360" w:lineRule="exact"/>
                    <w:rPr>
                      <w:rFonts w:eastAsiaTheme="minorEastAsia"/>
                      <w:color w:val="auto"/>
                      <w:szCs w:val="21"/>
                    </w:rPr>
                  </w:pPr>
                </w:p>
              </w:tc>
              <w:tc>
                <w:tcPr>
                  <w:tcW w:w="712" w:type="dxa"/>
                  <w:vMerge w:val="continue"/>
                  <w:vAlign w:val="center"/>
                </w:tcPr>
                <w:p>
                  <w:pPr>
                    <w:pStyle w:val="28"/>
                    <w:spacing w:line="360" w:lineRule="exact"/>
                    <w:rPr>
                      <w:rFonts w:eastAsiaTheme="minorEastAsia"/>
                      <w:color w:val="auto"/>
                      <w:szCs w:val="21"/>
                    </w:rPr>
                  </w:pPr>
                </w:p>
              </w:tc>
              <w:tc>
                <w:tcPr>
                  <w:tcW w:w="1414" w:type="dxa"/>
                  <w:vAlign w:val="center"/>
                </w:tcPr>
                <w:p>
                  <w:pPr>
                    <w:pStyle w:val="28"/>
                    <w:spacing w:line="360" w:lineRule="exact"/>
                    <w:rPr>
                      <w:rFonts w:eastAsiaTheme="minorEastAsia"/>
                      <w:color w:val="auto"/>
                      <w:szCs w:val="21"/>
                    </w:rPr>
                  </w:pPr>
                  <w:r>
                    <w:rPr>
                      <w:rFonts w:eastAsiaTheme="minorEastAsia"/>
                      <w:color w:val="auto"/>
                      <w:szCs w:val="21"/>
                    </w:rPr>
                    <w:t>BOD</w:t>
                  </w:r>
                  <w:r>
                    <w:rPr>
                      <w:rFonts w:eastAsiaTheme="minorEastAsia"/>
                      <w:color w:val="auto"/>
                      <w:szCs w:val="21"/>
                      <w:vertAlign w:val="subscript"/>
                    </w:rPr>
                    <w:t>5</w:t>
                  </w:r>
                </w:p>
              </w:tc>
              <w:tc>
                <w:tcPr>
                  <w:tcW w:w="3969" w:type="dxa"/>
                  <w:vMerge w:val="continue"/>
                  <w:vAlign w:val="center"/>
                </w:tcPr>
                <w:p>
                  <w:pPr>
                    <w:pStyle w:val="28"/>
                    <w:spacing w:line="360" w:lineRule="exact"/>
                    <w:ind w:firstLine="210" w:firstLineChars="100"/>
                    <w:jc w:val="left"/>
                    <w:rPr>
                      <w:rFonts w:eastAsiaTheme="minorEastAsia"/>
                      <w:color w:val="auto"/>
                      <w:szCs w:val="21"/>
                    </w:rPr>
                  </w:pPr>
                </w:p>
              </w:tc>
              <w:tc>
                <w:tcPr>
                  <w:tcW w:w="992" w:type="dxa"/>
                  <w:vMerge w:val="continue"/>
                  <w:vAlign w:val="center"/>
                </w:tcPr>
                <w:p>
                  <w:pPr>
                    <w:pStyle w:val="28"/>
                    <w:spacing w:line="360" w:lineRule="exact"/>
                    <w:rPr>
                      <w:rFonts w:eastAsiaTheme="minorEastAsia"/>
                      <w:color w:val="auto"/>
                      <w:szCs w:val="21"/>
                    </w:rPr>
                  </w:pPr>
                </w:p>
              </w:tc>
              <w:tc>
                <w:tcPr>
                  <w:tcW w:w="1019" w:type="dxa"/>
                  <w:vMerge w:val="continue"/>
                  <w:vAlign w:val="center"/>
                </w:tcPr>
                <w:p>
                  <w:pPr>
                    <w:pStyle w:val="28"/>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5" w:type="dxa"/>
                  <w:vMerge w:val="continue"/>
                  <w:vAlign w:val="center"/>
                </w:tcPr>
                <w:p>
                  <w:pPr>
                    <w:pStyle w:val="28"/>
                    <w:spacing w:line="360" w:lineRule="exact"/>
                    <w:rPr>
                      <w:rFonts w:eastAsiaTheme="minorEastAsia"/>
                      <w:color w:val="auto"/>
                      <w:szCs w:val="21"/>
                    </w:rPr>
                  </w:pPr>
                </w:p>
              </w:tc>
              <w:tc>
                <w:tcPr>
                  <w:tcW w:w="712" w:type="dxa"/>
                  <w:vMerge w:val="continue"/>
                  <w:vAlign w:val="center"/>
                </w:tcPr>
                <w:p>
                  <w:pPr>
                    <w:pStyle w:val="28"/>
                    <w:spacing w:line="360" w:lineRule="exact"/>
                    <w:rPr>
                      <w:rFonts w:eastAsiaTheme="minorEastAsia"/>
                      <w:color w:val="auto"/>
                      <w:szCs w:val="21"/>
                    </w:rPr>
                  </w:pPr>
                </w:p>
              </w:tc>
              <w:tc>
                <w:tcPr>
                  <w:tcW w:w="1414" w:type="dxa"/>
                  <w:vAlign w:val="center"/>
                </w:tcPr>
                <w:p>
                  <w:pPr>
                    <w:pStyle w:val="28"/>
                    <w:spacing w:line="360" w:lineRule="exact"/>
                    <w:rPr>
                      <w:rFonts w:eastAsiaTheme="minorEastAsia"/>
                      <w:color w:val="auto"/>
                      <w:szCs w:val="21"/>
                    </w:rPr>
                  </w:pPr>
                  <w:r>
                    <w:rPr>
                      <w:rFonts w:eastAsiaTheme="minorEastAsia"/>
                      <w:color w:val="auto"/>
                      <w:szCs w:val="21"/>
                    </w:rPr>
                    <w:t>NH</w:t>
                  </w:r>
                  <w:r>
                    <w:rPr>
                      <w:rFonts w:eastAsiaTheme="minorEastAsia"/>
                      <w:color w:val="auto"/>
                      <w:szCs w:val="21"/>
                      <w:vertAlign w:val="subscript"/>
                    </w:rPr>
                    <w:t>3</w:t>
                  </w:r>
                  <w:r>
                    <w:rPr>
                      <w:rFonts w:eastAsiaTheme="minorEastAsia"/>
                      <w:color w:val="auto"/>
                      <w:szCs w:val="21"/>
                    </w:rPr>
                    <w:t>-N</w:t>
                  </w:r>
                </w:p>
              </w:tc>
              <w:tc>
                <w:tcPr>
                  <w:tcW w:w="3969" w:type="dxa"/>
                  <w:vMerge w:val="continue"/>
                  <w:vAlign w:val="center"/>
                </w:tcPr>
                <w:p>
                  <w:pPr>
                    <w:pStyle w:val="28"/>
                    <w:spacing w:line="360" w:lineRule="exact"/>
                    <w:ind w:firstLine="210" w:firstLineChars="100"/>
                    <w:jc w:val="left"/>
                    <w:rPr>
                      <w:rFonts w:eastAsiaTheme="minorEastAsia"/>
                      <w:color w:val="auto"/>
                      <w:szCs w:val="21"/>
                    </w:rPr>
                  </w:pPr>
                </w:p>
              </w:tc>
              <w:tc>
                <w:tcPr>
                  <w:tcW w:w="992" w:type="dxa"/>
                  <w:vMerge w:val="continue"/>
                  <w:vAlign w:val="center"/>
                </w:tcPr>
                <w:p>
                  <w:pPr>
                    <w:pStyle w:val="28"/>
                    <w:spacing w:line="360" w:lineRule="exact"/>
                    <w:rPr>
                      <w:rFonts w:eastAsiaTheme="minorEastAsia"/>
                      <w:color w:val="auto"/>
                      <w:szCs w:val="21"/>
                    </w:rPr>
                  </w:pPr>
                </w:p>
              </w:tc>
              <w:tc>
                <w:tcPr>
                  <w:tcW w:w="1019" w:type="dxa"/>
                  <w:vMerge w:val="continue"/>
                  <w:vAlign w:val="center"/>
                </w:tcPr>
                <w:p>
                  <w:pPr>
                    <w:pStyle w:val="28"/>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5" w:type="dxa"/>
                  <w:vMerge w:val="continue"/>
                  <w:vAlign w:val="center"/>
                </w:tcPr>
                <w:p>
                  <w:pPr>
                    <w:pStyle w:val="28"/>
                    <w:spacing w:line="360" w:lineRule="exact"/>
                    <w:rPr>
                      <w:rFonts w:eastAsiaTheme="minorEastAsia"/>
                      <w:color w:val="auto"/>
                      <w:szCs w:val="21"/>
                    </w:rPr>
                  </w:pPr>
                </w:p>
              </w:tc>
              <w:tc>
                <w:tcPr>
                  <w:tcW w:w="712" w:type="dxa"/>
                  <w:vMerge w:val="continue"/>
                  <w:vAlign w:val="center"/>
                </w:tcPr>
                <w:p>
                  <w:pPr>
                    <w:pStyle w:val="28"/>
                    <w:spacing w:line="360" w:lineRule="exact"/>
                    <w:rPr>
                      <w:rFonts w:eastAsiaTheme="minorEastAsia"/>
                      <w:color w:val="auto"/>
                      <w:szCs w:val="21"/>
                    </w:rPr>
                  </w:pPr>
                </w:p>
              </w:tc>
              <w:tc>
                <w:tcPr>
                  <w:tcW w:w="1414" w:type="dxa"/>
                  <w:vAlign w:val="center"/>
                </w:tcPr>
                <w:p>
                  <w:pPr>
                    <w:pStyle w:val="28"/>
                    <w:spacing w:line="360" w:lineRule="exact"/>
                    <w:rPr>
                      <w:rFonts w:eastAsiaTheme="minorEastAsia"/>
                      <w:color w:val="auto"/>
                      <w:szCs w:val="21"/>
                    </w:rPr>
                  </w:pPr>
                  <w:r>
                    <w:rPr>
                      <w:rFonts w:eastAsiaTheme="minorEastAsia"/>
                      <w:color w:val="auto"/>
                      <w:szCs w:val="21"/>
                    </w:rPr>
                    <w:t>SS</w:t>
                  </w:r>
                </w:p>
              </w:tc>
              <w:tc>
                <w:tcPr>
                  <w:tcW w:w="3969" w:type="dxa"/>
                  <w:vMerge w:val="continue"/>
                  <w:vAlign w:val="center"/>
                </w:tcPr>
                <w:p>
                  <w:pPr>
                    <w:pStyle w:val="28"/>
                    <w:spacing w:line="360" w:lineRule="exact"/>
                    <w:ind w:firstLine="210" w:firstLineChars="100"/>
                    <w:jc w:val="left"/>
                    <w:rPr>
                      <w:rFonts w:eastAsiaTheme="minorEastAsia"/>
                      <w:color w:val="auto"/>
                      <w:szCs w:val="21"/>
                    </w:rPr>
                  </w:pPr>
                </w:p>
              </w:tc>
              <w:tc>
                <w:tcPr>
                  <w:tcW w:w="992" w:type="dxa"/>
                  <w:vMerge w:val="continue"/>
                  <w:vAlign w:val="center"/>
                </w:tcPr>
                <w:p>
                  <w:pPr>
                    <w:pStyle w:val="28"/>
                    <w:spacing w:line="360" w:lineRule="exact"/>
                    <w:rPr>
                      <w:rFonts w:eastAsiaTheme="minorEastAsia"/>
                      <w:color w:val="auto"/>
                      <w:szCs w:val="21"/>
                    </w:rPr>
                  </w:pPr>
                </w:p>
              </w:tc>
              <w:tc>
                <w:tcPr>
                  <w:tcW w:w="1019" w:type="dxa"/>
                  <w:vMerge w:val="continue"/>
                  <w:vAlign w:val="center"/>
                </w:tcPr>
                <w:p>
                  <w:pPr>
                    <w:pStyle w:val="28"/>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5" w:type="dxa"/>
                  <w:vMerge w:val="continue"/>
                  <w:vAlign w:val="center"/>
                </w:tcPr>
                <w:p>
                  <w:pPr>
                    <w:pStyle w:val="28"/>
                    <w:spacing w:line="360" w:lineRule="exact"/>
                    <w:rPr>
                      <w:rFonts w:eastAsiaTheme="minorEastAsia"/>
                      <w:color w:val="auto"/>
                      <w:szCs w:val="21"/>
                    </w:rPr>
                  </w:pPr>
                </w:p>
              </w:tc>
              <w:tc>
                <w:tcPr>
                  <w:tcW w:w="712" w:type="dxa"/>
                  <w:vMerge w:val="continue"/>
                  <w:vAlign w:val="center"/>
                </w:tcPr>
                <w:p>
                  <w:pPr>
                    <w:pStyle w:val="28"/>
                    <w:spacing w:line="360" w:lineRule="exact"/>
                    <w:rPr>
                      <w:rFonts w:eastAsiaTheme="minorEastAsia"/>
                      <w:color w:val="auto"/>
                      <w:szCs w:val="21"/>
                    </w:rPr>
                  </w:pPr>
                </w:p>
              </w:tc>
              <w:tc>
                <w:tcPr>
                  <w:tcW w:w="1414" w:type="dxa"/>
                  <w:vAlign w:val="center"/>
                </w:tcPr>
                <w:p>
                  <w:pPr>
                    <w:pStyle w:val="28"/>
                    <w:spacing w:line="360" w:lineRule="exact"/>
                    <w:rPr>
                      <w:rFonts w:eastAsiaTheme="minorEastAsia"/>
                      <w:color w:val="auto"/>
                      <w:szCs w:val="21"/>
                    </w:rPr>
                  </w:pPr>
                  <w:r>
                    <w:rPr>
                      <w:rFonts w:eastAsiaTheme="minorEastAsia"/>
                      <w:color w:val="auto"/>
                      <w:szCs w:val="21"/>
                    </w:rPr>
                    <w:t>总磷</w:t>
                  </w:r>
                </w:p>
              </w:tc>
              <w:tc>
                <w:tcPr>
                  <w:tcW w:w="3969" w:type="dxa"/>
                  <w:vMerge w:val="continue"/>
                  <w:vAlign w:val="center"/>
                </w:tcPr>
                <w:p>
                  <w:pPr>
                    <w:pStyle w:val="28"/>
                    <w:spacing w:line="360" w:lineRule="exact"/>
                    <w:ind w:firstLine="210" w:firstLineChars="100"/>
                    <w:jc w:val="left"/>
                    <w:rPr>
                      <w:rFonts w:eastAsiaTheme="minorEastAsia"/>
                      <w:color w:val="auto"/>
                      <w:szCs w:val="21"/>
                    </w:rPr>
                  </w:pPr>
                </w:p>
              </w:tc>
              <w:tc>
                <w:tcPr>
                  <w:tcW w:w="992" w:type="dxa"/>
                  <w:vMerge w:val="continue"/>
                  <w:vAlign w:val="center"/>
                </w:tcPr>
                <w:p>
                  <w:pPr>
                    <w:pStyle w:val="28"/>
                    <w:spacing w:line="360" w:lineRule="exact"/>
                    <w:rPr>
                      <w:rFonts w:eastAsiaTheme="minorEastAsia"/>
                      <w:color w:val="auto"/>
                      <w:szCs w:val="21"/>
                    </w:rPr>
                  </w:pPr>
                </w:p>
              </w:tc>
              <w:tc>
                <w:tcPr>
                  <w:tcW w:w="1019" w:type="dxa"/>
                  <w:vMerge w:val="continue"/>
                  <w:vAlign w:val="center"/>
                </w:tcPr>
                <w:p>
                  <w:pPr>
                    <w:pStyle w:val="28"/>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5" w:type="dxa"/>
                  <w:vMerge w:val="continue"/>
                  <w:vAlign w:val="center"/>
                </w:tcPr>
                <w:p>
                  <w:pPr>
                    <w:pStyle w:val="28"/>
                    <w:spacing w:line="360" w:lineRule="exact"/>
                    <w:rPr>
                      <w:rFonts w:eastAsiaTheme="minorEastAsia"/>
                      <w:color w:val="auto"/>
                      <w:szCs w:val="21"/>
                    </w:rPr>
                  </w:pPr>
                </w:p>
              </w:tc>
              <w:tc>
                <w:tcPr>
                  <w:tcW w:w="712" w:type="dxa"/>
                  <w:vMerge w:val="continue"/>
                  <w:vAlign w:val="center"/>
                </w:tcPr>
                <w:p>
                  <w:pPr>
                    <w:pStyle w:val="28"/>
                    <w:spacing w:line="360" w:lineRule="exact"/>
                    <w:rPr>
                      <w:rFonts w:eastAsiaTheme="minorEastAsia"/>
                      <w:color w:val="auto"/>
                      <w:szCs w:val="21"/>
                    </w:rPr>
                  </w:pPr>
                </w:p>
              </w:tc>
              <w:tc>
                <w:tcPr>
                  <w:tcW w:w="1414" w:type="dxa"/>
                  <w:vAlign w:val="center"/>
                </w:tcPr>
                <w:p>
                  <w:pPr>
                    <w:pStyle w:val="28"/>
                    <w:spacing w:line="360" w:lineRule="exact"/>
                    <w:rPr>
                      <w:rFonts w:eastAsiaTheme="minorEastAsia"/>
                      <w:color w:val="auto"/>
                      <w:szCs w:val="21"/>
                    </w:rPr>
                  </w:pPr>
                  <w:r>
                    <w:rPr>
                      <w:rFonts w:eastAsiaTheme="minorEastAsia"/>
                      <w:color w:val="auto"/>
                      <w:szCs w:val="21"/>
                    </w:rPr>
                    <w:t>总氮</w:t>
                  </w:r>
                </w:p>
              </w:tc>
              <w:tc>
                <w:tcPr>
                  <w:tcW w:w="3969" w:type="dxa"/>
                  <w:vMerge w:val="continue"/>
                  <w:vAlign w:val="center"/>
                </w:tcPr>
                <w:p>
                  <w:pPr>
                    <w:pStyle w:val="28"/>
                    <w:spacing w:line="360" w:lineRule="exact"/>
                    <w:ind w:firstLine="210" w:firstLineChars="100"/>
                    <w:jc w:val="left"/>
                    <w:rPr>
                      <w:rFonts w:eastAsiaTheme="minorEastAsia"/>
                      <w:color w:val="auto"/>
                      <w:szCs w:val="21"/>
                    </w:rPr>
                  </w:pPr>
                </w:p>
              </w:tc>
              <w:tc>
                <w:tcPr>
                  <w:tcW w:w="992" w:type="dxa"/>
                  <w:vMerge w:val="continue"/>
                  <w:vAlign w:val="center"/>
                </w:tcPr>
                <w:p>
                  <w:pPr>
                    <w:pStyle w:val="28"/>
                    <w:spacing w:line="360" w:lineRule="exact"/>
                    <w:rPr>
                      <w:rFonts w:eastAsiaTheme="minorEastAsia"/>
                      <w:color w:val="auto"/>
                      <w:szCs w:val="21"/>
                    </w:rPr>
                  </w:pPr>
                </w:p>
              </w:tc>
              <w:tc>
                <w:tcPr>
                  <w:tcW w:w="1019" w:type="dxa"/>
                  <w:vMerge w:val="continue"/>
                  <w:vAlign w:val="center"/>
                </w:tcPr>
                <w:p>
                  <w:pPr>
                    <w:pStyle w:val="28"/>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5" w:type="dxa"/>
                  <w:vMerge w:val="continue"/>
                  <w:vAlign w:val="center"/>
                </w:tcPr>
                <w:p>
                  <w:pPr>
                    <w:pStyle w:val="28"/>
                    <w:spacing w:line="360" w:lineRule="exact"/>
                    <w:rPr>
                      <w:rFonts w:eastAsiaTheme="minorEastAsia"/>
                      <w:color w:val="auto"/>
                      <w:szCs w:val="21"/>
                    </w:rPr>
                  </w:pPr>
                </w:p>
              </w:tc>
              <w:tc>
                <w:tcPr>
                  <w:tcW w:w="712" w:type="dxa"/>
                  <w:vMerge w:val="continue"/>
                  <w:vAlign w:val="center"/>
                </w:tcPr>
                <w:p>
                  <w:pPr>
                    <w:pStyle w:val="28"/>
                    <w:spacing w:line="360" w:lineRule="exact"/>
                    <w:rPr>
                      <w:rFonts w:eastAsiaTheme="minorEastAsia"/>
                      <w:color w:val="auto"/>
                      <w:szCs w:val="21"/>
                    </w:rPr>
                  </w:pPr>
                </w:p>
              </w:tc>
              <w:tc>
                <w:tcPr>
                  <w:tcW w:w="1414" w:type="dxa"/>
                  <w:vAlign w:val="center"/>
                </w:tcPr>
                <w:p>
                  <w:pPr>
                    <w:pStyle w:val="28"/>
                    <w:spacing w:line="360" w:lineRule="exact"/>
                    <w:rPr>
                      <w:rFonts w:eastAsiaTheme="minorEastAsia"/>
                      <w:color w:val="auto"/>
                      <w:szCs w:val="21"/>
                    </w:rPr>
                  </w:pPr>
                  <w:r>
                    <w:rPr>
                      <w:rFonts w:eastAsiaTheme="minorEastAsia"/>
                      <w:bCs w:val="0"/>
                      <w:snapToGrid/>
                      <w:color w:val="auto"/>
                      <w:kern w:val="0"/>
                      <w:szCs w:val="21"/>
                      <w:lang w:val="en-US"/>
                    </w:rPr>
                    <w:t>阴离子表面活性剂</w:t>
                  </w:r>
                </w:p>
              </w:tc>
              <w:tc>
                <w:tcPr>
                  <w:tcW w:w="3969" w:type="dxa"/>
                  <w:vMerge w:val="continue"/>
                  <w:vAlign w:val="center"/>
                </w:tcPr>
                <w:p>
                  <w:pPr>
                    <w:pStyle w:val="28"/>
                    <w:spacing w:line="360" w:lineRule="exact"/>
                    <w:ind w:firstLine="210" w:firstLineChars="100"/>
                    <w:jc w:val="left"/>
                    <w:rPr>
                      <w:rFonts w:eastAsiaTheme="minorEastAsia"/>
                      <w:color w:val="auto"/>
                      <w:szCs w:val="21"/>
                    </w:rPr>
                  </w:pPr>
                </w:p>
              </w:tc>
              <w:tc>
                <w:tcPr>
                  <w:tcW w:w="992" w:type="dxa"/>
                  <w:vMerge w:val="continue"/>
                  <w:vAlign w:val="center"/>
                </w:tcPr>
                <w:p>
                  <w:pPr>
                    <w:pStyle w:val="28"/>
                    <w:spacing w:line="360" w:lineRule="exact"/>
                    <w:rPr>
                      <w:rFonts w:eastAsiaTheme="minorEastAsia"/>
                      <w:color w:val="auto"/>
                      <w:szCs w:val="21"/>
                    </w:rPr>
                  </w:pPr>
                </w:p>
              </w:tc>
              <w:tc>
                <w:tcPr>
                  <w:tcW w:w="1019" w:type="dxa"/>
                  <w:vMerge w:val="continue"/>
                  <w:vAlign w:val="center"/>
                </w:tcPr>
                <w:p>
                  <w:pPr>
                    <w:pStyle w:val="28"/>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5" w:type="dxa"/>
                  <w:vMerge w:val="continue"/>
                  <w:vAlign w:val="center"/>
                </w:tcPr>
                <w:p>
                  <w:pPr>
                    <w:pStyle w:val="28"/>
                    <w:spacing w:line="360" w:lineRule="exact"/>
                    <w:rPr>
                      <w:rFonts w:eastAsiaTheme="minorEastAsia"/>
                      <w:color w:val="auto"/>
                      <w:szCs w:val="21"/>
                    </w:rPr>
                  </w:pPr>
                </w:p>
              </w:tc>
              <w:tc>
                <w:tcPr>
                  <w:tcW w:w="712" w:type="dxa"/>
                  <w:vMerge w:val="continue"/>
                  <w:vAlign w:val="center"/>
                </w:tcPr>
                <w:p>
                  <w:pPr>
                    <w:pStyle w:val="28"/>
                    <w:spacing w:line="360" w:lineRule="exact"/>
                    <w:rPr>
                      <w:rFonts w:eastAsiaTheme="minorEastAsia"/>
                      <w:color w:val="auto"/>
                      <w:szCs w:val="21"/>
                    </w:rPr>
                  </w:pPr>
                </w:p>
              </w:tc>
              <w:tc>
                <w:tcPr>
                  <w:tcW w:w="1414" w:type="dxa"/>
                  <w:vAlign w:val="center"/>
                </w:tcPr>
                <w:p>
                  <w:pPr>
                    <w:pStyle w:val="28"/>
                    <w:spacing w:line="360" w:lineRule="exact"/>
                    <w:rPr>
                      <w:rFonts w:eastAsiaTheme="minorEastAsia"/>
                      <w:color w:val="auto"/>
                      <w:szCs w:val="21"/>
                    </w:rPr>
                  </w:pPr>
                  <w:r>
                    <w:rPr>
                      <w:rFonts w:eastAsiaTheme="minorEastAsia"/>
                      <w:color w:val="auto"/>
                      <w:szCs w:val="21"/>
                    </w:rPr>
                    <w:t>粪大肠菌群数（MPN/L）</w:t>
                  </w:r>
                </w:p>
              </w:tc>
              <w:tc>
                <w:tcPr>
                  <w:tcW w:w="3969" w:type="dxa"/>
                  <w:vMerge w:val="continue"/>
                  <w:vAlign w:val="center"/>
                </w:tcPr>
                <w:p>
                  <w:pPr>
                    <w:pStyle w:val="28"/>
                    <w:spacing w:line="360" w:lineRule="exact"/>
                    <w:ind w:firstLine="210" w:firstLineChars="100"/>
                    <w:jc w:val="left"/>
                    <w:rPr>
                      <w:rFonts w:eastAsiaTheme="minorEastAsia"/>
                      <w:color w:val="auto"/>
                      <w:szCs w:val="21"/>
                    </w:rPr>
                  </w:pPr>
                </w:p>
              </w:tc>
              <w:tc>
                <w:tcPr>
                  <w:tcW w:w="992" w:type="dxa"/>
                  <w:vMerge w:val="continue"/>
                  <w:vAlign w:val="center"/>
                </w:tcPr>
                <w:p>
                  <w:pPr>
                    <w:pStyle w:val="28"/>
                    <w:spacing w:line="360" w:lineRule="exact"/>
                    <w:rPr>
                      <w:rFonts w:eastAsiaTheme="minorEastAsia"/>
                      <w:color w:val="auto"/>
                      <w:szCs w:val="21"/>
                    </w:rPr>
                  </w:pPr>
                </w:p>
              </w:tc>
              <w:tc>
                <w:tcPr>
                  <w:tcW w:w="1019" w:type="dxa"/>
                  <w:vMerge w:val="continue"/>
                  <w:vAlign w:val="center"/>
                </w:tcPr>
                <w:p>
                  <w:pPr>
                    <w:pStyle w:val="28"/>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5" w:type="dxa"/>
                  <w:vAlign w:val="center"/>
                </w:tcPr>
                <w:p>
                  <w:pPr>
                    <w:pStyle w:val="28"/>
                    <w:spacing w:line="360" w:lineRule="exact"/>
                    <w:rPr>
                      <w:rFonts w:eastAsiaTheme="minorEastAsia"/>
                      <w:color w:val="0000FF"/>
                      <w:szCs w:val="21"/>
                    </w:rPr>
                  </w:pPr>
                  <w:r>
                    <w:rPr>
                      <w:rFonts w:eastAsiaTheme="minorEastAsia"/>
                      <w:color w:val="0000FF"/>
                      <w:szCs w:val="21"/>
                    </w:rPr>
                    <w:t>厂区范围</w:t>
                  </w:r>
                </w:p>
              </w:tc>
              <w:tc>
                <w:tcPr>
                  <w:tcW w:w="712" w:type="dxa"/>
                  <w:vAlign w:val="center"/>
                </w:tcPr>
                <w:p>
                  <w:pPr>
                    <w:pStyle w:val="28"/>
                    <w:spacing w:line="360" w:lineRule="exact"/>
                    <w:rPr>
                      <w:rFonts w:eastAsiaTheme="minorEastAsia"/>
                      <w:color w:val="0000FF"/>
                      <w:szCs w:val="21"/>
                    </w:rPr>
                  </w:pPr>
                  <w:r>
                    <w:rPr>
                      <w:rFonts w:eastAsiaTheme="minorEastAsia"/>
                      <w:color w:val="0000FF"/>
                      <w:szCs w:val="21"/>
                    </w:rPr>
                    <w:t>初期雨水</w:t>
                  </w:r>
                </w:p>
              </w:tc>
              <w:tc>
                <w:tcPr>
                  <w:tcW w:w="1414" w:type="dxa"/>
                  <w:vAlign w:val="center"/>
                </w:tcPr>
                <w:p>
                  <w:pPr>
                    <w:pStyle w:val="28"/>
                    <w:spacing w:line="360" w:lineRule="exact"/>
                    <w:rPr>
                      <w:rFonts w:hint="default" w:eastAsiaTheme="minorEastAsia"/>
                      <w:color w:val="0000FF"/>
                      <w:szCs w:val="21"/>
                      <w:lang w:val="en-US" w:eastAsia="zh-CN"/>
                    </w:rPr>
                  </w:pPr>
                  <w:r>
                    <w:rPr>
                      <w:rFonts w:eastAsiaTheme="minorEastAsia"/>
                      <w:color w:val="0000FF"/>
                      <w:szCs w:val="21"/>
                    </w:rPr>
                    <w:t>SS</w:t>
                  </w:r>
                  <w:r>
                    <w:rPr>
                      <w:rFonts w:hint="eastAsia" w:eastAsiaTheme="minorEastAsia"/>
                      <w:color w:val="0000FF"/>
                      <w:szCs w:val="21"/>
                      <w:lang w:eastAsia="zh-CN"/>
                    </w:rPr>
                    <w:t>、</w:t>
                  </w:r>
                  <w:r>
                    <w:rPr>
                      <w:rFonts w:hint="eastAsia" w:eastAsiaTheme="minorEastAsia"/>
                      <w:color w:val="0000FF"/>
                      <w:szCs w:val="21"/>
                      <w:lang w:val="en-US" w:eastAsia="zh-CN"/>
                    </w:rPr>
                    <w:t>COD、氨氮、总磷</w:t>
                  </w:r>
                </w:p>
              </w:tc>
              <w:tc>
                <w:tcPr>
                  <w:tcW w:w="3969" w:type="dxa"/>
                  <w:vAlign w:val="center"/>
                </w:tcPr>
                <w:p>
                  <w:pPr>
                    <w:pStyle w:val="28"/>
                    <w:spacing w:line="360" w:lineRule="exact"/>
                    <w:ind w:firstLine="210" w:firstLineChars="100"/>
                    <w:jc w:val="both"/>
                    <w:rPr>
                      <w:rFonts w:eastAsiaTheme="minorEastAsia"/>
                      <w:color w:val="0000FF"/>
                      <w:szCs w:val="21"/>
                    </w:rPr>
                  </w:pPr>
                  <w:r>
                    <w:rPr>
                      <w:rFonts w:eastAsiaTheme="minorEastAsia"/>
                      <w:color w:val="0000FF"/>
                      <w:szCs w:val="21"/>
                    </w:rPr>
                    <w:t>项目拟在厂房外围及厂区周围设置900m的截排水沟对雨天厂区产生的初期雨水及地表径流进行疏导，初期雨水通过截排水沟收集后进入有效容积不低于20m³的初期雨水收集池沉淀后回用于生产，不外排。</w:t>
                  </w:r>
                </w:p>
              </w:tc>
              <w:tc>
                <w:tcPr>
                  <w:tcW w:w="992" w:type="dxa"/>
                  <w:vAlign w:val="center"/>
                </w:tcPr>
                <w:p>
                  <w:pPr>
                    <w:spacing w:line="360" w:lineRule="exact"/>
                    <w:jc w:val="center"/>
                    <w:rPr>
                      <w:rFonts w:ascii="Times New Roman" w:hAnsi="Times New Roman" w:cs="Times New Roman"/>
                      <w:bCs/>
                      <w:snapToGrid w:val="0"/>
                      <w:color w:val="0000FF"/>
                      <w:kern w:val="32"/>
                      <w:lang w:val="zh-CN"/>
                    </w:rPr>
                  </w:pPr>
                  <w:r>
                    <w:rPr>
                      <w:rFonts w:ascii="Times New Roman" w:hAnsi="Times New Roman" w:cs="Times New Roman"/>
                      <w:bCs/>
                      <w:snapToGrid w:val="0"/>
                      <w:color w:val="0000FF"/>
                      <w:kern w:val="32"/>
                      <w:lang w:val="zh-CN"/>
                    </w:rPr>
                    <w:t>不外排</w:t>
                  </w:r>
                </w:p>
              </w:tc>
              <w:tc>
                <w:tcPr>
                  <w:tcW w:w="1019" w:type="dxa"/>
                  <w:vAlign w:val="center"/>
                </w:tcPr>
                <w:p>
                  <w:pPr>
                    <w:spacing w:line="360" w:lineRule="exact"/>
                    <w:jc w:val="center"/>
                    <w:rPr>
                      <w:rFonts w:ascii="Times New Roman" w:hAnsi="Times New Roman" w:cs="Times New Roman"/>
                      <w:bCs/>
                      <w:snapToGrid w:val="0"/>
                      <w:color w:val="0000FF"/>
                      <w:kern w:val="32"/>
                      <w:lang w:val="zh-CN"/>
                    </w:rPr>
                  </w:pPr>
                  <w:r>
                    <w:rPr>
                      <w:rFonts w:ascii="Times New Roman" w:hAnsi="Times New Roman" w:cs="Times New Roman"/>
                      <w:bCs/>
                      <w:snapToGrid w:val="0"/>
                      <w:color w:val="0000FF"/>
                      <w:kern w:val="32"/>
                      <w:lang w:val="zh-CN"/>
                    </w:rPr>
                    <w:t>--</w:t>
                  </w:r>
                </w:p>
              </w:tc>
            </w:tr>
          </w:tbl>
          <w:p>
            <w:pPr>
              <w:spacing w:before="156" w:beforeLines="50" w:line="360" w:lineRule="auto"/>
              <w:ind w:firstLine="482" w:firstLineChars="200"/>
              <w:rPr>
                <w:rFonts w:ascii="Times New Roman" w:hAnsi="Times New Roman" w:cs="Times New Roman"/>
                <w:b/>
                <w:sz w:val="24"/>
              </w:rPr>
            </w:pPr>
            <w:r>
              <w:rPr>
                <w:rFonts w:ascii="Times New Roman" w:hAnsi="Times New Roman" w:eastAsia="宋体" w:cs="Times New Roman"/>
                <w:b/>
                <w:sz w:val="24"/>
              </w:rPr>
              <w:t>②</w:t>
            </w:r>
            <w:r>
              <w:rPr>
                <w:rFonts w:ascii="Times New Roman" w:hAnsi="Times New Roman" w:cs="Times New Roman"/>
                <w:b/>
                <w:sz w:val="24"/>
              </w:rPr>
              <w:t>废水污染物排放源产排量及达标情况</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 1 \* GB2 </w:instrText>
            </w:r>
            <w:r>
              <w:rPr>
                <w:rFonts w:ascii="Times New Roman" w:hAnsi="Times New Roman" w:cs="Times New Roman"/>
                <w:b/>
                <w:sz w:val="24"/>
                <w:szCs w:val="24"/>
              </w:rPr>
              <w:fldChar w:fldCharType="separate"/>
            </w:r>
            <w:r>
              <w:rPr>
                <w:rFonts w:ascii="Times New Roman" w:hAnsi="Times New Roman" w:cs="Times New Roman"/>
                <w:b/>
                <w:sz w:val="24"/>
                <w:szCs w:val="24"/>
              </w:rPr>
              <w:t>⑴</w:t>
            </w:r>
            <w:r>
              <w:rPr>
                <w:rFonts w:ascii="Times New Roman" w:hAnsi="Times New Roman" w:cs="Times New Roman"/>
                <w:b/>
                <w:sz w:val="24"/>
                <w:szCs w:val="24"/>
              </w:rPr>
              <w:fldChar w:fldCharType="end"/>
            </w:r>
            <w:r>
              <w:rPr>
                <w:rFonts w:ascii="Times New Roman" w:hAnsi="Times New Roman" w:cs="Times New Roman"/>
                <w:b/>
                <w:sz w:val="24"/>
                <w:szCs w:val="24"/>
              </w:rPr>
              <w:t>生产废水污染源产排量及达标情况</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根据项目产污环节和废水污染物治理措施可知，项目生产废水主要为洗砂废水，项目拟设置一套生产废水处理系统对其进行处理，该系统由</w:t>
            </w:r>
            <w:r>
              <w:rPr>
                <w:rFonts w:ascii="Times New Roman" w:hAnsi="Times New Roman" w:eastAsia="宋体" w:cs="Times New Roman"/>
                <w:sz w:val="24"/>
                <w:szCs w:val="24"/>
              </w:rPr>
              <w:t>2个生产废水收集池、2个污水处理塔、2个清水池、2个泥浆回收池和4台污泥压滤机组成</w:t>
            </w:r>
            <w:r>
              <w:rPr>
                <w:rFonts w:ascii="Times New Roman" w:hAnsi="Times New Roman" w:cs="Times New Roman"/>
                <w:sz w:val="24"/>
              </w:rPr>
              <w:t>；项目生产废水经处理后完全回用，不外排。生产废水经处理后其污染产排及达标情况如下表所示。</w:t>
            </w:r>
          </w:p>
          <w:p>
            <w:pPr>
              <w:jc w:val="center"/>
              <w:rPr>
                <w:rFonts w:ascii="Times New Roman" w:hAnsi="Times New Roman" w:cs="Times New Roman"/>
                <w:b/>
                <w:szCs w:val="24"/>
              </w:rPr>
            </w:pPr>
            <w:r>
              <w:rPr>
                <w:rFonts w:ascii="Times New Roman" w:hAnsi="Times New Roman" w:cs="Times New Roman"/>
                <w:b/>
                <w:szCs w:val="24"/>
              </w:rPr>
              <w:t>表4.2.2-3  生产</w:t>
            </w:r>
            <w:r>
              <w:rPr>
                <w:rFonts w:ascii="Times New Roman" w:hAnsi="Times New Roman" w:cs="Times New Roman"/>
                <w:b/>
              </w:rPr>
              <w:t>废水</w:t>
            </w:r>
            <w:r>
              <w:rPr>
                <w:rFonts w:ascii="Times New Roman" w:hAnsi="Times New Roman" w:cs="Times New Roman"/>
                <w:b/>
                <w:szCs w:val="24"/>
              </w:rPr>
              <w:t>污染物排放源产排量及达标情况一览表</w:t>
            </w:r>
          </w:p>
          <w:tbl>
            <w:tblPr>
              <w:tblStyle w:val="16"/>
              <w:tblW w:w="8851" w:type="dxa"/>
              <w:jc w:val="center"/>
              <w:tblInd w:w="0" w:type="dxa"/>
              <w:tblLayout w:type="fixed"/>
              <w:tblCellMar>
                <w:top w:w="0" w:type="dxa"/>
                <w:left w:w="108" w:type="dxa"/>
                <w:bottom w:w="0" w:type="dxa"/>
                <w:right w:w="108" w:type="dxa"/>
              </w:tblCellMar>
            </w:tblPr>
            <w:tblGrid>
              <w:gridCol w:w="756"/>
              <w:gridCol w:w="757"/>
              <w:gridCol w:w="1136"/>
              <w:gridCol w:w="1168"/>
              <w:gridCol w:w="1022"/>
              <w:gridCol w:w="1168"/>
              <w:gridCol w:w="1172"/>
              <w:gridCol w:w="914"/>
              <w:gridCol w:w="758"/>
            </w:tblGrid>
            <w:tr>
              <w:tblPrEx>
                <w:tblLayout w:type="fixed"/>
                <w:tblCellMar>
                  <w:top w:w="0" w:type="dxa"/>
                  <w:left w:w="108" w:type="dxa"/>
                  <w:bottom w:w="0" w:type="dxa"/>
                  <w:right w:w="108" w:type="dxa"/>
                </w:tblCellMar>
              </w:tblPrEx>
              <w:trPr>
                <w:jc w:val="center"/>
              </w:trPr>
              <w:tc>
                <w:tcPr>
                  <w:tcW w:w="75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产排污环节</w:t>
                  </w:r>
                </w:p>
              </w:tc>
              <w:tc>
                <w:tcPr>
                  <w:tcW w:w="75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类别</w:t>
                  </w:r>
                </w:p>
              </w:tc>
              <w:tc>
                <w:tcPr>
                  <w:tcW w:w="113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污染物种类</w:t>
                  </w:r>
                </w:p>
              </w:tc>
              <w:tc>
                <w:tcPr>
                  <w:tcW w:w="2190" w:type="dxa"/>
                  <w:gridSpan w:val="2"/>
                  <w:tcBorders>
                    <w:top w:val="single" w:color="000000" w:sz="8" w:space="0"/>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污染物产生情况</w:t>
                  </w:r>
                </w:p>
              </w:tc>
              <w:tc>
                <w:tcPr>
                  <w:tcW w:w="2340" w:type="dxa"/>
                  <w:gridSpan w:val="2"/>
                  <w:tcBorders>
                    <w:top w:val="single" w:color="000000" w:sz="8" w:space="0"/>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污染物回用量和浓度</w:t>
                  </w:r>
                </w:p>
              </w:tc>
              <w:tc>
                <w:tcPr>
                  <w:tcW w:w="914" w:type="dxa"/>
                  <w:vMerge w:val="restart"/>
                  <w:tcBorders>
                    <w:top w:val="single" w:color="000000" w:sz="8" w:space="0"/>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回用标准</w:t>
                  </w:r>
                </w:p>
              </w:tc>
              <w:tc>
                <w:tcPr>
                  <w:tcW w:w="75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达标情况</w:t>
                  </w:r>
                </w:p>
              </w:tc>
            </w:tr>
            <w:tr>
              <w:tblPrEx>
                <w:tblLayout w:type="fixed"/>
                <w:tblCellMar>
                  <w:top w:w="0" w:type="dxa"/>
                  <w:left w:w="108" w:type="dxa"/>
                  <w:bottom w:w="0" w:type="dxa"/>
                  <w:right w:w="108" w:type="dxa"/>
                </w:tblCellMar>
              </w:tblPrEx>
              <w:trPr>
                <w:jc w:val="center"/>
              </w:trPr>
              <w:tc>
                <w:tcPr>
                  <w:tcW w:w="756" w:type="dxa"/>
                  <w:vMerge w:val="continue"/>
                  <w:tcBorders>
                    <w:top w:val="single" w:color="000000" w:sz="8" w:space="0"/>
                    <w:left w:val="single" w:color="000000" w:sz="8" w:space="0"/>
                    <w:bottom w:val="single" w:color="000000" w:sz="8" w:space="0"/>
                    <w:right w:val="single" w:color="000000" w:sz="8" w:space="0"/>
                  </w:tcBorders>
                  <w:vAlign w:val="center"/>
                </w:tcPr>
                <w:p>
                  <w:pPr>
                    <w:pStyle w:val="28"/>
                    <w:spacing w:line="360" w:lineRule="exact"/>
                    <w:rPr>
                      <w:rFonts w:eastAsiaTheme="minorEastAsia"/>
                      <w:color w:val="auto"/>
                      <w:szCs w:val="21"/>
                    </w:rPr>
                  </w:pPr>
                </w:p>
              </w:tc>
              <w:tc>
                <w:tcPr>
                  <w:tcW w:w="757" w:type="dxa"/>
                  <w:vMerge w:val="continue"/>
                  <w:tcBorders>
                    <w:top w:val="single" w:color="000000" w:sz="8" w:space="0"/>
                    <w:left w:val="single" w:color="000000" w:sz="8" w:space="0"/>
                    <w:bottom w:val="single" w:color="000000" w:sz="8" w:space="0"/>
                    <w:right w:val="single" w:color="000000" w:sz="8" w:space="0"/>
                  </w:tcBorders>
                  <w:vAlign w:val="center"/>
                </w:tcPr>
                <w:p>
                  <w:pPr>
                    <w:pStyle w:val="28"/>
                    <w:spacing w:line="360" w:lineRule="exact"/>
                    <w:rPr>
                      <w:rFonts w:eastAsiaTheme="minorEastAsia"/>
                      <w:color w:val="auto"/>
                      <w:szCs w:val="21"/>
                    </w:rPr>
                  </w:pPr>
                </w:p>
              </w:tc>
              <w:tc>
                <w:tcPr>
                  <w:tcW w:w="1136" w:type="dxa"/>
                  <w:vMerge w:val="continue"/>
                  <w:tcBorders>
                    <w:top w:val="single" w:color="000000" w:sz="8" w:space="0"/>
                    <w:left w:val="single" w:color="000000" w:sz="8" w:space="0"/>
                    <w:bottom w:val="single" w:color="000000" w:sz="8" w:space="0"/>
                    <w:right w:val="single" w:color="000000" w:sz="8" w:space="0"/>
                  </w:tcBorders>
                  <w:vAlign w:val="center"/>
                </w:tcPr>
                <w:p>
                  <w:pPr>
                    <w:pStyle w:val="28"/>
                    <w:spacing w:line="360" w:lineRule="exact"/>
                    <w:rPr>
                      <w:rFonts w:eastAsiaTheme="minorEastAsia"/>
                      <w:color w:val="auto"/>
                      <w:szCs w:val="21"/>
                    </w:rPr>
                  </w:pPr>
                </w:p>
              </w:tc>
              <w:tc>
                <w:tcPr>
                  <w:tcW w:w="1168"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产生浓度mg/m³</w:t>
                  </w:r>
                </w:p>
              </w:tc>
              <w:tc>
                <w:tcPr>
                  <w:tcW w:w="1022" w:type="dxa"/>
                  <w:tcBorders>
                    <w:top w:val="single" w:color="000000" w:sz="8" w:space="0"/>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产生量m³/a</w:t>
                  </w:r>
                </w:p>
              </w:tc>
              <w:tc>
                <w:tcPr>
                  <w:tcW w:w="1168"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回用浓度mg/m³</w:t>
                  </w:r>
                </w:p>
              </w:tc>
              <w:tc>
                <w:tcPr>
                  <w:tcW w:w="1172" w:type="dxa"/>
                  <w:tcBorders>
                    <w:top w:val="single" w:color="000000" w:sz="8" w:space="0"/>
                    <w:left w:val="nil"/>
                    <w:bottom w:val="single" w:color="auto"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回用量m³/a</w:t>
                  </w:r>
                </w:p>
              </w:tc>
              <w:tc>
                <w:tcPr>
                  <w:tcW w:w="914" w:type="dxa"/>
                  <w:vMerge w:val="continue"/>
                  <w:tcBorders>
                    <w:top w:val="single" w:color="000000" w:sz="8" w:space="0"/>
                    <w:left w:val="nil"/>
                    <w:bottom w:val="single" w:color="000000" w:sz="8" w:space="0"/>
                    <w:right w:val="single" w:color="000000" w:sz="8" w:space="0"/>
                  </w:tcBorders>
                  <w:vAlign w:val="center"/>
                </w:tcPr>
                <w:p>
                  <w:pPr>
                    <w:pStyle w:val="28"/>
                    <w:spacing w:line="360" w:lineRule="exact"/>
                    <w:rPr>
                      <w:rFonts w:eastAsiaTheme="minorEastAsia"/>
                      <w:color w:val="auto"/>
                      <w:szCs w:val="21"/>
                    </w:rPr>
                  </w:pPr>
                </w:p>
              </w:tc>
              <w:tc>
                <w:tcPr>
                  <w:tcW w:w="758" w:type="dxa"/>
                  <w:vMerge w:val="continue"/>
                  <w:tcBorders>
                    <w:top w:val="single" w:color="000000" w:sz="8" w:space="0"/>
                    <w:left w:val="single" w:color="000000" w:sz="8" w:space="0"/>
                    <w:bottom w:val="single" w:color="000000" w:sz="8" w:space="0"/>
                    <w:right w:val="single" w:color="000000" w:sz="8" w:space="0"/>
                  </w:tcBorders>
                  <w:vAlign w:val="center"/>
                </w:tcPr>
                <w:p>
                  <w:pPr>
                    <w:pStyle w:val="28"/>
                    <w:spacing w:line="360" w:lineRule="exact"/>
                    <w:rPr>
                      <w:rFonts w:eastAsiaTheme="minorEastAsia"/>
                      <w:color w:val="auto"/>
                      <w:szCs w:val="21"/>
                    </w:rPr>
                  </w:pPr>
                </w:p>
              </w:tc>
            </w:tr>
            <w:tr>
              <w:tblPrEx>
                <w:tblLayout w:type="fixed"/>
                <w:tblCellMar>
                  <w:top w:w="0" w:type="dxa"/>
                  <w:left w:w="108" w:type="dxa"/>
                  <w:bottom w:w="0" w:type="dxa"/>
                  <w:right w:w="108" w:type="dxa"/>
                </w:tblCellMar>
              </w:tblPrEx>
              <w:trPr>
                <w:jc w:val="center"/>
              </w:trPr>
              <w:tc>
                <w:tcPr>
                  <w:tcW w:w="756" w:type="dxa"/>
                  <w:vMerge w:val="restart"/>
                  <w:tcBorders>
                    <w:top w:val="nil"/>
                    <w:left w:val="single" w:color="000000" w:sz="8" w:space="0"/>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生产车间</w:t>
                  </w:r>
                </w:p>
              </w:tc>
              <w:tc>
                <w:tcPr>
                  <w:tcW w:w="757" w:type="dxa"/>
                  <w:vMerge w:val="restart"/>
                  <w:tcBorders>
                    <w:top w:val="nil"/>
                    <w:left w:val="single" w:color="000000" w:sz="8" w:space="0"/>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生产废水</w:t>
                  </w:r>
                </w:p>
              </w:tc>
              <w:tc>
                <w:tcPr>
                  <w:tcW w:w="1136"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废水量</w:t>
                  </w:r>
                </w:p>
              </w:tc>
              <w:tc>
                <w:tcPr>
                  <w:tcW w:w="2190" w:type="dxa"/>
                  <w:gridSpan w:val="2"/>
                  <w:tcBorders>
                    <w:top w:val="single" w:color="000000" w:sz="8" w:space="0"/>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363452.1m³/a</w:t>
                  </w:r>
                </w:p>
              </w:tc>
              <w:tc>
                <w:tcPr>
                  <w:tcW w:w="2340" w:type="dxa"/>
                  <w:gridSpan w:val="2"/>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363452.1m³/a</w:t>
                  </w:r>
                </w:p>
              </w:tc>
              <w:tc>
                <w:tcPr>
                  <w:tcW w:w="914"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w:t>
                  </w:r>
                </w:p>
              </w:tc>
              <w:tc>
                <w:tcPr>
                  <w:tcW w:w="758"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w:t>
                  </w:r>
                </w:p>
              </w:tc>
            </w:tr>
            <w:tr>
              <w:tblPrEx>
                <w:tblLayout w:type="fixed"/>
                <w:tblCellMar>
                  <w:top w:w="0" w:type="dxa"/>
                  <w:left w:w="108" w:type="dxa"/>
                  <w:bottom w:w="0" w:type="dxa"/>
                  <w:right w:w="108" w:type="dxa"/>
                </w:tblCellMar>
              </w:tblPrEx>
              <w:trPr>
                <w:jc w:val="center"/>
              </w:trPr>
              <w:tc>
                <w:tcPr>
                  <w:tcW w:w="756" w:type="dxa"/>
                  <w:vMerge w:val="continue"/>
                  <w:tcBorders>
                    <w:top w:val="nil"/>
                    <w:left w:val="single" w:color="000000" w:sz="8" w:space="0"/>
                    <w:bottom w:val="single" w:color="000000" w:sz="8" w:space="0"/>
                    <w:right w:val="single" w:color="000000" w:sz="8" w:space="0"/>
                  </w:tcBorders>
                  <w:vAlign w:val="center"/>
                </w:tcPr>
                <w:p>
                  <w:pPr>
                    <w:pStyle w:val="28"/>
                    <w:spacing w:line="360" w:lineRule="exact"/>
                    <w:rPr>
                      <w:rFonts w:eastAsiaTheme="minorEastAsia"/>
                      <w:color w:val="auto"/>
                      <w:szCs w:val="21"/>
                    </w:rPr>
                  </w:pPr>
                </w:p>
              </w:tc>
              <w:tc>
                <w:tcPr>
                  <w:tcW w:w="757" w:type="dxa"/>
                  <w:vMerge w:val="continue"/>
                  <w:tcBorders>
                    <w:top w:val="nil"/>
                    <w:left w:val="single" w:color="000000" w:sz="8" w:space="0"/>
                    <w:bottom w:val="single" w:color="000000" w:sz="8" w:space="0"/>
                    <w:right w:val="single" w:color="000000" w:sz="8" w:space="0"/>
                  </w:tcBorders>
                  <w:vAlign w:val="center"/>
                </w:tcPr>
                <w:p>
                  <w:pPr>
                    <w:pStyle w:val="28"/>
                    <w:spacing w:line="360" w:lineRule="exact"/>
                    <w:rPr>
                      <w:rFonts w:eastAsiaTheme="minorEastAsia"/>
                      <w:color w:val="auto"/>
                      <w:szCs w:val="21"/>
                    </w:rPr>
                  </w:pPr>
                </w:p>
              </w:tc>
              <w:tc>
                <w:tcPr>
                  <w:tcW w:w="1136"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pH</w:t>
                  </w:r>
                </w:p>
              </w:tc>
              <w:tc>
                <w:tcPr>
                  <w:tcW w:w="1168" w:type="dxa"/>
                  <w:tcBorders>
                    <w:top w:val="single" w:color="000000" w:sz="8" w:space="0"/>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6.5-8.5</w:t>
                  </w:r>
                </w:p>
              </w:tc>
              <w:tc>
                <w:tcPr>
                  <w:tcW w:w="1022"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w:t>
                  </w:r>
                </w:p>
              </w:tc>
              <w:tc>
                <w:tcPr>
                  <w:tcW w:w="1168" w:type="dxa"/>
                  <w:tcBorders>
                    <w:top w:val="single" w:color="000000" w:sz="8" w:space="0"/>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6.5-8.5</w:t>
                  </w:r>
                </w:p>
              </w:tc>
              <w:tc>
                <w:tcPr>
                  <w:tcW w:w="1172" w:type="dxa"/>
                  <w:tcBorders>
                    <w:top w:val="nil"/>
                    <w:left w:val="nil"/>
                    <w:bottom w:val="single" w:color="auto" w:sz="8" w:space="0"/>
                    <w:right w:val="single" w:color="auto"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w:t>
                  </w:r>
                </w:p>
              </w:tc>
              <w:tc>
                <w:tcPr>
                  <w:tcW w:w="914"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6.5-8.5</w:t>
                  </w:r>
                </w:p>
              </w:tc>
              <w:tc>
                <w:tcPr>
                  <w:tcW w:w="758"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达标</w:t>
                  </w:r>
                </w:p>
              </w:tc>
            </w:tr>
            <w:tr>
              <w:tblPrEx>
                <w:tblLayout w:type="fixed"/>
                <w:tblCellMar>
                  <w:top w:w="0" w:type="dxa"/>
                  <w:left w:w="108" w:type="dxa"/>
                  <w:bottom w:w="0" w:type="dxa"/>
                  <w:right w:w="108" w:type="dxa"/>
                </w:tblCellMar>
              </w:tblPrEx>
              <w:trPr>
                <w:jc w:val="center"/>
              </w:trPr>
              <w:tc>
                <w:tcPr>
                  <w:tcW w:w="756" w:type="dxa"/>
                  <w:vMerge w:val="continue"/>
                  <w:tcBorders>
                    <w:top w:val="nil"/>
                    <w:left w:val="single" w:color="000000" w:sz="8" w:space="0"/>
                    <w:bottom w:val="single" w:color="000000" w:sz="8" w:space="0"/>
                    <w:right w:val="single" w:color="000000" w:sz="8" w:space="0"/>
                  </w:tcBorders>
                  <w:vAlign w:val="center"/>
                </w:tcPr>
                <w:p>
                  <w:pPr>
                    <w:pStyle w:val="28"/>
                    <w:spacing w:line="360" w:lineRule="exact"/>
                    <w:rPr>
                      <w:rFonts w:eastAsiaTheme="minorEastAsia"/>
                      <w:color w:val="auto"/>
                      <w:szCs w:val="21"/>
                    </w:rPr>
                  </w:pPr>
                </w:p>
              </w:tc>
              <w:tc>
                <w:tcPr>
                  <w:tcW w:w="757" w:type="dxa"/>
                  <w:vMerge w:val="continue"/>
                  <w:tcBorders>
                    <w:top w:val="nil"/>
                    <w:left w:val="single" w:color="000000" w:sz="8" w:space="0"/>
                    <w:bottom w:val="single" w:color="000000" w:sz="8" w:space="0"/>
                    <w:right w:val="single" w:color="000000" w:sz="8" w:space="0"/>
                  </w:tcBorders>
                  <w:vAlign w:val="center"/>
                </w:tcPr>
                <w:p>
                  <w:pPr>
                    <w:pStyle w:val="28"/>
                    <w:spacing w:line="360" w:lineRule="exact"/>
                    <w:rPr>
                      <w:rFonts w:eastAsiaTheme="minorEastAsia"/>
                      <w:color w:val="auto"/>
                      <w:szCs w:val="21"/>
                    </w:rPr>
                  </w:pPr>
                </w:p>
              </w:tc>
              <w:tc>
                <w:tcPr>
                  <w:tcW w:w="1136"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CODcr</w:t>
                  </w:r>
                </w:p>
              </w:tc>
              <w:tc>
                <w:tcPr>
                  <w:tcW w:w="1168" w:type="dxa"/>
                  <w:tcBorders>
                    <w:top w:val="single" w:color="000000" w:sz="8" w:space="0"/>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50</w:t>
                  </w:r>
                </w:p>
              </w:tc>
              <w:tc>
                <w:tcPr>
                  <w:tcW w:w="1022"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lang w:val="en-US"/>
                    </w:rPr>
                  </w:pPr>
                  <w:r>
                    <w:rPr>
                      <w:rFonts w:eastAsiaTheme="minorEastAsia"/>
                      <w:color w:val="auto"/>
                      <w:szCs w:val="21"/>
                      <w:lang w:val="en-US"/>
                    </w:rPr>
                    <w:t>18.17</w:t>
                  </w:r>
                </w:p>
              </w:tc>
              <w:tc>
                <w:tcPr>
                  <w:tcW w:w="1168" w:type="dxa"/>
                  <w:tcBorders>
                    <w:top w:val="single" w:color="000000" w:sz="8" w:space="0"/>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45</w:t>
                  </w:r>
                </w:p>
              </w:tc>
              <w:tc>
                <w:tcPr>
                  <w:tcW w:w="1172"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lang w:val="en-US"/>
                    </w:rPr>
                  </w:pPr>
                  <w:r>
                    <w:rPr>
                      <w:rFonts w:eastAsiaTheme="minorEastAsia"/>
                      <w:color w:val="auto"/>
                      <w:szCs w:val="21"/>
                      <w:lang w:val="en-US"/>
                    </w:rPr>
                    <w:t>16.35</w:t>
                  </w:r>
                </w:p>
              </w:tc>
              <w:tc>
                <w:tcPr>
                  <w:tcW w:w="914"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60</w:t>
                  </w:r>
                </w:p>
              </w:tc>
              <w:tc>
                <w:tcPr>
                  <w:tcW w:w="758"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达标</w:t>
                  </w:r>
                </w:p>
              </w:tc>
            </w:tr>
            <w:tr>
              <w:tblPrEx>
                <w:tblLayout w:type="fixed"/>
                <w:tblCellMar>
                  <w:top w:w="0" w:type="dxa"/>
                  <w:left w:w="108" w:type="dxa"/>
                  <w:bottom w:w="0" w:type="dxa"/>
                  <w:right w:w="108" w:type="dxa"/>
                </w:tblCellMar>
              </w:tblPrEx>
              <w:trPr>
                <w:jc w:val="center"/>
              </w:trPr>
              <w:tc>
                <w:tcPr>
                  <w:tcW w:w="756" w:type="dxa"/>
                  <w:vMerge w:val="continue"/>
                  <w:tcBorders>
                    <w:top w:val="nil"/>
                    <w:left w:val="single" w:color="000000" w:sz="8" w:space="0"/>
                    <w:bottom w:val="single" w:color="000000" w:sz="8" w:space="0"/>
                    <w:right w:val="single" w:color="000000" w:sz="8" w:space="0"/>
                  </w:tcBorders>
                  <w:vAlign w:val="center"/>
                </w:tcPr>
                <w:p>
                  <w:pPr>
                    <w:pStyle w:val="28"/>
                    <w:spacing w:line="360" w:lineRule="exact"/>
                    <w:rPr>
                      <w:rFonts w:eastAsiaTheme="minorEastAsia"/>
                      <w:color w:val="auto"/>
                      <w:szCs w:val="21"/>
                    </w:rPr>
                  </w:pPr>
                </w:p>
              </w:tc>
              <w:tc>
                <w:tcPr>
                  <w:tcW w:w="757" w:type="dxa"/>
                  <w:vMerge w:val="continue"/>
                  <w:tcBorders>
                    <w:top w:val="nil"/>
                    <w:left w:val="single" w:color="000000" w:sz="8" w:space="0"/>
                    <w:bottom w:val="single" w:color="000000" w:sz="8" w:space="0"/>
                    <w:right w:val="single" w:color="000000" w:sz="8" w:space="0"/>
                  </w:tcBorders>
                  <w:vAlign w:val="center"/>
                </w:tcPr>
                <w:p>
                  <w:pPr>
                    <w:pStyle w:val="28"/>
                    <w:spacing w:line="360" w:lineRule="exact"/>
                    <w:rPr>
                      <w:rFonts w:eastAsiaTheme="minorEastAsia"/>
                      <w:color w:val="auto"/>
                      <w:szCs w:val="21"/>
                    </w:rPr>
                  </w:pPr>
                </w:p>
              </w:tc>
              <w:tc>
                <w:tcPr>
                  <w:tcW w:w="1136"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SS</w:t>
                  </w:r>
                </w:p>
              </w:tc>
              <w:tc>
                <w:tcPr>
                  <w:tcW w:w="1168" w:type="dxa"/>
                  <w:tcBorders>
                    <w:top w:val="single" w:color="000000" w:sz="8" w:space="0"/>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2900</w:t>
                  </w:r>
                </w:p>
              </w:tc>
              <w:tc>
                <w:tcPr>
                  <w:tcW w:w="1022"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lang w:val="en-US"/>
                    </w:rPr>
                  </w:pPr>
                  <w:r>
                    <w:rPr>
                      <w:rFonts w:eastAsiaTheme="minorEastAsia"/>
                      <w:color w:val="auto"/>
                      <w:szCs w:val="21"/>
                      <w:lang w:val="en-US"/>
                    </w:rPr>
                    <w:t>1054.01</w:t>
                  </w:r>
                </w:p>
              </w:tc>
              <w:tc>
                <w:tcPr>
                  <w:tcW w:w="1168" w:type="dxa"/>
                  <w:tcBorders>
                    <w:top w:val="single" w:color="000000" w:sz="8" w:space="0"/>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80</w:t>
                  </w:r>
                </w:p>
              </w:tc>
              <w:tc>
                <w:tcPr>
                  <w:tcW w:w="1172"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lang w:val="en-US"/>
                    </w:rPr>
                  </w:pPr>
                  <w:r>
                    <w:rPr>
                      <w:rFonts w:eastAsiaTheme="minorEastAsia"/>
                      <w:color w:val="auto"/>
                      <w:szCs w:val="21"/>
                      <w:lang w:val="en-US"/>
                    </w:rPr>
                    <w:t>29.07</w:t>
                  </w:r>
                </w:p>
              </w:tc>
              <w:tc>
                <w:tcPr>
                  <w:tcW w:w="914"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w:t>
                  </w:r>
                </w:p>
              </w:tc>
              <w:tc>
                <w:tcPr>
                  <w:tcW w:w="758"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w:t>
                  </w:r>
                </w:p>
              </w:tc>
            </w:tr>
            <w:tr>
              <w:tblPrEx>
                <w:tblLayout w:type="fixed"/>
                <w:tblCellMar>
                  <w:top w:w="0" w:type="dxa"/>
                  <w:left w:w="108" w:type="dxa"/>
                  <w:bottom w:w="0" w:type="dxa"/>
                  <w:right w:w="108" w:type="dxa"/>
                </w:tblCellMar>
              </w:tblPrEx>
              <w:trPr>
                <w:jc w:val="center"/>
              </w:trPr>
              <w:tc>
                <w:tcPr>
                  <w:tcW w:w="756" w:type="dxa"/>
                  <w:vMerge w:val="continue"/>
                  <w:tcBorders>
                    <w:top w:val="nil"/>
                    <w:left w:val="single" w:color="000000" w:sz="8" w:space="0"/>
                    <w:bottom w:val="single" w:color="000000" w:sz="8" w:space="0"/>
                    <w:right w:val="single" w:color="000000" w:sz="8" w:space="0"/>
                  </w:tcBorders>
                  <w:vAlign w:val="center"/>
                </w:tcPr>
                <w:p>
                  <w:pPr>
                    <w:pStyle w:val="28"/>
                    <w:spacing w:line="360" w:lineRule="exact"/>
                    <w:rPr>
                      <w:rFonts w:eastAsiaTheme="minorEastAsia"/>
                      <w:color w:val="auto"/>
                      <w:szCs w:val="21"/>
                    </w:rPr>
                  </w:pPr>
                </w:p>
              </w:tc>
              <w:tc>
                <w:tcPr>
                  <w:tcW w:w="757" w:type="dxa"/>
                  <w:vMerge w:val="continue"/>
                  <w:tcBorders>
                    <w:top w:val="nil"/>
                    <w:left w:val="single" w:color="000000" w:sz="8" w:space="0"/>
                    <w:bottom w:val="single" w:color="000000" w:sz="8" w:space="0"/>
                    <w:right w:val="single" w:color="000000" w:sz="8" w:space="0"/>
                  </w:tcBorders>
                  <w:vAlign w:val="center"/>
                </w:tcPr>
                <w:p>
                  <w:pPr>
                    <w:pStyle w:val="28"/>
                    <w:spacing w:line="360" w:lineRule="exact"/>
                    <w:rPr>
                      <w:rFonts w:eastAsiaTheme="minorEastAsia"/>
                      <w:color w:val="auto"/>
                      <w:szCs w:val="21"/>
                    </w:rPr>
                  </w:pPr>
                </w:p>
              </w:tc>
              <w:tc>
                <w:tcPr>
                  <w:tcW w:w="1136"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NH</w:t>
                  </w:r>
                  <w:r>
                    <w:rPr>
                      <w:rFonts w:eastAsiaTheme="minorEastAsia"/>
                      <w:color w:val="auto"/>
                      <w:szCs w:val="21"/>
                      <w:vertAlign w:val="subscript"/>
                    </w:rPr>
                    <w:t>3</w:t>
                  </w:r>
                  <w:r>
                    <w:rPr>
                      <w:rFonts w:eastAsiaTheme="minorEastAsia"/>
                      <w:color w:val="auto"/>
                      <w:szCs w:val="21"/>
                    </w:rPr>
                    <w:t>-N</w:t>
                  </w:r>
                </w:p>
              </w:tc>
              <w:tc>
                <w:tcPr>
                  <w:tcW w:w="1168" w:type="dxa"/>
                  <w:tcBorders>
                    <w:top w:val="single" w:color="000000" w:sz="8" w:space="0"/>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4.5</w:t>
                  </w:r>
                </w:p>
              </w:tc>
              <w:tc>
                <w:tcPr>
                  <w:tcW w:w="1022"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lang w:val="en-US"/>
                    </w:rPr>
                  </w:pPr>
                  <w:r>
                    <w:rPr>
                      <w:rFonts w:eastAsiaTheme="minorEastAsia"/>
                      <w:color w:val="auto"/>
                      <w:szCs w:val="21"/>
                      <w:lang w:val="en-US"/>
                    </w:rPr>
                    <w:t>1.63</w:t>
                  </w:r>
                </w:p>
              </w:tc>
              <w:tc>
                <w:tcPr>
                  <w:tcW w:w="1168" w:type="dxa"/>
                  <w:tcBorders>
                    <w:top w:val="single" w:color="000000" w:sz="8" w:space="0"/>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4.5</w:t>
                  </w:r>
                </w:p>
              </w:tc>
              <w:tc>
                <w:tcPr>
                  <w:tcW w:w="1172"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lang w:val="en-US"/>
                    </w:rPr>
                  </w:pPr>
                  <w:r>
                    <w:rPr>
                      <w:rFonts w:eastAsiaTheme="minorEastAsia"/>
                      <w:color w:val="auto"/>
                      <w:szCs w:val="21"/>
                      <w:lang w:val="en-US"/>
                    </w:rPr>
                    <w:t>1.63</w:t>
                  </w:r>
                </w:p>
              </w:tc>
              <w:tc>
                <w:tcPr>
                  <w:tcW w:w="914"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10</w:t>
                  </w:r>
                </w:p>
              </w:tc>
              <w:tc>
                <w:tcPr>
                  <w:tcW w:w="758"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达标</w:t>
                  </w:r>
                </w:p>
              </w:tc>
            </w:tr>
          </w:tbl>
          <w:p>
            <w:pPr>
              <w:pStyle w:val="35"/>
              <w:spacing w:before="156" w:beforeLines="50"/>
              <w:ind w:firstLine="480"/>
              <w:rPr>
                <w:rFonts w:eastAsiaTheme="minorEastAsia"/>
              </w:rPr>
            </w:pPr>
            <w:r>
              <w:rPr>
                <w:rFonts w:eastAsiaTheme="minorEastAsia"/>
              </w:rPr>
              <w:t>由上表可知，生产废水经废水经</w:t>
            </w:r>
            <w:r>
              <w:rPr>
                <w:szCs w:val="21"/>
              </w:rPr>
              <w:t>一套生产废水处理系统对其进行处理</w:t>
            </w:r>
            <w:r>
              <w:rPr>
                <w:rFonts w:eastAsiaTheme="minorEastAsia"/>
              </w:rPr>
              <w:t>后，可达到《城市污水再生利用  工业用水水质》（GB/T 19923-2005）标准，全部回用于生产，不外排。</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 2 \* GB2 </w:instrText>
            </w:r>
            <w:r>
              <w:rPr>
                <w:rFonts w:ascii="Times New Roman" w:hAnsi="Times New Roman" w:cs="Times New Roman"/>
                <w:b/>
                <w:sz w:val="24"/>
                <w:szCs w:val="24"/>
              </w:rPr>
              <w:fldChar w:fldCharType="separate"/>
            </w:r>
            <w:r>
              <w:rPr>
                <w:rFonts w:ascii="Times New Roman" w:hAnsi="Times New Roman" w:cs="Times New Roman"/>
                <w:b/>
                <w:sz w:val="24"/>
                <w:szCs w:val="24"/>
              </w:rPr>
              <w:t>⑵</w:t>
            </w:r>
            <w:r>
              <w:rPr>
                <w:rFonts w:ascii="Times New Roman" w:hAnsi="Times New Roman" w:cs="Times New Roman"/>
                <w:b/>
                <w:sz w:val="24"/>
                <w:szCs w:val="24"/>
              </w:rPr>
              <w:fldChar w:fldCharType="end"/>
            </w:r>
            <w:r>
              <w:rPr>
                <w:rFonts w:ascii="Times New Roman" w:hAnsi="Times New Roman" w:cs="Times New Roman"/>
                <w:b/>
                <w:sz w:val="24"/>
                <w:szCs w:val="24"/>
              </w:rPr>
              <w:t>生活污水产排量及达标情况</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根据项目产污环节和废水污染物治理措施可知，项目拟设置一个有效容积为2m³的化粪池、处理规模为2m³/d的一体化污水处理设施和一个有效容积为8m³的再生水收集池对生活污水处理后，回用于绿化不外排。</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生活污水经处理后其污染产排及达标情况如下表所示。</w:t>
            </w:r>
          </w:p>
          <w:p>
            <w:pPr>
              <w:jc w:val="center"/>
              <w:rPr>
                <w:rFonts w:ascii="Times New Roman" w:hAnsi="Times New Roman" w:cs="Times New Roman"/>
                <w:b/>
                <w:szCs w:val="24"/>
              </w:rPr>
            </w:pPr>
            <w:r>
              <w:rPr>
                <w:rFonts w:ascii="Times New Roman" w:hAnsi="Times New Roman" w:cs="Times New Roman"/>
                <w:b/>
                <w:szCs w:val="24"/>
              </w:rPr>
              <w:t xml:space="preserve">表4.2.2-4  </w:t>
            </w:r>
            <w:r>
              <w:rPr>
                <w:rFonts w:ascii="Times New Roman" w:hAnsi="Times New Roman" w:cs="Times New Roman"/>
                <w:b/>
              </w:rPr>
              <w:t>生活污水</w:t>
            </w:r>
            <w:r>
              <w:rPr>
                <w:rFonts w:ascii="Times New Roman" w:hAnsi="Times New Roman" w:cs="Times New Roman"/>
                <w:b/>
                <w:szCs w:val="24"/>
              </w:rPr>
              <w:t>污染物排放源产排量及达标情况一览表</w:t>
            </w:r>
          </w:p>
          <w:tbl>
            <w:tblPr>
              <w:tblStyle w:val="16"/>
              <w:tblW w:w="8851" w:type="dxa"/>
              <w:jc w:val="center"/>
              <w:tblInd w:w="0" w:type="dxa"/>
              <w:tblLayout w:type="fixed"/>
              <w:tblCellMar>
                <w:top w:w="0" w:type="dxa"/>
                <w:left w:w="108" w:type="dxa"/>
                <w:bottom w:w="0" w:type="dxa"/>
                <w:right w:w="108" w:type="dxa"/>
              </w:tblCellMar>
            </w:tblPr>
            <w:tblGrid>
              <w:gridCol w:w="732"/>
              <w:gridCol w:w="732"/>
              <w:gridCol w:w="1278"/>
              <w:gridCol w:w="1130"/>
              <w:gridCol w:w="849"/>
              <w:gridCol w:w="1134"/>
              <w:gridCol w:w="1131"/>
              <w:gridCol w:w="1091"/>
              <w:gridCol w:w="774"/>
            </w:tblGrid>
            <w:tr>
              <w:tblPrEx>
                <w:tblLayout w:type="fixed"/>
                <w:tblCellMar>
                  <w:top w:w="0" w:type="dxa"/>
                  <w:left w:w="108" w:type="dxa"/>
                  <w:bottom w:w="0" w:type="dxa"/>
                  <w:right w:w="108" w:type="dxa"/>
                </w:tblCellMar>
              </w:tblPrEx>
              <w:trPr>
                <w:jc w:val="center"/>
              </w:trPr>
              <w:tc>
                <w:tcPr>
                  <w:tcW w:w="73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产排污环节</w:t>
                  </w:r>
                </w:p>
              </w:tc>
              <w:tc>
                <w:tcPr>
                  <w:tcW w:w="73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类别</w:t>
                  </w:r>
                </w:p>
              </w:tc>
              <w:tc>
                <w:tcPr>
                  <w:tcW w:w="127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污染物种类</w:t>
                  </w:r>
                </w:p>
              </w:tc>
              <w:tc>
                <w:tcPr>
                  <w:tcW w:w="1979" w:type="dxa"/>
                  <w:gridSpan w:val="2"/>
                  <w:tcBorders>
                    <w:top w:val="single" w:color="000000" w:sz="8" w:space="0"/>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污染物产生情况</w:t>
                  </w:r>
                </w:p>
              </w:tc>
              <w:tc>
                <w:tcPr>
                  <w:tcW w:w="2265" w:type="dxa"/>
                  <w:gridSpan w:val="2"/>
                  <w:tcBorders>
                    <w:top w:val="single" w:color="000000" w:sz="8" w:space="0"/>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污染物排放量和浓度</w:t>
                  </w:r>
                </w:p>
              </w:tc>
              <w:tc>
                <w:tcPr>
                  <w:tcW w:w="1091" w:type="dxa"/>
                  <w:vMerge w:val="restart"/>
                  <w:tcBorders>
                    <w:top w:val="single" w:color="000000" w:sz="8" w:space="0"/>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标准值</w:t>
                  </w:r>
                </w:p>
                <w:p>
                  <w:pPr>
                    <w:pStyle w:val="28"/>
                    <w:spacing w:line="360" w:lineRule="exact"/>
                    <w:rPr>
                      <w:rFonts w:eastAsiaTheme="minorEastAsia"/>
                      <w:color w:val="auto"/>
                      <w:szCs w:val="21"/>
                    </w:rPr>
                  </w:pPr>
                  <w:r>
                    <w:rPr>
                      <w:rFonts w:eastAsiaTheme="minorEastAsia"/>
                      <w:color w:val="auto"/>
                      <w:szCs w:val="21"/>
                    </w:rPr>
                    <w:t>（mg/L）</w:t>
                  </w:r>
                </w:p>
              </w:tc>
              <w:tc>
                <w:tcPr>
                  <w:tcW w:w="7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达标情况</w:t>
                  </w:r>
                </w:p>
              </w:tc>
            </w:tr>
            <w:tr>
              <w:tblPrEx>
                <w:tblLayout w:type="fixed"/>
                <w:tblCellMar>
                  <w:top w:w="0" w:type="dxa"/>
                  <w:left w:w="108" w:type="dxa"/>
                  <w:bottom w:w="0" w:type="dxa"/>
                  <w:right w:w="108" w:type="dxa"/>
                </w:tblCellMar>
              </w:tblPrEx>
              <w:trPr>
                <w:jc w:val="center"/>
              </w:trPr>
              <w:tc>
                <w:tcPr>
                  <w:tcW w:w="732" w:type="dxa"/>
                  <w:vMerge w:val="continue"/>
                  <w:tcBorders>
                    <w:top w:val="single" w:color="000000" w:sz="8" w:space="0"/>
                    <w:left w:val="single" w:color="000000" w:sz="8" w:space="0"/>
                    <w:bottom w:val="single" w:color="000000" w:sz="8" w:space="0"/>
                    <w:right w:val="single" w:color="000000" w:sz="8" w:space="0"/>
                  </w:tcBorders>
                  <w:vAlign w:val="center"/>
                </w:tcPr>
                <w:p>
                  <w:pPr>
                    <w:pStyle w:val="28"/>
                    <w:spacing w:line="360" w:lineRule="exact"/>
                    <w:rPr>
                      <w:rFonts w:eastAsiaTheme="minorEastAsia"/>
                      <w:color w:val="auto"/>
                      <w:szCs w:val="21"/>
                    </w:rPr>
                  </w:pPr>
                </w:p>
              </w:tc>
              <w:tc>
                <w:tcPr>
                  <w:tcW w:w="732" w:type="dxa"/>
                  <w:vMerge w:val="continue"/>
                  <w:tcBorders>
                    <w:top w:val="single" w:color="000000" w:sz="8" w:space="0"/>
                    <w:left w:val="single" w:color="000000" w:sz="8" w:space="0"/>
                    <w:bottom w:val="single" w:color="000000" w:sz="8" w:space="0"/>
                    <w:right w:val="single" w:color="000000" w:sz="8" w:space="0"/>
                  </w:tcBorders>
                  <w:vAlign w:val="center"/>
                </w:tcPr>
                <w:p>
                  <w:pPr>
                    <w:pStyle w:val="28"/>
                    <w:spacing w:line="360" w:lineRule="exact"/>
                    <w:rPr>
                      <w:rFonts w:eastAsiaTheme="minorEastAsia"/>
                      <w:color w:val="auto"/>
                      <w:szCs w:val="21"/>
                    </w:rPr>
                  </w:pPr>
                </w:p>
              </w:tc>
              <w:tc>
                <w:tcPr>
                  <w:tcW w:w="1278" w:type="dxa"/>
                  <w:vMerge w:val="continue"/>
                  <w:tcBorders>
                    <w:top w:val="single" w:color="000000" w:sz="8" w:space="0"/>
                    <w:left w:val="single" w:color="000000" w:sz="8" w:space="0"/>
                    <w:bottom w:val="single" w:color="000000" w:sz="8" w:space="0"/>
                    <w:right w:val="single" w:color="000000" w:sz="8" w:space="0"/>
                  </w:tcBorders>
                  <w:vAlign w:val="center"/>
                </w:tcPr>
                <w:p>
                  <w:pPr>
                    <w:pStyle w:val="28"/>
                    <w:spacing w:line="360" w:lineRule="exact"/>
                    <w:rPr>
                      <w:rFonts w:eastAsiaTheme="minorEastAsia"/>
                      <w:color w:val="auto"/>
                      <w:szCs w:val="21"/>
                    </w:rPr>
                  </w:pPr>
                </w:p>
              </w:tc>
              <w:tc>
                <w:tcPr>
                  <w:tcW w:w="1130"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产生浓度mg/m³</w:t>
                  </w:r>
                </w:p>
              </w:tc>
              <w:tc>
                <w:tcPr>
                  <w:tcW w:w="849" w:type="dxa"/>
                  <w:tcBorders>
                    <w:top w:val="single" w:color="000000" w:sz="8" w:space="0"/>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产生量m³/a</w:t>
                  </w:r>
                </w:p>
              </w:tc>
              <w:tc>
                <w:tcPr>
                  <w:tcW w:w="1134"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出水浓度</w:t>
                  </w:r>
                </w:p>
                <w:p>
                  <w:pPr>
                    <w:pStyle w:val="28"/>
                    <w:spacing w:line="360" w:lineRule="exact"/>
                    <w:rPr>
                      <w:rFonts w:eastAsiaTheme="minorEastAsia"/>
                      <w:color w:val="auto"/>
                      <w:szCs w:val="21"/>
                    </w:rPr>
                  </w:pPr>
                  <w:r>
                    <w:rPr>
                      <w:rFonts w:eastAsiaTheme="minorEastAsia"/>
                      <w:color w:val="auto"/>
                      <w:szCs w:val="21"/>
                    </w:rPr>
                    <w:t>（mg/L）</w:t>
                  </w:r>
                </w:p>
              </w:tc>
              <w:tc>
                <w:tcPr>
                  <w:tcW w:w="1131" w:type="dxa"/>
                  <w:tcBorders>
                    <w:top w:val="single" w:color="000000" w:sz="8" w:space="0"/>
                    <w:left w:val="nil"/>
                    <w:bottom w:val="single" w:color="auto"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再生水回用量（t/a）</w:t>
                  </w:r>
                </w:p>
              </w:tc>
              <w:tc>
                <w:tcPr>
                  <w:tcW w:w="1091" w:type="dxa"/>
                  <w:vMerge w:val="continue"/>
                  <w:tcBorders>
                    <w:top w:val="single" w:color="000000" w:sz="8" w:space="0"/>
                    <w:left w:val="nil"/>
                    <w:bottom w:val="single" w:color="000000" w:sz="8" w:space="0"/>
                    <w:right w:val="single" w:color="000000" w:sz="8" w:space="0"/>
                  </w:tcBorders>
                  <w:vAlign w:val="center"/>
                </w:tcPr>
                <w:p>
                  <w:pPr>
                    <w:pStyle w:val="28"/>
                    <w:spacing w:line="360" w:lineRule="exact"/>
                    <w:rPr>
                      <w:rFonts w:eastAsiaTheme="minorEastAsia"/>
                      <w:color w:val="auto"/>
                      <w:szCs w:val="21"/>
                    </w:rPr>
                  </w:pPr>
                </w:p>
              </w:tc>
              <w:tc>
                <w:tcPr>
                  <w:tcW w:w="774" w:type="dxa"/>
                  <w:vMerge w:val="continue"/>
                  <w:tcBorders>
                    <w:top w:val="single" w:color="000000" w:sz="8" w:space="0"/>
                    <w:left w:val="single" w:color="000000" w:sz="8" w:space="0"/>
                    <w:bottom w:val="single" w:color="000000" w:sz="8" w:space="0"/>
                    <w:right w:val="single" w:color="000000" w:sz="8" w:space="0"/>
                  </w:tcBorders>
                  <w:vAlign w:val="center"/>
                </w:tcPr>
                <w:p>
                  <w:pPr>
                    <w:pStyle w:val="28"/>
                    <w:spacing w:line="360" w:lineRule="exact"/>
                    <w:rPr>
                      <w:rFonts w:eastAsiaTheme="minorEastAsia"/>
                      <w:color w:val="auto"/>
                      <w:szCs w:val="21"/>
                    </w:rPr>
                  </w:pPr>
                </w:p>
              </w:tc>
            </w:tr>
            <w:tr>
              <w:tblPrEx>
                <w:tblLayout w:type="fixed"/>
                <w:tblCellMar>
                  <w:top w:w="0" w:type="dxa"/>
                  <w:left w:w="108" w:type="dxa"/>
                  <w:bottom w:w="0" w:type="dxa"/>
                  <w:right w:w="108" w:type="dxa"/>
                </w:tblCellMar>
              </w:tblPrEx>
              <w:trPr>
                <w:jc w:val="center"/>
              </w:trPr>
              <w:tc>
                <w:tcPr>
                  <w:tcW w:w="732" w:type="dxa"/>
                  <w:vMerge w:val="restart"/>
                  <w:tcBorders>
                    <w:top w:val="nil"/>
                    <w:left w:val="single" w:color="000000" w:sz="8" w:space="0"/>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员工生活</w:t>
                  </w:r>
                </w:p>
              </w:tc>
              <w:tc>
                <w:tcPr>
                  <w:tcW w:w="732" w:type="dxa"/>
                  <w:vMerge w:val="restart"/>
                  <w:tcBorders>
                    <w:top w:val="nil"/>
                    <w:left w:val="single" w:color="000000" w:sz="8" w:space="0"/>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生活污水</w:t>
                  </w:r>
                </w:p>
              </w:tc>
              <w:tc>
                <w:tcPr>
                  <w:tcW w:w="1278"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废水量</w:t>
                  </w:r>
                </w:p>
              </w:tc>
              <w:tc>
                <w:tcPr>
                  <w:tcW w:w="1979" w:type="dxa"/>
                  <w:gridSpan w:val="2"/>
                  <w:tcBorders>
                    <w:top w:val="single" w:color="000000" w:sz="8" w:space="0"/>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356.4m³/a</w:t>
                  </w:r>
                </w:p>
              </w:tc>
              <w:tc>
                <w:tcPr>
                  <w:tcW w:w="2265" w:type="dxa"/>
                  <w:gridSpan w:val="2"/>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356.4m³/a</w:t>
                  </w:r>
                </w:p>
              </w:tc>
              <w:tc>
                <w:tcPr>
                  <w:tcW w:w="1091"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w:t>
                  </w:r>
                </w:p>
              </w:tc>
              <w:tc>
                <w:tcPr>
                  <w:tcW w:w="774"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w:t>
                  </w:r>
                </w:p>
              </w:tc>
            </w:tr>
            <w:tr>
              <w:tblPrEx>
                <w:tblLayout w:type="fixed"/>
                <w:tblCellMar>
                  <w:top w:w="0" w:type="dxa"/>
                  <w:left w:w="108" w:type="dxa"/>
                  <w:bottom w:w="0" w:type="dxa"/>
                  <w:right w:w="108" w:type="dxa"/>
                </w:tblCellMar>
              </w:tblPrEx>
              <w:trPr>
                <w:jc w:val="center"/>
              </w:trPr>
              <w:tc>
                <w:tcPr>
                  <w:tcW w:w="732" w:type="dxa"/>
                  <w:vMerge w:val="continue"/>
                  <w:tcBorders>
                    <w:top w:val="nil"/>
                    <w:left w:val="single" w:color="000000" w:sz="8" w:space="0"/>
                    <w:bottom w:val="single" w:color="000000" w:sz="8" w:space="0"/>
                    <w:right w:val="single" w:color="000000" w:sz="8" w:space="0"/>
                  </w:tcBorders>
                  <w:vAlign w:val="center"/>
                </w:tcPr>
                <w:p>
                  <w:pPr>
                    <w:pStyle w:val="28"/>
                    <w:spacing w:line="360" w:lineRule="exact"/>
                    <w:rPr>
                      <w:rFonts w:eastAsiaTheme="minorEastAsia"/>
                      <w:color w:val="auto"/>
                      <w:szCs w:val="21"/>
                    </w:rPr>
                  </w:pPr>
                </w:p>
              </w:tc>
              <w:tc>
                <w:tcPr>
                  <w:tcW w:w="732" w:type="dxa"/>
                  <w:vMerge w:val="continue"/>
                  <w:tcBorders>
                    <w:top w:val="nil"/>
                    <w:left w:val="single" w:color="000000" w:sz="8" w:space="0"/>
                    <w:bottom w:val="single" w:color="000000" w:sz="8" w:space="0"/>
                    <w:right w:val="single" w:color="000000" w:sz="8" w:space="0"/>
                  </w:tcBorders>
                  <w:vAlign w:val="center"/>
                </w:tcPr>
                <w:p>
                  <w:pPr>
                    <w:pStyle w:val="28"/>
                    <w:spacing w:line="360" w:lineRule="exact"/>
                    <w:rPr>
                      <w:rFonts w:eastAsiaTheme="minorEastAsia"/>
                      <w:color w:val="auto"/>
                      <w:szCs w:val="21"/>
                    </w:rPr>
                  </w:pPr>
                </w:p>
              </w:tc>
              <w:tc>
                <w:tcPr>
                  <w:tcW w:w="1278"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pH</w:t>
                  </w:r>
                </w:p>
              </w:tc>
              <w:tc>
                <w:tcPr>
                  <w:tcW w:w="1130" w:type="dxa"/>
                  <w:tcBorders>
                    <w:top w:val="single" w:color="000000" w:sz="8" w:space="0"/>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6-9</w:t>
                  </w:r>
                </w:p>
              </w:tc>
              <w:tc>
                <w:tcPr>
                  <w:tcW w:w="849"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6-9</w:t>
                  </w:r>
                </w:p>
              </w:tc>
              <w:tc>
                <w:tcPr>
                  <w:tcW w:w="1131" w:type="dxa"/>
                  <w:tcBorders>
                    <w:top w:val="nil"/>
                    <w:left w:val="nil"/>
                    <w:bottom w:val="single" w:color="auto" w:sz="8" w:space="0"/>
                    <w:right w:val="single" w:color="auto"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w:t>
                  </w:r>
                </w:p>
              </w:tc>
              <w:tc>
                <w:tcPr>
                  <w:tcW w:w="1091"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6.0-9.0</w:t>
                  </w:r>
                </w:p>
              </w:tc>
              <w:tc>
                <w:tcPr>
                  <w:tcW w:w="774"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达标</w:t>
                  </w:r>
                </w:p>
              </w:tc>
            </w:tr>
            <w:tr>
              <w:tblPrEx>
                <w:tblLayout w:type="fixed"/>
                <w:tblCellMar>
                  <w:top w:w="0" w:type="dxa"/>
                  <w:left w:w="108" w:type="dxa"/>
                  <w:bottom w:w="0" w:type="dxa"/>
                  <w:right w:w="108" w:type="dxa"/>
                </w:tblCellMar>
              </w:tblPrEx>
              <w:trPr>
                <w:jc w:val="center"/>
              </w:trPr>
              <w:tc>
                <w:tcPr>
                  <w:tcW w:w="732" w:type="dxa"/>
                  <w:vMerge w:val="continue"/>
                  <w:tcBorders>
                    <w:top w:val="nil"/>
                    <w:left w:val="single" w:color="000000" w:sz="8" w:space="0"/>
                    <w:bottom w:val="single" w:color="000000" w:sz="8" w:space="0"/>
                    <w:right w:val="single" w:color="000000" w:sz="8" w:space="0"/>
                  </w:tcBorders>
                  <w:vAlign w:val="center"/>
                </w:tcPr>
                <w:p>
                  <w:pPr>
                    <w:pStyle w:val="28"/>
                    <w:spacing w:line="360" w:lineRule="exact"/>
                    <w:rPr>
                      <w:rFonts w:eastAsiaTheme="minorEastAsia"/>
                      <w:color w:val="auto"/>
                      <w:szCs w:val="21"/>
                    </w:rPr>
                  </w:pPr>
                </w:p>
              </w:tc>
              <w:tc>
                <w:tcPr>
                  <w:tcW w:w="732" w:type="dxa"/>
                  <w:vMerge w:val="continue"/>
                  <w:tcBorders>
                    <w:top w:val="nil"/>
                    <w:left w:val="single" w:color="000000" w:sz="8" w:space="0"/>
                    <w:bottom w:val="single" w:color="000000" w:sz="8" w:space="0"/>
                    <w:right w:val="single" w:color="000000" w:sz="8" w:space="0"/>
                  </w:tcBorders>
                  <w:vAlign w:val="center"/>
                </w:tcPr>
                <w:p>
                  <w:pPr>
                    <w:pStyle w:val="28"/>
                    <w:spacing w:line="360" w:lineRule="exact"/>
                    <w:rPr>
                      <w:rFonts w:eastAsiaTheme="minorEastAsia"/>
                      <w:color w:val="auto"/>
                      <w:szCs w:val="21"/>
                    </w:rPr>
                  </w:pPr>
                </w:p>
              </w:tc>
              <w:tc>
                <w:tcPr>
                  <w:tcW w:w="1278"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CODcr</w:t>
                  </w:r>
                </w:p>
              </w:tc>
              <w:tc>
                <w:tcPr>
                  <w:tcW w:w="1130" w:type="dxa"/>
                  <w:tcBorders>
                    <w:top w:val="single" w:color="000000" w:sz="8" w:space="0"/>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350</w:t>
                  </w:r>
                </w:p>
              </w:tc>
              <w:tc>
                <w:tcPr>
                  <w:tcW w:w="849"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0.12</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280</w:t>
                  </w:r>
                </w:p>
              </w:tc>
              <w:tc>
                <w:tcPr>
                  <w:tcW w:w="1131"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0.10</w:t>
                  </w:r>
                </w:p>
              </w:tc>
              <w:tc>
                <w:tcPr>
                  <w:tcW w:w="1091"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w:t>
                  </w:r>
                </w:p>
              </w:tc>
              <w:tc>
                <w:tcPr>
                  <w:tcW w:w="774"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w:t>
                  </w:r>
                </w:p>
              </w:tc>
            </w:tr>
            <w:tr>
              <w:tblPrEx>
                <w:tblLayout w:type="fixed"/>
                <w:tblCellMar>
                  <w:top w:w="0" w:type="dxa"/>
                  <w:left w:w="108" w:type="dxa"/>
                  <w:bottom w:w="0" w:type="dxa"/>
                  <w:right w:w="108" w:type="dxa"/>
                </w:tblCellMar>
              </w:tblPrEx>
              <w:trPr>
                <w:jc w:val="center"/>
              </w:trPr>
              <w:tc>
                <w:tcPr>
                  <w:tcW w:w="732" w:type="dxa"/>
                  <w:vMerge w:val="continue"/>
                  <w:tcBorders>
                    <w:top w:val="nil"/>
                    <w:left w:val="single" w:color="000000" w:sz="8" w:space="0"/>
                    <w:bottom w:val="single" w:color="000000" w:sz="8" w:space="0"/>
                    <w:right w:val="single" w:color="000000" w:sz="8" w:space="0"/>
                  </w:tcBorders>
                  <w:vAlign w:val="center"/>
                </w:tcPr>
                <w:p>
                  <w:pPr>
                    <w:pStyle w:val="28"/>
                    <w:spacing w:line="360" w:lineRule="exact"/>
                    <w:rPr>
                      <w:rFonts w:eastAsiaTheme="minorEastAsia"/>
                      <w:color w:val="auto"/>
                      <w:szCs w:val="21"/>
                    </w:rPr>
                  </w:pPr>
                </w:p>
              </w:tc>
              <w:tc>
                <w:tcPr>
                  <w:tcW w:w="732" w:type="dxa"/>
                  <w:vMerge w:val="continue"/>
                  <w:tcBorders>
                    <w:top w:val="nil"/>
                    <w:left w:val="single" w:color="000000" w:sz="8" w:space="0"/>
                    <w:bottom w:val="single" w:color="000000" w:sz="8" w:space="0"/>
                    <w:right w:val="single" w:color="000000" w:sz="8" w:space="0"/>
                  </w:tcBorders>
                  <w:vAlign w:val="center"/>
                </w:tcPr>
                <w:p>
                  <w:pPr>
                    <w:pStyle w:val="28"/>
                    <w:spacing w:line="360" w:lineRule="exact"/>
                    <w:rPr>
                      <w:rFonts w:eastAsiaTheme="minorEastAsia"/>
                      <w:color w:val="auto"/>
                      <w:szCs w:val="21"/>
                    </w:rPr>
                  </w:pPr>
                </w:p>
              </w:tc>
              <w:tc>
                <w:tcPr>
                  <w:tcW w:w="1278"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BOD</w:t>
                  </w:r>
                  <w:r>
                    <w:rPr>
                      <w:rFonts w:eastAsiaTheme="minorEastAsia"/>
                      <w:color w:val="auto"/>
                      <w:szCs w:val="21"/>
                      <w:vertAlign w:val="subscript"/>
                    </w:rPr>
                    <w:t>5</w:t>
                  </w:r>
                </w:p>
              </w:tc>
              <w:tc>
                <w:tcPr>
                  <w:tcW w:w="1130" w:type="dxa"/>
                  <w:tcBorders>
                    <w:top w:val="single" w:color="000000" w:sz="8" w:space="0"/>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220</w:t>
                  </w:r>
                </w:p>
              </w:tc>
              <w:tc>
                <w:tcPr>
                  <w:tcW w:w="849"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0.08</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8"/>
                    <w:spacing w:line="360" w:lineRule="exact"/>
                    <w:rPr>
                      <w:rFonts w:hint="eastAsia" w:eastAsiaTheme="minorEastAsia"/>
                      <w:color w:val="auto"/>
                      <w:szCs w:val="21"/>
                      <w:lang w:eastAsia="zh-CN"/>
                    </w:rPr>
                  </w:pPr>
                  <w:r>
                    <w:rPr>
                      <w:rFonts w:hint="eastAsia" w:eastAsiaTheme="minorEastAsia"/>
                      <w:color w:val="auto"/>
                      <w:szCs w:val="21"/>
                      <w:lang w:val="en-US" w:eastAsia="zh-CN"/>
                    </w:rPr>
                    <w:t>9</w:t>
                  </w:r>
                </w:p>
              </w:tc>
              <w:tc>
                <w:tcPr>
                  <w:tcW w:w="1131"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0.07</w:t>
                  </w:r>
                </w:p>
              </w:tc>
              <w:tc>
                <w:tcPr>
                  <w:tcW w:w="1091"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≤10</w:t>
                  </w:r>
                </w:p>
              </w:tc>
              <w:tc>
                <w:tcPr>
                  <w:tcW w:w="774"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达标</w:t>
                  </w:r>
                </w:p>
              </w:tc>
            </w:tr>
            <w:tr>
              <w:tblPrEx>
                <w:tblLayout w:type="fixed"/>
                <w:tblCellMar>
                  <w:top w:w="0" w:type="dxa"/>
                  <w:left w:w="108" w:type="dxa"/>
                  <w:bottom w:w="0" w:type="dxa"/>
                  <w:right w:w="108" w:type="dxa"/>
                </w:tblCellMar>
              </w:tblPrEx>
              <w:trPr>
                <w:jc w:val="center"/>
              </w:trPr>
              <w:tc>
                <w:tcPr>
                  <w:tcW w:w="732" w:type="dxa"/>
                  <w:vMerge w:val="continue"/>
                  <w:tcBorders>
                    <w:top w:val="nil"/>
                    <w:left w:val="single" w:color="000000" w:sz="8" w:space="0"/>
                    <w:bottom w:val="single" w:color="000000" w:sz="8" w:space="0"/>
                    <w:right w:val="single" w:color="000000" w:sz="8" w:space="0"/>
                  </w:tcBorders>
                  <w:vAlign w:val="center"/>
                </w:tcPr>
                <w:p>
                  <w:pPr>
                    <w:pStyle w:val="28"/>
                    <w:spacing w:line="360" w:lineRule="exact"/>
                    <w:rPr>
                      <w:rFonts w:eastAsiaTheme="minorEastAsia"/>
                      <w:color w:val="auto"/>
                      <w:szCs w:val="21"/>
                    </w:rPr>
                  </w:pPr>
                </w:p>
              </w:tc>
              <w:tc>
                <w:tcPr>
                  <w:tcW w:w="732" w:type="dxa"/>
                  <w:vMerge w:val="continue"/>
                  <w:tcBorders>
                    <w:top w:val="nil"/>
                    <w:left w:val="single" w:color="000000" w:sz="8" w:space="0"/>
                    <w:bottom w:val="single" w:color="000000" w:sz="8" w:space="0"/>
                    <w:right w:val="single" w:color="000000" w:sz="8" w:space="0"/>
                  </w:tcBorders>
                  <w:vAlign w:val="center"/>
                </w:tcPr>
                <w:p>
                  <w:pPr>
                    <w:pStyle w:val="28"/>
                    <w:spacing w:line="360" w:lineRule="exact"/>
                    <w:rPr>
                      <w:rFonts w:eastAsiaTheme="minorEastAsia"/>
                      <w:color w:val="auto"/>
                      <w:szCs w:val="21"/>
                    </w:rPr>
                  </w:pPr>
                </w:p>
              </w:tc>
              <w:tc>
                <w:tcPr>
                  <w:tcW w:w="1278"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NH</w:t>
                  </w:r>
                  <w:r>
                    <w:rPr>
                      <w:rFonts w:eastAsiaTheme="minorEastAsia"/>
                      <w:color w:val="auto"/>
                      <w:szCs w:val="21"/>
                      <w:vertAlign w:val="subscript"/>
                    </w:rPr>
                    <w:t>3</w:t>
                  </w:r>
                  <w:r>
                    <w:rPr>
                      <w:rFonts w:eastAsiaTheme="minorEastAsia"/>
                      <w:color w:val="auto"/>
                      <w:szCs w:val="21"/>
                    </w:rPr>
                    <w:t>-N</w:t>
                  </w:r>
                </w:p>
              </w:tc>
              <w:tc>
                <w:tcPr>
                  <w:tcW w:w="1130" w:type="dxa"/>
                  <w:tcBorders>
                    <w:top w:val="single" w:color="000000" w:sz="8" w:space="0"/>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38</w:t>
                  </w:r>
                </w:p>
              </w:tc>
              <w:tc>
                <w:tcPr>
                  <w:tcW w:w="849"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0.01</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8"/>
                    <w:spacing w:line="360" w:lineRule="exact"/>
                    <w:rPr>
                      <w:rFonts w:hint="eastAsia" w:eastAsiaTheme="minorEastAsia"/>
                      <w:color w:val="auto"/>
                      <w:szCs w:val="21"/>
                      <w:lang w:eastAsia="zh-CN"/>
                    </w:rPr>
                  </w:pPr>
                  <w:r>
                    <w:rPr>
                      <w:rFonts w:hint="eastAsia" w:eastAsiaTheme="minorEastAsia"/>
                      <w:color w:val="auto"/>
                      <w:szCs w:val="21"/>
                      <w:lang w:val="en-US" w:eastAsia="zh-CN"/>
                    </w:rPr>
                    <w:t>6</w:t>
                  </w:r>
                </w:p>
              </w:tc>
              <w:tc>
                <w:tcPr>
                  <w:tcW w:w="1131"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0.01</w:t>
                  </w:r>
                </w:p>
              </w:tc>
              <w:tc>
                <w:tcPr>
                  <w:tcW w:w="1091"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≤8</w:t>
                  </w:r>
                </w:p>
              </w:tc>
              <w:tc>
                <w:tcPr>
                  <w:tcW w:w="774"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达标</w:t>
                  </w:r>
                </w:p>
              </w:tc>
            </w:tr>
            <w:tr>
              <w:tblPrEx>
                <w:tblLayout w:type="fixed"/>
                <w:tblCellMar>
                  <w:top w:w="0" w:type="dxa"/>
                  <w:left w:w="108" w:type="dxa"/>
                  <w:bottom w:w="0" w:type="dxa"/>
                  <w:right w:w="108" w:type="dxa"/>
                </w:tblCellMar>
              </w:tblPrEx>
              <w:trPr>
                <w:jc w:val="center"/>
              </w:trPr>
              <w:tc>
                <w:tcPr>
                  <w:tcW w:w="732" w:type="dxa"/>
                  <w:vMerge w:val="continue"/>
                  <w:tcBorders>
                    <w:top w:val="nil"/>
                    <w:left w:val="single" w:color="000000" w:sz="8" w:space="0"/>
                    <w:bottom w:val="single" w:color="000000" w:sz="8" w:space="0"/>
                    <w:right w:val="single" w:color="000000" w:sz="8" w:space="0"/>
                  </w:tcBorders>
                  <w:vAlign w:val="center"/>
                </w:tcPr>
                <w:p>
                  <w:pPr>
                    <w:pStyle w:val="28"/>
                    <w:spacing w:line="360" w:lineRule="exact"/>
                    <w:rPr>
                      <w:rFonts w:eastAsiaTheme="minorEastAsia"/>
                      <w:color w:val="auto"/>
                      <w:szCs w:val="21"/>
                    </w:rPr>
                  </w:pPr>
                </w:p>
              </w:tc>
              <w:tc>
                <w:tcPr>
                  <w:tcW w:w="732" w:type="dxa"/>
                  <w:vMerge w:val="continue"/>
                  <w:tcBorders>
                    <w:top w:val="nil"/>
                    <w:left w:val="single" w:color="000000" w:sz="8" w:space="0"/>
                    <w:bottom w:val="single" w:color="000000" w:sz="8" w:space="0"/>
                    <w:right w:val="single" w:color="000000" w:sz="8" w:space="0"/>
                  </w:tcBorders>
                  <w:vAlign w:val="center"/>
                </w:tcPr>
                <w:p>
                  <w:pPr>
                    <w:pStyle w:val="28"/>
                    <w:spacing w:line="360" w:lineRule="exact"/>
                    <w:rPr>
                      <w:rFonts w:eastAsiaTheme="minorEastAsia"/>
                      <w:color w:val="auto"/>
                      <w:szCs w:val="21"/>
                    </w:rPr>
                  </w:pPr>
                </w:p>
              </w:tc>
              <w:tc>
                <w:tcPr>
                  <w:tcW w:w="1278"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SS</w:t>
                  </w:r>
                </w:p>
              </w:tc>
              <w:tc>
                <w:tcPr>
                  <w:tcW w:w="1130" w:type="dxa"/>
                  <w:tcBorders>
                    <w:top w:val="single" w:color="000000" w:sz="8" w:space="0"/>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300</w:t>
                  </w:r>
                </w:p>
              </w:tc>
              <w:tc>
                <w:tcPr>
                  <w:tcW w:w="849"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0.11</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160</w:t>
                  </w:r>
                </w:p>
              </w:tc>
              <w:tc>
                <w:tcPr>
                  <w:tcW w:w="1131"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0.06</w:t>
                  </w:r>
                </w:p>
              </w:tc>
              <w:tc>
                <w:tcPr>
                  <w:tcW w:w="1091"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w:t>
                  </w:r>
                </w:p>
              </w:tc>
              <w:tc>
                <w:tcPr>
                  <w:tcW w:w="774"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w:t>
                  </w:r>
                </w:p>
              </w:tc>
            </w:tr>
            <w:tr>
              <w:tblPrEx>
                <w:tblLayout w:type="fixed"/>
                <w:tblCellMar>
                  <w:top w:w="0" w:type="dxa"/>
                  <w:left w:w="108" w:type="dxa"/>
                  <w:bottom w:w="0" w:type="dxa"/>
                  <w:right w:w="108" w:type="dxa"/>
                </w:tblCellMar>
              </w:tblPrEx>
              <w:trPr>
                <w:jc w:val="center"/>
              </w:trPr>
              <w:tc>
                <w:tcPr>
                  <w:tcW w:w="732" w:type="dxa"/>
                  <w:vMerge w:val="continue"/>
                  <w:tcBorders>
                    <w:top w:val="nil"/>
                    <w:left w:val="single" w:color="000000" w:sz="8" w:space="0"/>
                    <w:bottom w:val="single" w:color="000000" w:sz="8" w:space="0"/>
                    <w:right w:val="single" w:color="000000" w:sz="8" w:space="0"/>
                  </w:tcBorders>
                  <w:vAlign w:val="center"/>
                </w:tcPr>
                <w:p>
                  <w:pPr>
                    <w:pStyle w:val="28"/>
                    <w:spacing w:line="360" w:lineRule="exact"/>
                    <w:rPr>
                      <w:rFonts w:eastAsiaTheme="minorEastAsia"/>
                      <w:color w:val="auto"/>
                      <w:szCs w:val="21"/>
                    </w:rPr>
                  </w:pPr>
                </w:p>
              </w:tc>
              <w:tc>
                <w:tcPr>
                  <w:tcW w:w="732" w:type="dxa"/>
                  <w:vMerge w:val="continue"/>
                  <w:tcBorders>
                    <w:top w:val="nil"/>
                    <w:left w:val="single" w:color="000000" w:sz="8" w:space="0"/>
                    <w:bottom w:val="single" w:color="000000" w:sz="8" w:space="0"/>
                    <w:right w:val="single" w:color="000000" w:sz="8" w:space="0"/>
                  </w:tcBorders>
                  <w:vAlign w:val="center"/>
                </w:tcPr>
                <w:p>
                  <w:pPr>
                    <w:pStyle w:val="28"/>
                    <w:spacing w:line="360" w:lineRule="exact"/>
                    <w:rPr>
                      <w:rFonts w:eastAsiaTheme="minorEastAsia"/>
                      <w:color w:val="auto"/>
                      <w:szCs w:val="21"/>
                    </w:rPr>
                  </w:pPr>
                </w:p>
              </w:tc>
              <w:tc>
                <w:tcPr>
                  <w:tcW w:w="1278"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总磷</w:t>
                  </w:r>
                </w:p>
              </w:tc>
              <w:tc>
                <w:tcPr>
                  <w:tcW w:w="1130" w:type="dxa"/>
                  <w:tcBorders>
                    <w:top w:val="single" w:color="000000" w:sz="8" w:space="0"/>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8</w:t>
                  </w:r>
                </w:p>
              </w:tc>
              <w:tc>
                <w:tcPr>
                  <w:tcW w:w="849"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0.003</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7</w:t>
                  </w:r>
                </w:p>
              </w:tc>
              <w:tc>
                <w:tcPr>
                  <w:tcW w:w="1131"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0.002</w:t>
                  </w:r>
                </w:p>
              </w:tc>
              <w:tc>
                <w:tcPr>
                  <w:tcW w:w="1091"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w:t>
                  </w:r>
                </w:p>
              </w:tc>
              <w:tc>
                <w:tcPr>
                  <w:tcW w:w="774"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w:t>
                  </w:r>
                </w:p>
              </w:tc>
            </w:tr>
            <w:tr>
              <w:tblPrEx>
                <w:tblLayout w:type="fixed"/>
                <w:tblCellMar>
                  <w:top w:w="0" w:type="dxa"/>
                  <w:left w:w="108" w:type="dxa"/>
                  <w:bottom w:w="0" w:type="dxa"/>
                  <w:right w:w="108" w:type="dxa"/>
                </w:tblCellMar>
              </w:tblPrEx>
              <w:trPr>
                <w:jc w:val="center"/>
              </w:trPr>
              <w:tc>
                <w:tcPr>
                  <w:tcW w:w="732" w:type="dxa"/>
                  <w:vMerge w:val="continue"/>
                  <w:tcBorders>
                    <w:top w:val="nil"/>
                    <w:left w:val="single" w:color="000000" w:sz="8" w:space="0"/>
                    <w:bottom w:val="single" w:color="000000" w:sz="8" w:space="0"/>
                    <w:right w:val="single" w:color="000000" w:sz="8" w:space="0"/>
                  </w:tcBorders>
                  <w:vAlign w:val="center"/>
                </w:tcPr>
                <w:p>
                  <w:pPr>
                    <w:pStyle w:val="28"/>
                    <w:spacing w:line="360" w:lineRule="exact"/>
                    <w:rPr>
                      <w:rFonts w:eastAsiaTheme="minorEastAsia"/>
                      <w:color w:val="auto"/>
                      <w:szCs w:val="21"/>
                    </w:rPr>
                  </w:pPr>
                </w:p>
              </w:tc>
              <w:tc>
                <w:tcPr>
                  <w:tcW w:w="732" w:type="dxa"/>
                  <w:vMerge w:val="continue"/>
                  <w:tcBorders>
                    <w:top w:val="nil"/>
                    <w:left w:val="single" w:color="000000" w:sz="8" w:space="0"/>
                    <w:bottom w:val="single" w:color="000000" w:sz="8" w:space="0"/>
                    <w:right w:val="single" w:color="000000" w:sz="8" w:space="0"/>
                  </w:tcBorders>
                  <w:vAlign w:val="center"/>
                </w:tcPr>
                <w:p>
                  <w:pPr>
                    <w:pStyle w:val="28"/>
                    <w:spacing w:line="360" w:lineRule="exact"/>
                    <w:rPr>
                      <w:rFonts w:eastAsiaTheme="minorEastAsia"/>
                      <w:color w:val="auto"/>
                      <w:szCs w:val="21"/>
                    </w:rPr>
                  </w:pPr>
                </w:p>
              </w:tc>
              <w:tc>
                <w:tcPr>
                  <w:tcW w:w="1278"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总氮</w:t>
                  </w:r>
                </w:p>
              </w:tc>
              <w:tc>
                <w:tcPr>
                  <w:tcW w:w="1130" w:type="dxa"/>
                  <w:tcBorders>
                    <w:top w:val="single" w:color="000000" w:sz="8" w:space="0"/>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45</w:t>
                  </w:r>
                </w:p>
              </w:tc>
              <w:tc>
                <w:tcPr>
                  <w:tcW w:w="849"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0.02</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8"/>
                    <w:spacing w:line="360" w:lineRule="exact"/>
                    <w:rPr>
                      <w:rFonts w:hint="default" w:eastAsiaTheme="minorEastAsia"/>
                      <w:color w:val="auto"/>
                      <w:szCs w:val="21"/>
                      <w:lang w:val="en-US" w:eastAsia="zh-CN"/>
                    </w:rPr>
                  </w:pPr>
                  <w:r>
                    <w:rPr>
                      <w:rFonts w:hint="eastAsia" w:eastAsiaTheme="minorEastAsia"/>
                      <w:color w:val="auto"/>
                      <w:szCs w:val="21"/>
                      <w:lang w:val="en-US" w:eastAsia="zh-CN"/>
                    </w:rPr>
                    <w:t>18</w:t>
                  </w:r>
                </w:p>
              </w:tc>
              <w:tc>
                <w:tcPr>
                  <w:tcW w:w="1131"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0.01</w:t>
                  </w:r>
                </w:p>
              </w:tc>
              <w:tc>
                <w:tcPr>
                  <w:tcW w:w="1091"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w:t>
                  </w:r>
                </w:p>
              </w:tc>
              <w:tc>
                <w:tcPr>
                  <w:tcW w:w="774"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w:t>
                  </w:r>
                </w:p>
              </w:tc>
            </w:tr>
            <w:tr>
              <w:tblPrEx>
                <w:tblLayout w:type="fixed"/>
                <w:tblCellMar>
                  <w:top w:w="0" w:type="dxa"/>
                  <w:left w:w="108" w:type="dxa"/>
                  <w:bottom w:w="0" w:type="dxa"/>
                  <w:right w:w="108" w:type="dxa"/>
                </w:tblCellMar>
              </w:tblPrEx>
              <w:trPr>
                <w:jc w:val="center"/>
              </w:trPr>
              <w:tc>
                <w:tcPr>
                  <w:tcW w:w="732" w:type="dxa"/>
                  <w:vMerge w:val="continue"/>
                  <w:tcBorders>
                    <w:top w:val="nil"/>
                    <w:left w:val="single" w:color="000000" w:sz="8" w:space="0"/>
                    <w:bottom w:val="single" w:color="000000" w:sz="8" w:space="0"/>
                    <w:right w:val="single" w:color="000000" w:sz="8" w:space="0"/>
                  </w:tcBorders>
                  <w:vAlign w:val="center"/>
                </w:tcPr>
                <w:p>
                  <w:pPr>
                    <w:pStyle w:val="28"/>
                    <w:spacing w:line="360" w:lineRule="exact"/>
                    <w:rPr>
                      <w:rFonts w:eastAsiaTheme="minorEastAsia"/>
                      <w:color w:val="auto"/>
                      <w:szCs w:val="21"/>
                    </w:rPr>
                  </w:pPr>
                </w:p>
              </w:tc>
              <w:tc>
                <w:tcPr>
                  <w:tcW w:w="732" w:type="dxa"/>
                  <w:vMerge w:val="continue"/>
                  <w:tcBorders>
                    <w:top w:val="nil"/>
                    <w:left w:val="single" w:color="000000" w:sz="8" w:space="0"/>
                    <w:bottom w:val="single" w:color="000000" w:sz="8" w:space="0"/>
                    <w:right w:val="single" w:color="000000" w:sz="8" w:space="0"/>
                  </w:tcBorders>
                  <w:vAlign w:val="center"/>
                </w:tcPr>
                <w:p>
                  <w:pPr>
                    <w:pStyle w:val="28"/>
                    <w:spacing w:line="360" w:lineRule="exact"/>
                    <w:rPr>
                      <w:rFonts w:eastAsiaTheme="minorEastAsia"/>
                      <w:color w:val="auto"/>
                      <w:szCs w:val="21"/>
                    </w:rPr>
                  </w:pPr>
                </w:p>
              </w:tc>
              <w:tc>
                <w:tcPr>
                  <w:tcW w:w="1278"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阴离子表面活性剂</w:t>
                  </w:r>
                </w:p>
              </w:tc>
              <w:tc>
                <w:tcPr>
                  <w:tcW w:w="1130" w:type="dxa"/>
                  <w:tcBorders>
                    <w:top w:val="single" w:color="000000" w:sz="8" w:space="0"/>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16</w:t>
                  </w:r>
                </w:p>
              </w:tc>
              <w:tc>
                <w:tcPr>
                  <w:tcW w:w="849"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0.01</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8"/>
                    <w:spacing w:line="360" w:lineRule="exact"/>
                    <w:rPr>
                      <w:rFonts w:hint="default" w:eastAsiaTheme="minorEastAsia"/>
                      <w:color w:val="auto"/>
                      <w:szCs w:val="21"/>
                      <w:lang w:val="en-US" w:eastAsia="zh-CN"/>
                    </w:rPr>
                  </w:pPr>
                  <w:r>
                    <w:rPr>
                      <w:rFonts w:hint="eastAsia" w:eastAsiaTheme="minorEastAsia"/>
                      <w:color w:val="auto"/>
                      <w:szCs w:val="21"/>
                      <w:lang w:val="en-US" w:eastAsia="zh-CN"/>
                    </w:rPr>
                    <w:t>0.3</w:t>
                  </w:r>
                </w:p>
              </w:tc>
              <w:tc>
                <w:tcPr>
                  <w:tcW w:w="1131"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0.004</w:t>
                  </w:r>
                </w:p>
              </w:tc>
              <w:tc>
                <w:tcPr>
                  <w:tcW w:w="1091"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≤0.5</w:t>
                  </w:r>
                </w:p>
              </w:tc>
              <w:tc>
                <w:tcPr>
                  <w:tcW w:w="774"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达标</w:t>
                  </w:r>
                </w:p>
              </w:tc>
            </w:tr>
            <w:tr>
              <w:tblPrEx>
                <w:tblLayout w:type="fixed"/>
                <w:tblCellMar>
                  <w:top w:w="0" w:type="dxa"/>
                  <w:left w:w="108" w:type="dxa"/>
                  <w:bottom w:w="0" w:type="dxa"/>
                  <w:right w:w="108" w:type="dxa"/>
                </w:tblCellMar>
              </w:tblPrEx>
              <w:trPr>
                <w:jc w:val="center"/>
              </w:trPr>
              <w:tc>
                <w:tcPr>
                  <w:tcW w:w="732" w:type="dxa"/>
                  <w:vMerge w:val="continue"/>
                  <w:tcBorders>
                    <w:top w:val="nil"/>
                    <w:left w:val="single" w:color="000000" w:sz="8" w:space="0"/>
                    <w:bottom w:val="single" w:color="000000" w:sz="8" w:space="0"/>
                    <w:right w:val="single" w:color="000000" w:sz="8" w:space="0"/>
                  </w:tcBorders>
                  <w:vAlign w:val="center"/>
                </w:tcPr>
                <w:p>
                  <w:pPr>
                    <w:pStyle w:val="28"/>
                    <w:spacing w:line="360" w:lineRule="exact"/>
                    <w:rPr>
                      <w:rFonts w:eastAsiaTheme="minorEastAsia"/>
                      <w:color w:val="auto"/>
                      <w:szCs w:val="21"/>
                    </w:rPr>
                  </w:pPr>
                </w:p>
              </w:tc>
              <w:tc>
                <w:tcPr>
                  <w:tcW w:w="732" w:type="dxa"/>
                  <w:vMerge w:val="continue"/>
                  <w:tcBorders>
                    <w:top w:val="nil"/>
                    <w:left w:val="single" w:color="000000" w:sz="8" w:space="0"/>
                    <w:bottom w:val="single" w:color="000000" w:sz="8" w:space="0"/>
                    <w:right w:val="single" w:color="000000" w:sz="8" w:space="0"/>
                  </w:tcBorders>
                  <w:vAlign w:val="center"/>
                </w:tcPr>
                <w:p>
                  <w:pPr>
                    <w:pStyle w:val="28"/>
                    <w:spacing w:line="360" w:lineRule="exact"/>
                    <w:rPr>
                      <w:rFonts w:eastAsiaTheme="minorEastAsia"/>
                      <w:color w:val="auto"/>
                      <w:szCs w:val="21"/>
                    </w:rPr>
                  </w:pPr>
                </w:p>
              </w:tc>
              <w:tc>
                <w:tcPr>
                  <w:tcW w:w="1278"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粪大肠菌群数（MPN/L）</w:t>
                  </w:r>
                </w:p>
              </w:tc>
              <w:tc>
                <w:tcPr>
                  <w:tcW w:w="1130" w:type="dxa"/>
                  <w:tcBorders>
                    <w:top w:val="single" w:color="000000" w:sz="8" w:space="0"/>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16000</w:t>
                  </w:r>
                </w:p>
              </w:tc>
              <w:tc>
                <w:tcPr>
                  <w:tcW w:w="849"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8000</w:t>
                  </w:r>
                </w:p>
              </w:tc>
              <w:tc>
                <w:tcPr>
                  <w:tcW w:w="1131" w:type="dxa"/>
                  <w:tcBorders>
                    <w:top w:val="nil"/>
                    <w:left w:val="nil"/>
                    <w:bottom w:val="single" w:color="000000" w:sz="8" w:space="0"/>
                    <w:right w:val="single" w:color="auto"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w:t>
                  </w:r>
                </w:p>
              </w:tc>
              <w:tc>
                <w:tcPr>
                  <w:tcW w:w="1091"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w:t>
                  </w:r>
                </w:p>
              </w:tc>
              <w:tc>
                <w:tcPr>
                  <w:tcW w:w="774" w:type="dxa"/>
                  <w:tcBorders>
                    <w:top w:val="nil"/>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w:t>
                  </w:r>
                </w:p>
              </w:tc>
            </w:tr>
          </w:tbl>
          <w:p>
            <w:pPr>
              <w:pStyle w:val="35"/>
              <w:spacing w:before="156" w:beforeLines="50"/>
              <w:ind w:firstLine="480"/>
              <w:rPr>
                <w:rFonts w:eastAsiaTheme="minorEastAsia"/>
              </w:rPr>
            </w:pPr>
            <w:r>
              <w:rPr>
                <w:rFonts w:eastAsiaTheme="minorEastAsia"/>
              </w:rPr>
              <w:t>由上表可知，项目生活污水经化粪池和一体化污水处理设施处理后，可达到《城市污水再生利用 城市杂用水水质》（GB/T18920-2020）中城市绿化标准。</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 3 \* GB2 </w:instrText>
            </w:r>
            <w:r>
              <w:rPr>
                <w:rFonts w:ascii="Times New Roman" w:hAnsi="Times New Roman" w:cs="Times New Roman"/>
                <w:b/>
                <w:sz w:val="24"/>
                <w:szCs w:val="24"/>
              </w:rPr>
              <w:fldChar w:fldCharType="separate"/>
            </w:r>
            <w:r>
              <w:rPr>
                <w:rFonts w:ascii="Times New Roman" w:hAnsi="Times New Roman" w:cs="Times New Roman"/>
                <w:b/>
                <w:sz w:val="24"/>
                <w:szCs w:val="24"/>
              </w:rPr>
              <w:t>⑶</w:t>
            </w:r>
            <w:r>
              <w:rPr>
                <w:rFonts w:ascii="Times New Roman" w:hAnsi="Times New Roman" w:cs="Times New Roman"/>
                <w:b/>
                <w:sz w:val="24"/>
                <w:szCs w:val="24"/>
              </w:rPr>
              <w:fldChar w:fldCharType="end"/>
            </w:r>
            <w:r>
              <w:rPr>
                <w:rFonts w:ascii="Times New Roman" w:hAnsi="Times New Roman" w:cs="Times New Roman"/>
                <w:b/>
                <w:sz w:val="24"/>
                <w:szCs w:val="24"/>
              </w:rPr>
              <w:t>初期雨水产排量及达标情况</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初期雨水的主要污染物为SS，SS产生浓度约400mg/L；项目拟在厂房外围及厂区周围设置900m的截排水沟对雨天厂区产生的初期雨水及地表径流进行疏导，初期雨水通过截排水沟收集后进入有效容积不低于20m³的初期雨水收集池收集处理后，可达到《城市污水再生利用  工业用水水质》（GB/T 19923-2005）标准，全部回用于生产车间，不外排。</w:t>
            </w:r>
          </w:p>
          <w:p>
            <w:pPr>
              <w:pStyle w:val="35"/>
              <w:ind w:firstLine="482"/>
              <w:rPr>
                <w:rFonts w:eastAsiaTheme="minorEastAsia"/>
                <w:b/>
                <w:szCs w:val="24"/>
              </w:rPr>
            </w:pPr>
            <w:r>
              <w:rPr>
                <w:b/>
                <w:szCs w:val="24"/>
              </w:rPr>
              <w:t>③</w:t>
            </w:r>
            <w:r>
              <w:rPr>
                <w:rFonts w:eastAsiaTheme="minorEastAsia"/>
                <w:b/>
                <w:szCs w:val="24"/>
              </w:rPr>
              <w:t>水平衡</w:t>
            </w:r>
          </w:p>
          <w:p>
            <w:pPr>
              <w:spacing w:line="360" w:lineRule="auto"/>
              <w:ind w:firstLine="480" w:firstLineChars="200"/>
              <w:rPr>
                <w:rFonts w:ascii="Times New Roman" w:hAnsi="Times New Roman" w:cs="Times New Roman"/>
                <w:sz w:val="24"/>
                <w:szCs w:val="30"/>
              </w:rPr>
            </w:pPr>
            <w:r>
              <w:rPr>
                <w:rFonts w:ascii="Times New Roman" w:hAnsi="Times New Roman" w:cs="Times New Roman"/>
                <w:sz w:val="24"/>
                <w:szCs w:val="30"/>
              </w:rPr>
              <w:t>本项目水平衡如下图所示。</w:t>
            </w:r>
          </w:p>
          <w:p>
            <w:pPr>
              <w:spacing w:line="360" w:lineRule="auto"/>
              <w:ind w:firstLine="480" w:firstLineChars="200"/>
              <w:rPr>
                <w:rFonts w:ascii="Times New Roman" w:hAnsi="Times New Roman" w:cs="Times New Roman"/>
                <w:sz w:val="24"/>
                <w:szCs w:val="30"/>
              </w:rPr>
            </w:pPr>
          </w:p>
          <w:p>
            <w:pPr>
              <w:spacing w:line="360" w:lineRule="auto"/>
              <w:ind w:firstLine="480" w:firstLineChars="200"/>
              <w:rPr>
                <w:rFonts w:ascii="Times New Roman" w:hAnsi="Times New Roman" w:cs="Times New Roman"/>
                <w:sz w:val="24"/>
                <w:szCs w:val="30"/>
              </w:rPr>
            </w:pPr>
          </w:p>
          <w:p>
            <w:pPr>
              <w:spacing w:line="360" w:lineRule="auto"/>
              <w:ind w:firstLine="480" w:firstLineChars="200"/>
              <w:rPr>
                <w:rFonts w:ascii="Times New Roman" w:hAnsi="Times New Roman" w:cs="Times New Roman"/>
                <w:sz w:val="24"/>
                <w:szCs w:val="30"/>
              </w:rPr>
            </w:pPr>
          </w:p>
          <w:p>
            <w:pPr>
              <w:spacing w:line="360" w:lineRule="auto"/>
              <w:ind w:firstLine="480" w:firstLineChars="200"/>
              <w:rPr>
                <w:rFonts w:ascii="Times New Roman" w:hAnsi="Times New Roman" w:cs="Times New Roman"/>
                <w:sz w:val="24"/>
                <w:szCs w:val="30"/>
              </w:rPr>
            </w:pPr>
          </w:p>
          <w:p>
            <w:pPr>
              <w:spacing w:line="360" w:lineRule="auto"/>
              <w:rPr>
                <w:rFonts w:ascii="Times New Roman" w:hAnsi="Times New Roman" w:cs="Times New Roman"/>
                <w:sz w:val="24"/>
                <w:szCs w:val="30"/>
              </w:rPr>
            </w:pPr>
          </w:p>
          <w:p>
            <w:pPr>
              <w:pStyle w:val="35"/>
              <w:spacing w:line="240" w:lineRule="auto"/>
              <w:ind w:firstLine="0" w:firstLineChars="0"/>
              <w:jc w:val="center"/>
            </w:pPr>
            <w:r>
              <w:object>
                <v:shape id="_x0000_i1025" o:spt="75" type="#_x0000_t75" style="height:645.6pt;width:430.8pt;" o:ole="t" filled="f" o:preferrelative="t" stroked="f" coordsize="21600,21600">
                  <v:path/>
                  <v:fill on="f" focussize="0,0"/>
                  <v:stroke on="f" joinstyle="miter"/>
                  <v:imagedata r:id="rId7" o:title=""/>
                  <o:lock v:ext="edit" aspectratio="t"/>
                  <w10:wrap type="none"/>
                  <w10:anchorlock/>
                </v:shape>
                <o:OLEObject Type="Embed" ProgID="Visio.Drawing.11" ShapeID="_x0000_i1025" DrawAspect="Content" ObjectID="_1468075725" r:id="rId6">
                  <o:LockedField>false</o:LockedField>
                </o:OLEObject>
              </w:object>
            </w:r>
          </w:p>
          <w:p>
            <w:pPr>
              <w:jc w:val="center"/>
              <w:rPr>
                <w:rFonts w:ascii="Times New Roman" w:hAnsi="Times New Roman" w:cs="Times New Roman"/>
                <w:b/>
                <w:szCs w:val="24"/>
              </w:rPr>
            </w:pPr>
            <w:r>
              <w:rPr>
                <w:rFonts w:ascii="Times New Roman" w:hAnsi="Times New Roman" w:cs="Times New Roman"/>
                <w:b/>
                <w:szCs w:val="24"/>
              </w:rPr>
              <w:t>图4.2.2-1 项目水平衡图 m³/d</w:t>
            </w:r>
          </w:p>
          <w:p>
            <w:pPr>
              <w:spacing w:before="156"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rPr>
              <w:t>废水</w:t>
            </w:r>
            <w:r>
              <w:rPr>
                <w:rFonts w:ascii="Times New Roman" w:hAnsi="Times New Roman" w:cs="Times New Roman"/>
                <w:b/>
                <w:sz w:val="24"/>
                <w:szCs w:val="24"/>
              </w:rPr>
              <w:t>污染治理设施可行性分析</w:t>
            </w:r>
          </w:p>
          <w:p>
            <w:pPr>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①生产废水处理系统环境影响减缓措施有效性分析</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设计，项目拟设置一套生产废水处理系统对生产废水进行处理，该系统由2个生产废水收集池、2个污水处理塔、2个清水池、2个泥浆回收池和4台污泥压滤机组成。生产废水首先进入两个污水处理塔进行处理，为提高处理效率，项目拟在处理塔中添加一定量的絮凝剂，处理后，上层的清水进入清水池回用于生产，而处理下层的含泥废水进入污泥压滤机进行压滤，压滤产生的泥浆进入2个泥浆回收池，压滤产生的废水进入2个生产废水收集池收集后再进入污水处理塔进行处理，从而进行循环处理，处理后全部回用于生产，不外排。</w:t>
            </w:r>
          </w:p>
          <w:p>
            <w:pPr>
              <w:pStyle w:val="35"/>
              <w:ind w:firstLine="480"/>
              <w:rPr>
                <w:szCs w:val="24"/>
              </w:rPr>
            </w:pPr>
            <w:r>
              <w:rPr>
                <w:szCs w:val="24"/>
              </w:rPr>
              <w:t>该系统废水废水停留时间为20min，清水池的有效容积为300m³，按停留20min计，则项目生产废水处理系统的处理能力为14400m³/d；而本项目产生的生产废水量为1101.37m³/d，则处理规模可达到要求，又项目产生的生产废水主要污染物为SS，因此采用絮凝沉淀处理方式进行处理，效果较好，其处理工艺可行，综上项目生产废水处理系统可行性。</w:t>
            </w:r>
          </w:p>
          <w:p>
            <w:pPr>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②生活污水处理系统环境影响减缓措施有效性分析</w:t>
            </w:r>
          </w:p>
          <w:p>
            <w:pPr>
              <w:pStyle w:val="35"/>
              <w:ind w:firstLine="480"/>
              <w:rPr>
                <w:szCs w:val="21"/>
              </w:rPr>
            </w:pPr>
            <w:r>
              <w:rPr>
                <w:szCs w:val="21"/>
              </w:rPr>
              <w:t>根据设计，项目拟设置一套生活污水处理系统对生活污水进行处理，该系统由化粪池、一体化污水处理设施和再生水收集池组成，具体可行性分析如下：</w:t>
            </w:r>
          </w:p>
          <w:p>
            <w:pPr>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fldChar w:fldCharType="begin"/>
            </w:r>
            <w:r>
              <w:rPr>
                <w:rFonts w:ascii="Times New Roman" w:hAnsi="Times New Roman" w:eastAsia="宋体" w:cs="Times New Roman"/>
                <w:b/>
                <w:sz w:val="24"/>
              </w:rPr>
              <w:instrText xml:space="preserve"> = 1 \* GB4 </w:instrText>
            </w:r>
            <w:r>
              <w:rPr>
                <w:rFonts w:ascii="Times New Roman" w:hAnsi="Times New Roman" w:eastAsia="宋体" w:cs="Times New Roman"/>
                <w:b/>
                <w:sz w:val="24"/>
              </w:rPr>
              <w:fldChar w:fldCharType="separate"/>
            </w:r>
            <w:r>
              <w:rPr>
                <w:rFonts w:ascii="Times New Roman" w:hAnsi="Times New Roman" w:eastAsia="宋体" w:cs="Times New Roman"/>
                <w:b/>
                <w:sz w:val="24"/>
              </w:rPr>
              <w:t>㈠</w:t>
            </w:r>
            <w:r>
              <w:rPr>
                <w:rFonts w:ascii="Times New Roman" w:hAnsi="Times New Roman" w:eastAsia="宋体" w:cs="Times New Roman"/>
                <w:b/>
                <w:sz w:val="24"/>
              </w:rPr>
              <w:fldChar w:fldCharType="end"/>
            </w:r>
            <w:r>
              <w:rPr>
                <w:rFonts w:ascii="Times New Roman" w:hAnsi="Times New Roman" w:eastAsia="宋体" w:cs="Times New Roman"/>
                <w:b/>
                <w:sz w:val="24"/>
              </w:rPr>
              <w:t>化粪池环境影响减缓措施有效性分析</w:t>
            </w:r>
          </w:p>
          <w:p>
            <w:pPr>
              <w:pStyle w:val="35"/>
              <w:ind w:firstLine="480"/>
              <w:rPr>
                <w:szCs w:val="21"/>
              </w:rPr>
            </w:pPr>
            <w:r>
              <w:rPr>
                <w:szCs w:val="21"/>
              </w:rPr>
              <w:t>根据工程分析可知，项目生活污水产生量约为1.08m³/d，变化系数按照1.2计，则最大生活污水量约为1.30m³/d。根据《建筑给排水设计规范》（（GB50015-2019），化粪池总容积应满足废水停留时间12-24h的要求，并做好防渗处理，化粪池宜建在便于机动车清掏的位置；项目生活区旁已设置了1个有效容积为2m³的化粪池对项目区生活污水进行处理，可满足24h停留时间要求，又该化粪池所在位置清掏车辆可进入进行清掏，且化粪池将严格按照规范要求进行防渗处置，因此化粪池设置合理。</w:t>
            </w:r>
          </w:p>
          <w:p>
            <w:pPr>
              <w:pStyle w:val="35"/>
              <w:ind w:firstLine="482"/>
              <w:rPr>
                <w:rFonts w:eastAsiaTheme="minorEastAsia"/>
                <w:b/>
                <w:szCs w:val="24"/>
              </w:rPr>
            </w:pPr>
            <w:r>
              <w:rPr>
                <w:rFonts w:eastAsiaTheme="minorEastAsia"/>
                <w:b/>
                <w:szCs w:val="24"/>
              </w:rPr>
              <w:fldChar w:fldCharType="begin"/>
            </w:r>
            <w:r>
              <w:rPr>
                <w:rFonts w:eastAsiaTheme="minorEastAsia"/>
                <w:b/>
                <w:szCs w:val="24"/>
              </w:rPr>
              <w:instrText xml:space="preserve"> = 2 \* GB4 </w:instrText>
            </w:r>
            <w:r>
              <w:rPr>
                <w:rFonts w:eastAsiaTheme="minorEastAsia"/>
                <w:b/>
                <w:szCs w:val="24"/>
              </w:rPr>
              <w:fldChar w:fldCharType="separate"/>
            </w:r>
            <w:r>
              <w:rPr>
                <w:rFonts w:eastAsiaTheme="minorEastAsia"/>
                <w:b/>
                <w:szCs w:val="24"/>
              </w:rPr>
              <w:t>㈡</w:t>
            </w:r>
            <w:r>
              <w:rPr>
                <w:rFonts w:eastAsiaTheme="minorEastAsia"/>
                <w:b/>
                <w:szCs w:val="24"/>
              </w:rPr>
              <w:fldChar w:fldCharType="end"/>
            </w:r>
            <w:r>
              <w:rPr>
                <w:rFonts w:eastAsiaTheme="minorEastAsia"/>
                <w:b/>
                <w:szCs w:val="24"/>
              </w:rPr>
              <w:t>一体化污水处理设施环境影响减缓措施有效性分析</w:t>
            </w:r>
          </w:p>
          <w:p>
            <w:pPr>
              <w:pStyle w:val="35"/>
              <w:ind w:firstLine="482"/>
              <w:rPr>
                <w:rFonts w:eastAsiaTheme="minorEastAsia"/>
                <w:b/>
                <w:szCs w:val="24"/>
              </w:rPr>
            </w:pPr>
            <w:r>
              <w:rPr>
                <w:rFonts w:eastAsiaTheme="minorEastAsia"/>
                <w:b/>
                <w:szCs w:val="24"/>
              </w:rPr>
              <w:fldChar w:fldCharType="begin"/>
            </w:r>
            <w:r>
              <w:rPr>
                <w:rFonts w:eastAsiaTheme="minorEastAsia"/>
                <w:b/>
                <w:szCs w:val="24"/>
              </w:rPr>
              <w:instrText xml:space="preserve"> = 1 \* GB1 </w:instrText>
            </w:r>
            <w:r>
              <w:rPr>
                <w:rFonts w:eastAsiaTheme="minorEastAsia"/>
                <w:b/>
                <w:szCs w:val="24"/>
              </w:rPr>
              <w:fldChar w:fldCharType="separate"/>
            </w:r>
            <w:r>
              <w:rPr>
                <w:b/>
                <w:szCs w:val="24"/>
              </w:rPr>
              <w:t>⒈</w:t>
            </w:r>
            <w:r>
              <w:rPr>
                <w:rFonts w:eastAsiaTheme="minorEastAsia"/>
                <w:b/>
                <w:szCs w:val="24"/>
              </w:rPr>
              <w:fldChar w:fldCharType="end"/>
            </w:r>
            <w:r>
              <w:rPr>
                <w:rFonts w:eastAsiaTheme="minorEastAsia"/>
                <w:b/>
                <w:szCs w:val="24"/>
              </w:rPr>
              <w:t>一体化污水处理设施规模设置合理性分析</w:t>
            </w:r>
          </w:p>
          <w:p>
            <w:pPr>
              <w:pStyle w:val="35"/>
              <w:ind w:firstLine="480"/>
              <w:rPr>
                <w:szCs w:val="21"/>
              </w:rPr>
            </w:pPr>
            <w:r>
              <w:rPr>
                <w:szCs w:val="21"/>
              </w:rPr>
              <w:t>根据工程分析可知，本项目生活污水产生量为1.08m³/d，变化系数按照1.2计，则最大生活污水量约为1.30m³/d，而项目拟设置1套处理能力为2m³/d的一体化污水处理设施其规模可满足要求。</w:t>
            </w:r>
          </w:p>
          <w:p>
            <w:pPr>
              <w:pStyle w:val="35"/>
              <w:ind w:firstLine="482"/>
              <w:rPr>
                <w:rFonts w:eastAsiaTheme="minorEastAsia"/>
                <w:b/>
                <w:szCs w:val="24"/>
              </w:rPr>
            </w:pPr>
            <w:r>
              <w:rPr>
                <w:rFonts w:eastAsiaTheme="minorEastAsia"/>
                <w:b/>
                <w:szCs w:val="24"/>
              </w:rPr>
              <w:fldChar w:fldCharType="begin"/>
            </w:r>
            <w:r>
              <w:rPr>
                <w:rFonts w:eastAsiaTheme="minorEastAsia"/>
                <w:b/>
                <w:szCs w:val="24"/>
              </w:rPr>
              <w:instrText xml:space="preserve"> = 2 \* GB1 </w:instrText>
            </w:r>
            <w:r>
              <w:rPr>
                <w:rFonts w:eastAsiaTheme="minorEastAsia"/>
                <w:b/>
                <w:szCs w:val="24"/>
              </w:rPr>
              <w:fldChar w:fldCharType="separate"/>
            </w:r>
            <w:r>
              <w:rPr>
                <w:b/>
                <w:szCs w:val="24"/>
              </w:rPr>
              <w:t>⒉</w:t>
            </w:r>
            <w:r>
              <w:rPr>
                <w:rFonts w:eastAsiaTheme="minorEastAsia"/>
                <w:b/>
                <w:szCs w:val="24"/>
              </w:rPr>
              <w:fldChar w:fldCharType="end"/>
            </w:r>
            <w:r>
              <w:rPr>
                <w:rFonts w:eastAsiaTheme="minorEastAsia"/>
                <w:b/>
                <w:szCs w:val="24"/>
              </w:rPr>
              <w:t>一体化污水处理设施工艺设置合理性分析</w:t>
            </w:r>
          </w:p>
          <w:p>
            <w:pPr>
              <w:pStyle w:val="35"/>
              <w:ind w:firstLine="480"/>
              <w:rPr>
                <w:rFonts w:eastAsiaTheme="minorEastAsia"/>
                <w:szCs w:val="24"/>
              </w:rPr>
            </w:pPr>
            <w:r>
              <w:rPr>
                <w:rFonts w:eastAsiaTheme="minorEastAsia"/>
                <w:szCs w:val="24"/>
              </w:rPr>
              <w:t>本项目设置的一体化污水处理设施购买成品进行安装，根据该一体化设施的设计资料，该设施拟采用生化处理工艺对综合污水进行处理，设计工艺如下图所示。</w:t>
            </w:r>
          </w:p>
          <w:p>
            <w:pPr>
              <w:jc w:val="center"/>
              <w:rPr>
                <w:rFonts w:ascii="Times New Roman" w:hAnsi="Times New Roman" w:cs="Times New Roman"/>
                <w:b/>
                <w:szCs w:val="24"/>
              </w:rPr>
            </w:pPr>
            <w:r>
              <w:rPr>
                <w:rFonts w:ascii="Times New Roman" w:hAnsi="Times New Roman" w:cs="Times New Roman"/>
                <w:b/>
                <w:szCs w:val="24"/>
              </w:rPr>
              <w:object>
                <v:shape id="_x0000_i1026" o:spt="75" type="#_x0000_t75" style="height:139.8pt;width:372.6pt;" o:ole="t" filled="f" o:preferrelative="t" stroked="f" coordsize="21600,21600">
                  <v:path/>
                  <v:fill on="f" focussize="0,0"/>
                  <v:stroke on="f" joinstyle="miter"/>
                  <v:imagedata r:id="rId9" o:title=""/>
                  <o:lock v:ext="edit" aspectratio="t"/>
                  <w10:wrap type="none"/>
                  <w10:anchorlock/>
                </v:shape>
                <o:OLEObject Type="Embed" ProgID="Visio.Drawing.11" ShapeID="_x0000_i1026" DrawAspect="Content" ObjectID="_1468075726" r:id="rId8">
                  <o:LockedField>false</o:LockedField>
                </o:OLEObject>
              </w:object>
            </w:r>
            <w:r>
              <w:rPr>
                <w:rFonts w:ascii="Times New Roman" w:hAnsi="Times New Roman" w:cs="Times New Roman"/>
                <w:b/>
                <w:szCs w:val="24"/>
              </w:rPr>
              <w:t xml:space="preserve"> </w:t>
            </w:r>
          </w:p>
          <w:p>
            <w:pPr>
              <w:jc w:val="center"/>
              <w:rPr>
                <w:rFonts w:ascii="Times New Roman" w:hAnsi="Times New Roman" w:cs="Times New Roman"/>
                <w:b/>
                <w:szCs w:val="24"/>
              </w:rPr>
            </w:pPr>
            <w:r>
              <w:rPr>
                <w:rFonts w:ascii="Times New Roman" w:hAnsi="Times New Roman" w:cs="Times New Roman"/>
                <w:b/>
                <w:szCs w:val="24"/>
              </w:rPr>
              <w:t>图4.2.2-2 污水处理站处理工艺</w:t>
            </w:r>
          </w:p>
          <w:p>
            <w:pPr>
              <w:pStyle w:val="35"/>
              <w:spacing w:before="156" w:beforeLines="50"/>
              <w:ind w:firstLine="480"/>
              <w:rPr>
                <w:rFonts w:eastAsiaTheme="minorEastAsia"/>
                <w:szCs w:val="24"/>
              </w:rPr>
            </w:pPr>
            <w:r>
              <w:rPr>
                <w:rFonts w:eastAsiaTheme="minorEastAsia"/>
                <w:szCs w:val="24"/>
              </w:rPr>
              <w:t>污水处理工艺流程简述：</w:t>
            </w:r>
          </w:p>
          <w:p>
            <w:pPr>
              <w:pStyle w:val="35"/>
              <w:ind w:firstLine="482"/>
              <w:rPr>
                <w:rFonts w:eastAsiaTheme="minorEastAsia"/>
                <w:b/>
                <w:szCs w:val="24"/>
              </w:rPr>
            </w:pPr>
            <w:r>
              <w:rPr>
                <w:rFonts w:eastAsiaTheme="minorEastAsia"/>
                <w:b/>
                <w:szCs w:val="24"/>
              </w:rPr>
              <w:fldChar w:fldCharType="begin"/>
            </w:r>
            <w:r>
              <w:rPr>
                <w:rFonts w:eastAsiaTheme="minorEastAsia"/>
                <w:b/>
                <w:szCs w:val="24"/>
              </w:rPr>
              <w:instrText xml:space="preserve"> = 1 \* GB2 </w:instrText>
            </w:r>
            <w:r>
              <w:rPr>
                <w:rFonts w:eastAsiaTheme="minorEastAsia"/>
                <w:b/>
                <w:szCs w:val="24"/>
              </w:rPr>
              <w:fldChar w:fldCharType="separate"/>
            </w:r>
            <w:r>
              <w:rPr>
                <w:rFonts w:eastAsiaTheme="minorEastAsia"/>
                <w:b/>
                <w:szCs w:val="24"/>
              </w:rPr>
              <w:t>⑴</w:t>
            </w:r>
            <w:r>
              <w:rPr>
                <w:rFonts w:eastAsiaTheme="minorEastAsia"/>
                <w:b/>
                <w:szCs w:val="24"/>
              </w:rPr>
              <w:fldChar w:fldCharType="end"/>
            </w:r>
            <w:r>
              <w:rPr>
                <w:rFonts w:eastAsiaTheme="minorEastAsia"/>
                <w:b/>
                <w:szCs w:val="24"/>
              </w:rPr>
              <w:t>调节池</w:t>
            </w:r>
          </w:p>
          <w:p>
            <w:pPr>
              <w:pStyle w:val="35"/>
              <w:ind w:firstLine="480"/>
              <w:rPr>
                <w:rFonts w:eastAsiaTheme="minorEastAsia"/>
                <w:szCs w:val="24"/>
              </w:rPr>
            </w:pPr>
            <w:r>
              <w:rPr>
                <w:rFonts w:eastAsiaTheme="minorEastAsia"/>
                <w:szCs w:val="24"/>
              </w:rPr>
              <w:t>进入调节池进行水量水质的混合。调节池兼酸化水解作用，将大分子有机污染物分解去除，由于调节池集生物降解、物理沉降和吸附为一体，污水中的颗粒和胶体污染物得到截留和吸附，并在产酸细菌等微生物作用下得到分化和降解。</w:t>
            </w:r>
          </w:p>
          <w:p>
            <w:pPr>
              <w:pStyle w:val="35"/>
              <w:ind w:firstLine="482"/>
              <w:rPr>
                <w:rFonts w:eastAsiaTheme="minorEastAsia"/>
                <w:b/>
                <w:szCs w:val="24"/>
              </w:rPr>
            </w:pPr>
            <w:r>
              <w:rPr>
                <w:rFonts w:eastAsiaTheme="minorEastAsia"/>
                <w:b/>
                <w:szCs w:val="24"/>
              </w:rPr>
              <w:fldChar w:fldCharType="begin"/>
            </w:r>
            <w:r>
              <w:rPr>
                <w:rFonts w:eastAsiaTheme="minorEastAsia"/>
                <w:b/>
                <w:szCs w:val="24"/>
              </w:rPr>
              <w:instrText xml:space="preserve"> = 2 \* GB2 </w:instrText>
            </w:r>
            <w:r>
              <w:rPr>
                <w:rFonts w:eastAsiaTheme="minorEastAsia"/>
                <w:b/>
                <w:szCs w:val="24"/>
              </w:rPr>
              <w:fldChar w:fldCharType="separate"/>
            </w:r>
            <w:r>
              <w:rPr>
                <w:rFonts w:eastAsiaTheme="minorEastAsia"/>
                <w:b/>
                <w:szCs w:val="24"/>
              </w:rPr>
              <w:t>⑵</w:t>
            </w:r>
            <w:r>
              <w:rPr>
                <w:rFonts w:eastAsiaTheme="minorEastAsia"/>
                <w:b/>
                <w:szCs w:val="24"/>
              </w:rPr>
              <w:fldChar w:fldCharType="end"/>
            </w:r>
            <w:r>
              <w:rPr>
                <w:rFonts w:eastAsiaTheme="minorEastAsia"/>
                <w:b/>
                <w:szCs w:val="24"/>
              </w:rPr>
              <w:t>接触氧化池</w:t>
            </w:r>
          </w:p>
          <w:p>
            <w:pPr>
              <w:pStyle w:val="35"/>
              <w:ind w:firstLine="480"/>
              <w:rPr>
                <w:rFonts w:eastAsiaTheme="minorEastAsia"/>
                <w:szCs w:val="24"/>
              </w:rPr>
            </w:pPr>
            <w:r>
              <w:rPr>
                <w:rFonts w:eastAsiaTheme="minorEastAsia"/>
                <w:szCs w:val="24"/>
              </w:rPr>
              <w:t>好氧接触氧化池主要利用好氧菌去除CODcr、BOD</w:t>
            </w:r>
            <w:r>
              <w:rPr>
                <w:rFonts w:eastAsiaTheme="minorEastAsia"/>
                <w:szCs w:val="24"/>
                <w:vertAlign w:val="subscript"/>
              </w:rPr>
              <w:t>5</w:t>
            </w:r>
            <w:r>
              <w:rPr>
                <w:rFonts w:eastAsiaTheme="minorEastAsia"/>
                <w:szCs w:val="24"/>
              </w:rPr>
              <w:t>、SS、NH</w:t>
            </w:r>
            <w:r>
              <w:rPr>
                <w:rFonts w:eastAsiaTheme="minorEastAsia"/>
                <w:szCs w:val="24"/>
                <w:vertAlign w:val="subscript"/>
              </w:rPr>
              <w:t>3</w:t>
            </w:r>
            <w:r>
              <w:rPr>
                <w:rFonts w:eastAsiaTheme="minorEastAsia"/>
                <w:szCs w:val="24"/>
              </w:rPr>
              <w:t>-N和总磷等污染物。污水在调节水解池中调节水解后由泵提升依次进入接触氧化池，对污水中有机物进行充分的生物降解，在充氧的条件下，利用微生物的生物活动，将废水中大部分的有机物分解去除。</w:t>
            </w:r>
          </w:p>
          <w:p>
            <w:pPr>
              <w:pStyle w:val="35"/>
              <w:ind w:firstLine="482"/>
              <w:rPr>
                <w:rFonts w:eastAsiaTheme="minorEastAsia"/>
                <w:b/>
                <w:szCs w:val="24"/>
              </w:rPr>
            </w:pPr>
            <w:r>
              <w:rPr>
                <w:rFonts w:eastAsiaTheme="minorEastAsia"/>
                <w:b/>
                <w:szCs w:val="24"/>
              </w:rPr>
              <w:fldChar w:fldCharType="begin"/>
            </w:r>
            <w:r>
              <w:rPr>
                <w:rFonts w:eastAsiaTheme="minorEastAsia"/>
                <w:b/>
                <w:szCs w:val="24"/>
              </w:rPr>
              <w:instrText xml:space="preserve"> = 3 \* GB2 </w:instrText>
            </w:r>
            <w:r>
              <w:rPr>
                <w:rFonts w:eastAsiaTheme="minorEastAsia"/>
                <w:b/>
                <w:szCs w:val="24"/>
              </w:rPr>
              <w:fldChar w:fldCharType="separate"/>
            </w:r>
            <w:r>
              <w:rPr>
                <w:rFonts w:eastAsiaTheme="minorEastAsia"/>
                <w:b/>
                <w:szCs w:val="24"/>
              </w:rPr>
              <w:t>⑶</w:t>
            </w:r>
            <w:r>
              <w:rPr>
                <w:rFonts w:eastAsiaTheme="minorEastAsia"/>
                <w:b/>
                <w:szCs w:val="24"/>
              </w:rPr>
              <w:fldChar w:fldCharType="end"/>
            </w:r>
            <w:r>
              <w:rPr>
                <w:rFonts w:eastAsiaTheme="minorEastAsia"/>
                <w:b/>
                <w:szCs w:val="24"/>
              </w:rPr>
              <w:t>二沉池</w:t>
            </w:r>
          </w:p>
          <w:p>
            <w:pPr>
              <w:pStyle w:val="35"/>
              <w:ind w:firstLine="480"/>
              <w:rPr>
                <w:rFonts w:eastAsiaTheme="minorEastAsia"/>
                <w:szCs w:val="24"/>
              </w:rPr>
            </w:pPr>
            <w:r>
              <w:rPr>
                <w:rFonts w:eastAsiaTheme="minorEastAsia"/>
                <w:szCs w:val="24"/>
              </w:rPr>
              <w:t>接触氧化池出水进入二沉池，二沉池前设PAC（絮凝剂）投加系统，投加PAC（絮凝剂），去除SS和部分胶体颗粒，二沉池出水经过石英砂过滤后，进一步降低水中SS和胶体颗粒含量。</w:t>
            </w:r>
          </w:p>
          <w:p>
            <w:pPr>
              <w:pStyle w:val="35"/>
              <w:ind w:firstLine="482"/>
              <w:rPr>
                <w:rFonts w:eastAsiaTheme="minorEastAsia"/>
                <w:b/>
                <w:szCs w:val="24"/>
              </w:rPr>
            </w:pPr>
            <w:r>
              <w:rPr>
                <w:rFonts w:eastAsiaTheme="minorEastAsia"/>
                <w:b/>
                <w:szCs w:val="24"/>
              </w:rPr>
              <w:fldChar w:fldCharType="begin"/>
            </w:r>
            <w:r>
              <w:rPr>
                <w:rFonts w:eastAsiaTheme="minorEastAsia"/>
                <w:b/>
                <w:szCs w:val="24"/>
              </w:rPr>
              <w:instrText xml:space="preserve"> = 4 \* GB2 </w:instrText>
            </w:r>
            <w:r>
              <w:rPr>
                <w:rFonts w:eastAsiaTheme="minorEastAsia"/>
                <w:b/>
                <w:szCs w:val="24"/>
              </w:rPr>
              <w:fldChar w:fldCharType="separate"/>
            </w:r>
            <w:r>
              <w:rPr>
                <w:rFonts w:eastAsiaTheme="minorEastAsia"/>
                <w:b/>
                <w:szCs w:val="24"/>
              </w:rPr>
              <w:t>⑷</w:t>
            </w:r>
            <w:r>
              <w:rPr>
                <w:rFonts w:eastAsiaTheme="minorEastAsia"/>
                <w:b/>
                <w:szCs w:val="24"/>
              </w:rPr>
              <w:fldChar w:fldCharType="end"/>
            </w:r>
            <w:r>
              <w:rPr>
                <w:rFonts w:eastAsiaTheme="minorEastAsia"/>
                <w:b/>
                <w:szCs w:val="24"/>
              </w:rPr>
              <w:t>过滤</w:t>
            </w:r>
          </w:p>
          <w:p>
            <w:pPr>
              <w:pStyle w:val="35"/>
              <w:ind w:firstLine="480"/>
              <w:rPr>
                <w:rFonts w:eastAsiaTheme="minorEastAsia"/>
                <w:szCs w:val="24"/>
              </w:rPr>
            </w:pPr>
            <w:r>
              <w:rPr>
                <w:rFonts w:eastAsiaTheme="minorEastAsia"/>
                <w:szCs w:val="24"/>
              </w:rPr>
              <w:t>二沉池出水仍含有一定的悬浮物杂质，因此本方案设置深度处理（过滤）处理单元。二沉池出水进入过滤池进行过滤，去除水中残存的有机物、胶体、细菌残留物、微生物等。</w:t>
            </w:r>
          </w:p>
          <w:p>
            <w:pPr>
              <w:pStyle w:val="35"/>
              <w:ind w:firstLine="482"/>
              <w:rPr>
                <w:rFonts w:eastAsiaTheme="minorEastAsia"/>
                <w:b/>
                <w:szCs w:val="24"/>
              </w:rPr>
            </w:pPr>
            <w:r>
              <w:rPr>
                <w:rFonts w:eastAsiaTheme="minorEastAsia"/>
                <w:b/>
                <w:szCs w:val="24"/>
              </w:rPr>
              <w:fldChar w:fldCharType="begin"/>
            </w:r>
            <w:r>
              <w:rPr>
                <w:rFonts w:eastAsiaTheme="minorEastAsia"/>
                <w:b/>
                <w:szCs w:val="24"/>
              </w:rPr>
              <w:instrText xml:space="preserve"> = 5 \* GB2 </w:instrText>
            </w:r>
            <w:r>
              <w:rPr>
                <w:rFonts w:eastAsiaTheme="minorEastAsia"/>
                <w:b/>
                <w:szCs w:val="24"/>
              </w:rPr>
              <w:fldChar w:fldCharType="separate"/>
            </w:r>
            <w:r>
              <w:rPr>
                <w:rFonts w:eastAsiaTheme="minorEastAsia"/>
                <w:b/>
                <w:szCs w:val="24"/>
              </w:rPr>
              <w:t>⑸</w:t>
            </w:r>
            <w:r>
              <w:rPr>
                <w:rFonts w:eastAsiaTheme="minorEastAsia"/>
                <w:b/>
                <w:szCs w:val="24"/>
              </w:rPr>
              <w:fldChar w:fldCharType="end"/>
            </w:r>
            <w:r>
              <w:rPr>
                <w:rFonts w:eastAsiaTheme="minorEastAsia"/>
                <w:b/>
                <w:szCs w:val="24"/>
              </w:rPr>
              <w:t>消毒</w:t>
            </w:r>
          </w:p>
          <w:p>
            <w:pPr>
              <w:pStyle w:val="35"/>
              <w:ind w:firstLine="480"/>
              <w:rPr>
                <w:rFonts w:eastAsiaTheme="minorEastAsia"/>
                <w:szCs w:val="24"/>
              </w:rPr>
            </w:pPr>
            <w:r>
              <w:rPr>
                <w:rFonts w:eastAsiaTheme="minorEastAsia"/>
                <w:szCs w:val="24"/>
              </w:rPr>
              <w:t>过滤后的污水经过消毒，即可满足排放要求，消毒采用自动投加方式，定量把次氯酸钠药液投加到消毒池中，可以较彻底的消除细菌、臭味、色度等可能对人群造成的危害。</w:t>
            </w:r>
          </w:p>
          <w:p>
            <w:pPr>
              <w:pStyle w:val="35"/>
              <w:ind w:firstLine="480"/>
              <w:rPr>
                <w:rFonts w:eastAsiaTheme="minorEastAsia"/>
                <w:szCs w:val="24"/>
              </w:rPr>
            </w:pPr>
            <w:r>
              <w:rPr>
                <w:rFonts w:eastAsiaTheme="minorEastAsia"/>
                <w:szCs w:val="24"/>
              </w:rPr>
              <w:t>根据工程分析可知，经化粪池处理后的生活污水BOD/COD约为0.68≥0.3，满足可生化条件，因此项目拟采用废水生化处理工艺技术可行，由根据核算，项目生活污水经一体化污水处理设施处理后可达到《城市污水再生利用 城市杂用水水质》（GB/T18920 -2020）城市绿化标准，因此其技术可行。</w:t>
            </w:r>
          </w:p>
          <w:p>
            <w:pPr>
              <w:pStyle w:val="35"/>
              <w:ind w:firstLine="480"/>
              <w:rPr>
                <w:rFonts w:eastAsiaTheme="minorEastAsia"/>
                <w:szCs w:val="24"/>
              </w:rPr>
            </w:pPr>
            <w:r>
              <w:rPr>
                <w:rFonts w:eastAsiaTheme="minorEastAsia"/>
                <w:szCs w:val="24"/>
              </w:rPr>
              <w:t>综上，项目设置1套处理能力为2m³/d的一体化污水处理设施对项目区废水进行处理，处理后回用于回用于项目区绿化，该措施可行。</w:t>
            </w:r>
          </w:p>
          <w:p>
            <w:pPr>
              <w:pStyle w:val="35"/>
              <w:ind w:firstLine="482"/>
              <w:rPr>
                <w:rFonts w:eastAsiaTheme="minorEastAsia"/>
                <w:b/>
                <w:szCs w:val="24"/>
              </w:rPr>
            </w:pPr>
            <w:r>
              <w:rPr>
                <w:rFonts w:eastAsiaTheme="minorEastAsia"/>
                <w:b/>
                <w:szCs w:val="24"/>
              </w:rPr>
              <w:fldChar w:fldCharType="begin"/>
            </w:r>
            <w:r>
              <w:rPr>
                <w:rFonts w:eastAsiaTheme="minorEastAsia"/>
                <w:b/>
                <w:szCs w:val="24"/>
              </w:rPr>
              <w:instrText xml:space="preserve"> = 3 \* GB2 </w:instrText>
            </w:r>
            <w:r>
              <w:rPr>
                <w:rFonts w:eastAsiaTheme="minorEastAsia"/>
                <w:b/>
                <w:szCs w:val="24"/>
              </w:rPr>
              <w:fldChar w:fldCharType="separate"/>
            </w:r>
            <w:r>
              <w:rPr>
                <w:rFonts w:eastAsiaTheme="minorEastAsia"/>
                <w:b/>
                <w:szCs w:val="24"/>
              </w:rPr>
              <w:t>⑶</w:t>
            </w:r>
            <w:r>
              <w:rPr>
                <w:rFonts w:eastAsiaTheme="minorEastAsia"/>
                <w:b/>
                <w:szCs w:val="24"/>
              </w:rPr>
              <w:fldChar w:fldCharType="end"/>
            </w:r>
            <w:r>
              <w:rPr>
                <w:rFonts w:eastAsiaTheme="minorEastAsia"/>
                <w:b/>
                <w:szCs w:val="24"/>
              </w:rPr>
              <w:t>再生水收集池环境影响减缓措施有效性分析</w:t>
            </w:r>
          </w:p>
          <w:p>
            <w:pPr>
              <w:pStyle w:val="35"/>
              <w:ind w:firstLine="480"/>
              <w:rPr>
                <w:rFonts w:eastAsiaTheme="minorEastAsia"/>
                <w:szCs w:val="24"/>
              </w:rPr>
            </w:pPr>
            <w:r>
              <w:rPr>
                <w:rFonts w:eastAsiaTheme="minorEastAsia"/>
                <w:szCs w:val="24"/>
              </w:rPr>
              <w:t>为了满足雨天等特殊情况，处理后生活污水的暂存要求，项目拟配套设置1个有效容积为8m³的清水池对处理后的生活污水进行暂存；项目生活污水产生量为1.08m³/d，清水池和化粪池、一体化处理设施的总容积可满足生活污水超过7d的储存量，可满足雨天暂存后用于非雨天绿化的暂存要求，因此其设置可行。</w:t>
            </w:r>
          </w:p>
          <w:p>
            <w:pPr>
              <w:pStyle w:val="35"/>
              <w:ind w:firstLine="482"/>
              <w:rPr>
                <w:b/>
                <w:szCs w:val="21"/>
              </w:rPr>
            </w:pPr>
            <w:r>
              <w:rPr>
                <w:b/>
                <w:szCs w:val="21"/>
              </w:rPr>
              <w:t>③初期雨水收集系统环境影响减缓措施有效性分析</w:t>
            </w:r>
          </w:p>
          <w:p>
            <w:pPr>
              <w:pStyle w:val="35"/>
              <w:ind w:firstLine="480"/>
              <w:rPr>
                <w:rFonts w:eastAsiaTheme="minorEastAsia"/>
                <w:szCs w:val="24"/>
              </w:rPr>
            </w:pPr>
            <w:r>
              <w:rPr>
                <w:rFonts w:eastAsiaTheme="minorEastAsia"/>
                <w:szCs w:val="24"/>
              </w:rPr>
              <w:t>项目初期雨水产生量约为19.1m³/次，项目为了防止雨天地表径流进入产品库及生产区，使项目区域砂石料流失，造成环境污染，项目拟在厂房外围及厂区周围设置900m的截排水沟对雨天厂区产生的初期雨水及地表径流进行疏导。拟设置1个有效容积不低于20m³的初期雨水，初期雨水通过截排水沟收集后进入有效容积不低于20m³的初期雨水收集池沉淀后回用于生产，初期雨水收集池的容积可满足收集要求，同时在初期雨水收集池前端设置阀门，初期雨水收集后，关闭阀门，将中、后期雨水通过雨水管网外排；该措施合理可行。</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（4）自行监测要求</w:t>
            </w:r>
          </w:p>
          <w:p>
            <w:pPr>
              <w:spacing w:line="360" w:lineRule="auto"/>
              <w:ind w:firstLine="480" w:firstLineChars="200"/>
              <w:rPr>
                <w:rFonts w:ascii="Times New Roman" w:hAnsi="Times New Roman" w:cs="Times New Roman"/>
                <w:b/>
                <w:szCs w:val="24"/>
              </w:rPr>
            </w:pPr>
            <w:r>
              <w:rPr>
                <w:rFonts w:ascii="Times New Roman" w:hAnsi="Times New Roman" w:cs="Times New Roman"/>
                <w:sz w:val="24"/>
                <w:szCs w:val="24"/>
              </w:rPr>
              <w:t>根据《排污单位自行监测技术指南 总则》（HJ819-2017）的要求，项目废水自行监测要求如下表所示。</w:t>
            </w:r>
          </w:p>
          <w:p>
            <w:pPr>
              <w:jc w:val="center"/>
              <w:rPr>
                <w:rFonts w:ascii="Times New Roman" w:hAnsi="Times New Roman" w:cs="Times New Roman"/>
                <w:b/>
                <w:szCs w:val="24"/>
              </w:rPr>
            </w:pPr>
            <w:r>
              <w:rPr>
                <w:rFonts w:ascii="Times New Roman" w:hAnsi="Times New Roman" w:cs="Times New Roman"/>
                <w:b/>
                <w:szCs w:val="24"/>
              </w:rPr>
              <w:t>表4.2.2-5  项目运营期</w:t>
            </w:r>
            <w:r>
              <w:rPr>
                <w:rFonts w:ascii="Times New Roman" w:hAnsi="Times New Roman" w:cs="Times New Roman"/>
                <w:b/>
              </w:rPr>
              <w:t>废水</w:t>
            </w:r>
            <w:r>
              <w:rPr>
                <w:rFonts w:ascii="Times New Roman" w:hAnsi="Times New Roman" w:cs="Times New Roman"/>
                <w:b/>
                <w:szCs w:val="24"/>
              </w:rPr>
              <w:t>自行监测计划一览表</w:t>
            </w:r>
          </w:p>
          <w:tbl>
            <w:tblPr>
              <w:tblStyle w:val="16"/>
              <w:tblW w:w="88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310"/>
              <w:gridCol w:w="2622"/>
              <w:gridCol w:w="1019"/>
              <w:gridCol w:w="2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01" w:type="dxa"/>
                  <w:vAlign w:val="center"/>
                </w:tcPr>
                <w:p>
                  <w:pPr>
                    <w:pStyle w:val="28"/>
                    <w:spacing w:line="360" w:lineRule="exact"/>
                    <w:rPr>
                      <w:rFonts w:eastAsiaTheme="minorEastAsia"/>
                      <w:color w:val="auto"/>
                      <w:szCs w:val="21"/>
                    </w:rPr>
                  </w:pPr>
                  <w:r>
                    <w:rPr>
                      <w:rFonts w:eastAsiaTheme="minorEastAsia"/>
                      <w:color w:val="auto"/>
                      <w:szCs w:val="21"/>
                    </w:rPr>
                    <w:t>对象</w:t>
                  </w:r>
                </w:p>
              </w:tc>
              <w:tc>
                <w:tcPr>
                  <w:tcW w:w="1310" w:type="dxa"/>
                  <w:vAlign w:val="center"/>
                </w:tcPr>
                <w:p>
                  <w:pPr>
                    <w:pStyle w:val="28"/>
                    <w:spacing w:line="360" w:lineRule="exact"/>
                    <w:rPr>
                      <w:rFonts w:eastAsiaTheme="minorEastAsia"/>
                      <w:color w:val="auto"/>
                      <w:szCs w:val="21"/>
                    </w:rPr>
                  </w:pPr>
                  <w:r>
                    <w:rPr>
                      <w:rFonts w:eastAsiaTheme="minorEastAsia"/>
                      <w:color w:val="auto"/>
                      <w:szCs w:val="21"/>
                    </w:rPr>
                    <w:t>监测点位</w:t>
                  </w:r>
                </w:p>
              </w:tc>
              <w:tc>
                <w:tcPr>
                  <w:tcW w:w="2622" w:type="dxa"/>
                  <w:vAlign w:val="center"/>
                </w:tcPr>
                <w:p>
                  <w:pPr>
                    <w:pStyle w:val="28"/>
                    <w:spacing w:line="360" w:lineRule="exact"/>
                    <w:rPr>
                      <w:rFonts w:eastAsiaTheme="minorEastAsia"/>
                      <w:color w:val="auto"/>
                      <w:szCs w:val="21"/>
                    </w:rPr>
                  </w:pPr>
                  <w:r>
                    <w:rPr>
                      <w:rFonts w:eastAsiaTheme="minorEastAsia"/>
                      <w:color w:val="auto"/>
                      <w:szCs w:val="21"/>
                    </w:rPr>
                    <w:t>监测因子</w:t>
                  </w:r>
                </w:p>
              </w:tc>
              <w:tc>
                <w:tcPr>
                  <w:tcW w:w="1019" w:type="dxa"/>
                  <w:vAlign w:val="center"/>
                </w:tcPr>
                <w:p>
                  <w:pPr>
                    <w:pStyle w:val="28"/>
                    <w:spacing w:line="360" w:lineRule="exact"/>
                    <w:rPr>
                      <w:rFonts w:eastAsiaTheme="minorEastAsia"/>
                      <w:color w:val="auto"/>
                      <w:szCs w:val="21"/>
                    </w:rPr>
                  </w:pPr>
                  <w:r>
                    <w:rPr>
                      <w:rFonts w:eastAsiaTheme="minorEastAsia"/>
                      <w:color w:val="auto"/>
                      <w:szCs w:val="21"/>
                    </w:rPr>
                    <w:t>最低监测频率</w:t>
                  </w:r>
                </w:p>
              </w:tc>
              <w:tc>
                <w:tcPr>
                  <w:tcW w:w="2989" w:type="dxa"/>
                  <w:vAlign w:val="center"/>
                </w:tcPr>
                <w:p>
                  <w:pPr>
                    <w:pStyle w:val="28"/>
                    <w:spacing w:line="360" w:lineRule="exact"/>
                    <w:rPr>
                      <w:rFonts w:eastAsiaTheme="minorEastAsia"/>
                      <w:color w:val="auto"/>
                      <w:szCs w:val="21"/>
                    </w:rPr>
                  </w:pPr>
                  <w:r>
                    <w:rPr>
                      <w:rFonts w:eastAsiaTheme="minorEastAsia"/>
                      <w:color w:val="auto"/>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1" w:type="dxa"/>
                  <w:vMerge w:val="restart"/>
                  <w:vAlign w:val="center"/>
                </w:tcPr>
                <w:p>
                  <w:pPr>
                    <w:pStyle w:val="28"/>
                    <w:spacing w:line="360" w:lineRule="exact"/>
                    <w:rPr>
                      <w:rFonts w:eastAsiaTheme="minorEastAsia"/>
                      <w:color w:val="auto"/>
                      <w:szCs w:val="21"/>
                    </w:rPr>
                  </w:pPr>
                  <w:r>
                    <w:rPr>
                      <w:rFonts w:eastAsiaTheme="minorEastAsia"/>
                      <w:color w:val="auto"/>
                      <w:szCs w:val="21"/>
                    </w:rPr>
                    <w:t>废水</w:t>
                  </w:r>
                </w:p>
              </w:tc>
              <w:tc>
                <w:tcPr>
                  <w:tcW w:w="1310" w:type="dxa"/>
                  <w:vAlign w:val="center"/>
                </w:tcPr>
                <w:p>
                  <w:pPr>
                    <w:pStyle w:val="28"/>
                    <w:spacing w:line="360" w:lineRule="exact"/>
                    <w:rPr>
                      <w:rFonts w:eastAsiaTheme="minorEastAsia"/>
                      <w:color w:val="auto"/>
                      <w:szCs w:val="21"/>
                    </w:rPr>
                  </w:pPr>
                  <w:r>
                    <w:rPr>
                      <w:rFonts w:eastAsiaTheme="minorEastAsia"/>
                      <w:color w:val="auto"/>
                      <w:szCs w:val="21"/>
                    </w:rPr>
                    <w:t>清水池</w:t>
                  </w:r>
                </w:p>
              </w:tc>
              <w:tc>
                <w:tcPr>
                  <w:tcW w:w="2622" w:type="dxa"/>
                  <w:vAlign w:val="center"/>
                </w:tcPr>
                <w:p>
                  <w:pPr>
                    <w:pStyle w:val="28"/>
                    <w:spacing w:line="360" w:lineRule="exact"/>
                    <w:ind w:firstLine="210" w:firstLineChars="100"/>
                    <w:jc w:val="left"/>
                    <w:rPr>
                      <w:color w:val="auto"/>
                    </w:rPr>
                  </w:pPr>
                  <w:r>
                    <w:rPr>
                      <w:color w:val="auto"/>
                    </w:rPr>
                    <w:t>pH、CODcr、NH</w:t>
                  </w:r>
                  <w:r>
                    <w:rPr>
                      <w:color w:val="auto"/>
                      <w:vertAlign w:val="subscript"/>
                    </w:rPr>
                    <w:t>3</w:t>
                  </w:r>
                  <w:r>
                    <w:rPr>
                      <w:color w:val="auto"/>
                    </w:rPr>
                    <w:t>-N、SS。</w:t>
                  </w:r>
                </w:p>
              </w:tc>
              <w:tc>
                <w:tcPr>
                  <w:tcW w:w="1019" w:type="dxa"/>
                  <w:vAlign w:val="center"/>
                </w:tcPr>
                <w:p>
                  <w:pPr>
                    <w:pStyle w:val="28"/>
                    <w:spacing w:line="360" w:lineRule="exact"/>
                    <w:rPr>
                      <w:rFonts w:eastAsiaTheme="minorEastAsia"/>
                      <w:color w:val="auto"/>
                      <w:szCs w:val="21"/>
                    </w:rPr>
                  </w:pPr>
                  <w:r>
                    <w:rPr>
                      <w:rFonts w:eastAsiaTheme="minorEastAsia"/>
                      <w:color w:val="auto"/>
                      <w:szCs w:val="21"/>
                    </w:rPr>
                    <w:t>1次/年</w:t>
                  </w:r>
                </w:p>
              </w:tc>
              <w:tc>
                <w:tcPr>
                  <w:tcW w:w="2989" w:type="dxa"/>
                  <w:vAlign w:val="center"/>
                </w:tcPr>
                <w:p>
                  <w:pPr>
                    <w:pStyle w:val="28"/>
                    <w:spacing w:line="360" w:lineRule="exact"/>
                    <w:ind w:firstLine="210" w:firstLineChars="100"/>
                    <w:jc w:val="both"/>
                    <w:rPr>
                      <w:color w:val="auto"/>
                    </w:rPr>
                  </w:pPr>
                  <w:r>
                    <w:rPr>
                      <w:color w:val="auto"/>
                    </w:rPr>
                    <w:t>《城市污水再生利用  工业用水水质》（GB/T 19923-2005）标准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901" w:type="dxa"/>
                  <w:vMerge w:val="continue"/>
                  <w:vAlign w:val="center"/>
                </w:tcPr>
                <w:p>
                  <w:pPr>
                    <w:pStyle w:val="28"/>
                    <w:spacing w:line="360" w:lineRule="exact"/>
                    <w:rPr>
                      <w:rFonts w:eastAsiaTheme="minorEastAsia"/>
                      <w:color w:val="auto"/>
                      <w:szCs w:val="21"/>
                    </w:rPr>
                  </w:pPr>
                </w:p>
              </w:tc>
              <w:tc>
                <w:tcPr>
                  <w:tcW w:w="1310" w:type="dxa"/>
                  <w:vAlign w:val="center"/>
                </w:tcPr>
                <w:p>
                  <w:pPr>
                    <w:pStyle w:val="28"/>
                    <w:spacing w:line="360" w:lineRule="exact"/>
                    <w:rPr>
                      <w:rFonts w:eastAsiaTheme="minorEastAsia"/>
                      <w:color w:val="auto"/>
                      <w:szCs w:val="21"/>
                    </w:rPr>
                  </w:pPr>
                  <w:r>
                    <w:rPr>
                      <w:rFonts w:eastAsiaTheme="minorEastAsia"/>
                      <w:color w:val="auto"/>
                      <w:szCs w:val="21"/>
                    </w:rPr>
                    <w:t>一体化污水处理设施进、出口</w:t>
                  </w:r>
                </w:p>
              </w:tc>
              <w:tc>
                <w:tcPr>
                  <w:tcW w:w="2622" w:type="dxa"/>
                  <w:vAlign w:val="center"/>
                </w:tcPr>
                <w:p>
                  <w:pPr>
                    <w:pStyle w:val="28"/>
                    <w:spacing w:line="360" w:lineRule="exact"/>
                    <w:ind w:firstLine="210" w:firstLineChars="100"/>
                    <w:jc w:val="left"/>
                    <w:rPr>
                      <w:rFonts w:eastAsiaTheme="minorEastAsia"/>
                      <w:color w:val="auto"/>
                    </w:rPr>
                  </w:pPr>
                  <w:r>
                    <w:rPr>
                      <w:color w:val="auto"/>
                    </w:rPr>
                    <w:t>pH、CODcr、BOD</w:t>
                  </w:r>
                  <w:r>
                    <w:rPr>
                      <w:color w:val="auto"/>
                      <w:vertAlign w:val="subscript"/>
                    </w:rPr>
                    <w:t>5</w:t>
                  </w:r>
                  <w:r>
                    <w:rPr>
                      <w:color w:val="auto"/>
                    </w:rPr>
                    <w:t>、NH</w:t>
                  </w:r>
                  <w:r>
                    <w:rPr>
                      <w:color w:val="auto"/>
                      <w:vertAlign w:val="subscript"/>
                    </w:rPr>
                    <w:t>3</w:t>
                  </w:r>
                  <w:r>
                    <w:rPr>
                      <w:color w:val="auto"/>
                    </w:rPr>
                    <w:t>-N、SS、总磷、总氮、</w:t>
                  </w:r>
                  <w:r>
                    <w:rPr>
                      <w:bCs w:val="0"/>
                      <w:snapToGrid/>
                      <w:color w:val="auto"/>
                      <w:kern w:val="0"/>
                      <w:szCs w:val="21"/>
                      <w:lang w:val="en-US"/>
                    </w:rPr>
                    <w:t>阴离子表面活性剂、</w:t>
                  </w:r>
                  <w:r>
                    <w:rPr>
                      <w:color w:val="auto"/>
                    </w:rPr>
                    <w:t>粪大肠菌群数</w:t>
                  </w:r>
                </w:p>
              </w:tc>
              <w:tc>
                <w:tcPr>
                  <w:tcW w:w="1019" w:type="dxa"/>
                  <w:vAlign w:val="center"/>
                </w:tcPr>
                <w:p>
                  <w:pPr>
                    <w:pStyle w:val="28"/>
                    <w:spacing w:line="360" w:lineRule="exact"/>
                    <w:rPr>
                      <w:rFonts w:eastAsiaTheme="minorEastAsia"/>
                      <w:color w:val="auto"/>
                      <w:szCs w:val="21"/>
                    </w:rPr>
                  </w:pPr>
                  <w:r>
                    <w:rPr>
                      <w:rFonts w:eastAsiaTheme="minorEastAsia"/>
                      <w:color w:val="auto"/>
                      <w:szCs w:val="21"/>
                    </w:rPr>
                    <w:t>1次/年</w:t>
                  </w:r>
                </w:p>
              </w:tc>
              <w:tc>
                <w:tcPr>
                  <w:tcW w:w="2989" w:type="dxa"/>
                  <w:vAlign w:val="center"/>
                </w:tcPr>
                <w:p>
                  <w:pPr>
                    <w:pStyle w:val="28"/>
                    <w:spacing w:line="360" w:lineRule="exact"/>
                    <w:ind w:firstLine="210" w:firstLineChars="100"/>
                    <w:jc w:val="both"/>
                    <w:rPr>
                      <w:color w:val="auto"/>
                    </w:rPr>
                  </w:pPr>
                  <w:r>
                    <w:rPr>
                      <w:color w:val="auto"/>
                    </w:rPr>
                    <w:t>《城市污水再生利用 城市杂用水水质》（GB/T18920 -2020）城市绿化标准</w:t>
                  </w:r>
                </w:p>
              </w:tc>
            </w:tr>
          </w:tbl>
          <w:p>
            <w:pPr>
              <w:spacing w:before="156"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rPr>
              <w:t>废水</w:t>
            </w:r>
            <w:r>
              <w:rPr>
                <w:rFonts w:ascii="Times New Roman" w:hAnsi="Times New Roman" w:cs="Times New Roman"/>
                <w:b/>
                <w:sz w:val="24"/>
                <w:szCs w:val="24"/>
              </w:rPr>
              <w:t>环境影响分析结论</w:t>
            </w:r>
          </w:p>
          <w:p>
            <w:pPr>
              <w:spacing w:line="360" w:lineRule="auto"/>
              <w:ind w:firstLine="482" w:firstLineChars="200"/>
              <w:rPr>
                <w:rFonts w:ascii="Times New Roman" w:hAnsi="Times New Roman" w:cs="Times New Roman"/>
                <w:sz w:val="24"/>
                <w:szCs w:val="24"/>
              </w:rPr>
            </w:pPr>
            <w:r>
              <w:rPr>
                <w:rFonts w:ascii="Times New Roman" w:hAnsi="Times New Roman" w:cs="Times New Roman"/>
                <w:b/>
                <w:sz w:val="24"/>
              </w:rPr>
              <w:t>①生产废水环境影响分析</w:t>
            </w:r>
            <w:r>
              <w:rPr>
                <w:rFonts w:ascii="Times New Roman" w:hAnsi="Times New Roman" w:cs="Times New Roman"/>
                <w:b/>
                <w:sz w:val="24"/>
                <w:szCs w:val="24"/>
              </w:rPr>
              <w:t>结论</w:t>
            </w:r>
          </w:p>
          <w:p>
            <w:pPr>
              <w:spacing w:line="360" w:lineRule="auto"/>
              <w:ind w:firstLine="480" w:firstLineChars="200"/>
              <w:rPr>
                <w:rFonts w:ascii="Times New Roman" w:hAnsi="Times New Roman" w:cs="Times New Roman"/>
                <w:sz w:val="24"/>
                <w:szCs w:val="30"/>
              </w:rPr>
            </w:pPr>
            <w:r>
              <w:rPr>
                <w:rFonts w:ascii="Times New Roman" w:hAnsi="Times New Roman" w:cs="Times New Roman"/>
                <w:sz w:val="24"/>
              </w:rPr>
              <w:t>根据工程分析可知，</w:t>
            </w:r>
            <w:r>
              <w:rPr>
                <w:rFonts w:ascii="Times New Roman" w:hAnsi="Times New Roman" w:cs="Times New Roman"/>
                <w:sz w:val="24"/>
                <w:szCs w:val="30"/>
              </w:rPr>
              <w:t>项目生产废水主要为洗砂废水，项目拟设置一套生产废水处理系统对其进行处理，该系统由2个生产废水收集池、2个污水处理塔、2个清水池、2个泥浆回收池和4台污泥压滤机组成；项目生产废水经处理后可达到《城市污水再生利用  工业用水水质》（GB/T 19923-2005）标准，全部回用于生产，不外排；对环境影响较小。</w:t>
            </w:r>
          </w:p>
          <w:p>
            <w:pPr>
              <w:spacing w:line="360" w:lineRule="auto"/>
              <w:ind w:firstLine="482" w:firstLineChars="200"/>
              <w:rPr>
                <w:rFonts w:ascii="Times New Roman" w:hAnsi="Times New Roman" w:cs="Times New Roman"/>
                <w:b/>
                <w:sz w:val="24"/>
              </w:rPr>
            </w:pPr>
            <w:r>
              <w:rPr>
                <w:rFonts w:ascii="Times New Roman" w:hAnsi="Times New Roman" w:cs="Times New Roman"/>
                <w:b/>
                <w:sz w:val="24"/>
              </w:rPr>
              <w:t>②生活污水环境影响分析</w:t>
            </w:r>
            <w:r>
              <w:rPr>
                <w:rFonts w:ascii="Times New Roman" w:hAnsi="Times New Roman" w:cs="Times New Roman"/>
                <w:b/>
                <w:sz w:val="24"/>
                <w:szCs w:val="24"/>
              </w:rPr>
              <w:t>结论</w:t>
            </w:r>
          </w:p>
          <w:p>
            <w:pPr>
              <w:spacing w:line="360" w:lineRule="auto"/>
              <w:ind w:firstLine="480" w:firstLineChars="200"/>
              <w:rPr>
                <w:rFonts w:ascii="Times New Roman" w:hAnsi="Times New Roman" w:cs="Times New Roman"/>
                <w:sz w:val="24"/>
                <w:szCs w:val="30"/>
              </w:rPr>
            </w:pPr>
            <w:r>
              <w:rPr>
                <w:rFonts w:ascii="Times New Roman" w:hAnsi="Times New Roman" w:cs="Times New Roman"/>
                <w:sz w:val="24"/>
                <w:szCs w:val="30"/>
              </w:rPr>
              <w:t>根据工程分析可知，项目生活污水产生量为1.08m³/d，合计为356.4m³/a；项目拟设置一个有效容积为2m³的化粪池、处理规模为2m³/d的一体化污水处理设施和一个有效容积为8m³的再生水收集池对生活污水处理后，可达到《城市污水再生利用 城市杂用水水质》（GB/T18920-2020）中城市绿化标准，回用于绿化不外排；对环境影响较小。</w:t>
            </w:r>
          </w:p>
          <w:p>
            <w:pPr>
              <w:spacing w:line="360" w:lineRule="auto"/>
              <w:ind w:firstLine="482" w:firstLineChars="200"/>
              <w:rPr>
                <w:rFonts w:ascii="Times New Roman" w:hAnsi="Times New Roman" w:cs="Times New Roman"/>
                <w:b/>
                <w:sz w:val="24"/>
              </w:rPr>
            </w:pPr>
            <w:r>
              <w:rPr>
                <w:rFonts w:ascii="Times New Roman" w:hAnsi="Times New Roman" w:cs="Times New Roman"/>
                <w:b/>
                <w:sz w:val="24"/>
              </w:rPr>
              <w:t>③初期雨水环境影响分析</w:t>
            </w:r>
            <w:r>
              <w:rPr>
                <w:rFonts w:ascii="Times New Roman" w:hAnsi="Times New Roman" w:cs="Times New Roman"/>
                <w:b/>
                <w:sz w:val="24"/>
                <w:szCs w:val="24"/>
              </w:rPr>
              <w:t>结论</w:t>
            </w:r>
          </w:p>
          <w:p>
            <w:pPr>
              <w:spacing w:line="360" w:lineRule="auto"/>
              <w:ind w:firstLine="480" w:firstLineChars="200"/>
              <w:rPr>
                <w:rFonts w:ascii="Times New Roman" w:hAnsi="Times New Roman" w:cs="Times New Roman"/>
                <w:sz w:val="24"/>
                <w:szCs w:val="30"/>
              </w:rPr>
            </w:pPr>
            <w:r>
              <w:rPr>
                <w:rFonts w:ascii="Times New Roman" w:hAnsi="Times New Roman" w:cs="Times New Roman"/>
                <w:sz w:val="24"/>
                <w:szCs w:val="30"/>
              </w:rPr>
              <w:t>根据工程分析可知，本项目厂区初期雨水产生量约为19.1m³/次，初期雨水的主要污染物为SS，SS产生浓度约400mg/L；项目拟在厂房外围及厂区周围设置900m的截排水沟对雨天厂区产生的初期雨水及地表径流进行疏导，初期雨水通过截排水沟收集后进入有效容积不低于20m³的初期雨水收集池收集处理后，可达到《城市污水再生利用  工业用水水质》（GB/T 19923-2005）标准，全部回用于生产车间，不外排。</w:t>
            </w:r>
          </w:p>
          <w:p>
            <w:pPr>
              <w:pStyle w:val="35"/>
              <w:ind w:firstLine="480"/>
              <w:rPr>
                <w:rFonts w:eastAsiaTheme="minorEastAsia"/>
                <w:szCs w:val="24"/>
              </w:rPr>
            </w:pP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w:t>
            </w:r>
            <w:r>
              <w:rPr>
                <w:rFonts w:ascii="Times New Roman" w:hAnsi="Times New Roman" w:cs="Times New Roman"/>
                <w:b/>
                <w:sz w:val="24"/>
              </w:rPr>
              <w:t>3</w:t>
            </w:r>
            <w:r>
              <w:rPr>
                <w:rFonts w:ascii="Times New Roman" w:hAnsi="Times New Roman" w:cs="Times New Roman"/>
                <w:b/>
                <w:sz w:val="24"/>
                <w:szCs w:val="24"/>
              </w:rPr>
              <w:t xml:space="preserve"> 运营期</w:t>
            </w:r>
            <w:r>
              <w:rPr>
                <w:rFonts w:ascii="Times New Roman" w:hAnsi="Times New Roman" w:cs="Times New Roman"/>
                <w:b/>
                <w:sz w:val="24"/>
              </w:rPr>
              <w:t>噪声</w:t>
            </w:r>
            <w:r>
              <w:rPr>
                <w:rFonts w:ascii="Times New Roman" w:hAnsi="Times New Roman" w:cs="Times New Roman"/>
                <w:b/>
                <w:sz w:val="24"/>
                <w:szCs w:val="24"/>
              </w:rPr>
              <w:t>环境影响和保护措施</w:t>
            </w:r>
          </w:p>
          <w:p>
            <w:pPr>
              <w:spacing w:line="360" w:lineRule="auto"/>
              <w:ind w:firstLine="361" w:firstLineChars="150"/>
              <w:rPr>
                <w:rFonts w:ascii="Times New Roman" w:hAnsi="Times New Roman" w:cs="Times New Roman"/>
                <w:b/>
                <w:sz w:val="24"/>
              </w:rPr>
            </w:pPr>
            <w:r>
              <w:rPr>
                <w:rFonts w:ascii="Times New Roman" w:hAnsi="Times New Roman" w:cs="Times New Roman"/>
                <w:b/>
                <w:sz w:val="24"/>
                <w:szCs w:val="24"/>
              </w:rPr>
              <w:t>（1）</w:t>
            </w:r>
            <w:r>
              <w:rPr>
                <w:rFonts w:ascii="Times New Roman" w:hAnsi="Times New Roman" w:cs="Times New Roman"/>
                <w:b/>
                <w:sz w:val="24"/>
              </w:rPr>
              <w:t>运营期噪声污染源强</w:t>
            </w:r>
          </w:p>
          <w:p>
            <w:pPr>
              <w:pStyle w:val="35"/>
              <w:ind w:firstLine="480"/>
              <w:rPr>
                <w:szCs w:val="24"/>
              </w:rPr>
            </w:pPr>
            <w:r>
              <w:rPr>
                <w:szCs w:val="24"/>
              </w:rPr>
              <w:t>项目噪声污染源主要为设备噪声，其源强如下表所示。</w:t>
            </w:r>
          </w:p>
          <w:p>
            <w:pPr>
              <w:jc w:val="center"/>
              <w:rPr>
                <w:rFonts w:ascii="Times New Roman" w:hAnsi="Times New Roman" w:cs="Times New Roman"/>
                <w:b/>
                <w:szCs w:val="24"/>
              </w:rPr>
            </w:pPr>
            <w:r>
              <w:rPr>
                <w:rFonts w:ascii="Times New Roman" w:hAnsi="Times New Roman" w:cs="Times New Roman"/>
                <w:b/>
                <w:szCs w:val="24"/>
              </w:rPr>
              <w:t>表4.2.</w:t>
            </w:r>
            <w:r>
              <w:rPr>
                <w:rFonts w:ascii="Times New Roman" w:hAnsi="Times New Roman" w:cs="Times New Roman"/>
                <w:b/>
              </w:rPr>
              <w:t>3</w:t>
            </w:r>
            <w:r>
              <w:rPr>
                <w:rFonts w:ascii="Times New Roman" w:hAnsi="Times New Roman" w:cs="Times New Roman"/>
                <w:b/>
                <w:szCs w:val="24"/>
              </w:rPr>
              <w:t>-1 项目主要生产设备噪声源强一览表</w:t>
            </w:r>
          </w:p>
          <w:tbl>
            <w:tblPr>
              <w:tblStyle w:val="17"/>
              <w:tblW w:w="8841"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48"/>
              <w:gridCol w:w="864"/>
              <w:gridCol w:w="1587"/>
              <w:gridCol w:w="864"/>
              <w:gridCol w:w="1153"/>
              <w:gridCol w:w="1253"/>
              <w:gridCol w:w="1015"/>
              <w:gridCol w:w="135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8" w:type="dxa"/>
                  <w:vAlign w:val="center"/>
                </w:tcPr>
                <w:p>
                  <w:pPr>
                    <w:pStyle w:val="28"/>
                    <w:spacing w:line="360" w:lineRule="exact"/>
                    <w:rPr>
                      <w:color w:val="auto"/>
                      <w:szCs w:val="21"/>
                      <w:lang w:val="en-US"/>
                    </w:rPr>
                  </w:pPr>
                  <w:r>
                    <w:rPr>
                      <w:color w:val="auto"/>
                      <w:szCs w:val="21"/>
                      <w:lang w:val="en-US"/>
                    </w:rPr>
                    <w:t>主要生产单元</w:t>
                  </w:r>
                </w:p>
              </w:tc>
              <w:tc>
                <w:tcPr>
                  <w:tcW w:w="864" w:type="dxa"/>
                  <w:vAlign w:val="center"/>
                </w:tcPr>
                <w:p>
                  <w:pPr>
                    <w:pStyle w:val="28"/>
                    <w:spacing w:line="360" w:lineRule="exact"/>
                    <w:rPr>
                      <w:color w:val="auto"/>
                      <w:szCs w:val="21"/>
                      <w:lang w:val="en-US"/>
                    </w:rPr>
                  </w:pPr>
                  <w:r>
                    <w:rPr>
                      <w:color w:val="auto"/>
                      <w:szCs w:val="21"/>
                      <w:lang w:val="en-US"/>
                    </w:rPr>
                    <w:t>主要工艺</w:t>
                  </w:r>
                </w:p>
              </w:tc>
              <w:tc>
                <w:tcPr>
                  <w:tcW w:w="1587" w:type="dxa"/>
                  <w:tcBorders>
                    <w:right w:val="single" w:color="auto" w:sz="4" w:space="0"/>
                  </w:tcBorders>
                  <w:vAlign w:val="center"/>
                </w:tcPr>
                <w:p>
                  <w:pPr>
                    <w:pStyle w:val="28"/>
                    <w:spacing w:line="360" w:lineRule="exact"/>
                    <w:rPr>
                      <w:color w:val="auto"/>
                      <w:szCs w:val="21"/>
                      <w:lang w:val="en-US"/>
                    </w:rPr>
                  </w:pPr>
                  <w:r>
                    <w:rPr>
                      <w:color w:val="auto"/>
                      <w:szCs w:val="21"/>
                      <w:lang w:val="en-US"/>
                    </w:rPr>
                    <w:t>生产设施</w:t>
                  </w:r>
                </w:p>
              </w:tc>
              <w:tc>
                <w:tcPr>
                  <w:tcW w:w="864" w:type="dxa"/>
                  <w:vAlign w:val="center"/>
                </w:tcPr>
                <w:p>
                  <w:pPr>
                    <w:pStyle w:val="28"/>
                    <w:spacing w:line="360" w:lineRule="exact"/>
                    <w:rPr>
                      <w:color w:val="auto"/>
                      <w:szCs w:val="21"/>
                      <w:lang w:val="en-US"/>
                    </w:rPr>
                  </w:pPr>
                  <w:r>
                    <w:rPr>
                      <w:color w:val="auto"/>
                      <w:szCs w:val="21"/>
                      <w:lang w:val="en-US"/>
                    </w:rPr>
                    <w:t>数量</w:t>
                  </w:r>
                </w:p>
              </w:tc>
              <w:tc>
                <w:tcPr>
                  <w:tcW w:w="1153" w:type="dxa"/>
                  <w:tcBorders>
                    <w:right w:val="single" w:color="auto" w:sz="4" w:space="0"/>
                  </w:tcBorders>
                  <w:vAlign w:val="center"/>
                </w:tcPr>
                <w:p>
                  <w:pPr>
                    <w:pStyle w:val="28"/>
                    <w:spacing w:line="360" w:lineRule="exact"/>
                    <w:rPr>
                      <w:color w:val="auto"/>
                      <w:szCs w:val="21"/>
                      <w:lang w:val="en-US"/>
                    </w:rPr>
                  </w:pPr>
                  <w:r>
                    <w:rPr>
                      <w:color w:val="auto"/>
                      <w:szCs w:val="21"/>
                    </w:rPr>
                    <w:t>产生强度〔dB（A）〕</w:t>
                  </w:r>
                </w:p>
              </w:tc>
              <w:tc>
                <w:tcPr>
                  <w:tcW w:w="1253" w:type="dxa"/>
                  <w:tcBorders>
                    <w:left w:val="single" w:color="auto" w:sz="4" w:space="0"/>
                    <w:right w:val="single" w:color="auto" w:sz="4" w:space="0"/>
                  </w:tcBorders>
                  <w:vAlign w:val="center"/>
                </w:tcPr>
                <w:p>
                  <w:pPr>
                    <w:pStyle w:val="28"/>
                    <w:spacing w:line="360" w:lineRule="exact"/>
                    <w:rPr>
                      <w:color w:val="auto"/>
                      <w:szCs w:val="21"/>
                      <w:lang w:val="en-US"/>
                    </w:rPr>
                  </w:pPr>
                  <w:r>
                    <w:rPr>
                      <w:rFonts w:eastAsiaTheme="minorEastAsia"/>
                      <w:color w:val="auto"/>
                      <w:szCs w:val="21"/>
                    </w:rPr>
                    <w:t>降噪措施</w:t>
                  </w:r>
                </w:p>
              </w:tc>
              <w:tc>
                <w:tcPr>
                  <w:tcW w:w="1015" w:type="dxa"/>
                  <w:tcBorders>
                    <w:left w:val="single" w:color="auto" w:sz="4" w:space="0"/>
                  </w:tcBorders>
                  <w:vAlign w:val="center"/>
                </w:tcPr>
                <w:p>
                  <w:pPr>
                    <w:pStyle w:val="28"/>
                    <w:spacing w:line="360" w:lineRule="exact"/>
                    <w:rPr>
                      <w:color w:val="auto"/>
                      <w:szCs w:val="21"/>
                      <w:lang w:val="en-US"/>
                    </w:rPr>
                  </w:pPr>
                  <w:r>
                    <w:rPr>
                      <w:rFonts w:eastAsiaTheme="minorEastAsia"/>
                      <w:color w:val="auto"/>
                      <w:szCs w:val="21"/>
                    </w:rPr>
                    <w:t>排放强度〔dB（A）〕</w:t>
                  </w:r>
                </w:p>
              </w:tc>
              <w:tc>
                <w:tcPr>
                  <w:tcW w:w="1357" w:type="dxa"/>
                  <w:vAlign w:val="center"/>
                </w:tcPr>
                <w:p>
                  <w:pPr>
                    <w:pStyle w:val="28"/>
                    <w:spacing w:line="360" w:lineRule="exact"/>
                    <w:rPr>
                      <w:color w:val="auto"/>
                      <w:szCs w:val="21"/>
                      <w:lang w:val="en-US"/>
                    </w:rPr>
                  </w:pPr>
                  <w:r>
                    <w:rPr>
                      <w:rFonts w:eastAsiaTheme="minorEastAsia"/>
                      <w:color w:val="auto"/>
                      <w:szCs w:val="21"/>
                    </w:rPr>
                    <w:t>持续时间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8" w:type="dxa"/>
                  <w:vMerge w:val="restart"/>
                  <w:vAlign w:val="center"/>
                </w:tcPr>
                <w:p>
                  <w:pPr>
                    <w:pStyle w:val="28"/>
                    <w:spacing w:line="360" w:lineRule="exact"/>
                    <w:rPr>
                      <w:color w:val="auto"/>
                      <w:szCs w:val="21"/>
                      <w:lang w:val="en-US"/>
                    </w:rPr>
                  </w:pPr>
                  <w:r>
                    <w:rPr>
                      <w:color w:val="auto"/>
                      <w:szCs w:val="21"/>
                      <w:lang w:val="en-US"/>
                    </w:rPr>
                    <w:t>主体工程</w:t>
                  </w:r>
                </w:p>
              </w:tc>
              <w:tc>
                <w:tcPr>
                  <w:tcW w:w="864" w:type="dxa"/>
                  <w:vMerge w:val="restart"/>
                  <w:vAlign w:val="center"/>
                </w:tcPr>
                <w:p>
                  <w:pPr>
                    <w:pStyle w:val="28"/>
                    <w:spacing w:line="360" w:lineRule="exact"/>
                    <w:rPr>
                      <w:color w:val="auto"/>
                      <w:szCs w:val="21"/>
                      <w:lang w:val="en-US"/>
                    </w:rPr>
                  </w:pPr>
                  <w:r>
                    <w:rPr>
                      <w:color w:val="auto"/>
                      <w:szCs w:val="21"/>
                      <w:lang w:val="en-US"/>
                    </w:rPr>
                    <w:t>破碎车间</w:t>
                  </w:r>
                </w:p>
              </w:tc>
              <w:tc>
                <w:tcPr>
                  <w:tcW w:w="1587" w:type="dxa"/>
                  <w:tcBorders>
                    <w:right w:val="single" w:color="auto" w:sz="4" w:space="0"/>
                  </w:tcBorders>
                  <w:vAlign w:val="center"/>
                </w:tcPr>
                <w:p>
                  <w:pPr>
                    <w:pStyle w:val="28"/>
                    <w:spacing w:line="360" w:lineRule="exact"/>
                    <w:rPr>
                      <w:color w:val="auto"/>
                      <w:szCs w:val="21"/>
                      <w:lang w:val="en-US"/>
                    </w:rPr>
                  </w:pPr>
                  <w:r>
                    <w:rPr>
                      <w:color w:val="auto"/>
                      <w:szCs w:val="21"/>
                      <w:lang w:val="en-US"/>
                    </w:rPr>
                    <w:t>颚式破碎机</w:t>
                  </w:r>
                </w:p>
              </w:tc>
              <w:tc>
                <w:tcPr>
                  <w:tcW w:w="864" w:type="dxa"/>
                  <w:vAlign w:val="center"/>
                </w:tcPr>
                <w:p>
                  <w:pPr>
                    <w:pStyle w:val="28"/>
                    <w:spacing w:line="360" w:lineRule="exact"/>
                    <w:rPr>
                      <w:color w:val="auto"/>
                      <w:szCs w:val="21"/>
                      <w:lang w:val="en-US"/>
                    </w:rPr>
                  </w:pPr>
                  <w:r>
                    <w:rPr>
                      <w:color w:val="auto"/>
                      <w:szCs w:val="21"/>
                      <w:lang w:val="en-US"/>
                    </w:rPr>
                    <w:t>1台</w:t>
                  </w:r>
                </w:p>
              </w:tc>
              <w:tc>
                <w:tcPr>
                  <w:tcW w:w="1153" w:type="dxa"/>
                  <w:tcBorders>
                    <w:right w:val="single" w:color="auto" w:sz="4" w:space="0"/>
                  </w:tcBorders>
                  <w:vAlign w:val="center"/>
                </w:tcPr>
                <w:p>
                  <w:pPr>
                    <w:pStyle w:val="28"/>
                    <w:spacing w:line="360" w:lineRule="exact"/>
                    <w:rPr>
                      <w:color w:val="auto"/>
                      <w:szCs w:val="21"/>
                      <w:lang w:val="en-US"/>
                    </w:rPr>
                  </w:pPr>
                  <w:r>
                    <w:rPr>
                      <w:color w:val="auto"/>
                      <w:szCs w:val="21"/>
                      <w:lang w:val="en-US"/>
                    </w:rPr>
                    <w:t>85</w:t>
                  </w:r>
                </w:p>
              </w:tc>
              <w:tc>
                <w:tcPr>
                  <w:tcW w:w="1253" w:type="dxa"/>
                  <w:vMerge w:val="restart"/>
                  <w:tcBorders>
                    <w:left w:val="single" w:color="auto" w:sz="4" w:space="0"/>
                    <w:right w:val="single" w:color="auto" w:sz="4" w:space="0"/>
                  </w:tcBorders>
                  <w:vAlign w:val="center"/>
                </w:tcPr>
                <w:p>
                  <w:pPr>
                    <w:pStyle w:val="28"/>
                    <w:spacing w:line="360" w:lineRule="exact"/>
                    <w:rPr>
                      <w:color w:val="auto"/>
                      <w:szCs w:val="21"/>
                      <w:lang w:val="en-US"/>
                    </w:rPr>
                  </w:pPr>
                  <w:r>
                    <w:rPr>
                      <w:color w:val="auto"/>
                      <w:szCs w:val="21"/>
                    </w:rPr>
                    <w:t>减震垫、消声器、墙体阻隔等</w:t>
                  </w:r>
                </w:p>
              </w:tc>
              <w:tc>
                <w:tcPr>
                  <w:tcW w:w="1015" w:type="dxa"/>
                  <w:tcBorders>
                    <w:left w:val="single" w:color="auto" w:sz="4" w:space="0"/>
                  </w:tcBorders>
                  <w:vAlign w:val="center"/>
                </w:tcPr>
                <w:p>
                  <w:pPr>
                    <w:pStyle w:val="28"/>
                    <w:spacing w:line="360" w:lineRule="exact"/>
                    <w:rPr>
                      <w:color w:val="auto"/>
                      <w:szCs w:val="21"/>
                      <w:lang w:val="en-US"/>
                    </w:rPr>
                  </w:pPr>
                  <w:r>
                    <w:rPr>
                      <w:color w:val="auto"/>
                      <w:szCs w:val="21"/>
                      <w:lang w:val="en-US"/>
                    </w:rPr>
                    <w:t>75</w:t>
                  </w:r>
                </w:p>
              </w:tc>
              <w:tc>
                <w:tcPr>
                  <w:tcW w:w="1357" w:type="dxa"/>
                  <w:vAlign w:val="center"/>
                </w:tcPr>
                <w:p>
                  <w:pPr>
                    <w:pStyle w:val="28"/>
                    <w:spacing w:line="360" w:lineRule="exact"/>
                    <w:rPr>
                      <w:color w:val="auto"/>
                      <w:szCs w:val="21"/>
                      <w:lang w:val="en-US"/>
                    </w:rPr>
                  </w:pPr>
                  <w:r>
                    <w:rPr>
                      <w:color w:val="auto"/>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8" w:type="dxa"/>
                  <w:vMerge w:val="continue"/>
                  <w:vAlign w:val="center"/>
                </w:tcPr>
                <w:p>
                  <w:pPr>
                    <w:pStyle w:val="28"/>
                    <w:spacing w:line="360" w:lineRule="exact"/>
                    <w:rPr>
                      <w:color w:val="auto"/>
                      <w:szCs w:val="21"/>
                      <w:lang w:val="en-US"/>
                    </w:rPr>
                  </w:pPr>
                </w:p>
              </w:tc>
              <w:tc>
                <w:tcPr>
                  <w:tcW w:w="864" w:type="dxa"/>
                  <w:vMerge w:val="continue"/>
                  <w:vAlign w:val="center"/>
                </w:tcPr>
                <w:p>
                  <w:pPr>
                    <w:pStyle w:val="28"/>
                    <w:spacing w:line="360" w:lineRule="exact"/>
                    <w:rPr>
                      <w:color w:val="auto"/>
                      <w:szCs w:val="21"/>
                      <w:lang w:val="en-US"/>
                    </w:rPr>
                  </w:pPr>
                </w:p>
              </w:tc>
              <w:tc>
                <w:tcPr>
                  <w:tcW w:w="1587" w:type="dxa"/>
                  <w:tcBorders>
                    <w:right w:val="single" w:color="auto" w:sz="4" w:space="0"/>
                  </w:tcBorders>
                  <w:vAlign w:val="center"/>
                </w:tcPr>
                <w:p>
                  <w:pPr>
                    <w:pStyle w:val="28"/>
                    <w:spacing w:line="360" w:lineRule="exact"/>
                    <w:rPr>
                      <w:color w:val="auto"/>
                      <w:szCs w:val="21"/>
                      <w:lang w:val="en-US"/>
                    </w:rPr>
                  </w:pPr>
                  <w:r>
                    <w:rPr>
                      <w:color w:val="auto"/>
                      <w:szCs w:val="21"/>
                      <w:lang w:val="en-US"/>
                    </w:rPr>
                    <w:t>冲击式破碎机</w:t>
                  </w:r>
                </w:p>
              </w:tc>
              <w:tc>
                <w:tcPr>
                  <w:tcW w:w="864" w:type="dxa"/>
                  <w:vAlign w:val="center"/>
                </w:tcPr>
                <w:p>
                  <w:pPr>
                    <w:pStyle w:val="28"/>
                    <w:spacing w:line="360" w:lineRule="exact"/>
                    <w:rPr>
                      <w:color w:val="auto"/>
                      <w:szCs w:val="21"/>
                      <w:lang w:val="en-US"/>
                    </w:rPr>
                  </w:pPr>
                  <w:r>
                    <w:rPr>
                      <w:color w:val="auto"/>
                      <w:szCs w:val="21"/>
                      <w:lang w:val="en-US"/>
                    </w:rPr>
                    <w:t>1台</w:t>
                  </w:r>
                </w:p>
              </w:tc>
              <w:tc>
                <w:tcPr>
                  <w:tcW w:w="1153" w:type="dxa"/>
                  <w:tcBorders>
                    <w:right w:val="single" w:color="auto" w:sz="4" w:space="0"/>
                  </w:tcBorders>
                  <w:vAlign w:val="center"/>
                </w:tcPr>
                <w:p>
                  <w:pPr>
                    <w:pStyle w:val="28"/>
                    <w:spacing w:line="360" w:lineRule="exact"/>
                    <w:rPr>
                      <w:color w:val="auto"/>
                      <w:szCs w:val="21"/>
                      <w:lang w:val="en-US"/>
                    </w:rPr>
                  </w:pPr>
                  <w:r>
                    <w:rPr>
                      <w:color w:val="auto"/>
                      <w:szCs w:val="21"/>
                      <w:lang w:val="en-US"/>
                    </w:rPr>
                    <w:t>85</w:t>
                  </w:r>
                </w:p>
              </w:tc>
              <w:tc>
                <w:tcPr>
                  <w:tcW w:w="1253" w:type="dxa"/>
                  <w:vMerge w:val="continue"/>
                  <w:tcBorders>
                    <w:left w:val="single" w:color="auto" w:sz="4" w:space="0"/>
                    <w:right w:val="single" w:color="auto" w:sz="4" w:space="0"/>
                  </w:tcBorders>
                  <w:vAlign w:val="center"/>
                </w:tcPr>
                <w:p>
                  <w:pPr>
                    <w:pStyle w:val="28"/>
                    <w:spacing w:line="360" w:lineRule="exact"/>
                    <w:rPr>
                      <w:color w:val="auto"/>
                      <w:szCs w:val="21"/>
                    </w:rPr>
                  </w:pPr>
                </w:p>
              </w:tc>
              <w:tc>
                <w:tcPr>
                  <w:tcW w:w="1015" w:type="dxa"/>
                  <w:tcBorders>
                    <w:lef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75</w:t>
                  </w:r>
                </w:p>
              </w:tc>
              <w:tc>
                <w:tcPr>
                  <w:tcW w:w="1357" w:type="dxa"/>
                  <w:vAlign w:val="center"/>
                </w:tcPr>
                <w:p>
                  <w:pPr>
                    <w:spacing w:line="360" w:lineRule="exact"/>
                    <w:jc w:val="center"/>
                    <w:rPr>
                      <w:rFonts w:ascii="Times New Roman" w:hAnsi="Times New Roman" w:cs="Times New Roman"/>
                    </w:rPr>
                  </w:pPr>
                  <w:r>
                    <w:rPr>
                      <w:rFonts w:ascii="Times New Roman" w:hAnsi="Times New Roman" w:cs="Times New Roma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8" w:type="dxa"/>
                  <w:vMerge w:val="continue"/>
                  <w:vAlign w:val="center"/>
                </w:tcPr>
                <w:p>
                  <w:pPr>
                    <w:pStyle w:val="28"/>
                    <w:spacing w:line="360" w:lineRule="exact"/>
                    <w:rPr>
                      <w:color w:val="auto"/>
                      <w:szCs w:val="21"/>
                      <w:lang w:val="en-US"/>
                    </w:rPr>
                  </w:pPr>
                </w:p>
              </w:tc>
              <w:tc>
                <w:tcPr>
                  <w:tcW w:w="864" w:type="dxa"/>
                  <w:vMerge w:val="continue"/>
                  <w:vAlign w:val="center"/>
                </w:tcPr>
                <w:p>
                  <w:pPr>
                    <w:pStyle w:val="28"/>
                    <w:spacing w:line="360" w:lineRule="exact"/>
                    <w:rPr>
                      <w:color w:val="auto"/>
                      <w:szCs w:val="21"/>
                      <w:lang w:val="en-US"/>
                    </w:rPr>
                  </w:pPr>
                </w:p>
              </w:tc>
              <w:tc>
                <w:tcPr>
                  <w:tcW w:w="1587" w:type="dxa"/>
                  <w:tcBorders>
                    <w:right w:val="single" w:color="auto" w:sz="4" w:space="0"/>
                  </w:tcBorders>
                  <w:vAlign w:val="center"/>
                </w:tcPr>
                <w:p>
                  <w:pPr>
                    <w:pStyle w:val="28"/>
                    <w:spacing w:line="360" w:lineRule="exact"/>
                    <w:rPr>
                      <w:color w:val="auto"/>
                      <w:szCs w:val="21"/>
                      <w:lang w:val="en-US"/>
                    </w:rPr>
                  </w:pPr>
                  <w:r>
                    <w:rPr>
                      <w:color w:val="auto"/>
                      <w:szCs w:val="21"/>
                      <w:lang w:val="en-US"/>
                    </w:rPr>
                    <w:t>圆锥破碎机</w:t>
                  </w:r>
                </w:p>
              </w:tc>
              <w:tc>
                <w:tcPr>
                  <w:tcW w:w="864" w:type="dxa"/>
                  <w:vAlign w:val="center"/>
                </w:tcPr>
                <w:p>
                  <w:pPr>
                    <w:pStyle w:val="28"/>
                    <w:spacing w:line="360" w:lineRule="exact"/>
                    <w:rPr>
                      <w:color w:val="auto"/>
                      <w:szCs w:val="21"/>
                      <w:lang w:val="en-US"/>
                    </w:rPr>
                  </w:pPr>
                  <w:r>
                    <w:rPr>
                      <w:color w:val="auto"/>
                      <w:szCs w:val="21"/>
                      <w:lang w:val="en-US"/>
                    </w:rPr>
                    <w:t>1台</w:t>
                  </w:r>
                </w:p>
              </w:tc>
              <w:tc>
                <w:tcPr>
                  <w:tcW w:w="1153" w:type="dxa"/>
                  <w:tcBorders>
                    <w:right w:val="single" w:color="auto" w:sz="4" w:space="0"/>
                  </w:tcBorders>
                  <w:vAlign w:val="center"/>
                </w:tcPr>
                <w:p>
                  <w:pPr>
                    <w:pStyle w:val="28"/>
                    <w:spacing w:line="360" w:lineRule="exact"/>
                    <w:rPr>
                      <w:color w:val="auto"/>
                      <w:szCs w:val="21"/>
                      <w:lang w:val="en-US"/>
                    </w:rPr>
                  </w:pPr>
                  <w:r>
                    <w:rPr>
                      <w:color w:val="auto"/>
                      <w:szCs w:val="21"/>
                      <w:lang w:val="en-US"/>
                    </w:rPr>
                    <w:t>85</w:t>
                  </w:r>
                </w:p>
              </w:tc>
              <w:tc>
                <w:tcPr>
                  <w:tcW w:w="1253" w:type="dxa"/>
                  <w:vMerge w:val="continue"/>
                  <w:tcBorders>
                    <w:left w:val="single" w:color="auto" w:sz="4" w:space="0"/>
                    <w:right w:val="single" w:color="auto" w:sz="4" w:space="0"/>
                  </w:tcBorders>
                  <w:vAlign w:val="center"/>
                </w:tcPr>
                <w:p>
                  <w:pPr>
                    <w:pStyle w:val="28"/>
                    <w:spacing w:line="360" w:lineRule="exact"/>
                    <w:rPr>
                      <w:color w:val="auto"/>
                      <w:szCs w:val="21"/>
                    </w:rPr>
                  </w:pPr>
                </w:p>
              </w:tc>
              <w:tc>
                <w:tcPr>
                  <w:tcW w:w="1015" w:type="dxa"/>
                  <w:tcBorders>
                    <w:lef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75</w:t>
                  </w:r>
                </w:p>
              </w:tc>
              <w:tc>
                <w:tcPr>
                  <w:tcW w:w="1357" w:type="dxa"/>
                  <w:vAlign w:val="center"/>
                </w:tcPr>
                <w:p>
                  <w:pPr>
                    <w:spacing w:line="360" w:lineRule="exact"/>
                    <w:jc w:val="center"/>
                    <w:rPr>
                      <w:rFonts w:ascii="Times New Roman" w:hAnsi="Times New Roman" w:cs="Times New Roman"/>
                    </w:rPr>
                  </w:pPr>
                  <w:r>
                    <w:rPr>
                      <w:rFonts w:ascii="Times New Roman" w:hAnsi="Times New Roman" w:cs="Times New Roma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6" w:hRule="atLeast"/>
                <w:jc w:val="center"/>
              </w:trPr>
              <w:tc>
                <w:tcPr>
                  <w:tcW w:w="748" w:type="dxa"/>
                  <w:vMerge w:val="continue"/>
                  <w:vAlign w:val="center"/>
                </w:tcPr>
                <w:p>
                  <w:pPr>
                    <w:pStyle w:val="28"/>
                    <w:spacing w:line="360" w:lineRule="exact"/>
                    <w:rPr>
                      <w:color w:val="auto"/>
                      <w:szCs w:val="21"/>
                      <w:lang w:val="en-US"/>
                    </w:rPr>
                  </w:pPr>
                </w:p>
              </w:tc>
              <w:tc>
                <w:tcPr>
                  <w:tcW w:w="864" w:type="dxa"/>
                  <w:vMerge w:val="restart"/>
                  <w:vAlign w:val="center"/>
                </w:tcPr>
                <w:p>
                  <w:pPr>
                    <w:pStyle w:val="28"/>
                    <w:spacing w:line="360" w:lineRule="exact"/>
                    <w:rPr>
                      <w:color w:val="auto"/>
                      <w:szCs w:val="21"/>
                      <w:lang w:val="en-US"/>
                    </w:rPr>
                  </w:pPr>
                  <w:r>
                    <w:rPr>
                      <w:color w:val="auto"/>
                      <w:szCs w:val="21"/>
                      <w:lang w:val="en-US"/>
                    </w:rPr>
                    <w:t>筛分水洗车间</w:t>
                  </w:r>
                </w:p>
              </w:tc>
              <w:tc>
                <w:tcPr>
                  <w:tcW w:w="1587" w:type="dxa"/>
                  <w:tcBorders>
                    <w:right w:val="single" w:color="auto" w:sz="4" w:space="0"/>
                  </w:tcBorders>
                  <w:vAlign w:val="center"/>
                </w:tcPr>
                <w:p>
                  <w:pPr>
                    <w:pStyle w:val="28"/>
                    <w:spacing w:line="360" w:lineRule="exact"/>
                    <w:rPr>
                      <w:color w:val="auto"/>
                      <w:szCs w:val="21"/>
                      <w:lang w:val="en-US"/>
                    </w:rPr>
                  </w:pPr>
                  <w:r>
                    <w:rPr>
                      <w:color w:val="auto"/>
                      <w:szCs w:val="21"/>
                      <w:lang w:val="en-US"/>
                    </w:rPr>
                    <w:t>振动筛</w:t>
                  </w:r>
                </w:p>
              </w:tc>
              <w:tc>
                <w:tcPr>
                  <w:tcW w:w="864" w:type="dxa"/>
                  <w:vAlign w:val="center"/>
                </w:tcPr>
                <w:p>
                  <w:pPr>
                    <w:pStyle w:val="28"/>
                    <w:spacing w:line="360" w:lineRule="exact"/>
                    <w:rPr>
                      <w:color w:val="auto"/>
                      <w:szCs w:val="21"/>
                      <w:lang w:val="en-US"/>
                    </w:rPr>
                  </w:pPr>
                  <w:r>
                    <w:rPr>
                      <w:color w:val="auto"/>
                      <w:szCs w:val="21"/>
                      <w:lang w:val="en-US"/>
                    </w:rPr>
                    <w:t>3套</w:t>
                  </w:r>
                </w:p>
              </w:tc>
              <w:tc>
                <w:tcPr>
                  <w:tcW w:w="1153" w:type="dxa"/>
                  <w:tcBorders>
                    <w:right w:val="single" w:color="auto" w:sz="4" w:space="0"/>
                  </w:tcBorders>
                  <w:vAlign w:val="center"/>
                </w:tcPr>
                <w:p>
                  <w:pPr>
                    <w:pStyle w:val="28"/>
                    <w:spacing w:line="360" w:lineRule="exact"/>
                    <w:rPr>
                      <w:color w:val="auto"/>
                      <w:szCs w:val="21"/>
                      <w:lang w:val="en-US"/>
                    </w:rPr>
                  </w:pPr>
                  <w:r>
                    <w:rPr>
                      <w:color w:val="auto"/>
                      <w:szCs w:val="21"/>
                      <w:lang w:val="en-US"/>
                    </w:rPr>
                    <w:t>70</w:t>
                  </w:r>
                </w:p>
              </w:tc>
              <w:tc>
                <w:tcPr>
                  <w:tcW w:w="1253" w:type="dxa"/>
                  <w:vMerge w:val="continue"/>
                  <w:tcBorders>
                    <w:left w:val="single" w:color="auto" w:sz="4" w:space="0"/>
                    <w:right w:val="single" w:color="auto" w:sz="4" w:space="0"/>
                  </w:tcBorders>
                  <w:vAlign w:val="center"/>
                </w:tcPr>
                <w:p>
                  <w:pPr>
                    <w:pStyle w:val="28"/>
                    <w:spacing w:line="360" w:lineRule="exact"/>
                    <w:rPr>
                      <w:color w:val="auto"/>
                      <w:szCs w:val="21"/>
                      <w:lang w:val="en-US"/>
                    </w:rPr>
                  </w:pPr>
                </w:p>
              </w:tc>
              <w:tc>
                <w:tcPr>
                  <w:tcW w:w="1015" w:type="dxa"/>
                  <w:tcBorders>
                    <w:lef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75</w:t>
                  </w:r>
                </w:p>
              </w:tc>
              <w:tc>
                <w:tcPr>
                  <w:tcW w:w="1357" w:type="dxa"/>
                  <w:vAlign w:val="center"/>
                </w:tcPr>
                <w:p>
                  <w:pPr>
                    <w:pStyle w:val="28"/>
                    <w:spacing w:line="360" w:lineRule="exact"/>
                    <w:rPr>
                      <w:color w:val="auto"/>
                      <w:szCs w:val="21"/>
                      <w:lang w:val="en-US"/>
                    </w:rPr>
                  </w:pPr>
                  <w:r>
                    <w:rPr>
                      <w:color w:val="auto"/>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8" w:type="dxa"/>
                  <w:vMerge w:val="continue"/>
                  <w:vAlign w:val="center"/>
                </w:tcPr>
                <w:p>
                  <w:pPr>
                    <w:pStyle w:val="28"/>
                    <w:spacing w:line="360" w:lineRule="exact"/>
                    <w:rPr>
                      <w:color w:val="auto"/>
                      <w:szCs w:val="21"/>
                      <w:lang w:val="en-US"/>
                    </w:rPr>
                  </w:pPr>
                </w:p>
              </w:tc>
              <w:tc>
                <w:tcPr>
                  <w:tcW w:w="864" w:type="dxa"/>
                  <w:vMerge w:val="continue"/>
                  <w:vAlign w:val="center"/>
                </w:tcPr>
                <w:p>
                  <w:pPr>
                    <w:pStyle w:val="28"/>
                    <w:spacing w:line="360" w:lineRule="exact"/>
                    <w:rPr>
                      <w:color w:val="auto"/>
                      <w:szCs w:val="21"/>
                      <w:lang w:val="en-US"/>
                    </w:rPr>
                  </w:pPr>
                </w:p>
              </w:tc>
              <w:tc>
                <w:tcPr>
                  <w:tcW w:w="1587" w:type="dxa"/>
                  <w:tcBorders>
                    <w:right w:val="single" w:color="auto" w:sz="4" w:space="0"/>
                  </w:tcBorders>
                  <w:vAlign w:val="center"/>
                </w:tcPr>
                <w:p>
                  <w:pPr>
                    <w:pStyle w:val="28"/>
                    <w:spacing w:line="360" w:lineRule="exact"/>
                    <w:rPr>
                      <w:color w:val="auto"/>
                      <w:szCs w:val="21"/>
                      <w:lang w:val="en-US"/>
                    </w:rPr>
                  </w:pPr>
                  <w:r>
                    <w:rPr>
                      <w:color w:val="auto"/>
                      <w:szCs w:val="21"/>
                      <w:lang w:val="en-US"/>
                    </w:rPr>
                    <w:t>螺旋洗砂机</w:t>
                  </w:r>
                </w:p>
              </w:tc>
              <w:tc>
                <w:tcPr>
                  <w:tcW w:w="864" w:type="dxa"/>
                  <w:vAlign w:val="center"/>
                </w:tcPr>
                <w:p>
                  <w:pPr>
                    <w:pStyle w:val="28"/>
                    <w:spacing w:line="360" w:lineRule="exact"/>
                    <w:rPr>
                      <w:color w:val="auto"/>
                      <w:szCs w:val="21"/>
                      <w:lang w:val="en-US"/>
                    </w:rPr>
                  </w:pPr>
                  <w:r>
                    <w:rPr>
                      <w:color w:val="auto"/>
                      <w:szCs w:val="21"/>
                      <w:lang w:val="en-US"/>
                    </w:rPr>
                    <w:t>2套</w:t>
                  </w:r>
                </w:p>
              </w:tc>
              <w:tc>
                <w:tcPr>
                  <w:tcW w:w="1153" w:type="dxa"/>
                  <w:tcBorders>
                    <w:right w:val="single" w:color="auto" w:sz="4" w:space="0"/>
                  </w:tcBorders>
                  <w:vAlign w:val="center"/>
                </w:tcPr>
                <w:p>
                  <w:pPr>
                    <w:pStyle w:val="28"/>
                    <w:spacing w:line="360" w:lineRule="exact"/>
                    <w:rPr>
                      <w:color w:val="auto"/>
                      <w:szCs w:val="21"/>
                      <w:lang w:val="en-US"/>
                    </w:rPr>
                  </w:pPr>
                  <w:r>
                    <w:rPr>
                      <w:color w:val="auto"/>
                      <w:szCs w:val="21"/>
                      <w:lang w:val="en-US"/>
                    </w:rPr>
                    <w:t>75</w:t>
                  </w:r>
                </w:p>
              </w:tc>
              <w:tc>
                <w:tcPr>
                  <w:tcW w:w="1253" w:type="dxa"/>
                  <w:vMerge w:val="continue"/>
                  <w:tcBorders>
                    <w:left w:val="single" w:color="auto" w:sz="4" w:space="0"/>
                    <w:right w:val="single" w:color="auto" w:sz="4" w:space="0"/>
                  </w:tcBorders>
                  <w:vAlign w:val="center"/>
                </w:tcPr>
                <w:p>
                  <w:pPr>
                    <w:pStyle w:val="28"/>
                    <w:spacing w:line="360" w:lineRule="exact"/>
                    <w:rPr>
                      <w:color w:val="auto"/>
                      <w:szCs w:val="21"/>
                      <w:lang w:val="en-US"/>
                    </w:rPr>
                  </w:pPr>
                </w:p>
              </w:tc>
              <w:tc>
                <w:tcPr>
                  <w:tcW w:w="1015" w:type="dxa"/>
                  <w:tcBorders>
                    <w:left w:val="single" w:color="auto" w:sz="4" w:space="0"/>
                  </w:tcBorders>
                  <w:vAlign w:val="center"/>
                </w:tcPr>
                <w:p>
                  <w:pPr>
                    <w:pStyle w:val="28"/>
                    <w:spacing w:line="360" w:lineRule="exact"/>
                    <w:rPr>
                      <w:color w:val="auto"/>
                      <w:szCs w:val="21"/>
                      <w:lang w:val="en-US"/>
                    </w:rPr>
                  </w:pPr>
                  <w:r>
                    <w:rPr>
                      <w:color w:val="auto"/>
                      <w:szCs w:val="21"/>
                      <w:lang w:val="en-US"/>
                    </w:rPr>
                    <w:t>65</w:t>
                  </w:r>
                </w:p>
              </w:tc>
              <w:tc>
                <w:tcPr>
                  <w:tcW w:w="1357" w:type="dxa"/>
                  <w:vAlign w:val="center"/>
                </w:tcPr>
                <w:p>
                  <w:pPr>
                    <w:pStyle w:val="28"/>
                    <w:spacing w:line="360" w:lineRule="exact"/>
                    <w:rPr>
                      <w:color w:val="auto"/>
                      <w:szCs w:val="21"/>
                      <w:lang w:val="en-US"/>
                    </w:rPr>
                  </w:pPr>
                  <w:r>
                    <w:rPr>
                      <w:color w:val="auto"/>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8" w:type="dxa"/>
                  <w:vMerge w:val="continue"/>
                  <w:vAlign w:val="center"/>
                </w:tcPr>
                <w:p>
                  <w:pPr>
                    <w:pStyle w:val="28"/>
                    <w:spacing w:line="360" w:lineRule="exact"/>
                    <w:rPr>
                      <w:color w:val="auto"/>
                      <w:szCs w:val="21"/>
                      <w:lang w:val="en-US"/>
                    </w:rPr>
                  </w:pPr>
                </w:p>
              </w:tc>
              <w:tc>
                <w:tcPr>
                  <w:tcW w:w="864" w:type="dxa"/>
                  <w:vMerge w:val="continue"/>
                  <w:vAlign w:val="center"/>
                </w:tcPr>
                <w:p>
                  <w:pPr>
                    <w:pStyle w:val="28"/>
                    <w:spacing w:line="360" w:lineRule="exact"/>
                    <w:rPr>
                      <w:color w:val="auto"/>
                      <w:szCs w:val="21"/>
                      <w:lang w:val="en-US"/>
                    </w:rPr>
                  </w:pPr>
                </w:p>
              </w:tc>
              <w:tc>
                <w:tcPr>
                  <w:tcW w:w="1587" w:type="dxa"/>
                  <w:tcBorders>
                    <w:right w:val="single" w:color="auto" w:sz="4" w:space="0"/>
                  </w:tcBorders>
                  <w:vAlign w:val="center"/>
                </w:tcPr>
                <w:p>
                  <w:pPr>
                    <w:pStyle w:val="28"/>
                    <w:spacing w:line="360" w:lineRule="exact"/>
                    <w:rPr>
                      <w:color w:val="auto"/>
                      <w:szCs w:val="21"/>
                      <w:lang w:val="en-US"/>
                    </w:rPr>
                  </w:pPr>
                  <w:r>
                    <w:rPr>
                      <w:color w:val="auto"/>
                      <w:szCs w:val="21"/>
                      <w:lang w:val="en-US"/>
                    </w:rPr>
                    <w:t>脱水筛</w:t>
                  </w:r>
                </w:p>
              </w:tc>
              <w:tc>
                <w:tcPr>
                  <w:tcW w:w="864" w:type="dxa"/>
                  <w:vAlign w:val="center"/>
                </w:tcPr>
                <w:p>
                  <w:pPr>
                    <w:pStyle w:val="28"/>
                    <w:spacing w:line="360" w:lineRule="exact"/>
                    <w:rPr>
                      <w:color w:val="auto"/>
                      <w:szCs w:val="21"/>
                      <w:lang w:val="en-US"/>
                    </w:rPr>
                  </w:pPr>
                  <w:r>
                    <w:rPr>
                      <w:color w:val="auto"/>
                      <w:szCs w:val="21"/>
                      <w:lang w:val="en-US"/>
                    </w:rPr>
                    <w:t>2套</w:t>
                  </w:r>
                </w:p>
              </w:tc>
              <w:tc>
                <w:tcPr>
                  <w:tcW w:w="1153" w:type="dxa"/>
                  <w:tcBorders>
                    <w:right w:val="single" w:color="auto" w:sz="4" w:space="0"/>
                  </w:tcBorders>
                  <w:vAlign w:val="center"/>
                </w:tcPr>
                <w:p>
                  <w:pPr>
                    <w:pStyle w:val="28"/>
                    <w:spacing w:line="360" w:lineRule="exact"/>
                    <w:rPr>
                      <w:color w:val="auto"/>
                      <w:szCs w:val="21"/>
                      <w:lang w:val="en-US"/>
                    </w:rPr>
                  </w:pPr>
                  <w:r>
                    <w:rPr>
                      <w:color w:val="auto"/>
                      <w:szCs w:val="21"/>
                      <w:lang w:val="en-US"/>
                    </w:rPr>
                    <w:t>70</w:t>
                  </w:r>
                </w:p>
              </w:tc>
              <w:tc>
                <w:tcPr>
                  <w:tcW w:w="1253" w:type="dxa"/>
                  <w:vMerge w:val="continue"/>
                  <w:tcBorders>
                    <w:left w:val="single" w:color="auto" w:sz="4" w:space="0"/>
                    <w:right w:val="single" w:color="auto" w:sz="4" w:space="0"/>
                  </w:tcBorders>
                  <w:vAlign w:val="center"/>
                </w:tcPr>
                <w:p>
                  <w:pPr>
                    <w:pStyle w:val="28"/>
                    <w:spacing w:line="360" w:lineRule="exact"/>
                    <w:rPr>
                      <w:color w:val="auto"/>
                      <w:szCs w:val="21"/>
                      <w:lang w:val="en-US"/>
                    </w:rPr>
                  </w:pPr>
                </w:p>
              </w:tc>
              <w:tc>
                <w:tcPr>
                  <w:tcW w:w="1015" w:type="dxa"/>
                  <w:tcBorders>
                    <w:left w:val="single" w:color="auto" w:sz="4" w:space="0"/>
                  </w:tcBorders>
                  <w:vAlign w:val="center"/>
                </w:tcPr>
                <w:p>
                  <w:pPr>
                    <w:pStyle w:val="28"/>
                    <w:spacing w:line="360" w:lineRule="exact"/>
                    <w:rPr>
                      <w:color w:val="auto"/>
                      <w:szCs w:val="21"/>
                      <w:lang w:val="en-US"/>
                    </w:rPr>
                  </w:pPr>
                  <w:r>
                    <w:rPr>
                      <w:color w:val="auto"/>
                      <w:szCs w:val="21"/>
                      <w:lang w:val="en-US"/>
                    </w:rPr>
                    <w:t>60</w:t>
                  </w:r>
                </w:p>
              </w:tc>
              <w:tc>
                <w:tcPr>
                  <w:tcW w:w="1357" w:type="dxa"/>
                  <w:vAlign w:val="center"/>
                </w:tcPr>
                <w:p>
                  <w:pPr>
                    <w:pStyle w:val="28"/>
                    <w:spacing w:line="360" w:lineRule="exact"/>
                    <w:rPr>
                      <w:color w:val="auto"/>
                      <w:szCs w:val="21"/>
                      <w:lang w:val="en-US"/>
                    </w:rPr>
                  </w:pPr>
                  <w:r>
                    <w:rPr>
                      <w:color w:val="auto"/>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8" w:type="dxa"/>
                  <w:vMerge w:val="restart"/>
                  <w:vAlign w:val="center"/>
                </w:tcPr>
                <w:p>
                  <w:pPr>
                    <w:pStyle w:val="28"/>
                    <w:spacing w:line="360" w:lineRule="exact"/>
                    <w:rPr>
                      <w:color w:val="auto"/>
                      <w:szCs w:val="21"/>
                      <w:lang w:val="en-US"/>
                    </w:rPr>
                  </w:pPr>
                  <w:r>
                    <w:rPr>
                      <w:color w:val="auto"/>
                      <w:szCs w:val="21"/>
                      <w:lang w:val="en-US"/>
                    </w:rPr>
                    <w:t>储运工程</w:t>
                  </w:r>
                </w:p>
              </w:tc>
              <w:tc>
                <w:tcPr>
                  <w:tcW w:w="864" w:type="dxa"/>
                  <w:vMerge w:val="restart"/>
                  <w:vAlign w:val="center"/>
                </w:tcPr>
                <w:p>
                  <w:pPr>
                    <w:pStyle w:val="28"/>
                    <w:spacing w:line="360" w:lineRule="exact"/>
                    <w:rPr>
                      <w:color w:val="auto"/>
                      <w:szCs w:val="21"/>
                      <w:lang w:val="en-US"/>
                    </w:rPr>
                  </w:pPr>
                  <w:r>
                    <w:rPr>
                      <w:color w:val="auto"/>
                      <w:szCs w:val="21"/>
                      <w:lang w:val="en-US"/>
                    </w:rPr>
                    <w:t>产品库</w:t>
                  </w:r>
                </w:p>
              </w:tc>
              <w:tc>
                <w:tcPr>
                  <w:tcW w:w="1587" w:type="dxa"/>
                  <w:tcBorders>
                    <w:right w:val="single" w:color="auto" w:sz="4" w:space="0"/>
                  </w:tcBorders>
                  <w:vAlign w:val="center"/>
                </w:tcPr>
                <w:p>
                  <w:pPr>
                    <w:pStyle w:val="28"/>
                    <w:spacing w:line="360" w:lineRule="exact"/>
                    <w:rPr>
                      <w:color w:val="auto"/>
                      <w:szCs w:val="21"/>
                      <w:lang w:val="en-US"/>
                    </w:rPr>
                  </w:pPr>
                  <w:r>
                    <w:rPr>
                      <w:color w:val="auto"/>
                      <w:szCs w:val="21"/>
                      <w:lang w:val="en-US"/>
                    </w:rPr>
                    <w:t>装载机</w:t>
                  </w:r>
                </w:p>
              </w:tc>
              <w:tc>
                <w:tcPr>
                  <w:tcW w:w="864" w:type="dxa"/>
                  <w:vAlign w:val="center"/>
                </w:tcPr>
                <w:p>
                  <w:pPr>
                    <w:pStyle w:val="28"/>
                    <w:spacing w:line="360" w:lineRule="exact"/>
                    <w:rPr>
                      <w:color w:val="auto"/>
                      <w:szCs w:val="21"/>
                      <w:lang w:val="en-US"/>
                    </w:rPr>
                  </w:pPr>
                  <w:r>
                    <w:rPr>
                      <w:color w:val="auto"/>
                      <w:szCs w:val="21"/>
                      <w:lang w:val="en-US"/>
                    </w:rPr>
                    <w:t>2台</w:t>
                  </w:r>
                </w:p>
              </w:tc>
              <w:tc>
                <w:tcPr>
                  <w:tcW w:w="1153" w:type="dxa"/>
                  <w:tcBorders>
                    <w:right w:val="single" w:color="auto" w:sz="4" w:space="0"/>
                  </w:tcBorders>
                  <w:vAlign w:val="center"/>
                </w:tcPr>
                <w:p>
                  <w:pPr>
                    <w:pStyle w:val="28"/>
                    <w:spacing w:line="360" w:lineRule="exact"/>
                    <w:rPr>
                      <w:color w:val="auto"/>
                      <w:szCs w:val="21"/>
                      <w:lang w:val="en-US"/>
                    </w:rPr>
                  </w:pPr>
                  <w:r>
                    <w:rPr>
                      <w:color w:val="auto"/>
                      <w:szCs w:val="21"/>
                      <w:lang w:val="en-US"/>
                    </w:rPr>
                    <w:t>80</w:t>
                  </w:r>
                </w:p>
              </w:tc>
              <w:tc>
                <w:tcPr>
                  <w:tcW w:w="1253" w:type="dxa"/>
                  <w:vMerge w:val="continue"/>
                  <w:tcBorders>
                    <w:left w:val="single" w:color="auto" w:sz="4" w:space="0"/>
                    <w:right w:val="single" w:color="auto" w:sz="4" w:space="0"/>
                  </w:tcBorders>
                  <w:vAlign w:val="center"/>
                </w:tcPr>
                <w:p>
                  <w:pPr>
                    <w:pStyle w:val="28"/>
                    <w:spacing w:line="360" w:lineRule="exact"/>
                    <w:rPr>
                      <w:color w:val="auto"/>
                      <w:szCs w:val="21"/>
                      <w:lang w:val="en-US"/>
                    </w:rPr>
                  </w:pPr>
                </w:p>
              </w:tc>
              <w:tc>
                <w:tcPr>
                  <w:tcW w:w="1015" w:type="dxa"/>
                  <w:tcBorders>
                    <w:left w:val="single" w:color="auto" w:sz="4" w:space="0"/>
                  </w:tcBorders>
                  <w:vAlign w:val="center"/>
                </w:tcPr>
                <w:p>
                  <w:pPr>
                    <w:pStyle w:val="28"/>
                    <w:spacing w:line="360" w:lineRule="exact"/>
                    <w:rPr>
                      <w:color w:val="auto"/>
                      <w:szCs w:val="21"/>
                      <w:lang w:val="en-US"/>
                    </w:rPr>
                  </w:pPr>
                  <w:r>
                    <w:rPr>
                      <w:color w:val="auto"/>
                      <w:szCs w:val="21"/>
                      <w:lang w:val="en-US"/>
                    </w:rPr>
                    <w:t>70</w:t>
                  </w:r>
                </w:p>
              </w:tc>
              <w:tc>
                <w:tcPr>
                  <w:tcW w:w="1357" w:type="dxa"/>
                  <w:vAlign w:val="center"/>
                </w:tcPr>
                <w:p>
                  <w:pPr>
                    <w:pStyle w:val="28"/>
                    <w:spacing w:line="360" w:lineRule="exact"/>
                    <w:rPr>
                      <w:color w:val="auto"/>
                      <w:szCs w:val="21"/>
                      <w:lang w:val="en-US"/>
                    </w:rPr>
                  </w:pPr>
                  <w:r>
                    <w:rPr>
                      <w:color w:val="auto"/>
                      <w:szCs w:val="21"/>
                    </w:rPr>
                    <w:t>间歇性产生，8h/d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8" w:type="dxa"/>
                  <w:vMerge w:val="continue"/>
                  <w:vAlign w:val="center"/>
                </w:tcPr>
                <w:p>
                  <w:pPr>
                    <w:pStyle w:val="28"/>
                    <w:spacing w:line="360" w:lineRule="exact"/>
                    <w:rPr>
                      <w:color w:val="auto"/>
                      <w:szCs w:val="21"/>
                      <w:lang w:val="en-US"/>
                    </w:rPr>
                  </w:pPr>
                </w:p>
              </w:tc>
              <w:tc>
                <w:tcPr>
                  <w:tcW w:w="864" w:type="dxa"/>
                  <w:vMerge w:val="continue"/>
                  <w:vAlign w:val="center"/>
                </w:tcPr>
                <w:p>
                  <w:pPr>
                    <w:pStyle w:val="28"/>
                    <w:spacing w:line="360" w:lineRule="exact"/>
                    <w:rPr>
                      <w:color w:val="auto"/>
                      <w:szCs w:val="21"/>
                      <w:lang w:val="en-US"/>
                    </w:rPr>
                  </w:pPr>
                </w:p>
              </w:tc>
              <w:tc>
                <w:tcPr>
                  <w:tcW w:w="1587" w:type="dxa"/>
                  <w:tcBorders>
                    <w:right w:val="single" w:color="auto" w:sz="4" w:space="0"/>
                  </w:tcBorders>
                  <w:vAlign w:val="center"/>
                </w:tcPr>
                <w:p>
                  <w:pPr>
                    <w:pStyle w:val="28"/>
                    <w:spacing w:line="360" w:lineRule="exact"/>
                    <w:rPr>
                      <w:color w:val="auto"/>
                      <w:szCs w:val="21"/>
                      <w:lang w:val="en-US"/>
                    </w:rPr>
                  </w:pPr>
                  <w:r>
                    <w:rPr>
                      <w:color w:val="auto"/>
                      <w:szCs w:val="21"/>
                      <w:lang w:val="en-US"/>
                    </w:rPr>
                    <w:t>叉车</w:t>
                  </w:r>
                </w:p>
              </w:tc>
              <w:tc>
                <w:tcPr>
                  <w:tcW w:w="864" w:type="dxa"/>
                  <w:vAlign w:val="center"/>
                </w:tcPr>
                <w:p>
                  <w:pPr>
                    <w:pStyle w:val="28"/>
                    <w:spacing w:line="360" w:lineRule="exact"/>
                    <w:rPr>
                      <w:color w:val="auto"/>
                      <w:szCs w:val="21"/>
                      <w:lang w:val="en-US"/>
                    </w:rPr>
                  </w:pPr>
                  <w:r>
                    <w:rPr>
                      <w:color w:val="auto"/>
                      <w:szCs w:val="21"/>
                      <w:lang w:val="en-US"/>
                    </w:rPr>
                    <w:t>2台</w:t>
                  </w:r>
                </w:p>
              </w:tc>
              <w:tc>
                <w:tcPr>
                  <w:tcW w:w="1153" w:type="dxa"/>
                  <w:tcBorders>
                    <w:right w:val="single" w:color="auto" w:sz="4" w:space="0"/>
                  </w:tcBorders>
                  <w:vAlign w:val="center"/>
                </w:tcPr>
                <w:p>
                  <w:pPr>
                    <w:pStyle w:val="28"/>
                    <w:spacing w:line="360" w:lineRule="exact"/>
                    <w:rPr>
                      <w:color w:val="auto"/>
                      <w:szCs w:val="21"/>
                      <w:lang w:val="en-US"/>
                    </w:rPr>
                  </w:pPr>
                  <w:r>
                    <w:rPr>
                      <w:color w:val="auto"/>
                      <w:szCs w:val="21"/>
                      <w:lang w:val="en-US"/>
                    </w:rPr>
                    <w:t>80</w:t>
                  </w:r>
                </w:p>
              </w:tc>
              <w:tc>
                <w:tcPr>
                  <w:tcW w:w="1253" w:type="dxa"/>
                  <w:vMerge w:val="continue"/>
                  <w:tcBorders>
                    <w:left w:val="single" w:color="auto" w:sz="4" w:space="0"/>
                    <w:right w:val="single" w:color="auto" w:sz="4" w:space="0"/>
                  </w:tcBorders>
                  <w:vAlign w:val="center"/>
                </w:tcPr>
                <w:p>
                  <w:pPr>
                    <w:pStyle w:val="28"/>
                    <w:spacing w:line="360" w:lineRule="exact"/>
                    <w:rPr>
                      <w:color w:val="auto"/>
                      <w:szCs w:val="21"/>
                      <w:lang w:val="en-US"/>
                    </w:rPr>
                  </w:pPr>
                </w:p>
              </w:tc>
              <w:tc>
                <w:tcPr>
                  <w:tcW w:w="1015" w:type="dxa"/>
                  <w:tcBorders>
                    <w:left w:val="single" w:color="auto" w:sz="4" w:space="0"/>
                  </w:tcBorders>
                  <w:vAlign w:val="center"/>
                </w:tcPr>
                <w:p>
                  <w:pPr>
                    <w:pStyle w:val="28"/>
                    <w:spacing w:line="360" w:lineRule="exact"/>
                    <w:rPr>
                      <w:color w:val="auto"/>
                      <w:szCs w:val="21"/>
                      <w:lang w:val="en-US"/>
                    </w:rPr>
                  </w:pPr>
                  <w:r>
                    <w:rPr>
                      <w:color w:val="auto"/>
                      <w:szCs w:val="21"/>
                      <w:lang w:val="en-US"/>
                    </w:rPr>
                    <w:t>70</w:t>
                  </w:r>
                </w:p>
              </w:tc>
              <w:tc>
                <w:tcPr>
                  <w:tcW w:w="1357" w:type="dxa"/>
                  <w:vAlign w:val="center"/>
                </w:tcPr>
                <w:p>
                  <w:pPr>
                    <w:pStyle w:val="28"/>
                    <w:spacing w:line="360" w:lineRule="exact"/>
                    <w:rPr>
                      <w:color w:val="auto"/>
                      <w:szCs w:val="21"/>
                      <w:lang w:val="en-US"/>
                    </w:rPr>
                  </w:pPr>
                  <w:r>
                    <w:rPr>
                      <w:color w:val="auto"/>
                      <w:szCs w:val="21"/>
                    </w:rPr>
                    <w:t>间歇性产生，8h/d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8" w:type="dxa"/>
                  <w:vAlign w:val="center"/>
                </w:tcPr>
                <w:p>
                  <w:pPr>
                    <w:pStyle w:val="28"/>
                    <w:spacing w:line="360" w:lineRule="exact"/>
                    <w:rPr>
                      <w:color w:val="auto"/>
                      <w:szCs w:val="21"/>
                      <w:lang w:val="en-US"/>
                    </w:rPr>
                  </w:pPr>
                  <w:r>
                    <w:rPr>
                      <w:color w:val="auto"/>
                      <w:szCs w:val="21"/>
                      <w:lang w:val="en-US"/>
                    </w:rPr>
                    <w:t>环保设施</w:t>
                  </w:r>
                </w:p>
              </w:tc>
              <w:tc>
                <w:tcPr>
                  <w:tcW w:w="864" w:type="dxa"/>
                  <w:vAlign w:val="center"/>
                </w:tcPr>
                <w:p>
                  <w:pPr>
                    <w:pStyle w:val="28"/>
                    <w:spacing w:line="360" w:lineRule="exact"/>
                    <w:rPr>
                      <w:color w:val="auto"/>
                      <w:szCs w:val="21"/>
                      <w:lang w:val="en-US"/>
                    </w:rPr>
                  </w:pPr>
                  <w:r>
                    <w:rPr>
                      <w:color w:val="auto"/>
                      <w:szCs w:val="21"/>
                    </w:rPr>
                    <w:t>生产废水处理系统</w:t>
                  </w:r>
                </w:p>
              </w:tc>
              <w:tc>
                <w:tcPr>
                  <w:tcW w:w="1587" w:type="dxa"/>
                  <w:tcBorders>
                    <w:right w:val="single" w:color="auto" w:sz="4" w:space="0"/>
                  </w:tcBorders>
                  <w:vAlign w:val="center"/>
                </w:tcPr>
                <w:p>
                  <w:pPr>
                    <w:pStyle w:val="28"/>
                    <w:spacing w:line="360" w:lineRule="exact"/>
                    <w:rPr>
                      <w:color w:val="auto"/>
                      <w:szCs w:val="21"/>
                      <w:lang w:val="en-US"/>
                    </w:rPr>
                  </w:pPr>
                  <w:r>
                    <w:rPr>
                      <w:color w:val="auto"/>
                      <w:szCs w:val="21"/>
                    </w:rPr>
                    <w:t>污泥压滤机</w:t>
                  </w:r>
                </w:p>
              </w:tc>
              <w:tc>
                <w:tcPr>
                  <w:tcW w:w="864" w:type="dxa"/>
                  <w:vAlign w:val="center"/>
                </w:tcPr>
                <w:p>
                  <w:pPr>
                    <w:pStyle w:val="28"/>
                    <w:spacing w:line="360" w:lineRule="exact"/>
                    <w:rPr>
                      <w:color w:val="auto"/>
                      <w:szCs w:val="21"/>
                      <w:lang w:val="en-US"/>
                    </w:rPr>
                  </w:pPr>
                  <w:r>
                    <w:rPr>
                      <w:color w:val="auto"/>
                      <w:szCs w:val="21"/>
                      <w:lang w:val="en-US"/>
                    </w:rPr>
                    <w:t>2台</w:t>
                  </w:r>
                </w:p>
              </w:tc>
              <w:tc>
                <w:tcPr>
                  <w:tcW w:w="1153" w:type="dxa"/>
                  <w:tcBorders>
                    <w:right w:val="single" w:color="auto" w:sz="4" w:space="0"/>
                  </w:tcBorders>
                  <w:vAlign w:val="center"/>
                </w:tcPr>
                <w:p>
                  <w:pPr>
                    <w:pStyle w:val="28"/>
                    <w:spacing w:line="360" w:lineRule="exact"/>
                    <w:rPr>
                      <w:color w:val="auto"/>
                      <w:szCs w:val="21"/>
                      <w:lang w:val="en-US"/>
                    </w:rPr>
                  </w:pPr>
                  <w:r>
                    <w:rPr>
                      <w:color w:val="auto"/>
                      <w:szCs w:val="21"/>
                      <w:lang w:val="en-US"/>
                    </w:rPr>
                    <w:t>80</w:t>
                  </w:r>
                </w:p>
              </w:tc>
              <w:tc>
                <w:tcPr>
                  <w:tcW w:w="1253" w:type="dxa"/>
                  <w:vMerge w:val="continue"/>
                  <w:tcBorders>
                    <w:left w:val="single" w:color="auto" w:sz="4" w:space="0"/>
                    <w:right w:val="single" w:color="auto" w:sz="4" w:space="0"/>
                  </w:tcBorders>
                  <w:vAlign w:val="center"/>
                </w:tcPr>
                <w:p>
                  <w:pPr>
                    <w:pStyle w:val="28"/>
                    <w:spacing w:line="360" w:lineRule="exact"/>
                    <w:rPr>
                      <w:color w:val="auto"/>
                      <w:szCs w:val="21"/>
                      <w:lang w:val="en-US"/>
                    </w:rPr>
                  </w:pPr>
                </w:p>
              </w:tc>
              <w:tc>
                <w:tcPr>
                  <w:tcW w:w="1015" w:type="dxa"/>
                  <w:tcBorders>
                    <w:left w:val="single" w:color="auto" w:sz="4" w:space="0"/>
                  </w:tcBorders>
                  <w:vAlign w:val="center"/>
                </w:tcPr>
                <w:p>
                  <w:pPr>
                    <w:pStyle w:val="28"/>
                    <w:spacing w:line="360" w:lineRule="exact"/>
                    <w:rPr>
                      <w:color w:val="auto"/>
                      <w:szCs w:val="21"/>
                      <w:lang w:val="en-US"/>
                    </w:rPr>
                  </w:pPr>
                  <w:r>
                    <w:rPr>
                      <w:color w:val="auto"/>
                      <w:szCs w:val="21"/>
                      <w:lang w:val="en-US"/>
                    </w:rPr>
                    <w:t>70</w:t>
                  </w:r>
                </w:p>
              </w:tc>
              <w:tc>
                <w:tcPr>
                  <w:tcW w:w="1357" w:type="dxa"/>
                  <w:vAlign w:val="center"/>
                </w:tcPr>
                <w:p>
                  <w:pPr>
                    <w:pStyle w:val="28"/>
                    <w:spacing w:line="360" w:lineRule="exact"/>
                    <w:rPr>
                      <w:color w:val="auto"/>
                      <w:szCs w:val="21"/>
                    </w:rPr>
                  </w:pPr>
                  <w:r>
                    <w:rPr>
                      <w:color w:val="auto"/>
                      <w:szCs w:val="21"/>
                    </w:rPr>
                    <w:t>连续产生</w:t>
                  </w:r>
                </w:p>
              </w:tc>
            </w:tr>
          </w:tbl>
          <w:p>
            <w:pPr>
              <w:spacing w:before="156"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（2）厂界噪声预测</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1 \* GB3 </w:instrText>
            </w:r>
            <w:r>
              <w:rPr>
                <w:rFonts w:ascii="Times New Roman" w:hAnsi="Times New Roman" w:cs="Times New Roman"/>
                <w:sz w:val="24"/>
                <w:szCs w:val="24"/>
              </w:rPr>
              <w:fldChar w:fldCharType="separate"/>
            </w:r>
            <w:r>
              <w:rPr>
                <w:rFonts w:ascii="Times New Roman" w:hAnsi="Times New Roman" w:eastAsia="宋体" w:cs="Times New Roman"/>
                <w:sz w:val="24"/>
                <w:szCs w:val="24"/>
              </w:rPr>
              <w:t>①</w:t>
            </w:r>
            <w:r>
              <w:rPr>
                <w:rFonts w:ascii="Times New Roman" w:hAnsi="Times New Roman" w:cs="Times New Roman"/>
                <w:sz w:val="24"/>
                <w:szCs w:val="24"/>
              </w:rPr>
              <w:fldChar w:fldCharType="end"/>
            </w:r>
            <w:r>
              <w:rPr>
                <w:rFonts w:ascii="Times New Roman" w:hAnsi="Times New Roman" w:cs="Times New Roman"/>
                <w:sz w:val="24"/>
                <w:szCs w:val="24"/>
              </w:rPr>
              <w:t>预测模式</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本次评价场界噪声预测采用点源衰减模式，把项目区作为1个整体预测，预测场界外1m处噪声贡献值。预测公式如下：</w:t>
            </w:r>
          </w:p>
          <w:p>
            <w:pPr>
              <w:pStyle w:val="47"/>
              <w:ind w:firstLine="0"/>
              <w:jc w:val="center"/>
            </w:pPr>
            <w:r>
              <w:t>Lr=Lr</w:t>
            </w:r>
            <w:r>
              <w:rPr>
                <w:vertAlign w:val="subscript"/>
              </w:rPr>
              <w:t>0</w:t>
            </w:r>
            <w:r>
              <w:t>-20lg（r/r</w:t>
            </w:r>
            <w:r>
              <w:rPr>
                <w:vertAlign w:val="subscript"/>
              </w:rPr>
              <w:t>0</w:t>
            </w:r>
            <w:r>
              <w:t>）-△L</w:t>
            </w:r>
          </w:p>
          <w:p>
            <w:pPr>
              <w:pStyle w:val="47"/>
            </w:pPr>
            <w:r>
              <w:t>式中：Lr--距声源r处的A声压级，dB（A）；</w:t>
            </w:r>
          </w:p>
          <w:p>
            <w:pPr>
              <w:pStyle w:val="47"/>
              <w:ind w:firstLine="1228" w:firstLineChars="512"/>
            </w:pPr>
            <w:r>
              <w:t>Lr</w:t>
            </w:r>
            <w:r>
              <w:rPr>
                <w:vertAlign w:val="subscript"/>
              </w:rPr>
              <w:t>0</w:t>
            </w:r>
            <w:r>
              <w:t>--距声源r</w:t>
            </w:r>
            <w:r>
              <w:rPr>
                <w:vertAlign w:val="subscript"/>
              </w:rPr>
              <w:t>0</w:t>
            </w:r>
            <w:r>
              <w:t>处的A声压级，dB（A）；</w:t>
            </w:r>
          </w:p>
          <w:p>
            <w:pPr>
              <w:pStyle w:val="47"/>
              <w:ind w:firstLine="1228" w:firstLineChars="512"/>
            </w:pPr>
            <w:r>
              <w:t>r--预测点与声源的距离，m；</w:t>
            </w:r>
          </w:p>
          <w:p>
            <w:pPr>
              <w:pStyle w:val="47"/>
              <w:ind w:firstLine="1228" w:firstLineChars="512"/>
            </w:pPr>
            <w:r>
              <w:t>r</w:t>
            </w:r>
            <w:r>
              <w:rPr>
                <w:vertAlign w:val="subscript"/>
              </w:rPr>
              <w:t>0</w:t>
            </w:r>
            <w:r>
              <w:t>--监测设备噪声时的距离，m；</w:t>
            </w:r>
          </w:p>
          <w:p>
            <w:pPr>
              <w:pStyle w:val="47"/>
              <w:ind w:firstLine="1228" w:firstLineChars="512"/>
            </w:pPr>
            <w:r>
              <w:t>△L--主要为墙体吸收等衰减，本项目取值为10dB（A）；</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2 \* GB3 </w:instrText>
            </w:r>
            <w:r>
              <w:rPr>
                <w:rFonts w:ascii="Times New Roman" w:hAnsi="Times New Roman" w:cs="Times New Roman"/>
                <w:sz w:val="24"/>
                <w:szCs w:val="24"/>
              </w:rPr>
              <w:fldChar w:fldCharType="separate"/>
            </w:r>
            <w:r>
              <w:rPr>
                <w:rFonts w:ascii="Times New Roman" w:hAnsi="Times New Roman" w:eastAsia="宋体" w:cs="Times New Roman"/>
                <w:sz w:val="24"/>
                <w:szCs w:val="24"/>
              </w:rPr>
              <w:t>②</w:t>
            </w:r>
            <w:r>
              <w:rPr>
                <w:rFonts w:ascii="Times New Roman" w:hAnsi="Times New Roman" w:cs="Times New Roman"/>
                <w:sz w:val="24"/>
                <w:szCs w:val="24"/>
              </w:rPr>
              <w:fldChar w:fldCharType="end"/>
            </w:r>
            <w:r>
              <w:rPr>
                <w:rFonts w:ascii="Times New Roman" w:hAnsi="Times New Roman" w:cs="Times New Roman"/>
                <w:sz w:val="24"/>
                <w:szCs w:val="24"/>
              </w:rPr>
              <w:t>预测参数</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根据项目平面布置图，测算出项目区主要建筑物距离厂界的最近距离分别是：东面22m、南面28m、西面30m、北面110m，本次场界噪声预测点为场界外1m，即噪声衰减计算距离在上述值的基础上增加1m。</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3 \* GB3 </w:instrText>
            </w:r>
            <w:r>
              <w:rPr>
                <w:rFonts w:ascii="Times New Roman" w:hAnsi="Times New Roman" w:cs="Times New Roman"/>
                <w:sz w:val="24"/>
                <w:szCs w:val="24"/>
              </w:rPr>
              <w:fldChar w:fldCharType="separate"/>
            </w:r>
            <w:r>
              <w:rPr>
                <w:rFonts w:ascii="Times New Roman" w:hAnsi="Times New Roman" w:eastAsia="宋体" w:cs="Times New Roman"/>
                <w:sz w:val="24"/>
                <w:szCs w:val="24"/>
              </w:rPr>
              <w:t>③</w:t>
            </w:r>
            <w:r>
              <w:rPr>
                <w:rFonts w:ascii="Times New Roman" w:hAnsi="Times New Roman" w:cs="Times New Roman"/>
                <w:sz w:val="24"/>
                <w:szCs w:val="24"/>
              </w:rPr>
              <w:fldChar w:fldCharType="end"/>
            </w:r>
            <w:r>
              <w:rPr>
                <w:rFonts w:ascii="Times New Roman" w:hAnsi="Times New Roman" w:cs="Times New Roman"/>
                <w:sz w:val="24"/>
                <w:szCs w:val="24"/>
              </w:rPr>
              <w:t>预测结果及分析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根据预测公式计算出机械噪声对场界的影响，预测结果见下表。</w:t>
            </w:r>
          </w:p>
          <w:p>
            <w:pPr>
              <w:jc w:val="center"/>
              <w:rPr>
                <w:rFonts w:ascii="Times New Roman" w:hAnsi="Times New Roman" w:cs="Times New Roman"/>
                <w:b/>
                <w:szCs w:val="24"/>
              </w:rPr>
            </w:pPr>
            <w:r>
              <w:rPr>
                <w:rFonts w:ascii="Times New Roman" w:hAnsi="Times New Roman" w:cs="Times New Roman"/>
                <w:b/>
                <w:szCs w:val="24"/>
              </w:rPr>
              <w:t>表4.2.3-2  项目厂界声预测值    单位：dB（A）</w:t>
            </w:r>
          </w:p>
          <w:tbl>
            <w:tblPr>
              <w:tblStyle w:val="16"/>
              <w:tblW w:w="8615" w:type="dxa"/>
              <w:jc w:val="center"/>
              <w:tblInd w:w="0" w:type="dxa"/>
              <w:tblLayout w:type="fixed"/>
              <w:tblCellMar>
                <w:top w:w="0" w:type="dxa"/>
                <w:left w:w="108" w:type="dxa"/>
                <w:bottom w:w="0" w:type="dxa"/>
                <w:right w:w="108" w:type="dxa"/>
              </w:tblCellMar>
            </w:tblPr>
            <w:tblGrid>
              <w:gridCol w:w="877"/>
              <w:gridCol w:w="1100"/>
              <w:gridCol w:w="1066"/>
              <w:gridCol w:w="1082"/>
              <w:gridCol w:w="856"/>
              <w:gridCol w:w="857"/>
              <w:gridCol w:w="996"/>
              <w:gridCol w:w="938"/>
              <w:gridCol w:w="843"/>
            </w:tblGrid>
            <w:tr>
              <w:tblPrEx>
                <w:tblLayout w:type="fixed"/>
                <w:tblCellMar>
                  <w:top w:w="0" w:type="dxa"/>
                  <w:left w:w="108" w:type="dxa"/>
                  <w:bottom w:w="0" w:type="dxa"/>
                  <w:right w:w="108" w:type="dxa"/>
                </w:tblCellMar>
              </w:tblPrEx>
              <w:trPr>
                <w:jc w:val="center"/>
              </w:trPr>
              <w:tc>
                <w:tcPr>
                  <w:tcW w:w="877" w:type="dxa"/>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噪声区域</w:t>
                  </w:r>
                </w:p>
              </w:tc>
              <w:tc>
                <w:tcPr>
                  <w:tcW w:w="2166" w:type="dxa"/>
                  <w:gridSpan w:val="2"/>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机械名称</w:t>
                  </w:r>
                </w:p>
              </w:tc>
              <w:tc>
                <w:tcPr>
                  <w:tcW w:w="1082" w:type="dxa"/>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采取措施后声级</w:t>
                  </w:r>
                </w:p>
              </w:tc>
              <w:tc>
                <w:tcPr>
                  <w:tcW w:w="856" w:type="dxa"/>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东面</w:t>
                  </w:r>
                </w:p>
              </w:tc>
              <w:tc>
                <w:tcPr>
                  <w:tcW w:w="857" w:type="dxa"/>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南面</w:t>
                  </w:r>
                </w:p>
              </w:tc>
              <w:tc>
                <w:tcPr>
                  <w:tcW w:w="996" w:type="dxa"/>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西面</w:t>
                  </w:r>
                </w:p>
              </w:tc>
              <w:tc>
                <w:tcPr>
                  <w:tcW w:w="938" w:type="dxa"/>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北面</w:t>
                  </w:r>
                </w:p>
              </w:tc>
              <w:tc>
                <w:tcPr>
                  <w:tcW w:w="843" w:type="dxa"/>
                  <w:tcBorders>
                    <w:top w:val="single" w:color="000000" w:sz="8" w:space="0"/>
                    <w:left w:val="nil"/>
                    <w:bottom w:val="single" w:color="000000" w:sz="8" w:space="0"/>
                    <w:right w:val="single" w:color="000000" w:sz="8" w:space="0"/>
                  </w:tcBorders>
                  <w:shd w:val="clear" w:color="auto" w:fill="auto"/>
                  <w:vAlign w:val="center"/>
                </w:tcPr>
                <w:p>
                  <w:pPr>
                    <w:pStyle w:val="28"/>
                    <w:widowControl w:val="0"/>
                    <w:spacing w:line="360" w:lineRule="exact"/>
                    <w:rPr>
                      <w:color w:val="auto"/>
                    </w:rPr>
                  </w:pPr>
                  <w:r>
                    <w:rPr>
                      <w:color w:val="auto"/>
                    </w:rPr>
                    <w:t>标准</w:t>
                  </w:r>
                </w:p>
              </w:tc>
            </w:tr>
            <w:tr>
              <w:tblPrEx>
                <w:tblLayout w:type="fixed"/>
                <w:tblCellMar>
                  <w:top w:w="0" w:type="dxa"/>
                  <w:left w:w="108" w:type="dxa"/>
                  <w:bottom w:w="0" w:type="dxa"/>
                  <w:right w:w="108" w:type="dxa"/>
                </w:tblCellMar>
              </w:tblPrEx>
              <w:trPr>
                <w:jc w:val="center"/>
              </w:trPr>
              <w:tc>
                <w:tcPr>
                  <w:tcW w:w="877" w:type="dxa"/>
                  <w:vMerge w:val="continue"/>
                  <w:tcBorders>
                    <w:top w:val="single" w:color="000000" w:sz="8" w:space="0"/>
                    <w:left w:val="single" w:color="auto" w:sz="4"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kern w:val="32"/>
                    </w:rPr>
                  </w:pPr>
                </w:p>
              </w:tc>
              <w:tc>
                <w:tcPr>
                  <w:tcW w:w="2166" w:type="dxa"/>
                  <w:gridSpan w:val="2"/>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厂界距离</w:t>
                  </w:r>
                </w:p>
              </w:tc>
              <w:tc>
                <w:tcPr>
                  <w:tcW w:w="1082"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1m</w:t>
                  </w:r>
                </w:p>
              </w:tc>
              <w:tc>
                <w:tcPr>
                  <w:tcW w:w="85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22m</w:t>
                  </w:r>
                </w:p>
              </w:tc>
              <w:tc>
                <w:tcPr>
                  <w:tcW w:w="857"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28m</w:t>
                  </w:r>
                </w:p>
              </w:tc>
              <w:tc>
                <w:tcPr>
                  <w:tcW w:w="99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30m</w:t>
                  </w:r>
                </w:p>
              </w:tc>
              <w:tc>
                <w:tcPr>
                  <w:tcW w:w="938"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110m</w:t>
                  </w:r>
                </w:p>
              </w:tc>
              <w:tc>
                <w:tcPr>
                  <w:tcW w:w="843" w:type="dxa"/>
                  <w:vMerge w:val="restart"/>
                  <w:tcBorders>
                    <w:top w:val="nil"/>
                    <w:left w:val="nil"/>
                    <w:right w:val="single" w:color="000000" w:sz="8" w:space="0"/>
                  </w:tcBorders>
                  <w:shd w:val="clear" w:color="auto" w:fill="auto"/>
                  <w:vAlign w:val="center"/>
                </w:tcPr>
                <w:p>
                  <w:pPr>
                    <w:pStyle w:val="28"/>
                    <w:widowControl w:val="0"/>
                    <w:spacing w:line="360" w:lineRule="exact"/>
                    <w:ind w:firstLine="105" w:firstLineChars="50"/>
                    <w:jc w:val="both"/>
                    <w:rPr>
                      <w:color w:val="auto"/>
                    </w:rPr>
                  </w:pPr>
                  <w:r>
                    <w:rPr>
                      <w:color w:val="auto"/>
                    </w:rPr>
                    <w:t>2类标准：昼间60、夜间50</w:t>
                  </w:r>
                </w:p>
              </w:tc>
            </w:tr>
            <w:tr>
              <w:tblPrEx>
                <w:tblLayout w:type="fixed"/>
                <w:tblCellMar>
                  <w:top w:w="0" w:type="dxa"/>
                  <w:left w:w="108" w:type="dxa"/>
                  <w:bottom w:w="0" w:type="dxa"/>
                  <w:right w:w="108" w:type="dxa"/>
                </w:tblCellMar>
              </w:tblPrEx>
              <w:trPr>
                <w:jc w:val="center"/>
              </w:trPr>
              <w:tc>
                <w:tcPr>
                  <w:tcW w:w="877" w:type="dxa"/>
                  <w:vMerge w:val="restart"/>
                  <w:tcBorders>
                    <w:top w:val="nil"/>
                    <w:left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破碎车间</w:t>
                  </w:r>
                </w:p>
              </w:tc>
              <w:tc>
                <w:tcPr>
                  <w:tcW w:w="2166" w:type="dxa"/>
                  <w:gridSpan w:val="2"/>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颚式破碎机</w:t>
                  </w:r>
                </w:p>
              </w:tc>
              <w:tc>
                <w:tcPr>
                  <w:tcW w:w="1082"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75</w:t>
                  </w:r>
                </w:p>
              </w:tc>
              <w:tc>
                <w:tcPr>
                  <w:tcW w:w="85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48.2</w:t>
                  </w:r>
                </w:p>
              </w:tc>
              <w:tc>
                <w:tcPr>
                  <w:tcW w:w="857"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46.6</w:t>
                  </w:r>
                </w:p>
              </w:tc>
              <w:tc>
                <w:tcPr>
                  <w:tcW w:w="99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46</w:t>
                  </w:r>
                </w:p>
              </w:tc>
              <w:tc>
                <w:tcPr>
                  <w:tcW w:w="938"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34</w:t>
                  </w:r>
                </w:p>
              </w:tc>
              <w:tc>
                <w:tcPr>
                  <w:tcW w:w="843" w:type="dxa"/>
                  <w:vMerge w:val="continue"/>
                  <w:tcBorders>
                    <w:left w:val="nil"/>
                    <w:right w:val="single" w:color="000000" w:sz="8" w:space="0"/>
                  </w:tcBorders>
                  <w:vAlign w:val="center"/>
                </w:tcPr>
                <w:p>
                  <w:pPr>
                    <w:pStyle w:val="28"/>
                    <w:widowControl w:val="0"/>
                    <w:spacing w:line="360" w:lineRule="exact"/>
                    <w:rPr>
                      <w:color w:val="auto"/>
                    </w:rPr>
                  </w:pPr>
                </w:p>
              </w:tc>
            </w:tr>
            <w:tr>
              <w:tblPrEx>
                <w:tblLayout w:type="fixed"/>
                <w:tblCellMar>
                  <w:top w:w="0" w:type="dxa"/>
                  <w:left w:w="108" w:type="dxa"/>
                  <w:bottom w:w="0" w:type="dxa"/>
                  <w:right w:w="108" w:type="dxa"/>
                </w:tblCellMar>
              </w:tblPrEx>
              <w:trPr>
                <w:jc w:val="center"/>
              </w:trPr>
              <w:tc>
                <w:tcPr>
                  <w:tcW w:w="877" w:type="dxa"/>
                  <w:vMerge w:val="continue"/>
                  <w:tcBorders>
                    <w:left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p>
              </w:tc>
              <w:tc>
                <w:tcPr>
                  <w:tcW w:w="2166" w:type="dxa"/>
                  <w:gridSpan w:val="2"/>
                  <w:tcBorders>
                    <w:top w:val="nil"/>
                    <w:left w:val="nil"/>
                    <w:bottom w:val="single" w:color="000000" w:sz="8" w:space="0"/>
                    <w:right w:val="single" w:color="000000" w:sz="8" w:space="0"/>
                  </w:tcBorders>
                  <w:shd w:val="clear" w:color="auto" w:fill="auto"/>
                  <w:vAlign w:val="center"/>
                </w:tcPr>
                <w:p>
                  <w:pPr>
                    <w:pStyle w:val="28"/>
                    <w:spacing w:line="360" w:lineRule="exact"/>
                    <w:rPr>
                      <w:color w:val="auto"/>
                    </w:rPr>
                  </w:pPr>
                  <w:r>
                    <w:rPr>
                      <w:color w:val="auto"/>
                      <w:szCs w:val="21"/>
                      <w:lang w:val="en-US"/>
                    </w:rPr>
                    <w:t>冲击式破碎机</w:t>
                  </w:r>
                </w:p>
              </w:tc>
              <w:tc>
                <w:tcPr>
                  <w:tcW w:w="1082"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75</w:t>
                  </w:r>
                </w:p>
              </w:tc>
              <w:tc>
                <w:tcPr>
                  <w:tcW w:w="85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48.1</w:t>
                  </w:r>
                </w:p>
              </w:tc>
              <w:tc>
                <w:tcPr>
                  <w:tcW w:w="857"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46.5</w:t>
                  </w:r>
                </w:p>
              </w:tc>
              <w:tc>
                <w:tcPr>
                  <w:tcW w:w="99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46.1</w:t>
                  </w:r>
                </w:p>
              </w:tc>
              <w:tc>
                <w:tcPr>
                  <w:tcW w:w="938"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35</w:t>
                  </w:r>
                </w:p>
              </w:tc>
              <w:tc>
                <w:tcPr>
                  <w:tcW w:w="843" w:type="dxa"/>
                  <w:vMerge w:val="continue"/>
                  <w:tcBorders>
                    <w:left w:val="nil"/>
                    <w:right w:val="single" w:color="000000" w:sz="8" w:space="0"/>
                  </w:tcBorders>
                  <w:vAlign w:val="center"/>
                </w:tcPr>
                <w:p>
                  <w:pPr>
                    <w:pStyle w:val="28"/>
                    <w:widowControl w:val="0"/>
                    <w:spacing w:line="360" w:lineRule="exact"/>
                    <w:rPr>
                      <w:color w:val="auto"/>
                    </w:rPr>
                  </w:pPr>
                </w:p>
              </w:tc>
            </w:tr>
            <w:tr>
              <w:tblPrEx>
                <w:tblLayout w:type="fixed"/>
                <w:tblCellMar>
                  <w:top w:w="0" w:type="dxa"/>
                  <w:left w:w="108" w:type="dxa"/>
                  <w:bottom w:w="0" w:type="dxa"/>
                  <w:right w:w="108" w:type="dxa"/>
                </w:tblCellMar>
              </w:tblPrEx>
              <w:trPr>
                <w:jc w:val="center"/>
              </w:trPr>
              <w:tc>
                <w:tcPr>
                  <w:tcW w:w="877" w:type="dxa"/>
                  <w:vMerge w:val="continue"/>
                  <w:tcBorders>
                    <w:left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p>
              </w:tc>
              <w:tc>
                <w:tcPr>
                  <w:tcW w:w="2166" w:type="dxa"/>
                  <w:gridSpan w:val="2"/>
                  <w:tcBorders>
                    <w:top w:val="nil"/>
                    <w:left w:val="nil"/>
                    <w:bottom w:val="single" w:color="000000" w:sz="8" w:space="0"/>
                    <w:right w:val="single" w:color="000000" w:sz="8" w:space="0"/>
                  </w:tcBorders>
                  <w:shd w:val="clear" w:color="auto" w:fill="auto"/>
                  <w:vAlign w:val="center"/>
                </w:tcPr>
                <w:p>
                  <w:pPr>
                    <w:pStyle w:val="28"/>
                    <w:spacing w:line="360" w:lineRule="exact"/>
                    <w:rPr>
                      <w:color w:val="auto"/>
                    </w:rPr>
                  </w:pPr>
                  <w:r>
                    <w:rPr>
                      <w:color w:val="auto"/>
                      <w:szCs w:val="21"/>
                      <w:lang w:val="en-US"/>
                    </w:rPr>
                    <w:t>圆锥破碎机</w:t>
                  </w:r>
                </w:p>
              </w:tc>
              <w:tc>
                <w:tcPr>
                  <w:tcW w:w="1082"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75</w:t>
                  </w:r>
                </w:p>
              </w:tc>
              <w:tc>
                <w:tcPr>
                  <w:tcW w:w="85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48.1</w:t>
                  </w:r>
                </w:p>
              </w:tc>
              <w:tc>
                <w:tcPr>
                  <w:tcW w:w="857"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46.6</w:t>
                  </w:r>
                </w:p>
              </w:tc>
              <w:tc>
                <w:tcPr>
                  <w:tcW w:w="99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46.1</w:t>
                  </w:r>
                </w:p>
              </w:tc>
              <w:tc>
                <w:tcPr>
                  <w:tcW w:w="938"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35</w:t>
                  </w:r>
                </w:p>
              </w:tc>
              <w:tc>
                <w:tcPr>
                  <w:tcW w:w="843" w:type="dxa"/>
                  <w:vMerge w:val="continue"/>
                  <w:tcBorders>
                    <w:left w:val="nil"/>
                    <w:right w:val="single" w:color="000000" w:sz="8" w:space="0"/>
                  </w:tcBorders>
                  <w:vAlign w:val="center"/>
                </w:tcPr>
                <w:p>
                  <w:pPr>
                    <w:pStyle w:val="28"/>
                    <w:widowControl w:val="0"/>
                    <w:spacing w:line="360" w:lineRule="exact"/>
                    <w:rPr>
                      <w:color w:val="auto"/>
                    </w:rPr>
                  </w:pPr>
                </w:p>
              </w:tc>
            </w:tr>
            <w:tr>
              <w:tblPrEx>
                <w:tblLayout w:type="fixed"/>
                <w:tblCellMar>
                  <w:top w:w="0" w:type="dxa"/>
                  <w:left w:w="108" w:type="dxa"/>
                  <w:bottom w:w="0" w:type="dxa"/>
                  <w:right w:w="108" w:type="dxa"/>
                </w:tblCellMar>
              </w:tblPrEx>
              <w:trPr>
                <w:jc w:val="center"/>
              </w:trPr>
              <w:tc>
                <w:tcPr>
                  <w:tcW w:w="877" w:type="dxa"/>
                  <w:vMerge w:val="restart"/>
                  <w:tcBorders>
                    <w:top w:val="single" w:color="auto" w:sz="4" w:space="0"/>
                    <w:left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筛分水洗车间</w:t>
                  </w:r>
                </w:p>
              </w:tc>
              <w:tc>
                <w:tcPr>
                  <w:tcW w:w="2166" w:type="dxa"/>
                  <w:gridSpan w:val="2"/>
                  <w:tcBorders>
                    <w:top w:val="nil"/>
                    <w:left w:val="nil"/>
                    <w:bottom w:val="single" w:color="000000" w:sz="8" w:space="0"/>
                    <w:right w:val="single" w:color="000000" w:sz="8" w:space="0"/>
                  </w:tcBorders>
                  <w:shd w:val="clear" w:color="auto" w:fill="auto"/>
                  <w:vAlign w:val="center"/>
                </w:tcPr>
                <w:p>
                  <w:pPr>
                    <w:pStyle w:val="28"/>
                    <w:spacing w:line="360" w:lineRule="exact"/>
                    <w:rPr>
                      <w:bCs w:val="0"/>
                      <w:snapToGrid/>
                      <w:color w:val="auto"/>
                      <w:szCs w:val="21"/>
                      <w:lang w:val="en-US"/>
                    </w:rPr>
                  </w:pPr>
                  <w:r>
                    <w:rPr>
                      <w:bCs w:val="0"/>
                      <w:snapToGrid/>
                      <w:color w:val="auto"/>
                      <w:szCs w:val="21"/>
                      <w:lang w:val="en-US"/>
                    </w:rPr>
                    <w:t>振动筛</w:t>
                  </w:r>
                </w:p>
              </w:tc>
              <w:tc>
                <w:tcPr>
                  <w:tcW w:w="1082"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60</w:t>
                  </w:r>
                </w:p>
              </w:tc>
              <w:tc>
                <w:tcPr>
                  <w:tcW w:w="85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38.1</w:t>
                  </w:r>
                </w:p>
              </w:tc>
              <w:tc>
                <w:tcPr>
                  <w:tcW w:w="857"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32</w:t>
                  </w:r>
                </w:p>
              </w:tc>
              <w:tc>
                <w:tcPr>
                  <w:tcW w:w="99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31.1</w:t>
                  </w:r>
                </w:p>
              </w:tc>
              <w:tc>
                <w:tcPr>
                  <w:tcW w:w="938"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21</w:t>
                  </w:r>
                </w:p>
              </w:tc>
              <w:tc>
                <w:tcPr>
                  <w:tcW w:w="843" w:type="dxa"/>
                  <w:vMerge w:val="continue"/>
                  <w:tcBorders>
                    <w:left w:val="nil"/>
                    <w:right w:val="single" w:color="000000" w:sz="8" w:space="0"/>
                  </w:tcBorders>
                  <w:vAlign w:val="center"/>
                </w:tcPr>
                <w:p>
                  <w:pPr>
                    <w:pStyle w:val="28"/>
                    <w:widowControl w:val="0"/>
                    <w:spacing w:line="360" w:lineRule="exact"/>
                    <w:rPr>
                      <w:color w:val="auto"/>
                    </w:rPr>
                  </w:pPr>
                </w:p>
              </w:tc>
            </w:tr>
            <w:tr>
              <w:tblPrEx>
                <w:tblLayout w:type="fixed"/>
                <w:tblCellMar>
                  <w:top w:w="0" w:type="dxa"/>
                  <w:left w:w="108" w:type="dxa"/>
                  <w:bottom w:w="0" w:type="dxa"/>
                  <w:right w:w="108" w:type="dxa"/>
                </w:tblCellMar>
              </w:tblPrEx>
              <w:trPr>
                <w:jc w:val="center"/>
              </w:trPr>
              <w:tc>
                <w:tcPr>
                  <w:tcW w:w="877" w:type="dxa"/>
                  <w:vMerge w:val="continue"/>
                  <w:tcBorders>
                    <w:left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p>
              </w:tc>
              <w:tc>
                <w:tcPr>
                  <w:tcW w:w="2166" w:type="dxa"/>
                  <w:gridSpan w:val="2"/>
                  <w:tcBorders>
                    <w:top w:val="nil"/>
                    <w:left w:val="nil"/>
                    <w:bottom w:val="single" w:color="000000" w:sz="8" w:space="0"/>
                    <w:right w:val="single" w:color="000000" w:sz="8" w:space="0"/>
                  </w:tcBorders>
                  <w:shd w:val="clear" w:color="auto" w:fill="auto"/>
                  <w:vAlign w:val="center"/>
                </w:tcPr>
                <w:p>
                  <w:pPr>
                    <w:pStyle w:val="28"/>
                    <w:spacing w:line="360" w:lineRule="exact"/>
                    <w:rPr>
                      <w:bCs w:val="0"/>
                      <w:snapToGrid/>
                      <w:color w:val="auto"/>
                      <w:szCs w:val="21"/>
                      <w:lang w:val="en-US"/>
                    </w:rPr>
                  </w:pPr>
                  <w:r>
                    <w:rPr>
                      <w:bCs w:val="0"/>
                      <w:snapToGrid/>
                      <w:color w:val="auto"/>
                      <w:szCs w:val="21"/>
                      <w:lang w:val="en-US"/>
                    </w:rPr>
                    <w:t>螺旋洗砂机</w:t>
                  </w:r>
                </w:p>
              </w:tc>
              <w:tc>
                <w:tcPr>
                  <w:tcW w:w="1082"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65</w:t>
                  </w:r>
                </w:p>
              </w:tc>
              <w:tc>
                <w:tcPr>
                  <w:tcW w:w="85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38</w:t>
                  </w:r>
                </w:p>
              </w:tc>
              <w:tc>
                <w:tcPr>
                  <w:tcW w:w="857"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33</w:t>
                  </w:r>
                </w:p>
              </w:tc>
              <w:tc>
                <w:tcPr>
                  <w:tcW w:w="99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31.1</w:t>
                  </w:r>
                </w:p>
              </w:tc>
              <w:tc>
                <w:tcPr>
                  <w:tcW w:w="938"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26</w:t>
                  </w:r>
                </w:p>
              </w:tc>
              <w:tc>
                <w:tcPr>
                  <w:tcW w:w="843" w:type="dxa"/>
                  <w:vMerge w:val="continue"/>
                  <w:tcBorders>
                    <w:left w:val="nil"/>
                    <w:right w:val="single" w:color="000000" w:sz="8" w:space="0"/>
                  </w:tcBorders>
                  <w:vAlign w:val="center"/>
                </w:tcPr>
                <w:p>
                  <w:pPr>
                    <w:pStyle w:val="28"/>
                    <w:widowControl w:val="0"/>
                    <w:spacing w:line="360" w:lineRule="exact"/>
                    <w:rPr>
                      <w:color w:val="auto"/>
                    </w:rPr>
                  </w:pPr>
                </w:p>
              </w:tc>
            </w:tr>
            <w:tr>
              <w:tblPrEx>
                <w:tblLayout w:type="fixed"/>
                <w:tblCellMar>
                  <w:top w:w="0" w:type="dxa"/>
                  <w:left w:w="108" w:type="dxa"/>
                  <w:bottom w:w="0" w:type="dxa"/>
                  <w:right w:w="108" w:type="dxa"/>
                </w:tblCellMar>
              </w:tblPrEx>
              <w:trPr>
                <w:jc w:val="center"/>
              </w:trPr>
              <w:tc>
                <w:tcPr>
                  <w:tcW w:w="877" w:type="dxa"/>
                  <w:vMerge w:val="continue"/>
                  <w:tcBorders>
                    <w:left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p>
              </w:tc>
              <w:tc>
                <w:tcPr>
                  <w:tcW w:w="2166" w:type="dxa"/>
                  <w:gridSpan w:val="2"/>
                  <w:tcBorders>
                    <w:top w:val="nil"/>
                    <w:left w:val="nil"/>
                    <w:bottom w:val="single" w:color="000000" w:sz="8" w:space="0"/>
                    <w:right w:val="single" w:color="000000" w:sz="8" w:space="0"/>
                  </w:tcBorders>
                  <w:shd w:val="clear" w:color="auto" w:fill="auto"/>
                  <w:vAlign w:val="center"/>
                </w:tcPr>
                <w:p>
                  <w:pPr>
                    <w:pStyle w:val="28"/>
                    <w:spacing w:line="360" w:lineRule="exact"/>
                    <w:rPr>
                      <w:bCs w:val="0"/>
                      <w:snapToGrid/>
                      <w:color w:val="auto"/>
                      <w:szCs w:val="21"/>
                      <w:lang w:val="en-US"/>
                    </w:rPr>
                  </w:pPr>
                  <w:r>
                    <w:rPr>
                      <w:bCs w:val="0"/>
                      <w:snapToGrid/>
                      <w:color w:val="auto"/>
                      <w:szCs w:val="21"/>
                      <w:lang w:val="en-US"/>
                    </w:rPr>
                    <w:t>脱水筛</w:t>
                  </w:r>
                </w:p>
              </w:tc>
              <w:tc>
                <w:tcPr>
                  <w:tcW w:w="1082"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60</w:t>
                  </w:r>
                </w:p>
              </w:tc>
              <w:tc>
                <w:tcPr>
                  <w:tcW w:w="85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38.1</w:t>
                  </w:r>
                </w:p>
              </w:tc>
              <w:tc>
                <w:tcPr>
                  <w:tcW w:w="857"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32</w:t>
                  </w:r>
                </w:p>
              </w:tc>
              <w:tc>
                <w:tcPr>
                  <w:tcW w:w="99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31.1</w:t>
                  </w:r>
                </w:p>
              </w:tc>
              <w:tc>
                <w:tcPr>
                  <w:tcW w:w="938"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21</w:t>
                  </w:r>
                </w:p>
              </w:tc>
              <w:tc>
                <w:tcPr>
                  <w:tcW w:w="843" w:type="dxa"/>
                  <w:vMerge w:val="continue"/>
                  <w:tcBorders>
                    <w:left w:val="nil"/>
                    <w:right w:val="single" w:color="000000" w:sz="8" w:space="0"/>
                  </w:tcBorders>
                  <w:vAlign w:val="center"/>
                </w:tcPr>
                <w:p>
                  <w:pPr>
                    <w:pStyle w:val="28"/>
                    <w:widowControl w:val="0"/>
                    <w:spacing w:line="360" w:lineRule="exact"/>
                    <w:rPr>
                      <w:color w:val="auto"/>
                    </w:rPr>
                  </w:pPr>
                </w:p>
              </w:tc>
            </w:tr>
            <w:tr>
              <w:tblPrEx>
                <w:tblLayout w:type="fixed"/>
                <w:tblCellMar>
                  <w:top w:w="0" w:type="dxa"/>
                  <w:left w:w="108" w:type="dxa"/>
                  <w:bottom w:w="0" w:type="dxa"/>
                  <w:right w:w="108" w:type="dxa"/>
                </w:tblCellMar>
              </w:tblPrEx>
              <w:trPr>
                <w:jc w:val="center"/>
              </w:trPr>
              <w:tc>
                <w:tcPr>
                  <w:tcW w:w="877" w:type="dxa"/>
                  <w:vMerge w:val="restart"/>
                  <w:tcBorders>
                    <w:top w:val="single" w:color="auto" w:sz="4" w:space="0"/>
                    <w:left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产品库</w:t>
                  </w:r>
                </w:p>
              </w:tc>
              <w:tc>
                <w:tcPr>
                  <w:tcW w:w="2166" w:type="dxa"/>
                  <w:gridSpan w:val="2"/>
                  <w:tcBorders>
                    <w:top w:val="single" w:color="auto" w:sz="4" w:space="0"/>
                    <w:left w:val="nil"/>
                    <w:bottom w:val="single" w:color="auto" w:sz="4" w:space="0"/>
                    <w:right w:val="single" w:color="000000" w:sz="8" w:space="0"/>
                  </w:tcBorders>
                  <w:shd w:val="clear" w:color="auto" w:fill="auto"/>
                  <w:vAlign w:val="center"/>
                </w:tcPr>
                <w:p>
                  <w:pPr>
                    <w:pStyle w:val="28"/>
                    <w:spacing w:line="360" w:lineRule="exact"/>
                    <w:rPr>
                      <w:bCs w:val="0"/>
                      <w:snapToGrid/>
                      <w:color w:val="auto"/>
                      <w:szCs w:val="21"/>
                      <w:lang w:val="en-US"/>
                    </w:rPr>
                  </w:pPr>
                  <w:r>
                    <w:rPr>
                      <w:bCs w:val="0"/>
                      <w:snapToGrid/>
                      <w:color w:val="auto"/>
                      <w:szCs w:val="21"/>
                      <w:lang w:val="en-US"/>
                    </w:rPr>
                    <w:t>装载机</w:t>
                  </w:r>
                </w:p>
              </w:tc>
              <w:tc>
                <w:tcPr>
                  <w:tcW w:w="1082"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70</w:t>
                  </w:r>
                </w:p>
              </w:tc>
              <w:tc>
                <w:tcPr>
                  <w:tcW w:w="856"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45.2</w:t>
                  </w:r>
                </w:p>
              </w:tc>
              <w:tc>
                <w:tcPr>
                  <w:tcW w:w="857"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42</w:t>
                  </w:r>
                </w:p>
              </w:tc>
              <w:tc>
                <w:tcPr>
                  <w:tcW w:w="996"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40.1</w:t>
                  </w:r>
                </w:p>
              </w:tc>
              <w:tc>
                <w:tcPr>
                  <w:tcW w:w="938"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33</w:t>
                  </w:r>
                </w:p>
              </w:tc>
              <w:tc>
                <w:tcPr>
                  <w:tcW w:w="843" w:type="dxa"/>
                  <w:vMerge w:val="continue"/>
                  <w:tcBorders>
                    <w:left w:val="nil"/>
                    <w:right w:val="single" w:color="000000" w:sz="8" w:space="0"/>
                  </w:tcBorders>
                  <w:vAlign w:val="center"/>
                </w:tcPr>
                <w:p>
                  <w:pPr>
                    <w:pStyle w:val="28"/>
                    <w:widowControl w:val="0"/>
                    <w:spacing w:line="360" w:lineRule="exact"/>
                    <w:rPr>
                      <w:color w:val="auto"/>
                    </w:rPr>
                  </w:pPr>
                </w:p>
              </w:tc>
            </w:tr>
            <w:tr>
              <w:tblPrEx>
                <w:tblLayout w:type="fixed"/>
                <w:tblCellMar>
                  <w:top w:w="0" w:type="dxa"/>
                  <w:left w:w="108" w:type="dxa"/>
                  <w:bottom w:w="0" w:type="dxa"/>
                  <w:right w:w="108" w:type="dxa"/>
                </w:tblCellMar>
              </w:tblPrEx>
              <w:trPr>
                <w:jc w:val="center"/>
              </w:trPr>
              <w:tc>
                <w:tcPr>
                  <w:tcW w:w="877" w:type="dxa"/>
                  <w:vMerge w:val="continue"/>
                  <w:tcBorders>
                    <w:top w:val="single" w:color="auto" w:sz="4" w:space="0"/>
                    <w:left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p>
              </w:tc>
              <w:tc>
                <w:tcPr>
                  <w:tcW w:w="2166" w:type="dxa"/>
                  <w:gridSpan w:val="2"/>
                  <w:tcBorders>
                    <w:top w:val="single" w:color="auto" w:sz="4" w:space="0"/>
                    <w:left w:val="nil"/>
                    <w:bottom w:val="single" w:color="auto" w:sz="4" w:space="0"/>
                    <w:right w:val="single" w:color="000000" w:sz="8" w:space="0"/>
                  </w:tcBorders>
                  <w:shd w:val="clear" w:color="auto" w:fill="auto"/>
                  <w:vAlign w:val="center"/>
                </w:tcPr>
                <w:p>
                  <w:pPr>
                    <w:pStyle w:val="28"/>
                    <w:spacing w:line="360" w:lineRule="exact"/>
                    <w:rPr>
                      <w:bCs w:val="0"/>
                      <w:snapToGrid/>
                      <w:color w:val="auto"/>
                      <w:szCs w:val="21"/>
                      <w:lang w:val="en-US"/>
                    </w:rPr>
                  </w:pPr>
                  <w:r>
                    <w:rPr>
                      <w:bCs w:val="0"/>
                      <w:snapToGrid/>
                      <w:color w:val="auto"/>
                      <w:szCs w:val="21"/>
                      <w:lang w:val="en-US"/>
                    </w:rPr>
                    <w:t>叉车</w:t>
                  </w:r>
                </w:p>
              </w:tc>
              <w:tc>
                <w:tcPr>
                  <w:tcW w:w="1082"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70</w:t>
                  </w:r>
                </w:p>
              </w:tc>
              <w:tc>
                <w:tcPr>
                  <w:tcW w:w="856"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45.2</w:t>
                  </w:r>
                </w:p>
              </w:tc>
              <w:tc>
                <w:tcPr>
                  <w:tcW w:w="857"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42</w:t>
                  </w:r>
                </w:p>
              </w:tc>
              <w:tc>
                <w:tcPr>
                  <w:tcW w:w="996"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40.1</w:t>
                  </w:r>
                </w:p>
              </w:tc>
              <w:tc>
                <w:tcPr>
                  <w:tcW w:w="938"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33</w:t>
                  </w:r>
                </w:p>
              </w:tc>
              <w:tc>
                <w:tcPr>
                  <w:tcW w:w="843" w:type="dxa"/>
                  <w:vMerge w:val="continue"/>
                  <w:tcBorders>
                    <w:left w:val="nil"/>
                    <w:right w:val="single" w:color="000000" w:sz="8" w:space="0"/>
                  </w:tcBorders>
                  <w:vAlign w:val="center"/>
                </w:tcPr>
                <w:p>
                  <w:pPr>
                    <w:pStyle w:val="28"/>
                    <w:widowControl w:val="0"/>
                    <w:spacing w:line="360" w:lineRule="exact"/>
                    <w:rPr>
                      <w:color w:val="auto"/>
                    </w:rPr>
                  </w:pPr>
                </w:p>
              </w:tc>
            </w:tr>
            <w:tr>
              <w:tblPrEx>
                <w:tblLayout w:type="fixed"/>
                <w:tblCellMar>
                  <w:top w:w="0" w:type="dxa"/>
                  <w:left w:w="108" w:type="dxa"/>
                  <w:bottom w:w="0" w:type="dxa"/>
                  <w:right w:w="108" w:type="dxa"/>
                </w:tblCellMar>
              </w:tblPrEx>
              <w:trPr>
                <w:jc w:val="center"/>
              </w:trPr>
              <w:tc>
                <w:tcPr>
                  <w:tcW w:w="877" w:type="dxa"/>
                  <w:tcBorders>
                    <w:top w:val="single" w:color="auto" w:sz="4" w:space="0"/>
                    <w:left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cs="Times New Roman"/>
                    </w:rPr>
                    <w:t>生产废水处理系统</w:t>
                  </w:r>
                </w:p>
              </w:tc>
              <w:tc>
                <w:tcPr>
                  <w:tcW w:w="2166" w:type="dxa"/>
                  <w:gridSpan w:val="2"/>
                  <w:tcBorders>
                    <w:top w:val="single" w:color="auto" w:sz="4" w:space="0"/>
                    <w:left w:val="nil"/>
                    <w:bottom w:val="single" w:color="auto" w:sz="4" w:space="0"/>
                    <w:right w:val="single" w:color="000000" w:sz="8" w:space="0"/>
                  </w:tcBorders>
                  <w:shd w:val="clear" w:color="auto" w:fill="auto"/>
                  <w:vAlign w:val="center"/>
                </w:tcPr>
                <w:p>
                  <w:pPr>
                    <w:pStyle w:val="28"/>
                    <w:spacing w:line="360" w:lineRule="exact"/>
                    <w:rPr>
                      <w:bCs w:val="0"/>
                      <w:snapToGrid/>
                      <w:color w:val="auto"/>
                      <w:szCs w:val="21"/>
                      <w:lang w:val="en-US"/>
                    </w:rPr>
                  </w:pPr>
                  <w:r>
                    <w:rPr>
                      <w:color w:val="auto"/>
                      <w:szCs w:val="21"/>
                    </w:rPr>
                    <w:t>污泥压滤机</w:t>
                  </w:r>
                </w:p>
              </w:tc>
              <w:tc>
                <w:tcPr>
                  <w:tcW w:w="1082"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70</w:t>
                  </w:r>
                </w:p>
              </w:tc>
              <w:tc>
                <w:tcPr>
                  <w:tcW w:w="856"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45.3</w:t>
                  </w:r>
                </w:p>
              </w:tc>
              <w:tc>
                <w:tcPr>
                  <w:tcW w:w="857"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42</w:t>
                  </w:r>
                </w:p>
              </w:tc>
              <w:tc>
                <w:tcPr>
                  <w:tcW w:w="996"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43.1</w:t>
                  </w:r>
                </w:p>
              </w:tc>
              <w:tc>
                <w:tcPr>
                  <w:tcW w:w="938"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34</w:t>
                  </w:r>
                </w:p>
              </w:tc>
              <w:tc>
                <w:tcPr>
                  <w:tcW w:w="843" w:type="dxa"/>
                  <w:vMerge w:val="continue"/>
                  <w:tcBorders>
                    <w:left w:val="nil"/>
                    <w:right w:val="single" w:color="000000" w:sz="8" w:space="0"/>
                  </w:tcBorders>
                  <w:vAlign w:val="center"/>
                </w:tcPr>
                <w:p>
                  <w:pPr>
                    <w:pStyle w:val="28"/>
                    <w:widowControl w:val="0"/>
                    <w:spacing w:line="360" w:lineRule="exact"/>
                    <w:rPr>
                      <w:color w:val="auto"/>
                    </w:rPr>
                  </w:pPr>
                </w:p>
              </w:tc>
            </w:tr>
            <w:tr>
              <w:tblPrEx>
                <w:tblLayout w:type="fixed"/>
                <w:tblCellMar>
                  <w:top w:w="0" w:type="dxa"/>
                  <w:left w:w="108" w:type="dxa"/>
                  <w:bottom w:w="0" w:type="dxa"/>
                  <w:right w:w="108" w:type="dxa"/>
                </w:tblCellMar>
              </w:tblPrEx>
              <w:trPr>
                <w:jc w:val="center"/>
              </w:trPr>
              <w:tc>
                <w:tcPr>
                  <w:tcW w:w="877" w:type="dxa"/>
                  <w:vMerge w:val="restart"/>
                  <w:tcBorders>
                    <w:top w:val="single" w:color="auto" w:sz="4" w:space="0"/>
                    <w:left w:val="single" w:color="auto" w:sz="4"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w:t>
                  </w:r>
                </w:p>
              </w:tc>
              <w:tc>
                <w:tcPr>
                  <w:tcW w:w="1100" w:type="dxa"/>
                  <w:vMerge w:val="restar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贡献值</w:t>
                  </w:r>
                </w:p>
              </w:tc>
              <w:tc>
                <w:tcPr>
                  <w:tcW w:w="106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昼间</w:t>
                  </w:r>
                </w:p>
              </w:tc>
              <w:tc>
                <w:tcPr>
                  <w:tcW w:w="1082"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w:t>
                  </w:r>
                </w:p>
              </w:tc>
              <w:tc>
                <w:tcPr>
                  <w:tcW w:w="85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52.3</w:t>
                  </w:r>
                </w:p>
              </w:tc>
              <w:tc>
                <w:tcPr>
                  <w:tcW w:w="857"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50.2</w:t>
                  </w:r>
                </w:p>
              </w:tc>
              <w:tc>
                <w:tcPr>
                  <w:tcW w:w="99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51.3</w:t>
                  </w:r>
                </w:p>
              </w:tc>
              <w:tc>
                <w:tcPr>
                  <w:tcW w:w="938"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43.1</w:t>
                  </w:r>
                </w:p>
              </w:tc>
              <w:tc>
                <w:tcPr>
                  <w:tcW w:w="843" w:type="dxa"/>
                  <w:vMerge w:val="continue"/>
                  <w:tcBorders>
                    <w:left w:val="nil"/>
                    <w:right w:val="single" w:color="000000" w:sz="8" w:space="0"/>
                  </w:tcBorders>
                  <w:vAlign w:val="center"/>
                </w:tcPr>
                <w:p>
                  <w:pPr>
                    <w:pStyle w:val="28"/>
                    <w:widowControl w:val="0"/>
                    <w:spacing w:line="360" w:lineRule="exact"/>
                    <w:rPr>
                      <w:color w:val="auto"/>
                    </w:rPr>
                  </w:pPr>
                </w:p>
              </w:tc>
            </w:tr>
            <w:tr>
              <w:tblPrEx>
                <w:tblLayout w:type="fixed"/>
                <w:tblCellMar>
                  <w:top w:w="0" w:type="dxa"/>
                  <w:left w:w="108" w:type="dxa"/>
                  <w:bottom w:w="0" w:type="dxa"/>
                  <w:right w:w="108" w:type="dxa"/>
                </w:tblCellMar>
              </w:tblPrEx>
              <w:trPr>
                <w:jc w:val="center"/>
              </w:trPr>
              <w:tc>
                <w:tcPr>
                  <w:tcW w:w="877" w:type="dxa"/>
                  <w:vMerge w:val="continue"/>
                  <w:tcBorders>
                    <w:top w:val="nil"/>
                    <w:left w:val="single" w:color="auto" w:sz="4"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kern w:val="32"/>
                    </w:rPr>
                  </w:pPr>
                </w:p>
              </w:tc>
              <w:tc>
                <w:tcPr>
                  <w:tcW w:w="1100" w:type="dxa"/>
                  <w:vMerge w:val="continue"/>
                  <w:tcBorders>
                    <w:top w:val="nil"/>
                    <w:left w:val="nil"/>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kern w:val="32"/>
                    </w:rPr>
                  </w:pPr>
                </w:p>
              </w:tc>
              <w:tc>
                <w:tcPr>
                  <w:tcW w:w="106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夜间</w:t>
                  </w:r>
                </w:p>
              </w:tc>
              <w:tc>
                <w:tcPr>
                  <w:tcW w:w="1082"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w:t>
                  </w:r>
                </w:p>
              </w:tc>
              <w:tc>
                <w:tcPr>
                  <w:tcW w:w="85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w:t>
                  </w:r>
                </w:p>
              </w:tc>
              <w:tc>
                <w:tcPr>
                  <w:tcW w:w="857"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w:t>
                  </w:r>
                </w:p>
              </w:tc>
              <w:tc>
                <w:tcPr>
                  <w:tcW w:w="99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w:t>
                  </w:r>
                </w:p>
              </w:tc>
              <w:tc>
                <w:tcPr>
                  <w:tcW w:w="938"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w:t>
                  </w:r>
                </w:p>
              </w:tc>
              <w:tc>
                <w:tcPr>
                  <w:tcW w:w="843" w:type="dxa"/>
                  <w:vMerge w:val="continue"/>
                  <w:tcBorders>
                    <w:left w:val="nil"/>
                    <w:right w:val="single" w:color="000000" w:sz="8" w:space="0"/>
                  </w:tcBorders>
                  <w:vAlign w:val="center"/>
                </w:tcPr>
                <w:p>
                  <w:pPr>
                    <w:pStyle w:val="28"/>
                    <w:widowControl w:val="0"/>
                    <w:spacing w:line="360" w:lineRule="exact"/>
                    <w:rPr>
                      <w:color w:val="auto"/>
                    </w:rPr>
                  </w:pPr>
                </w:p>
              </w:tc>
            </w:tr>
            <w:tr>
              <w:tblPrEx>
                <w:tblLayout w:type="fixed"/>
                <w:tblCellMar>
                  <w:top w:w="0" w:type="dxa"/>
                  <w:left w:w="108" w:type="dxa"/>
                  <w:bottom w:w="0" w:type="dxa"/>
                  <w:right w:w="108" w:type="dxa"/>
                </w:tblCellMar>
              </w:tblPrEx>
              <w:trPr>
                <w:jc w:val="center"/>
              </w:trPr>
              <w:tc>
                <w:tcPr>
                  <w:tcW w:w="877" w:type="dxa"/>
                  <w:vMerge w:val="restart"/>
                  <w:tcBorders>
                    <w:top w:val="nil"/>
                    <w:left w:val="single" w:color="auto" w:sz="4"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w:t>
                  </w:r>
                </w:p>
              </w:tc>
              <w:tc>
                <w:tcPr>
                  <w:tcW w:w="1100" w:type="dxa"/>
                  <w:vMerge w:val="restar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达标性分析</w:t>
                  </w:r>
                </w:p>
              </w:tc>
              <w:tc>
                <w:tcPr>
                  <w:tcW w:w="106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昼间</w:t>
                  </w:r>
                </w:p>
              </w:tc>
              <w:tc>
                <w:tcPr>
                  <w:tcW w:w="1082"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w:t>
                  </w:r>
                </w:p>
              </w:tc>
              <w:tc>
                <w:tcPr>
                  <w:tcW w:w="85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达标</w:t>
                  </w:r>
                </w:p>
              </w:tc>
              <w:tc>
                <w:tcPr>
                  <w:tcW w:w="857"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达标</w:t>
                  </w:r>
                </w:p>
              </w:tc>
              <w:tc>
                <w:tcPr>
                  <w:tcW w:w="99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达标</w:t>
                  </w:r>
                </w:p>
              </w:tc>
              <w:tc>
                <w:tcPr>
                  <w:tcW w:w="938"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达标</w:t>
                  </w:r>
                </w:p>
              </w:tc>
              <w:tc>
                <w:tcPr>
                  <w:tcW w:w="843" w:type="dxa"/>
                  <w:vMerge w:val="continue"/>
                  <w:tcBorders>
                    <w:left w:val="nil"/>
                    <w:right w:val="single" w:color="000000" w:sz="8" w:space="0"/>
                  </w:tcBorders>
                  <w:vAlign w:val="center"/>
                </w:tcPr>
                <w:p>
                  <w:pPr>
                    <w:pStyle w:val="28"/>
                    <w:widowControl w:val="0"/>
                    <w:spacing w:line="360" w:lineRule="exact"/>
                    <w:rPr>
                      <w:color w:val="auto"/>
                    </w:rPr>
                  </w:pPr>
                </w:p>
              </w:tc>
            </w:tr>
            <w:tr>
              <w:tblPrEx>
                <w:tblLayout w:type="fixed"/>
                <w:tblCellMar>
                  <w:top w:w="0" w:type="dxa"/>
                  <w:left w:w="108" w:type="dxa"/>
                  <w:bottom w:w="0" w:type="dxa"/>
                  <w:right w:w="108" w:type="dxa"/>
                </w:tblCellMar>
              </w:tblPrEx>
              <w:trPr>
                <w:jc w:val="center"/>
              </w:trPr>
              <w:tc>
                <w:tcPr>
                  <w:tcW w:w="877" w:type="dxa"/>
                  <w:vMerge w:val="continue"/>
                  <w:tcBorders>
                    <w:top w:val="nil"/>
                    <w:left w:val="single" w:color="auto" w:sz="4"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kern w:val="32"/>
                    </w:rPr>
                  </w:pPr>
                </w:p>
              </w:tc>
              <w:tc>
                <w:tcPr>
                  <w:tcW w:w="1100" w:type="dxa"/>
                  <w:vMerge w:val="continue"/>
                  <w:tcBorders>
                    <w:top w:val="nil"/>
                    <w:left w:val="nil"/>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kern w:val="32"/>
                    </w:rPr>
                  </w:pPr>
                </w:p>
              </w:tc>
              <w:tc>
                <w:tcPr>
                  <w:tcW w:w="106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夜间</w:t>
                  </w:r>
                </w:p>
              </w:tc>
              <w:tc>
                <w:tcPr>
                  <w:tcW w:w="1082"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w:t>
                  </w:r>
                </w:p>
              </w:tc>
              <w:tc>
                <w:tcPr>
                  <w:tcW w:w="85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w:t>
                  </w:r>
                </w:p>
              </w:tc>
              <w:tc>
                <w:tcPr>
                  <w:tcW w:w="857"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w:t>
                  </w:r>
                </w:p>
              </w:tc>
              <w:tc>
                <w:tcPr>
                  <w:tcW w:w="99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w:t>
                  </w:r>
                </w:p>
              </w:tc>
              <w:tc>
                <w:tcPr>
                  <w:tcW w:w="938"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w:t>
                  </w:r>
                </w:p>
              </w:tc>
              <w:tc>
                <w:tcPr>
                  <w:tcW w:w="843" w:type="dxa"/>
                  <w:vMerge w:val="continue"/>
                  <w:tcBorders>
                    <w:left w:val="nil"/>
                    <w:bottom w:val="single" w:color="000000" w:sz="8" w:space="0"/>
                    <w:right w:val="single" w:color="000000" w:sz="8" w:space="0"/>
                  </w:tcBorders>
                  <w:vAlign w:val="center"/>
                </w:tcPr>
                <w:p>
                  <w:pPr>
                    <w:pStyle w:val="28"/>
                    <w:widowControl w:val="0"/>
                    <w:spacing w:line="360" w:lineRule="exact"/>
                    <w:rPr>
                      <w:color w:val="auto"/>
                    </w:rPr>
                  </w:pPr>
                </w:p>
              </w:tc>
            </w:tr>
          </w:tbl>
          <w:p>
            <w:pPr>
              <w:pStyle w:val="35"/>
              <w:spacing w:before="156" w:beforeLines="50"/>
              <w:ind w:firstLine="480"/>
              <w:rPr>
                <w:szCs w:val="24"/>
              </w:rPr>
            </w:pPr>
            <w:r>
              <w:rPr>
                <w:szCs w:val="24"/>
              </w:rPr>
              <w:t>由上述预测结果可以看出，项目在仅采取</w:t>
            </w:r>
            <w:r>
              <w:t>减震垫、消声器、墙体阻隔等</w:t>
            </w:r>
            <w:r>
              <w:rPr>
                <w:szCs w:val="24"/>
              </w:rPr>
              <w:t>措施，全部设备同时工作时，噪声昼间在东、南、西、北分别为52.3dB（A）、50.2dB（A）、51.3dB（A）、43.1dB；根据预测结果可知，昼间噪声达标排放。项目夜间不生产，</w:t>
            </w:r>
            <w:r>
              <w:rPr>
                <w:rFonts w:eastAsiaTheme="minorEastAsia"/>
                <w:szCs w:val="24"/>
              </w:rPr>
              <w:t>对环境影响较小。</w:t>
            </w:r>
          </w:p>
          <w:p>
            <w:pPr>
              <w:pStyle w:val="35"/>
              <w:ind w:firstLine="480"/>
              <w:rPr>
                <w:szCs w:val="24"/>
              </w:rPr>
            </w:pPr>
            <w:r>
              <w:rPr>
                <w:szCs w:val="24"/>
              </w:rPr>
              <w:t>为了使项目噪声厂界达标排放，环评要求，项目必须采取噪声污染防治措施，具体如下：</w:t>
            </w:r>
          </w:p>
          <w:p>
            <w:pPr>
              <w:pStyle w:val="35"/>
              <w:ind w:firstLine="480"/>
              <w:rPr>
                <w:szCs w:val="24"/>
              </w:rPr>
            </w:pPr>
            <w:r>
              <w:rPr>
                <w:szCs w:val="24"/>
              </w:rPr>
              <w:fldChar w:fldCharType="begin"/>
            </w:r>
            <w:r>
              <w:rPr>
                <w:szCs w:val="24"/>
              </w:rPr>
              <w:instrText xml:space="preserve"> = 1 \* GB2 </w:instrText>
            </w:r>
            <w:r>
              <w:rPr>
                <w:szCs w:val="24"/>
              </w:rPr>
              <w:fldChar w:fldCharType="separate"/>
            </w:r>
            <w:r>
              <w:rPr>
                <w:szCs w:val="24"/>
              </w:rPr>
              <w:t>⑴</w:t>
            </w:r>
            <w:r>
              <w:rPr>
                <w:szCs w:val="24"/>
              </w:rPr>
              <w:fldChar w:fldCharType="end"/>
            </w:r>
            <w:r>
              <w:rPr>
                <w:szCs w:val="24"/>
              </w:rPr>
              <w:t>采用绿化阻隔噪声传播。</w:t>
            </w:r>
          </w:p>
          <w:p>
            <w:pPr>
              <w:pStyle w:val="35"/>
              <w:ind w:firstLine="480"/>
              <w:rPr>
                <w:szCs w:val="24"/>
              </w:rPr>
            </w:pPr>
            <w:r>
              <w:rPr>
                <w:szCs w:val="24"/>
              </w:rPr>
              <w:fldChar w:fldCharType="begin"/>
            </w:r>
            <w:r>
              <w:rPr>
                <w:szCs w:val="24"/>
              </w:rPr>
              <w:instrText xml:space="preserve"> = 2 \* GB2 </w:instrText>
            </w:r>
            <w:r>
              <w:rPr>
                <w:szCs w:val="24"/>
              </w:rPr>
              <w:fldChar w:fldCharType="separate"/>
            </w:r>
            <w:r>
              <w:rPr>
                <w:szCs w:val="24"/>
              </w:rPr>
              <w:t>⑵</w:t>
            </w:r>
            <w:r>
              <w:rPr>
                <w:szCs w:val="24"/>
              </w:rPr>
              <w:fldChar w:fldCharType="end"/>
            </w:r>
            <w:r>
              <w:rPr>
                <w:szCs w:val="24"/>
              </w:rPr>
              <w:t>尽可能选用噪声低、振动小、能耗小的机械设备。</w:t>
            </w:r>
          </w:p>
          <w:p>
            <w:pPr>
              <w:pStyle w:val="35"/>
              <w:ind w:firstLine="480"/>
              <w:rPr>
                <w:szCs w:val="24"/>
              </w:rPr>
            </w:pPr>
            <w:r>
              <w:rPr>
                <w:szCs w:val="24"/>
              </w:rPr>
              <w:fldChar w:fldCharType="begin"/>
            </w:r>
            <w:r>
              <w:rPr>
                <w:szCs w:val="24"/>
              </w:rPr>
              <w:instrText xml:space="preserve"> = 3 \* GB2 </w:instrText>
            </w:r>
            <w:r>
              <w:rPr>
                <w:szCs w:val="24"/>
              </w:rPr>
              <w:fldChar w:fldCharType="separate"/>
            </w:r>
            <w:r>
              <w:rPr>
                <w:szCs w:val="24"/>
              </w:rPr>
              <w:t>⑶</w:t>
            </w:r>
            <w:r>
              <w:rPr>
                <w:szCs w:val="24"/>
              </w:rPr>
              <w:fldChar w:fldCharType="end"/>
            </w:r>
            <w:r>
              <w:rPr>
                <w:szCs w:val="24"/>
              </w:rPr>
              <w:t>加强生产设备的日常维护，并对老化和性能降低的旧设备进行及时更换，以此降低磨擦，减少噪声强度。</w:t>
            </w:r>
          </w:p>
          <w:p>
            <w:pPr>
              <w:pStyle w:val="35"/>
              <w:ind w:firstLine="480"/>
              <w:rPr>
                <w:szCs w:val="24"/>
              </w:rPr>
            </w:pPr>
            <w:r>
              <w:rPr>
                <w:szCs w:val="24"/>
              </w:rPr>
              <w:fldChar w:fldCharType="begin"/>
            </w:r>
            <w:r>
              <w:rPr>
                <w:szCs w:val="24"/>
              </w:rPr>
              <w:instrText xml:space="preserve"> = 4 \* GB2 </w:instrText>
            </w:r>
            <w:r>
              <w:rPr>
                <w:szCs w:val="24"/>
              </w:rPr>
              <w:fldChar w:fldCharType="separate"/>
            </w:r>
            <w:r>
              <w:rPr>
                <w:szCs w:val="24"/>
              </w:rPr>
              <w:t>⑷</w:t>
            </w:r>
            <w:r>
              <w:rPr>
                <w:szCs w:val="24"/>
              </w:rPr>
              <w:fldChar w:fldCharType="end"/>
            </w:r>
            <w:r>
              <w:rPr>
                <w:szCs w:val="24"/>
              </w:rPr>
              <w:t>应加强运输车辆管理，教育运输人员运输时低速、匀速行驶，禁止鸣笛。</w:t>
            </w:r>
          </w:p>
          <w:p>
            <w:pPr>
              <w:pStyle w:val="35"/>
              <w:ind w:firstLine="480"/>
              <w:rPr>
                <w:szCs w:val="24"/>
              </w:rPr>
            </w:pPr>
            <w:r>
              <w:rPr>
                <w:szCs w:val="24"/>
              </w:rPr>
              <w:t>（5）严格遵守工作制度（两班制），禁止夜间进行生产活动（晚上10点到次日凌晨6点）。</w:t>
            </w:r>
          </w:p>
          <w:p>
            <w:pPr>
              <w:pStyle w:val="35"/>
              <w:ind w:firstLine="480"/>
              <w:rPr>
                <w:szCs w:val="24"/>
              </w:rPr>
            </w:pPr>
            <w:r>
              <w:rPr>
                <w:szCs w:val="24"/>
              </w:rPr>
              <w:t>采取以上措施后，项目厂界噪声可达到《工业企业厂界环境噪声排放标准》（GB12348-2008）2类标准。</w:t>
            </w:r>
          </w:p>
          <w:p>
            <w:pPr>
              <w:spacing w:line="360" w:lineRule="auto"/>
              <w:ind w:firstLine="361" w:firstLineChars="150"/>
              <w:rPr>
                <w:rFonts w:ascii="Times New Roman" w:hAnsi="Times New Roman" w:cs="Times New Roman"/>
                <w:b/>
                <w:sz w:val="24"/>
              </w:rPr>
            </w:pPr>
            <w:r>
              <w:rPr>
                <w:rFonts w:ascii="Times New Roman" w:hAnsi="Times New Roman" w:cs="Times New Roman"/>
                <w:b/>
                <w:sz w:val="24"/>
              </w:rPr>
              <w:t>（3）对环境保护目标影响预测</w:t>
            </w:r>
          </w:p>
          <w:p>
            <w:pPr>
              <w:pStyle w:val="35"/>
              <w:ind w:firstLine="480"/>
              <w:rPr>
                <w:rFonts w:eastAsiaTheme="minorEastAsia"/>
                <w:szCs w:val="24"/>
              </w:rPr>
            </w:pPr>
            <w:r>
              <w:rPr>
                <w:rFonts w:eastAsiaTheme="minorEastAsia"/>
                <w:szCs w:val="24"/>
              </w:rPr>
              <w:t>根据项目环境保护目标分布，项目区声环境评价范围内无声环境保护目标，因此项目噪声对环境影响较小。</w:t>
            </w:r>
          </w:p>
          <w:p>
            <w:pPr>
              <w:spacing w:line="360" w:lineRule="auto"/>
              <w:ind w:firstLine="361" w:firstLineChars="150"/>
              <w:rPr>
                <w:rFonts w:ascii="Times New Roman" w:hAnsi="Times New Roman" w:cs="Times New Roman"/>
                <w:b/>
                <w:sz w:val="24"/>
              </w:rPr>
            </w:pPr>
            <w:r>
              <w:rPr>
                <w:rFonts w:ascii="Times New Roman" w:hAnsi="Times New Roman" w:cs="Times New Roman"/>
                <w:b/>
                <w:sz w:val="24"/>
              </w:rPr>
              <w:t>（4）自行监测要求</w:t>
            </w:r>
          </w:p>
          <w:p>
            <w:pPr>
              <w:pStyle w:val="35"/>
              <w:ind w:firstLine="480"/>
              <w:rPr>
                <w:rFonts w:eastAsiaTheme="minorEastAsia"/>
                <w:szCs w:val="24"/>
              </w:rPr>
            </w:pPr>
            <w:r>
              <w:rPr>
                <w:rFonts w:eastAsiaTheme="minorEastAsia"/>
                <w:szCs w:val="24"/>
              </w:rPr>
              <w:t>根据《排污单位自行监测技术指南 总则》（HJ819-2017）的要求，项目噪声自行监测要求如下表所示。</w:t>
            </w:r>
          </w:p>
          <w:p>
            <w:pPr>
              <w:pStyle w:val="30"/>
              <w:spacing w:beforeLines="0"/>
              <w:rPr>
                <w:rFonts w:hAnsi="Times New Roman" w:eastAsiaTheme="minorEastAsia"/>
                <w:sz w:val="21"/>
                <w:szCs w:val="21"/>
              </w:rPr>
            </w:pPr>
            <w:r>
              <w:rPr>
                <w:rFonts w:hAnsi="Times New Roman" w:eastAsiaTheme="minorEastAsia"/>
                <w:sz w:val="21"/>
                <w:szCs w:val="21"/>
              </w:rPr>
              <w:t>表4.2.3-3  厂界噪声自行监测计划一览表</w:t>
            </w:r>
          </w:p>
          <w:tbl>
            <w:tblPr>
              <w:tblStyle w:val="16"/>
              <w:tblW w:w="88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311"/>
              <w:gridCol w:w="1456"/>
              <w:gridCol w:w="1748"/>
              <w:gridCol w:w="3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5" w:type="dxa"/>
                  <w:vAlign w:val="center"/>
                </w:tcPr>
                <w:p>
                  <w:pPr>
                    <w:pStyle w:val="28"/>
                    <w:widowControl w:val="0"/>
                    <w:spacing w:line="360" w:lineRule="exact"/>
                    <w:rPr>
                      <w:rFonts w:eastAsiaTheme="minorEastAsia"/>
                      <w:color w:val="auto"/>
                    </w:rPr>
                  </w:pPr>
                  <w:r>
                    <w:rPr>
                      <w:rFonts w:eastAsiaTheme="minorEastAsia"/>
                      <w:color w:val="auto"/>
                    </w:rPr>
                    <w:t>对象</w:t>
                  </w:r>
                </w:p>
              </w:tc>
              <w:tc>
                <w:tcPr>
                  <w:tcW w:w="1311" w:type="dxa"/>
                  <w:vAlign w:val="center"/>
                </w:tcPr>
                <w:p>
                  <w:pPr>
                    <w:pStyle w:val="28"/>
                    <w:widowControl w:val="0"/>
                    <w:spacing w:line="360" w:lineRule="exact"/>
                    <w:rPr>
                      <w:rFonts w:eastAsiaTheme="minorEastAsia"/>
                      <w:color w:val="auto"/>
                    </w:rPr>
                  </w:pPr>
                  <w:r>
                    <w:rPr>
                      <w:rFonts w:eastAsiaTheme="minorEastAsia"/>
                      <w:color w:val="auto"/>
                    </w:rPr>
                    <w:t>监测点位</w:t>
                  </w:r>
                </w:p>
              </w:tc>
              <w:tc>
                <w:tcPr>
                  <w:tcW w:w="1456" w:type="dxa"/>
                  <w:vAlign w:val="center"/>
                </w:tcPr>
                <w:p>
                  <w:pPr>
                    <w:pStyle w:val="28"/>
                    <w:widowControl w:val="0"/>
                    <w:spacing w:line="360" w:lineRule="exact"/>
                    <w:rPr>
                      <w:rFonts w:eastAsiaTheme="minorEastAsia"/>
                      <w:color w:val="auto"/>
                    </w:rPr>
                  </w:pPr>
                  <w:r>
                    <w:rPr>
                      <w:rFonts w:eastAsiaTheme="minorEastAsia"/>
                      <w:color w:val="auto"/>
                    </w:rPr>
                    <w:t>监测因子</w:t>
                  </w:r>
                </w:p>
              </w:tc>
              <w:tc>
                <w:tcPr>
                  <w:tcW w:w="1748" w:type="dxa"/>
                  <w:vAlign w:val="center"/>
                </w:tcPr>
                <w:p>
                  <w:pPr>
                    <w:pStyle w:val="28"/>
                    <w:widowControl w:val="0"/>
                    <w:spacing w:line="360" w:lineRule="exact"/>
                    <w:rPr>
                      <w:rFonts w:eastAsiaTheme="minorEastAsia"/>
                      <w:color w:val="auto"/>
                    </w:rPr>
                  </w:pPr>
                  <w:r>
                    <w:rPr>
                      <w:rFonts w:eastAsiaTheme="minorEastAsia"/>
                      <w:color w:val="auto"/>
                    </w:rPr>
                    <w:t>最低监测频率</w:t>
                  </w:r>
                </w:p>
              </w:tc>
              <w:tc>
                <w:tcPr>
                  <w:tcW w:w="3571" w:type="dxa"/>
                  <w:vAlign w:val="center"/>
                </w:tcPr>
                <w:p>
                  <w:pPr>
                    <w:pStyle w:val="28"/>
                    <w:widowControl w:val="0"/>
                    <w:spacing w:line="360" w:lineRule="exact"/>
                    <w:rPr>
                      <w:rFonts w:eastAsiaTheme="minorEastAsia"/>
                      <w:color w:val="auto"/>
                    </w:rPr>
                  </w:pPr>
                  <w:r>
                    <w:rPr>
                      <w:rFonts w:eastAsiaTheme="minorEastAsia"/>
                      <w:color w:val="auto"/>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755" w:type="dxa"/>
                  <w:vAlign w:val="center"/>
                </w:tcPr>
                <w:p>
                  <w:pPr>
                    <w:pStyle w:val="28"/>
                    <w:widowControl w:val="0"/>
                    <w:spacing w:line="360" w:lineRule="exact"/>
                    <w:rPr>
                      <w:rFonts w:eastAsiaTheme="minorEastAsia"/>
                      <w:color w:val="auto"/>
                    </w:rPr>
                  </w:pPr>
                  <w:r>
                    <w:rPr>
                      <w:rFonts w:eastAsiaTheme="minorEastAsia"/>
                      <w:color w:val="auto"/>
                    </w:rPr>
                    <w:t>噪声</w:t>
                  </w:r>
                </w:p>
              </w:tc>
              <w:tc>
                <w:tcPr>
                  <w:tcW w:w="1311" w:type="dxa"/>
                  <w:vAlign w:val="center"/>
                </w:tcPr>
                <w:p>
                  <w:pPr>
                    <w:pStyle w:val="28"/>
                    <w:widowControl w:val="0"/>
                    <w:spacing w:line="360" w:lineRule="exact"/>
                    <w:rPr>
                      <w:rFonts w:eastAsiaTheme="minorEastAsia"/>
                      <w:color w:val="auto"/>
                    </w:rPr>
                  </w:pPr>
                  <w:r>
                    <w:rPr>
                      <w:rFonts w:eastAsiaTheme="minorEastAsia"/>
                      <w:color w:val="auto"/>
                    </w:rPr>
                    <w:t>厂界四周</w:t>
                  </w:r>
                </w:p>
              </w:tc>
              <w:tc>
                <w:tcPr>
                  <w:tcW w:w="1456" w:type="dxa"/>
                  <w:vAlign w:val="center"/>
                </w:tcPr>
                <w:p>
                  <w:pPr>
                    <w:pStyle w:val="28"/>
                    <w:widowControl w:val="0"/>
                    <w:spacing w:line="360" w:lineRule="exact"/>
                    <w:rPr>
                      <w:rFonts w:eastAsiaTheme="minorEastAsia"/>
                      <w:color w:val="auto"/>
                    </w:rPr>
                  </w:pPr>
                  <w:r>
                    <w:rPr>
                      <w:rFonts w:eastAsiaTheme="minorEastAsia"/>
                      <w:color w:val="auto"/>
                    </w:rPr>
                    <w:t>等效连续A声级</w:t>
                  </w:r>
                </w:p>
              </w:tc>
              <w:tc>
                <w:tcPr>
                  <w:tcW w:w="1748" w:type="dxa"/>
                  <w:vAlign w:val="center"/>
                </w:tcPr>
                <w:p>
                  <w:pPr>
                    <w:pStyle w:val="28"/>
                    <w:widowControl w:val="0"/>
                    <w:spacing w:line="360" w:lineRule="exact"/>
                    <w:rPr>
                      <w:rFonts w:eastAsiaTheme="minorEastAsia"/>
                      <w:color w:val="auto"/>
                    </w:rPr>
                  </w:pPr>
                  <w:r>
                    <w:rPr>
                      <w:rFonts w:eastAsiaTheme="minorEastAsia"/>
                      <w:color w:val="auto"/>
                    </w:rPr>
                    <w:t>次/季</w:t>
                  </w:r>
                </w:p>
              </w:tc>
              <w:tc>
                <w:tcPr>
                  <w:tcW w:w="3571" w:type="dxa"/>
                  <w:vAlign w:val="center"/>
                </w:tcPr>
                <w:p>
                  <w:pPr>
                    <w:pStyle w:val="28"/>
                    <w:widowControl w:val="0"/>
                    <w:spacing w:line="360" w:lineRule="exact"/>
                    <w:ind w:firstLine="210" w:firstLineChars="100"/>
                    <w:jc w:val="both"/>
                    <w:rPr>
                      <w:rFonts w:eastAsiaTheme="minorEastAsia"/>
                      <w:color w:val="auto"/>
                    </w:rPr>
                  </w:pPr>
                  <w:r>
                    <w:rPr>
                      <w:color w:val="auto"/>
                      <w:szCs w:val="21"/>
                    </w:rPr>
                    <w:t>《工业企业厂界环境噪声排放标准》（GB12348-2008）中2类标准</w:t>
                  </w:r>
                </w:p>
              </w:tc>
            </w:tr>
          </w:tbl>
          <w:p>
            <w:pPr>
              <w:spacing w:before="156" w:beforeLines="50"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4.2.4 运营期固体废物环境影响和保护措施</w:t>
            </w:r>
          </w:p>
          <w:p>
            <w:pPr>
              <w:spacing w:line="360" w:lineRule="auto"/>
              <w:ind w:firstLine="361" w:firstLineChars="150"/>
              <w:rPr>
                <w:rFonts w:ascii="Times New Roman" w:hAnsi="Times New Roman" w:cs="Times New Roman"/>
                <w:b/>
                <w:sz w:val="24"/>
              </w:rPr>
            </w:pPr>
            <w:r>
              <w:rPr>
                <w:rFonts w:ascii="Times New Roman" w:hAnsi="Times New Roman" w:cs="Times New Roman"/>
                <w:b/>
                <w:sz w:val="24"/>
              </w:rPr>
              <w:t>（1）固体废物污染源强分析</w:t>
            </w:r>
          </w:p>
          <w:p>
            <w:pPr>
              <w:pStyle w:val="35"/>
              <w:ind w:firstLine="480"/>
              <w:rPr>
                <w:rFonts w:eastAsiaTheme="minorEastAsia"/>
                <w:szCs w:val="24"/>
              </w:rPr>
            </w:pPr>
            <w:r>
              <w:rPr>
                <w:rFonts w:eastAsiaTheme="minorEastAsia"/>
                <w:szCs w:val="24"/>
              </w:rPr>
              <w:t>根据项目工程内容及生产工艺，本项目产生的固体废物包括：生产废水处理系统产生的污泥、设备维修产生的废机油及废弃沾油抹布、生活污水处理系统产生的污泥、生活垃圾。具体如下：</w:t>
            </w:r>
          </w:p>
          <w:p>
            <w:pPr>
              <w:pStyle w:val="35"/>
              <w:ind w:firstLine="482"/>
              <w:rPr>
                <w:b/>
                <w:szCs w:val="24"/>
              </w:rPr>
            </w:pPr>
            <w:r>
              <w:rPr>
                <w:b/>
                <w:szCs w:val="24"/>
              </w:rPr>
              <w:t>①生产废水污泥</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项目拟设置一套生产废水处理系统对生产废水进行处理，该系统由2个生产废水收集池、2个污水处理塔、2个清水池、2个泥浆回收池和4台污泥压滤机组成。包括初期雨水收集池等各系统均会有污泥产生，该污泥均需要进入污泥压滤机压滤至含水率为10%，根据废水去除效率可知，生产废水污泥产生量1024.93t/a，生产废水污泥的主要成分为小江河流中的泥土；因此项目拟设置的100m²污泥暂存库对其进行暂存，该污泥的主要成分为小江河流中的泥土，一部分用于厂区周围绿化覆土和道路建设，剩余部分将其用于小李庄村肥田。处置率100%。</w:t>
            </w:r>
          </w:p>
          <w:p>
            <w:pPr>
              <w:pStyle w:val="35"/>
              <w:ind w:firstLine="482"/>
              <w:rPr>
                <w:rFonts w:eastAsiaTheme="minorEastAsia"/>
                <w:szCs w:val="24"/>
              </w:rPr>
            </w:pPr>
            <w:r>
              <w:rPr>
                <w:b/>
                <w:szCs w:val="24"/>
              </w:rPr>
              <w:t>②废机油及废弃沾油抹布</w:t>
            </w:r>
          </w:p>
          <w:p>
            <w:pPr>
              <w:pStyle w:val="35"/>
              <w:ind w:firstLine="480"/>
              <w:rPr>
                <w:rFonts w:eastAsiaTheme="minorEastAsia"/>
                <w:szCs w:val="24"/>
              </w:rPr>
            </w:pPr>
            <w:r>
              <w:rPr>
                <w:rFonts w:eastAsiaTheme="minorEastAsia"/>
                <w:szCs w:val="24"/>
              </w:rPr>
              <w:t>项目运营期将不定期对生产设备进行维护，如涂抹润滑油、机油等，维护过程中将产生少量废机油及废弃沾油抹布，根据《国家危险废物名录》（2021版），其属性见下表。</w:t>
            </w:r>
          </w:p>
          <w:p>
            <w:pPr>
              <w:jc w:val="center"/>
              <w:rPr>
                <w:rFonts w:ascii="Times New Roman" w:hAnsi="Times New Roman" w:cs="Times New Roman"/>
                <w:b/>
                <w:szCs w:val="24"/>
              </w:rPr>
            </w:pPr>
            <w:r>
              <w:rPr>
                <w:rFonts w:ascii="Times New Roman" w:hAnsi="Times New Roman" w:cs="Times New Roman"/>
                <w:b/>
                <w:szCs w:val="24"/>
              </w:rPr>
              <w:t>表4.2.4-1  国家危险废物名录（2021年）（摘抄）</w:t>
            </w:r>
          </w:p>
          <w:tbl>
            <w:tblPr>
              <w:tblStyle w:val="16"/>
              <w:tblW w:w="88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313"/>
              <w:gridCol w:w="863"/>
              <w:gridCol w:w="1196"/>
              <w:gridCol w:w="3070"/>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1" w:type="dxa"/>
                  <w:vAlign w:val="center"/>
                </w:tcPr>
                <w:p>
                  <w:pPr>
                    <w:pStyle w:val="28"/>
                    <w:spacing w:line="360" w:lineRule="exact"/>
                    <w:rPr>
                      <w:color w:val="auto"/>
                      <w:szCs w:val="21"/>
                    </w:rPr>
                  </w:pPr>
                  <w:r>
                    <w:rPr>
                      <w:color w:val="auto"/>
                      <w:szCs w:val="21"/>
                    </w:rPr>
                    <w:t>项目危废</w:t>
                  </w:r>
                </w:p>
              </w:tc>
              <w:tc>
                <w:tcPr>
                  <w:tcW w:w="1313" w:type="dxa"/>
                  <w:vAlign w:val="center"/>
                </w:tcPr>
                <w:p>
                  <w:pPr>
                    <w:pStyle w:val="28"/>
                    <w:spacing w:line="360" w:lineRule="exact"/>
                    <w:rPr>
                      <w:color w:val="auto"/>
                      <w:szCs w:val="21"/>
                    </w:rPr>
                  </w:pPr>
                  <w:r>
                    <w:rPr>
                      <w:color w:val="auto"/>
                      <w:szCs w:val="21"/>
                    </w:rPr>
                    <w:t>废物类别</w:t>
                  </w:r>
                </w:p>
              </w:tc>
              <w:tc>
                <w:tcPr>
                  <w:tcW w:w="863" w:type="dxa"/>
                  <w:vAlign w:val="center"/>
                </w:tcPr>
                <w:p>
                  <w:pPr>
                    <w:pStyle w:val="28"/>
                    <w:spacing w:line="360" w:lineRule="exact"/>
                    <w:rPr>
                      <w:color w:val="auto"/>
                      <w:szCs w:val="21"/>
                    </w:rPr>
                  </w:pPr>
                  <w:r>
                    <w:rPr>
                      <w:color w:val="auto"/>
                      <w:szCs w:val="21"/>
                    </w:rPr>
                    <w:t>行业来源</w:t>
                  </w:r>
                </w:p>
              </w:tc>
              <w:tc>
                <w:tcPr>
                  <w:tcW w:w="1196" w:type="dxa"/>
                  <w:vAlign w:val="center"/>
                </w:tcPr>
                <w:p>
                  <w:pPr>
                    <w:pStyle w:val="28"/>
                    <w:spacing w:line="360" w:lineRule="exact"/>
                    <w:rPr>
                      <w:color w:val="auto"/>
                      <w:szCs w:val="21"/>
                    </w:rPr>
                  </w:pPr>
                  <w:r>
                    <w:rPr>
                      <w:color w:val="auto"/>
                      <w:szCs w:val="21"/>
                    </w:rPr>
                    <w:t>废物代码</w:t>
                  </w:r>
                </w:p>
              </w:tc>
              <w:tc>
                <w:tcPr>
                  <w:tcW w:w="3070" w:type="dxa"/>
                  <w:vAlign w:val="center"/>
                </w:tcPr>
                <w:p>
                  <w:pPr>
                    <w:pStyle w:val="28"/>
                    <w:spacing w:line="360" w:lineRule="exact"/>
                    <w:rPr>
                      <w:color w:val="auto"/>
                      <w:szCs w:val="21"/>
                    </w:rPr>
                  </w:pPr>
                  <w:r>
                    <w:rPr>
                      <w:color w:val="auto"/>
                      <w:szCs w:val="21"/>
                    </w:rPr>
                    <w:t>危险废物</w:t>
                  </w:r>
                </w:p>
              </w:tc>
              <w:tc>
                <w:tcPr>
                  <w:tcW w:w="1038" w:type="dxa"/>
                  <w:vAlign w:val="center"/>
                </w:tcPr>
                <w:p>
                  <w:pPr>
                    <w:pStyle w:val="28"/>
                    <w:spacing w:line="360" w:lineRule="exact"/>
                    <w:rPr>
                      <w:color w:val="auto"/>
                      <w:szCs w:val="21"/>
                    </w:rPr>
                  </w:pPr>
                  <w:r>
                    <w:rPr>
                      <w:color w:val="auto"/>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1" w:type="dxa"/>
                  <w:vAlign w:val="center"/>
                </w:tcPr>
                <w:p>
                  <w:pPr>
                    <w:pStyle w:val="28"/>
                    <w:spacing w:line="360" w:lineRule="exact"/>
                    <w:rPr>
                      <w:color w:val="auto"/>
                      <w:szCs w:val="21"/>
                    </w:rPr>
                  </w:pPr>
                  <w:r>
                    <w:rPr>
                      <w:color w:val="auto"/>
                      <w:szCs w:val="21"/>
                    </w:rPr>
                    <w:t>废机油</w:t>
                  </w:r>
                </w:p>
              </w:tc>
              <w:tc>
                <w:tcPr>
                  <w:tcW w:w="1313" w:type="dxa"/>
                  <w:vAlign w:val="center"/>
                </w:tcPr>
                <w:p>
                  <w:pPr>
                    <w:pStyle w:val="28"/>
                    <w:spacing w:line="360" w:lineRule="exact"/>
                    <w:rPr>
                      <w:color w:val="auto"/>
                      <w:szCs w:val="21"/>
                    </w:rPr>
                  </w:pPr>
                  <w:r>
                    <w:rPr>
                      <w:color w:val="auto"/>
                      <w:szCs w:val="21"/>
                    </w:rPr>
                    <w:t>HW08废矿物油与含矿物油废物</w:t>
                  </w:r>
                </w:p>
              </w:tc>
              <w:tc>
                <w:tcPr>
                  <w:tcW w:w="863" w:type="dxa"/>
                  <w:vAlign w:val="center"/>
                </w:tcPr>
                <w:p>
                  <w:pPr>
                    <w:pStyle w:val="28"/>
                    <w:spacing w:line="360" w:lineRule="exact"/>
                    <w:rPr>
                      <w:color w:val="auto"/>
                      <w:szCs w:val="21"/>
                    </w:rPr>
                  </w:pPr>
                  <w:r>
                    <w:rPr>
                      <w:color w:val="auto"/>
                      <w:szCs w:val="21"/>
                    </w:rPr>
                    <w:t>非特定行业</w:t>
                  </w:r>
                </w:p>
              </w:tc>
              <w:tc>
                <w:tcPr>
                  <w:tcW w:w="1196" w:type="dxa"/>
                  <w:vAlign w:val="center"/>
                </w:tcPr>
                <w:p>
                  <w:pPr>
                    <w:pStyle w:val="28"/>
                    <w:spacing w:line="360" w:lineRule="exact"/>
                    <w:rPr>
                      <w:color w:val="auto"/>
                      <w:szCs w:val="21"/>
                    </w:rPr>
                  </w:pPr>
                  <w:r>
                    <w:rPr>
                      <w:color w:val="auto"/>
                      <w:szCs w:val="21"/>
                    </w:rPr>
                    <w:t>900-214-08</w:t>
                  </w:r>
                </w:p>
              </w:tc>
              <w:tc>
                <w:tcPr>
                  <w:tcW w:w="3070" w:type="dxa"/>
                  <w:vAlign w:val="center"/>
                </w:tcPr>
                <w:p>
                  <w:pPr>
                    <w:pStyle w:val="28"/>
                    <w:spacing w:line="360" w:lineRule="exact"/>
                    <w:ind w:firstLine="210" w:firstLineChars="100"/>
                    <w:jc w:val="left"/>
                    <w:rPr>
                      <w:color w:val="auto"/>
                      <w:szCs w:val="21"/>
                    </w:rPr>
                  </w:pPr>
                  <w:r>
                    <w:rPr>
                      <w:color w:val="auto"/>
                      <w:szCs w:val="21"/>
                    </w:rPr>
                    <w:t>车辆、轮船及其它机械维修过程中产生的废发动机油、制动器油、自动变速器油、齿轮油等废润滑油</w:t>
                  </w:r>
                </w:p>
              </w:tc>
              <w:tc>
                <w:tcPr>
                  <w:tcW w:w="1038" w:type="dxa"/>
                  <w:vAlign w:val="center"/>
                </w:tcPr>
                <w:p>
                  <w:pPr>
                    <w:pStyle w:val="28"/>
                    <w:spacing w:line="360" w:lineRule="exact"/>
                    <w:rPr>
                      <w:color w:val="auto"/>
                      <w:szCs w:val="21"/>
                    </w:rPr>
                  </w:pPr>
                  <w:r>
                    <w:rPr>
                      <w:color w:val="auto"/>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1" w:type="dxa"/>
                  <w:vAlign w:val="center"/>
                </w:tcPr>
                <w:p>
                  <w:pPr>
                    <w:pStyle w:val="28"/>
                    <w:spacing w:line="360" w:lineRule="exact"/>
                    <w:rPr>
                      <w:color w:val="auto"/>
                      <w:szCs w:val="21"/>
                    </w:rPr>
                  </w:pPr>
                  <w:r>
                    <w:rPr>
                      <w:color w:val="auto"/>
                      <w:szCs w:val="21"/>
                    </w:rPr>
                    <w:t>沾油的抹布</w:t>
                  </w:r>
                </w:p>
              </w:tc>
              <w:tc>
                <w:tcPr>
                  <w:tcW w:w="1313" w:type="dxa"/>
                  <w:vAlign w:val="center"/>
                </w:tcPr>
                <w:p>
                  <w:pPr>
                    <w:pStyle w:val="28"/>
                    <w:spacing w:line="360" w:lineRule="exact"/>
                    <w:rPr>
                      <w:color w:val="auto"/>
                      <w:szCs w:val="21"/>
                    </w:rPr>
                  </w:pPr>
                  <w:r>
                    <w:rPr>
                      <w:color w:val="auto"/>
                      <w:szCs w:val="21"/>
                    </w:rPr>
                    <w:t>HW49其他废物</w:t>
                  </w:r>
                </w:p>
              </w:tc>
              <w:tc>
                <w:tcPr>
                  <w:tcW w:w="863" w:type="dxa"/>
                  <w:vAlign w:val="center"/>
                </w:tcPr>
                <w:p>
                  <w:pPr>
                    <w:pStyle w:val="28"/>
                    <w:spacing w:line="360" w:lineRule="exact"/>
                    <w:rPr>
                      <w:color w:val="auto"/>
                      <w:szCs w:val="21"/>
                    </w:rPr>
                  </w:pPr>
                  <w:r>
                    <w:rPr>
                      <w:color w:val="auto"/>
                      <w:szCs w:val="21"/>
                    </w:rPr>
                    <w:t>非特定行业</w:t>
                  </w:r>
                </w:p>
              </w:tc>
              <w:tc>
                <w:tcPr>
                  <w:tcW w:w="1196" w:type="dxa"/>
                  <w:vAlign w:val="center"/>
                </w:tcPr>
                <w:p>
                  <w:pPr>
                    <w:pStyle w:val="28"/>
                    <w:spacing w:line="360" w:lineRule="exact"/>
                    <w:rPr>
                      <w:color w:val="auto"/>
                      <w:szCs w:val="21"/>
                    </w:rPr>
                  </w:pPr>
                  <w:r>
                    <w:rPr>
                      <w:color w:val="auto"/>
                      <w:szCs w:val="21"/>
                    </w:rPr>
                    <w:t>900-041-49</w:t>
                  </w:r>
                </w:p>
              </w:tc>
              <w:tc>
                <w:tcPr>
                  <w:tcW w:w="3070" w:type="dxa"/>
                  <w:vAlign w:val="center"/>
                </w:tcPr>
                <w:p>
                  <w:pPr>
                    <w:pStyle w:val="28"/>
                    <w:spacing w:line="360" w:lineRule="exact"/>
                    <w:ind w:firstLine="210" w:firstLineChars="100"/>
                    <w:jc w:val="left"/>
                    <w:rPr>
                      <w:color w:val="auto"/>
                      <w:szCs w:val="21"/>
                    </w:rPr>
                  </w:pPr>
                  <w:r>
                    <w:rPr>
                      <w:color w:val="auto"/>
                      <w:szCs w:val="21"/>
                    </w:rPr>
                    <w:t>含有或沾染毒性、感染性危险废物的废弃包装物、容器、过滤吸附介质</w:t>
                  </w:r>
                </w:p>
              </w:tc>
              <w:tc>
                <w:tcPr>
                  <w:tcW w:w="1038" w:type="dxa"/>
                  <w:vAlign w:val="center"/>
                </w:tcPr>
                <w:p>
                  <w:pPr>
                    <w:pStyle w:val="28"/>
                    <w:spacing w:line="360" w:lineRule="exact"/>
                    <w:rPr>
                      <w:color w:val="auto"/>
                      <w:szCs w:val="21"/>
                    </w:rPr>
                  </w:pPr>
                  <w:r>
                    <w:rPr>
                      <w:color w:val="auto"/>
                      <w:szCs w:val="21"/>
                    </w:rPr>
                    <w:t>T/In</w:t>
                  </w:r>
                </w:p>
              </w:tc>
            </w:tr>
          </w:tbl>
          <w:p>
            <w:pPr>
              <w:pStyle w:val="35"/>
              <w:spacing w:before="156" w:beforeLines="50"/>
              <w:ind w:firstLine="480"/>
              <w:rPr>
                <w:szCs w:val="24"/>
              </w:rPr>
            </w:pPr>
            <w:r>
              <w:rPr>
                <w:szCs w:val="24"/>
              </w:rPr>
              <w:t>根据设计，项目区每年废机油产生量约为50kg，废弃沾油抹布产生量为10kg。根据《国家危险废物名录》（2021版）“危险废物豁免管理清单”的要求，本项目豁免危险废物清单如下：</w:t>
            </w:r>
          </w:p>
          <w:p>
            <w:pPr>
              <w:jc w:val="center"/>
              <w:rPr>
                <w:rFonts w:ascii="Times New Roman" w:hAnsi="Times New Roman" w:cs="Times New Roman"/>
                <w:b/>
                <w:szCs w:val="24"/>
              </w:rPr>
            </w:pPr>
            <w:r>
              <w:rPr>
                <w:rFonts w:ascii="Times New Roman" w:hAnsi="Times New Roman" w:cs="Times New Roman"/>
                <w:b/>
                <w:szCs w:val="24"/>
              </w:rPr>
              <w:t>表4.2.4-2 本项目豁免危险废物清单一览表</w:t>
            </w:r>
          </w:p>
          <w:tbl>
            <w:tblPr>
              <w:tblStyle w:val="16"/>
              <w:tblW w:w="88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1521"/>
              <w:gridCol w:w="1285"/>
              <w:gridCol w:w="1701"/>
              <w:gridCol w:w="2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2" w:type="dxa"/>
                  <w:vAlign w:val="center"/>
                </w:tcPr>
                <w:p>
                  <w:pPr>
                    <w:pStyle w:val="28"/>
                    <w:spacing w:line="360" w:lineRule="exact"/>
                    <w:rPr>
                      <w:color w:val="auto"/>
                      <w:szCs w:val="21"/>
                    </w:rPr>
                  </w:pPr>
                  <w:r>
                    <w:rPr>
                      <w:color w:val="auto"/>
                      <w:szCs w:val="21"/>
                    </w:rPr>
                    <w:t>废物类别</w:t>
                  </w:r>
                </w:p>
              </w:tc>
              <w:tc>
                <w:tcPr>
                  <w:tcW w:w="1521" w:type="dxa"/>
                  <w:vAlign w:val="center"/>
                </w:tcPr>
                <w:p>
                  <w:pPr>
                    <w:pStyle w:val="28"/>
                    <w:spacing w:line="360" w:lineRule="exact"/>
                    <w:rPr>
                      <w:color w:val="auto"/>
                      <w:szCs w:val="21"/>
                    </w:rPr>
                  </w:pPr>
                  <w:r>
                    <w:rPr>
                      <w:color w:val="auto"/>
                      <w:szCs w:val="21"/>
                    </w:rPr>
                    <w:t>危险废物</w:t>
                  </w:r>
                </w:p>
              </w:tc>
              <w:tc>
                <w:tcPr>
                  <w:tcW w:w="1285" w:type="dxa"/>
                  <w:vAlign w:val="center"/>
                </w:tcPr>
                <w:p>
                  <w:pPr>
                    <w:pStyle w:val="28"/>
                    <w:spacing w:line="360" w:lineRule="exact"/>
                    <w:rPr>
                      <w:color w:val="auto"/>
                      <w:szCs w:val="21"/>
                    </w:rPr>
                  </w:pPr>
                  <w:r>
                    <w:rPr>
                      <w:color w:val="auto"/>
                      <w:szCs w:val="21"/>
                    </w:rPr>
                    <w:t>豁免环节</w:t>
                  </w:r>
                </w:p>
              </w:tc>
              <w:tc>
                <w:tcPr>
                  <w:tcW w:w="1701" w:type="dxa"/>
                  <w:vAlign w:val="center"/>
                </w:tcPr>
                <w:p>
                  <w:pPr>
                    <w:pStyle w:val="28"/>
                    <w:spacing w:line="360" w:lineRule="exact"/>
                    <w:rPr>
                      <w:color w:val="auto"/>
                      <w:szCs w:val="21"/>
                    </w:rPr>
                  </w:pPr>
                  <w:r>
                    <w:rPr>
                      <w:color w:val="auto"/>
                      <w:szCs w:val="21"/>
                    </w:rPr>
                    <w:t>豁免条件</w:t>
                  </w:r>
                </w:p>
              </w:tc>
              <w:tc>
                <w:tcPr>
                  <w:tcW w:w="2762" w:type="dxa"/>
                  <w:vAlign w:val="center"/>
                </w:tcPr>
                <w:p>
                  <w:pPr>
                    <w:pStyle w:val="28"/>
                    <w:spacing w:line="360" w:lineRule="exact"/>
                    <w:rPr>
                      <w:color w:val="auto"/>
                      <w:szCs w:val="21"/>
                    </w:rPr>
                  </w:pPr>
                  <w:r>
                    <w:rPr>
                      <w:color w:val="auto"/>
                      <w:szCs w:val="21"/>
                    </w:rPr>
                    <w:t>豁免内容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2" w:type="dxa"/>
                  <w:vAlign w:val="center"/>
                </w:tcPr>
                <w:p>
                  <w:pPr>
                    <w:pStyle w:val="28"/>
                    <w:spacing w:line="360" w:lineRule="exact"/>
                    <w:rPr>
                      <w:color w:val="auto"/>
                      <w:szCs w:val="21"/>
                    </w:rPr>
                  </w:pPr>
                  <w:r>
                    <w:rPr>
                      <w:color w:val="auto"/>
                      <w:szCs w:val="21"/>
                    </w:rPr>
                    <w:t>900-041-49</w:t>
                  </w:r>
                </w:p>
              </w:tc>
              <w:tc>
                <w:tcPr>
                  <w:tcW w:w="1521" w:type="dxa"/>
                  <w:vAlign w:val="center"/>
                </w:tcPr>
                <w:p>
                  <w:pPr>
                    <w:autoSpaceDE w:val="0"/>
                    <w:autoSpaceDN w:val="0"/>
                    <w:adjustRightInd w:val="0"/>
                    <w:jc w:val="left"/>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废弃的含油抹布、劳保用品</w:t>
                  </w:r>
                </w:p>
              </w:tc>
              <w:tc>
                <w:tcPr>
                  <w:tcW w:w="1285" w:type="dxa"/>
                  <w:vAlign w:val="center"/>
                </w:tcPr>
                <w:p>
                  <w:pPr>
                    <w:pStyle w:val="28"/>
                    <w:spacing w:line="360" w:lineRule="exact"/>
                    <w:rPr>
                      <w:color w:val="auto"/>
                      <w:szCs w:val="21"/>
                    </w:rPr>
                  </w:pPr>
                  <w:r>
                    <w:rPr>
                      <w:color w:val="auto"/>
                      <w:szCs w:val="21"/>
                    </w:rPr>
                    <w:t>全部环节</w:t>
                  </w:r>
                </w:p>
              </w:tc>
              <w:tc>
                <w:tcPr>
                  <w:tcW w:w="1701" w:type="dxa"/>
                  <w:vAlign w:val="center"/>
                </w:tcPr>
                <w:p>
                  <w:pPr>
                    <w:pStyle w:val="28"/>
                    <w:spacing w:line="360" w:lineRule="exact"/>
                    <w:rPr>
                      <w:color w:val="auto"/>
                      <w:szCs w:val="21"/>
                    </w:rPr>
                  </w:pPr>
                  <w:r>
                    <w:rPr>
                      <w:color w:val="auto"/>
                      <w:szCs w:val="21"/>
                    </w:rPr>
                    <w:t>未分类收集</w:t>
                  </w:r>
                </w:p>
              </w:tc>
              <w:tc>
                <w:tcPr>
                  <w:tcW w:w="2762" w:type="dxa"/>
                  <w:vAlign w:val="center"/>
                </w:tcPr>
                <w:p>
                  <w:pPr>
                    <w:pStyle w:val="28"/>
                    <w:spacing w:line="360" w:lineRule="exact"/>
                    <w:rPr>
                      <w:color w:val="auto"/>
                      <w:szCs w:val="21"/>
                    </w:rPr>
                  </w:pPr>
                  <w:r>
                    <w:rPr>
                      <w:color w:val="auto"/>
                      <w:szCs w:val="21"/>
                    </w:rPr>
                    <w:t>全过程不按危险废物管理</w:t>
                  </w:r>
                </w:p>
              </w:tc>
            </w:tr>
          </w:tbl>
          <w:p>
            <w:pPr>
              <w:pStyle w:val="35"/>
              <w:spacing w:before="156" w:beforeLines="50"/>
              <w:ind w:firstLine="480"/>
              <w:rPr>
                <w:szCs w:val="24"/>
              </w:rPr>
            </w:pPr>
            <w:r>
              <w:rPr>
                <w:szCs w:val="24"/>
              </w:rPr>
              <w:t>由上表可知，项目产生的废弃沾油抹布全部环节已被豁免，按一般固体废物管理要求管理；针对项目产生的废机油，厂区拟建设1个5m²的危险废物贮存间对项目区废机油等危险废物进行暂存；废机油部分用于生产设备润滑使用，无法使用部分委托有资质的单位处置。</w:t>
            </w:r>
          </w:p>
          <w:p>
            <w:pPr>
              <w:pStyle w:val="35"/>
              <w:ind w:firstLine="482"/>
              <w:rPr>
                <w:rFonts w:eastAsiaTheme="minorEastAsia"/>
                <w:b/>
                <w:szCs w:val="24"/>
              </w:rPr>
            </w:pPr>
            <w:r>
              <w:rPr>
                <w:rFonts w:eastAsiaTheme="minorEastAsia"/>
                <w:b/>
                <w:szCs w:val="24"/>
              </w:rPr>
              <w:t>③生活污水污泥</w:t>
            </w:r>
          </w:p>
          <w:p>
            <w:pPr>
              <w:pStyle w:val="35"/>
              <w:ind w:firstLine="480"/>
              <w:rPr>
                <w:rFonts w:eastAsiaTheme="minorEastAsia"/>
                <w:szCs w:val="24"/>
              </w:rPr>
            </w:pPr>
            <w:r>
              <w:t>本项目生活污水处理系统在处理生活污水过程中，将产生一定的污泥，污泥主要来源于SS和BOD</w:t>
            </w:r>
            <w:r>
              <w:rPr>
                <w:vertAlign w:val="subscript"/>
              </w:rPr>
              <w:t>5</w:t>
            </w:r>
            <w:r>
              <w:t>的去除，SS消减量为0.05t/a，BOD</w:t>
            </w:r>
            <w:r>
              <w:rPr>
                <w:vertAlign w:val="subscript"/>
              </w:rPr>
              <w:t>5</w:t>
            </w:r>
            <w:r>
              <w:t>消减量为0.01t/a，以每去除1kgBOD</w:t>
            </w:r>
            <w:r>
              <w:rPr>
                <w:vertAlign w:val="subscript"/>
              </w:rPr>
              <w:t>5</w:t>
            </w:r>
            <w:r>
              <w:t>产生污泥0.8kg和去除1kgSS产生污泥1kg计，则预计污泥产生量约为0.06t/a。委托环卫部门清运处理，其处置率为100%。</w:t>
            </w:r>
          </w:p>
          <w:p>
            <w:pPr>
              <w:pStyle w:val="35"/>
              <w:ind w:firstLine="482"/>
              <w:rPr>
                <w:rFonts w:eastAsiaTheme="minorEastAsia"/>
                <w:b/>
                <w:szCs w:val="24"/>
              </w:rPr>
            </w:pPr>
            <w:r>
              <w:rPr>
                <w:b/>
                <w:szCs w:val="24"/>
              </w:rPr>
              <w:t>④</w:t>
            </w:r>
            <w:r>
              <w:rPr>
                <w:rFonts w:eastAsiaTheme="minorEastAsia"/>
                <w:b/>
                <w:szCs w:val="24"/>
              </w:rPr>
              <w:t>生活垃圾</w:t>
            </w:r>
          </w:p>
          <w:p>
            <w:pPr>
              <w:pStyle w:val="35"/>
              <w:ind w:firstLine="480"/>
              <w:rPr>
                <w:rFonts w:eastAsiaTheme="minorEastAsia"/>
                <w:szCs w:val="24"/>
              </w:rPr>
            </w:pPr>
            <w:r>
              <w:rPr>
                <w:rFonts w:eastAsiaTheme="minorEastAsia"/>
                <w:szCs w:val="24"/>
              </w:rPr>
              <w:t>根据项目特点可知，本项目拟设员工30人，生活产生量按1kg/（人·d）计，则生活垃圾产生量为30kg/d（9.9t/a）。生活垃圾集中收集后，委托环卫部门定期清运处置，处置率为100%。</w:t>
            </w:r>
          </w:p>
          <w:p>
            <w:pPr>
              <w:spacing w:line="360" w:lineRule="auto"/>
              <w:ind w:firstLine="361" w:firstLineChars="150"/>
              <w:rPr>
                <w:rFonts w:ascii="Times New Roman" w:hAnsi="Times New Roman" w:cs="Times New Roman"/>
                <w:b/>
                <w:sz w:val="24"/>
              </w:rPr>
            </w:pPr>
            <w:r>
              <w:rPr>
                <w:rFonts w:ascii="Times New Roman" w:hAnsi="Times New Roman" w:cs="Times New Roman"/>
                <w:b/>
                <w:sz w:val="24"/>
              </w:rPr>
              <w:t>（2）固体废物环境影响和保护措施分析</w:t>
            </w:r>
          </w:p>
          <w:p>
            <w:pPr>
              <w:pStyle w:val="35"/>
              <w:ind w:firstLine="480"/>
              <w:rPr>
                <w:rFonts w:eastAsiaTheme="minorEastAsia"/>
                <w:szCs w:val="24"/>
              </w:rPr>
            </w:pPr>
            <w:r>
              <w:rPr>
                <w:rFonts w:eastAsiaTheme="minorEastAsia"/>
                <w:szCs w:val="24"/>
              </w:rPr>
              <w:t>根据固体废物污染源强分析可知，项目产生的固体废物，其环境影响和保护措施分析具体如下：</w:t>
            </w:r>
          </w:p>
          <w:p>
            <w:pPr>
              <w:pStyle w:val="30"/>
              <w:spacing w:beforeLines="0"/>
              <w:rPr>
                <w:rFonts w:hAnsi="Times New Roman" w:eastAsiaTheme="minorEastAsia"/>
                <w:sz w:val="21"/>
                <w:szCs w:val="21"/>
              </w:rPr>
            </w:pPr>
            <w:r>
              <w:rPr>
                <w:rFonts w:hAnsi="Times New Roman" w:eastAsiaTheme="minorEastAsia"/>
                <w:sz w:val="21"/>
                <w:szCs w:val="21"/>
              </w:rPr>
              <w:t>表4.2.4-3  固体废物环境影响和保护措施分析一览表</w:t>
            </w:r>
          </w:p>
          <w:tbl>
            <w:tblPr>
              <w:tblStyle w:val="17"/>
              <w:tblW w:w="884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50"/>
              <w:gridCol w:w="973"/>
              <w:gridCol w:w="835"/>
              <w:gridCol w:w="836"/>
              <w:gridCol w:w="1109"/>
              <w:gridCol w:w="1805"/>
              <w:gridCol w:w="1782"/>
              <w:gridCol w:w="10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0" w:type="dxa"/>
                  <w:vAlign w:val="center"/>
                </w:tcPr>
                <w:p>
                  <w:pPr>
                    <w:pStyle w:val="28"/>
                    <w:spacing w:line="360" w:lineRule="exact"/>
                    <w:rPr>
                      <w:rFonts w:eastAsiaTheme="minorEastAsia"/>
                      <w:color w:val="auto"/>
                      <w:szCs w:val="21"/>
                    </w:rPr>
                  </w:pPr>
                  <w:r>
                    <w:rPr>
                      <w:rFonts w:eastAsiaTheme="minorEastAsia"/>
                      <w:color w:val="auto"/>
                      <w:szCs w:val="21"/>
                    </w:rPr>
                    <w:t>序号</w:t>
                  </w:r>
                </w:p>
              </w:tc>
              <w:tc>
                <w:tcPr>
                  <w:tcW w:w="973" w:type="dxa"/>
                  <w:vAlign w:val="center"/>
                </w:tcPr>
                <w:p>
                  <w:pPr>
                    <w:pStyle w:val="28"/>
                    <w:spacing w:line="360" w:lineRule="exact"/>
                    <w:rPr>
                      <w:rFonts w:eastAsiaTheme="minorEastAsia"/>
                      <w:color w:val="auto"/>
                      <w:szCs w:val="21"/>
                    </w:rPr>
                  </w:pPr>
                  <w:r>
                    <w:rPr>
                      <w:rFonts w:eastAsiaTheme="minorEastAsia"/>
                      <w:color w:val="auto"/>
                      <w:szCs w:val="21"/>
                    </w:rPr>
                    <w:t>产生环节</w:t>
                  </w:r>
                </w:p>
              </w:tc>
              <w:tc>
                <w:tcPr>
                  <w:tcW w:w="835" w:type="dxa"/>
                  <w:vAlign w:val="center"/>
                </w:tcPr>
                <w:p>
                  <w:pPr>
                    <w:pStyle w:val="28"/>
                    <w:spacing w:line="360" w:lineRule="exact"/>
                    <w:rPr>
                      <w:rFonts w:eastAsiaTheme="minorEastAsia"/>
                      <w:color w:val="auto"/>
                      <w:szCs w:val="21"/>
                    </w:rPr>
                  </w:pPr>
                  <w:r>
                    <w:rPr>
                      <w:rFonts w:eastAsiaTheme="minorEastAsia"/>
                      <w:color w:val="auto"/>
                      <w:szCs w:val="21"/>
                    </w:rPr>
                    <w:t>名称</w:t>
                  </w:r>
                </w:p>
              </w:tc>
              <w:tc>
                <w:tcPr>
                  <w:tcW w:w="836" w:type="dxa"/>
                  <w:vAlign w:val="center"/>
                </w:tcPr>
                <w:p>
                  <w:pPr>
                    <w:pStyle w:val="28"/>
                    <w:spacing w:line="360" w:lineRule="exact"/>
                    <w:rPr>
                      <w:rFonts w:eastAsiaTheme="minorEastAsia"/>
                      <w:color w:val="auto"/>
                      <w:szCs w:val="21"/>
                    </w:rPr>
                  </w:pPr>
                  <w:r>
                    <w:rPr>
                      <w:rFonts w:eastAsiaTheme="minorEastAsia"/>
                      <w:color w:val="auto"/>
                      <w:szCs w:val="21"/>
                    </w:rPr>
                    <w:t>属性</w:t>
                  </w:r>
                </w:p>
              </w:tc>
              <w:tc>
                <w:tcPr>
                  <w:tcW w:w="1109" w:type="dxa"/>
                  <w:vAlign w:val="center"/>
                </w:tcPr>
                <w:p>
                  <w:pPr>
                    <w:pStyle w:val="28"/>
                    <w:spacing w:line="360" w:lineRule="exact"/>
                    <w:rPr>
                      <w:rFonts w:eastAsiaTheme="minorEastAsia"/>
                      <w:color w:val="auto"/>
                      <w:szCs w:val="21"/>
                    </w:rPr>
                  </w:pPr>
                  <w:r>
                    <w:rPr>
                      <w:rFonts w:eastAsiaTheme="minorEastAsia"/>
                      <w:color w:val="auto"/>
                      <w:szCs w:val="21"/>
                    </w:rPr>
                    <w:t>产生量</w:t>
                  </w:r>
                </w:p>
              </w:tc>
              <w:tc>
                <w:tcPr>
                  <w:tcW w:w="1805" w:type="dxa"/>
                  <w:vAlign w:val="center"/>
                </w:tcPr>
                <w:p>
                  <w:pPr>
                    <w:pStyle w:val="28"/>
                    <w:spacing w:line="360" w:lineRule="exact"/>
                    <w:rPr>
                      <w:rFonts w:eastAsiaTheme="minorEastAsia"/>
                      <w:color w:val="auto"/>
                      <w:szCs w:val="21"/>
                    </w:rPr>
                  </w:pPr>
                  <w:r>
                    <w:rPr>
                      <w:rFonts w:eastAsiaTheme="minorEastAsia"/>
                      <w:color w:val="auto"/>
                      <w:szCs w:val="21"/>
                    </w:rPr>
                    <w:t>贮存方式</w:t>
                  </w:r>
                </w:p>
              </w:tc>
              <w:tc>
                <w:tcPr>
                  <w:tcW w:w="1782" w:type="dxa"/>
                  <w:vAlign w:val="center"/>
                </w:tcPr>
                <w:p>
                  <w:pPr>
                    <w:pStyle w:val="28"/>
                    <w:spacing w:line="360" w:lineRule="exact"/>
                    <w:rPr>
                      <w:rFonts w:eastAsiaTheme="minorEastAsia"/>
                      <w:color w:val="auto"/>
                      <w:szCs w:val="21"/>
                    </w:rPr>
                  </w:pPr>
                  <w:r>
                    <w:rPr>
                      <w:rFonts w:eastAsiaTheme="minorEastAsia"/>
                      <w:color w:val="auto"/>
                      <w:szCs w:val="21"/>
                    </w:rPr>
                    <w:t>利用处置方式和去向</w:t>
                  </w:r>
                </w:p>
              </w:tc>
              <w:tc>
                <w:tcPr>
                  <w:tcW w:w="1051" w:type="dxa"/>
                  <w:vAlign w:val="center"/>
                </w:tcPr>
                <w:p>
                  <w:pPr>
                    <w:pStyle w:val="28"/>
                    <w:spacing w:line="360" w:lineRule="exact"/>
                    <w:rPr>
                      <w:rFonts w:eastAsiaTheme="minorEastAsia"/>
                      <w:color w:val="auto"/>
                      <w:szCs w:val="21"/>
                    </w:rPr>
                  </w:pPr>
                  <w:r>
                    <w:rPr>
                      <w:rFonts w:eastAsiaTheme="minorEastAsia"/>
                      <w:color w:val="auto"/>
                      <w:szCs w:val="21"/>
                    </w:rPr>
                    <w:t>利用或处置量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0" w:type="dxa"/>
                  <w:vAlign w:val="center"/>
                </w:tcPr>
                <w:p>
                  <w:pPr>
                    <w:pStyle w:val="28"/>
                    <w:spacing w:line="360" w:lineRule="exact"/>
                    <w:rPr>
                      <w:rFonts w:eastAsiaTheme="minorEastAsia"/>
                      <w:color w:val="auto"/>
                      <w:szCs w:val="21"/>
                    </w:rPr>
                  </w:pPr>
                  <w:r>
                    <w:rPr>
                      <w:rFonts w:eastAsiaTheme="minorEastAsia"/>
                      <w:color w:val="auto"/>
                      <w:szCs w:val="21"/>
                    </w:rPr>
                    <w:t>1</w:t>
                  </w:r>
                </w:p>
              </w:tc>
              <w:tc>
                <w:tcPr>
                  <w:tcW w:w="973" w:type="dxa"/>
                  <w:vAlign w:val="center"/>
                </w:tcPr>
                <w:p>
                  <w:pPr>
                    <w:pStyle w:val="28"/>
                    <w:spacing w:line="360" w:lineRule="exact"/>
                    <w:rPr>
                      <w:rFonts w:eastAsiaTheme="minorEastAsia"/>
                      <w:color w:val="auto"/>
                      <w:szCs w:val="21"/>
                    </w:rPr>
                  </w:pPr>
                  <w:r>
                    <w:rPr>
                      <w:rFonts w:eastAsiaTheme="minorEastAsia"/>
                      <w:color w:val="auto"/>
                      <w:szCs w:val="21"/>
                    </w:rPr>
                    <w:t>生产废水处理系统</w:t>
                  </w:r>
                </w:p>
              </w:tc>
              <w:tc>
                <w:tcPr>
                  <w:tcW w:w="835" w:type="dxa"/>
                  <w:vAlign w:val="center"/>
                </w:tcPr>
                <w:p>
                  <w:pPr>
                    <w:pStyle w:val="28"/>
                    <w:spacing w:line="360" w:lineRule="exact"/>
                    <w:rPr>
                      <w:rFonts w:eastAsiaTheme="minorEastAsia"/>
                      <w:color w:val="auto"/>
                      <w:szCs w:val="21"/>
                    </w:rPr>
                  </w:pPr>
                  <w:r>
                    <w:rPr>
                      <w:rFonts w:eastAsiaTheme="minorEastAsia"/>
                      <w:color w:val="auto"/>
                      <w:szCs w:val="21"/>
                    </w:rPr>
                    <w:t>生产废水污泥</w:t>
                  </w:r>
                </w:p>
              </w:tc>
              <w:tc>
                <w:tcPr>
                  <w:tcW w:w="836" w:type="dxa"/>
                  <w:vAlign w:val="center"/>
                </w:tcPr>
                <w:p>
                  <w:pPr>
                    <w:pStyle w:val="28"/>
                    <w:spacing w:line="360" w:lineRule="exact"/>
                    <w:rPr>
                      <w:rFonts w:eastAsiaTheme="minorEastAsia"/>
                      <w:color w:val="auto"/>
                      <w:szCs w:val="21"/>
                    </w:rPr>
                  </w:pPr>
                  <w:r>
                    <w:rPr>
                      <w:rFonts w:eastAsiaTheme="minorEastAsia"/>
                      <w:color w:val="auto"/>
                      <w:szCs w:val="21"/>
                    </w:rPr>
                    <w:t>一般工业固废</w:t>
                  </w:r>
                </w:p>
              </w:tc>
              <w:tc>
                <w:tcPr>
                  <w:tcW w:w="1109" w:type="dxa"/>
                  <w:vAlign w:val="center"/>
                </w:tcPr>
                <w:p>
                  <w:pPr>
                    <w:pStyle w:val="28"/>
                    <w:spacing w:line="360" w:lineRule="exact"/>
                    <w:rPr>
                      <w:rFonts w:eastAsiaTheme="minorEastAsia"/>
                      <w:color w:val="auto"/>
                      <w:szCs w:val="21"/>
                    </w:rPr>
                  </w:pPr>
                  <w:r>
                    <w:rPr>
                      <w:rFonts w:eastAsiaTheme="minorEastAsia"/>
                      <w:color w:val="auto"/>
                      <w:szCs w:val="21"/>
                      <w:lang w:val="en-US"/>
                    </w:rPr>
                    <w:t>1024.93</w:t>
                  </w:r>
                  <w:r>
                    <w:rPr>
                      <w:rFonts w:eastAsiaTheme="minorEastAsia"/>
                      <w:color w:val="auto"/>
                      <w:szCs w:val="21"/>
                    </w:rPr>
                    <w:t>t/a</w:t>
                  </w:r>
                </w:p>
              </w:tc>
              <w:tc>
                <w:tcPr>
                  <w:tcW w:w="1805" w:type="dxa"/>
                  <w:vAlign w:val="center"/>
                </w:tcPr>
                <w:p>
                  <w:pPr>
                    <w:pStyle w:val="28"/>
                    <w:spacing w:line="360" w:lineRule="exact"/>
                    <w:ind w:firstLine="210" w:firstLineChars="100"/>
                    <w:jc w:val="both"/>
                    <w:rPr>
                      <w:rFonts w:eastAsiaTheme="minorEastAsia"/>
                      <w:color w:val="auto"/>
                      <w:szCs w:val="24"/>
                    </w:rPr>
                  </w:pPr>
                  <w:r>
                    <w:rPr>
                      <w:rFonts w:eastAsiaTheme="minorEastAsia"/>
                      <w:color w:val="auto"/>
                      <w:szCs w:val="24"/>
                    </w:rPr>
                    <w:t>项目拟设置1个100m²污泥暂存库对其进行暂存。</w:t>
                  </w:r>
                </w:p>
              </w:tc>
              <w:tc>
                <w:tcPr>
                  <w:tcW w:w="1782" w:type="dxa"/>
                  <w:vAlign w:val="center"/>
                </w:tcPr>
                <w:p>
                  <w:pPr>
                    <w:pStyle w:val="28"/>
                    <w:spacing w:line="360" w:lineRule="exact"/>
                    <w:ind w:firstLine="210" w:firstLineChars="100"/>
                    <w:jc w:val="both"/>
                    <w:rPr>
                      <w:rFonts w:eastAsiaTheme="minorEastAsia"/>
                      <w:color w:val="auto"/>
                      <w:szCs w:val="24"/>
                    </w:rPr>
                  </w:pPr>
                  <w:r>
                    <w:rPr>
                      <w:rFonts w:eastAsiaTheme="minorEastAsia"/>
                      <w:color w:val="auto"/>
                      <w:szCs w:val="24"/>
                    </w:rPr>
                    <w:t>该污泥的主要成分为小江河流中的泥土，一部分用于厂区周围绿化覆土和道路建设，剩余部分将其用于小李庄村肥田。</w:t>
                  </w:r>
                </w:p>
              </w:tc>
              <w:tc>
                <w:tcPr>
                  <w:tcW w:w="1051" w:type="dxa"/>
                  <w:vAlign w:val="center"/>
                </w:tcPr>
                <w:p>
                  <w:pPr>
                    <w:pStyle w:val="28"/>
                    <w:spacing w:line="360" w:lineRule="exact"/>
                    <w:rPr>
                      <w:rFonts w:eastAsiaTheme="minorEastAsia"/>
                      <w:color w:val="auto"/>
                      <w:szCs w:val="21"/>
                    </w:rPr>
                  </w:pPr>
                  <w:r>
                    <w:rPr>
                      <w:color w:val="auto"/>
                      <w:szCs w:val="21"/>
                      <w:lang w:val="en-US"/>
                    </w:rPr>
                    <w:t>1024.93</w:t>
                  </w:r>
                  <w:r>
                    <w:rPr>
                      <w:color w:val="auto"/>
                      <w:szCs w:val="21"/>
                    </w:rPr>
                    <w: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0" w:type="dxa"/>
                  <w:vMerge w:val="restart"/>
                  <w:vAlign w:val="center"/>
                </w:tcPr>
                <w:p>
                  <w:pPr>
                    <w:pStyle w:val="28"/>
                    <w:spacing w:line="360" w:lineRule="exact"/>
                    <w:rPr>
                      <w:rFonts w:eastAsiaTheme="minorEastAsia"/>
                      <w:color w:val="auto"/>
                      <w:szCs w:val="21"/>
                    </w:rPr>
                  </w:pPr>
                  <w:r>
                    <w:rPr>
                      <w:rFonts w:eastAsiaTheme="minorEastAsia"/>
                      <w:color w:val="auto"/>
                      <w:szCs w:val="21"/>
                    </w:rPr>
                    <w:t>2</w:t>
                  </w:r>
                </w:p>
              </w:tc>
              <w:tc>
                <w:tcPr>
                  <w:tcW w:w="973" w:type="dxa"/>
                  <w:vMerge w:val="restart"/>
                  <w:vAlign w:val="center"/>
                </w:tcPr>
                <w:p>
                  <w:pPr>
                    <w:pStyle w:val="28"/>
                    <w:spacing w:line="360" w:lineRule="exact"/>
                    <w:rPr>
                      <w:rFonts w:eastAsiaTheme="minorEastAsia"/>
                      <w:color w:val="auto"/>
                      <w:szCs w:val="21"/>
                    </w:rPr>
                  </w:pPr>
                  <w:r>
                    <w:rPr>
                      <w:rFonts w:eastAsiaTheme="minorEastAsia"/>
                      <w:color w:val="auto"/>
                      <w:szCs w:val="21"/>
                    </w:rPr>
                    <w:t>设备维护</w:t>
                  </w:r>
                </w:p>
              </w:tc>
              <w:tc>
                <w:tcPr>
                  <w:tcW w:w="835" w:type="dxa"/>
                  <w:vAlign w:val="center"/>
                </w:tcPr>
                <w:p>
                  <w:pPr>
                    <w:pStyle w:val="28"/>
                    <w:spacing w:line="360" w:lineRule="exact"/>
                    <w:rPr>
                      <w:rFonts w:eastAsiaTheme="minorEastAsia"/>
                      <w:color w:val="auto"/>
                      <w:szCs w:val="21"/>
                    </w:rPr>
                  </w:pPr>
                  <w:r>
                    <w:rPr>
                      <w:rFonts w:eastAsiaTheme="minorEastAsia"/>
                      <w:color w:val="auto"/>
                      <w:szCs w:val="21"/>
                    </w:rPr>
                    <w:t>废机油</w:t>
                  </w:r>
                </w:p>
              </w:tc>
              <w:tc>
                <w:tcPr>
                  <w:tcW w:w="836" w:type="dxa"/>
                  <w:vAlign w:val="center"/>
                </w:tcPr>
                <w:p>
                  <w:pPr>
                    <w:pStyle w:val="28"/>
                    <w:spacing w:line="360" w:lineRule="exact"/>
                    <w:rPr>
                      <w:rFonts w:eastAsiaTheme="minorEastAsia"/>
                      <w:color w:val="auto"/>
                      <w:szCs w:val="21"/>
                    </w:rPr>
                  </w:pPr>
                  <w:r>
                    <w:rPr>
                      <w:rFonts w:eastAsiaTheme="minorEastAsia"/>
                      <w:color w:val="auto"/>
                      <w:szCs w:val="21"/>
                    </w:rPr>
                    <w:t>危险废物</w:t>
                  </w:r>
                </w:p>
              </w:tc>
              <w:tc>
                <w:tcPr>
                  <w:tcW w:w="1109" w:type="dxa"/>
                  <w:vAlign w:val="center"/>
                </w:tcPr>
                <w:p>
                  <w:pPr>
                    <w:pStyle w:val="28"/>
                    <w:spacing w:line="360" w:lineRule="exact"/>
                    <w:rPr>
                      <w:rFonts w:eastAsiaTheme="minorEastAsia"/>
                      <w:color w:val="auto"/>
                      <w:szCs w:val="21"/>
                    </w:rPr>
                  </w:pPr>
                  <w:r>
                    <w:rPr>
                      <w:rFonts w:eastAsiaTheme="minorEastAsia"/>
                      <w:color w:val="auto"/>
                      <w:szCs w:val="21"/>
                      <w:lang w:val="en-US"/>
                    </w:rPr>
                    <w:t>50</w:t>
                  </w:r>
                  <w:r>
                    <w:rPr>
                      <w:rFonts w:eastAsiaTheme="minorEastAsia"/>
                      <w:color w:val="auto"/>
                      <w:szCs w:val="21"/>
                    </w:rPr>
                    <w:t>kg/a</w:t>
                  </w:r>
                </w:p>
              </w:tc>
              <w:tc>
                <w:tcPr>
                  <w:tcW w:w="1805" w:type="dxa"/>
                  <w:vAlign w:val="center"/>
                </w:tcPr>
                <w:p>
                  <w:pPr>
                    <w:pStyle w:val="28"/>
                    <w:spacing w:line="360" w:lineRule="exact"/>
                    <w:ind w:firstLine="210" w:firstLineChars="100"/>
                    <w:jc w:val="both"/>
                    <w:rPr>
                      <w:rFonts w:eastAsiaTheme="minorEastAsia"/>
                      <w:color w:val="auto"/>
                      <w:szCs w:val="24"/>
                    </w:rPr>
                  </w:pPr>
                  <w:r>
                    <w:rPr>
                      <w:rFonts w:eastAsiaTheme="minorEastAsia"/>
                      <w:color w:val="auto"/>
                      <w:szCs w:val="24"/>
                    </w:rPr>
                    <w:t>厂区拟建设1个5m²的危险废物贮存间对项目区废机油等危险废物进行暂存。</w:t>
                  </w:r>
                </w:p>
              </w:tc>
              <w:tc>
                <w:tcPr>
                  <w:tcW w:w="1782" w:type="dxa"/>
                  <w:vAlign w:val="center"/>
                </w:tcPr>
                <w:p>
                  <w:pPr>
                    <w:pStyle w:val="28"/>
                    <w:spacing w:line="360" w:lineRule="exact"/>
                    <w:ind w:firstLine="210" w:firstLineChars="100"/>
                    <w:jc w:val="both"/>
                    <w:rPr>
                      <w:rFonts w:eastAsiaTheme="minorEastAsia"/>
                      <w:color w:val="auto"/>
                      <w:szCs w:val="24"/>
                    </w:rPr>
                  </w:pPr>
                  <w:r>
                    <w:rPr>
                      <w:rFonts w:eastAsiaTheme="minorEastAsia"/>
                      <w:color w:val="auto"/>
                      <w:szCs w:val="24"/>
                    </w:rPr>
                    <w:t>部分用于生产设备润滑使用，无法使用部分委托有资质的单位处置。</w:t>
                  </w:r>
                </w:p>
              </w:tc>
              <w:tc>
                <w:tcPr>
                  <w:tcW w:w="1051" w:type="dxa"/>
                  <w:vAlign w:val="center"/>
                </w:tcPr>
                <w:p>
                  <w:pPr>
                    <w:pStyle w:val="28"/>
                    <w:spacing w:line="360" w:lineRule="exact"/>
                    <w:rPr>
                      <w:rFonts w:eastAsiaTheme="minorEastAsia"/>
                      <w:color w:val="auto"/>
                      <w:szCs w:val="21"/>
                    </w:rPr>
                  </w:pPr>
                  <w:r>
                    <w:rPr>
                      <w:rFonts w:eastAsiaTheme="minorEastAsia"/>
                      <w:color w:val="auto"/>
                      <w:szCs w:val="21"/>
                      <w:lang w:val="en-US"/>
                    </w:rPr>
                    <w:t>50</w:t>
                  </w:r>
                  <w:r>
                    <w:rPr>
                      <w:rFonts w:eastAsiaTheme="minorEastAsia"/>
                      <w:color w:val="auto"/>
                      <w:szCs w:val="21"/>
                    </w:rPr>
                    <w:t>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0" w:type="dxa"/>
                  <w:vMerge w:val="continue"/>
                  <w:vAlign w:val="center"/>
                </w:tcPr>
                <w:p>
                  <w:pPr>
                    <w:pStyle w:val="28"/>
                    <w:spacing w:line="360" w:lineRule="exact"/>
                    <w:rPr>
                      <w:rFonts w:eastAsiaTheme="minorEastAsia"/>
                      <w:color w:val="auto"/>
                      <w:szCs w:val="21"/>
                    </w:rPr>
                  </w:pPr>
                </w:p>
              </w:tc>
              <w:tc>
                <w:tcPr>
                  <w:tcW w:w="973" w:type="dxa"/>
                  <w:vMerge w:val="continue"/>
                  <w:vAlign w:val="center"/>
                </w:tcPr>
                <w:p>
                  <w:pPr>
                    <w:pStyle w:val="28"/>
                    <w:spacing w:line="360" w:lineRule="exact"/>
                    <w:rPr>
                      <w:rFonts w:eastAsiaTheme="minorEastAsia"/>
                      <w:color w:val="auto"/>
                      <w:szCs w:val="21"/>
                    </w:rPr>
                  </w:pPr>
                </w:p>
              </w:tc>
              <w:tc>
                <w:tcPr>
                  <w:tcW w:w="835" w:type="dxa"/>
                  <w:vAlign w:val="center"/>
                </w:tcPr>
                <w:p>
                  <w:pPr>
                    <w:pStyle w:val="28"/>
                    <w:spacing w:line="360" w:lineRule="exact"/>
                    <w:rPr>
                      <w:rFonts w:eastAsiaTheme="minorEastAsia"/>
                      <w:color w:val="auto"/>
                      <w:szCs w:val="21"/>
                    </w:rPr>
                  </w:pPr>
                  <w:r>
                    <w:rPr>
                      <w:rFonts w:eastAsiaTheme="minorEastAsia"/>
                      <w:color w:val="auto"/>
                      <w:szCs w:val="21"/>
                    </w:rPr>
                    <w:t>废弃沾油抹布</w:t>
                  </w:r>
                </w:p>
              </w:tc>
              <w:tc>
                <w:tcPr>
                  <w:tcW w:w="836" w:type="dxa"/>
                  <w:vAlign w:val="center"/>
                </w:tcPr>
                <w:p>
                  <w:pPr>
                    <w:pStyle w:val="28"/>
                    <w:spacing w:line="360" w:lineRule="exact"/>
                    <w:rPr>
                      <w:rFonts w:eastAsiaTheme="minorEastAsia"/>
                      <w:color w:val="auto"/>
                      <w:szCs w:val="21"/>
                    </w:rPr>
                  </w:pPr>
                  <w:r>
                    <w:rPr>
                      <w:rFonts w:eastAsiaTheme="minorEastAsia"/>
                      <w:color w:val="auto"/>
                      <w:szCs w:val="21"/>
                    </w:rPr>
                    <w:t>豁免的危险废物</w:t>
                  </w:r>
                </w:p>
              </w:tc>
              <w:tc>
                <w:tcPr>
                  <w:tcW w:w="1109" w:type="dxa"/>
                  <w:vAlign w:val="center"/>
                </w:tcPr>
                <w:p>
                  <w:pPr>
                    <w:pStyle w:val="28"/>
                    <w:spacing w:line="360" w:lineRule="exact"/>
                    <w:rPr>
                      <w:rFonts w:eastAsiaTheme="minorEastAsia"/>
                      <w:color w:val="auto"/>
                      <w:szCs w:val="21"/>
                    </w:rPr>
                  </w:pPr>
                  <w:r>
                    <w:rPr>
                      <w:rFonts w:eastAsiaTheme="minorEastAsia"/>
                      <w:color w:val="auto"/>
                      <w:szCs w:val="21"/>
                    </w:rPr>
                    <w:t>10kg/a</w:t>
                  </w:r>
                </w:p>
              </w:tc>
              <w:tc>
                <w:tcPr>
                  <w:tcW w:w="1805" w:type="dxa"/>
                  <w:vAlign w:val="center"/>
                </w:tcPr>
                <w:p>
                  <w:pPr>
                    <w:pStyle w:val="28"/>
                    <w:spacing w:line="360" w:lineRule="exact"/>
                    <w:ind w:firstLine="210" w:firstLineChars="100"/>
                    <w:jc w:val="both"/>
                    <w:rPr>
                      <w:rFonts w:eastAsiaTheme="minorEastAsia"/>
                      <w:color w:val="auto"/>
                      <w:szCs w:val="24"/>
                    </w:rPr>
                  </w:pPr>
                  <w:r>
                    <w:rPr>
                      <w:rFonts w:eastAsiaTheme="minorEastAsia"/>
                      <w:color w:val="auto"/>
                      <w:szCs w:val="24"/>
                    </w:rPr>
                    <w:t>使用垃圾桶集中收集</w:t>
                  </w:r>
                </w:p>
              </w:tc>
              <w:tc>
                <w:tcPr>
                  <w:tcW w:w="1782" w:type="dxa"/>
                  <w:vAlign w:val="center"/>
                </w:tcPr>
                <w:p>
                  <w:pPr>
                    <w:pStyle w:val="28"/>
                    <w:spacing w:line="360" w:lineRule="exact"/>
                    <w:ind w:firstLine="210" w:firstLineChars="100"/>
                    <w:jc w:val="both"/>
                    <w:rPr>
                      <w:rFonts w:eastAsiaTheme="minorEastAsia"/>
                      <w:color w:val="auto"/>
                      <w:szCs w:val="24"/>
                    </w:rPr>
                  </w:pPr>
                  <w:r>
                    <w:rPr>
                      <w:rFonts w:eastAsiaTheme="minorEastAsia"/>
                      <w:color w:val="auto"/>
                      <w:szCs w:val="24"/>
                    </w:rPr>
                    <w:t>委托环卫部门定期清运处置。</w:t>
                  </w:r>
                </w:p>
              </w:tc>
              <w:tc>
                <w:tcPr>
                  <w:tcW w:w="1051" w:type="dxa"/>
                  <w:vAlign w:val="center"/>
                </w:tcPr>
                <w:p>
                  <w:pPr>
                    <w:pStyle w:val="28"/>
                    <w:spacing w:line="360" w:lineRule="exact"/>
                    <w:rPr>
                      <w:rFonts w:eastAsiaTheme="minorEastAsia"/>
                      <w:color w:val="auto"/>
                      <w:szCs w:val="21"/>
                    </w:rPr>
                  </w:pPr>
                  <w:r>
                    <w:rPr>
                      <w:rFonts w:eastAsiaTheme="minorEastAsia"/>
                      <w:color w:val="auto"/>
                      <w:szCs w:val="21"/>
                    </w:rPr>
                    <w:t>10kg/a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0" w:type="dxa"/>
                  <w:vAlign w:val="center"/>
                </w:tcPr>
                <w:p>
                  <w:pPr>
                    <w:pStyle w:val="28"/>
                    <w:spacing w:line="360" w:lineRule="exact"/>
                    <w:rPr>
                      <w:rFonts w:eastAsiaTheme="minorEastAsia"/>
                      <w:color w:val="auto"/>
                      <w:szCs w:val="21"/>
                    </w:rPr>
                  </w:pPr>
                  <w:r>
                    <w:rPr>
                      <w:rFonts w:eastAsiaTheme="minorEastAsia"/>
                      <w:color w:val="auto"/>
                      <w:szCs w:val="21"/>
                    </w:rPr>
                    <w:t>3</w:t>
                  </w:r>
                </w:p>
              </w:tc>
              <w:tc>
                <w:tcPr>
                  <w:tcW w:w="973" w:type="dxa"/>
                  <w:vAlign w:val="center"/>
                </w:tcPr>
                <w:p>
                  <w:pPr>
                    <w:pStyle w:val="28"/>
                    <w:spacing w:line="360" w:lineRule="exact"/>
                    <w:rPr>
                      <w:rFonts w:eastAsiaTheme="minorEastAsia"/>
                      <w:color w:val="auto"/>
                      <w:szCs w:val="21"/>
                    </w:rPr>
                  </w:pPr>
                  <w:r>
                    <w:rPr>
                      <w:rFonts w:eastAsiaTheme="minorEastAsia"/>
                      <w:color w:val="auto"/>
                      <w:szCs w:val="21"/>
                    </w:rPr>
                    <w:t>生活污水处理系统</w:t>
                  </w:r>
                </w:p>
              </w:tc>
              <w:tc>
                <w:tcPr>
                  <w:tcW w:w="835" w:type="dxa"/>
                  <w:vAlign w:val="center"/>
                </w:tcPr>
                <w:p>
                  <w:pPr>
                    <w:pStyle w:val="28"/>
                    <w:spacing w:line="360" w:lineRule="exact"/>
                    <w:rPr>
                      <w:rFonts w:eastAsiaTheme="minorEastAsia"/>
                      <w:color w:val="auto"/>
                      <w:szCs w:val="21"/>
                    </w:rPr>
                  </w:pPr>
                  <w:r>
                    <w:rPr>
                      <w:rFonts w:eastAsiaTheme="minorEastAsia"/>
                      <w:color w:val="auto"/>
                      <w:szCs w:val="21"/>
                    </w:rPr>
                    <w:t>生活污水污泥</w:t>
                  </w:r>
                </w:p>
              </w:tc>
              <w:tc>
                <w:tcPr>
                  <w:tcW w:w="836" w:type="dxa"/>
                  <w:vAlign w:val="center"/>
                </w:tcPr>
                <w:p>
                  <w:pPr>
                    <w:pStyle w:val="28"/>
                    <w:spacing w:line="360" w:lineRule="exact"/>
                    <w:rPr>
                      <w:rFonts w:eastAsiaTheme="minorEastAsia"/>
                      <w:color w:val="auto"/>
                      <w:szCs w:val="21"/>
                    </w:rPr>
                  </w:pPr>
                  <w:r>
                    <w:rPr>
                      <w:rFonts w:eastAsiaTheme="minorEastAsia"/>
                      <w:color w:val="auto"/>
                      <w:szCs w:val="21"/>
                    </w:rPr>
                    <w:t>生活固废</w:t>
                  </w:r>
                </w:p>
              </w:tc>
              <w:tc>
                <w:tcPr>
                  <w:tcW w:w="1109" w:type="dxa"/>
                  <w:vAlign w:val="center"/>
                </w:tcPr>
                <w:p>
                  <w:pPr>
                    <w:pStyle w:val="28"/>
                    <w:spacing w:line="360" w:lineRule="exact"/>
                    <w:rPr>
                      <w:rFonts w:eastAsiaTheme="minorEastAsia"/>
                      <w:color w:val="auto"/>
                      <w:szCs w:val="21"/>
                    </w:rPr>
                  </w:pPr>
                  <w:r>
                    <w:rPr>
                      <w:rFonts w:eastAsiaTheme="minorEastAsia"/>
                      <w:color w:val="auto"/>
                      <w:szCs w:val="21"/>
                    </w:rPr>
                    <w:t>0.06t/a</w:t>
                  </w:r>
                </w:p>
              </w:tc>
              <w:tc>
                <w:tcPr>
                  <w:tcW w:w="1805" w:type="dxa"/>
                  <w:vAlign w:val="center"/>
                </w:tcPr>
                <w:p>
                  <w:pPr>
                    <w:pStyle w:val="28"/>
                    <w:spacing w:line="360" w:lineRule="exact"/>
                    <w:ind w:firstLine="210" w:firstLineChars="100"/>
                    <w:jc w:val="both"/>
                    <w:rPr>
                      <w:rFonts w:eastAsiaTheme="minorEastAsia"/>
                      <w:color w:val="auto"/>
                      <w:szCs w:val="24"/>
                    </w:rPr>
                  </w:pPr>
                  <w:r>
                    <w:rPr>
                      <w:rFonts w:eastAsiaTheme="minorEastAsia"/>
                      <w:color w:val="auto"/>
                      <w:szCs w:val="24"/>
                    </w:rPr>
                    <w:t>定期清掏。</w:t>
                  </w:r>
                </w:p>
              </w:tc>
              <w:tc>
                <w:tcPr>
                  <w:tcW w:w="1782" w:type="dxa"/>
                  <w:vAlign w:val="center"/>
                </w:tcPr>
                <w:p>
                  <w:pPr>
                    <w:pStyle w:val="28"/>
                    <w:spacing w:line="360" w:lineRule="exact"/>
                    <w:ind w:firstLine="210" w:firstLineChars="100"/>
                    <w:jc w:val="both"/>
                    <w:rPr>
                      <w:rFonts w:eastAsiaTheme="minorEastAsia"/>
                      <w:color w:val="auto"/>
                      <w:szCs w:val="24"/>
                    </w:rPr>
                  </w:pPr>
                  <w:r>
                    <w:rPr>
                      <w:rFonts w:eastAsiaTheme="minorEastAsia"/>
                      <w:color w:val="auto"/>
                      <w:szCs w:val="24"/>
                    </w:rPr>
                    <w:t>委托环卫部门定期清运处置。</w:t>
                  </w:r>
                </w:p>
              </w:tc>
              <w:tc>
                <w:tcPr>
                  <w:tcW w:w="1051" w:type="dxa"/>
                  <w:vAlign w:val="center"/>
                </w:tcPr>
                <w:p>
                  <w:pPr>
                    <w:pStyle w:val="28"/>
                    <w:spacing w:line="360" w:lineRule="exact"/>
                    <w:rPr>
                      <w:rFonts w:eastAsiaTheme="minorEastAsia"/>
                      <w:color w:val="auto"/>
                      <w:szCs w:val="21"/>
                    </w:rPr>
                  </w:pPr>
                  <w:r>
                    <w:rPr>
                      <w:color w:val="auto"/>
                    </w:rPr>
                    <w:t>0.06t/a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0" w:type="dxa"/>
                  <w:vAlign w:val="center"/>
                </w:tcPr>
                <w:p>
                  <w:pPr>
                    <w:pStyle w:val="28"/>
                    <w:spacing w:line="360" w:lineRule="exact"/>
                    <w:rPr>
                      <w:rFonts w:eastAsiaTheme="minorEastAsia"/>
                      <w:color w:val="auto"/>
                      <w:szCs w:val="21"/>
                    </w:rPr>
                  </w:pPr>
                  <w:r>
                    <w:rPr>
                      <w:rFonts w:eastAsiaTheme="minorEastAsia"/>
                      <w:color w:val="auto"/>
                      <w:szCs w:val="21"/>
                    </w:rPr>
                    <w:t>4</w:t>
                  </w:r>
                </w:p>
              </w:tc>
              <w:tc>
                <w:tcPr>
                  <w:tcW w:w="973" w:type="dxa"/>
                  <w:vAlign w:val="center"/>
                </w:tcPr>
                <w:p>
                  <w:pPr>
                    <w:pStyle w:val="28"/>
                    <w:spacing w:line="360" w:lineRule="exact"/>
                    <w:rPr>
                      <w:rFonts w:eastAsiaTheme="minorEastAsia"/>
                      <w:color w:val="auto"/>
                      <w:szCs w:val="21"/>
                    </w:rPr>
                  </w:pPr>
                  <w:r>
                    <w:rPr>
                      <w:rFonts w:eastAsiaTheme="minorEastAsia"/>
                      <w:color w:val="auto"/>
                      <w:szCs w:val="21"/>
                    </w:rPr>
                    <w:t>员工生活</w:t>
                  </w:r>
                </w:p>
              </w:tc>
              <w:tc>
                <w:tcPr>
                  <w:tcW w:w="835" w:type="dxa"/>
                  <w:vAlign w:val="center"/>
                </w:tcPr>
                <w:p>
                  <w:pPr>
                    <w:pStyle w:val="28"/>
                    <w:spacing w:line="360" w:lineRule="exact"/>
                    <w:rPr>
                      <w:rFonts w:eastAsiaTheme="minorEastAsia"/>
                      <w:color w:val="auto"/>
                      <w:szCs w:val="21"/>
                    </w:rPr>
                  </w:pPr>
                  <w:r>
                    <w:rPr>
                      <w:rFonts w:eastAsiaTheme="minorEastAsia"/>
                      <w:color w:val="auto"/>
                      <w:szCs w:val="21"/>
                    </w:rPr>
                    <w:t>生活垃圾</w:t>
                  </w:r>
                </w:p>
              </w:tc>
              <w:tc>
                <w:tcPr>
                  <w:tcW w:w="836" w:type="dxa"/>
                  <w:vAlign w:val="center"/>
                </w:tcPr>
                <w:p>
                  <w:pPr>
                    <w:pStyle w:val="28"/>
                    <w:spacing w:line="360" w:lineRule="exact"/>
                    <w:rPr>
                      <w:rFonts w:eastAsiaTheme="minorEastAsia"/>
                      <w:color w:val="auto"/>
                      <w:szCs w:val="21"/>
                    </w:rPr>
                  </w:pPr>
                  <w:r>
                    <w:rPr>
                      <w:rFonts w:eastAsiaTheme="minorEastAsia"/>
                      <w:color w:val="auto"/>
                      <w:szCs w:val="21"/>
                    </w:rPr>
                    <w:t>生活固废</w:t>
                  </w:r>
                </w:p>
              </w:tc>
              <w:tc>
                <w:tcPr>
                  <w:tcW w:w="1109" w:type="dxa"/>
                  <w:vAlign w:val="center"/>
                </w:tcPr>
                <w:p>
                  <w:pPr>
                    <w:pStyle w:val="28"/>
                    <w:spacing w:line="360" w:lineRule="exact"/>
                    <w:rPr>
                      <w:rFonts w:eastAsiaTheme="minorEastAsia"/>
                      <w:color w:val="auto"/>
                      <w:szCs w:val="21"/>
                    </w:rPr>
                  </w:pPr>
                  <w:r>
                    <w:rPr>
                      <w:rFonts w:eastAsiaTheme="minorEastAsia"/>
                      <w:color w:val="auto"/>
                      <w:szCs w:val="21"/>
                    </w:rPr>
                    <w:t>9.9t/a</w:t>
                  </w:r>
                </w:p>
              </w:tc>
              <w:tc>
                <w:tcPr>
                  <w:tcW w:w="1805" w:type="dxa"/>
                  <w:vAlign w:val="center"/>
                </w:tcPr>
                <w:p>
                  <w:pPr>
                    <w:pStyle w:val="28"/>
                    <w:spacing w:line="360" w:lineRule="exact"/>
                    <w:ind w:firstLine="210" w:firstLineChars="100"/>
                    <w:jc w:val="both"/>
                    <w:rPr>
                      <w:rFonts w:eastAsiaTheme="minorEastAsia"/>
                      <w:color w:val="auto"/>
                      <w:szCs w:val="24"/>
                    </w:rPr>
                  </w:pPr>
                  <w:r>
                    <w:rPr>
                      <w:rFonts w:eastAsiaTheme="minorEastAsia"/>
                      <w:color w:val="auto"/>
                      <w:szCs w:val="24"/>
                    </w:rPr>
                    <w:t>使用垃圾桶集中收集，日产日清。</w:t>
                  </w:r>
                </w:p>
              </w:tc>
              <w:tc>
                <w:tcPr>
                  <w:tcW w:w="1782" w:type="dxa"/>
                  <w:vAlign w:val="center"/>
                </w:tcPr>
                <w:p>
                  <w:pPr>
                    <w:pStyle w:val="28"/>
                    <w:spacing w:line="360" w:lineRule="exact"/>
                    <w:ind w:firstLine="210" w:firstLineChars="100"/>
                    <w:jc w:val="both"/>
                    <w:rPr>
                      <w:rFonts w:eastAsiaTheme="minorEastAsia"/>
                      <w:color w:val="auto"/>
                      <w:szCs w:val="24"/>
                    </w:rPr>
                  </w:pPr>
                  <w:r>
                    <w:rPr>
                      <w:rFonts w:eastAsiaTheme="minorEastAsia"/>
                      <w:color w:val="auto"/>
                      <w:szCs w:val="24"/>
                    </w:rPr>
                    <w:t>委托环卫部门定期清运处置。</w:t>
                  </w:r>
                </w:p>
              </w:tc>
              <w:tc>
                <w:tcPr>
                  <w:tcW w:w="1051" w:type="dxa"/>
                  <w:vAlign w:val="center"/>
                </w:tcPr>
                <w:p>
                  <w:pPr>
                    <w:pStyle w:val="28"/>
                    <w:spacing w:line="360" w:lineRule="exact"/>
                    <w:rPr>
                      <w:rFonts w:eastAsiaTheme="minorEastAsia"/>
                      <w:color w:val="auto"/>
                      <w:szCs w:val="21"/>
                    </w:rPr>
                  </w:pPr>
                  <w:r>
                    <w:rPr>
                      <w:rFonts w:eastAsiaTheme="minorEastAsia"/>
                      <w:color w:val="auto"/>
                      <w:szCs w:val="21"/>
                    </w:rPr>
                    <w:t>9.9t/a</w:t>
                  </w:r>
                </w:p>
              </w:tc>
            </w:tr>
          </w:tbl>
          <w:p>
            <w:pPr>
              <w:pStyle w:val="35"/>
              <w:spacing w:before="156" w:beforeLines="50"/>
              <w:ind w:firstLine="480"/>
              <w:rPr>
                <w:rFonts w:eastAsiaTheme="minorEastAsia"/>
                <w:szCs w:val="21"/>
              </w:rPr>
            </w:pPr>
            <w:r>
              <w:rPr>
                <w:rFonts w:eastAsiaTheme="minorEastAsia"/>
                <w:szCs w:val="21"/>
              </w:rPr>
              <w:t>根据项目特点，项目针对固废废物采取的保护措施具体实施如下：</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①生产废水处理系统产生的生产废水污泥，其主要成分为小江河流中的泥土，项目拟设置1个100m²污泥暂存库对其进行暂存后，一部分用于厂区周围绿化覆土和道路建设，剩余部分将其用于小李庄村肥田。污泥暂存库建设过程中设置三面围挡和顶棚，则生产废水污泥暂存及处置措施合理可行。</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②针对项目产生的废机油，厂区拟建设1个5m²的危险废物贮存间对项目区废机油等危险废物进行暂存。部分用于生产设备润滑使用，无法使用部分委托有资质的单位处置。</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③生活污水处理系统产生的生活污水污泥以及生活垃圾属于生活固废，委托环卫部门定期清运处置。措施可行。</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综上，项目产生的固体废物均可得到合理处置，处置率为100%；对环境影响较小。</w:t>
            </w:r>
          </w:p>
          <w:p>
            <w:pPr>
              <w:spacing w:line="360" w:lineRule="auto"/>
              <w:ind w:firstLine="361" w:firstLineChars="150"/>
              <w:rPr>
                <w:rFonts w:ascii="Times New Roman" w:hAnsi="Times New Roman" w:cs="Times New Roman"/>
                <w:b/>
                <w:sz w:val="24"/>
              </w:rPr>
            </w:pPr>
            <w:r>
              <w:rPr>
                <w:rFonts w:ascii="Times New Roman" w:hAnsi="Times New Roman" w:cs="Times New Roman"/>
                <w:b/>
                <w:sz w:val="24"/>
              </w:rPr>
              <w:t>（2）环境管理要求</w:t>
            </w:r>
          </w:p>
          <w:p>
            <w:pPr>
              <w:pStyle w:val="35"/>
              <w:ind w:firstLine="482"/>
              <w:rPr>
                <w:rFonts w:eastAsiaTheme="minorEastAsia"/>
                <w:b/>
                <w:szCs w:val="24"/>
              </w:rPr>
            </w:pPr>
            <w:r>
              <w:rPr>
                <w:b/>
                <w:szCs w:val="24"/>
              </w:rPr>
              <w:t>①</w:t>
            </w:r>
            <w:r>
              <w:rPr>
                <w:rFonts w:eastAsiaTheme="minorEastAsia"/>
                <w:b/>
                <w:szCs w:val="24"/>
              </w:rPr>
              <w:t>危险废物管理要求</w:t>
            </w:r>
          </w:p>
          <w:p>
            <w:pPr>
              <w:pStyle w:val="35"/>
              <w:ind w:firstLine="480"/>
              <w:rPr>
                <w:szCs w:val="24"/>
              </w:rPr>
            </w:pPr>
            <w:r>
              <w:rPr>
                <w:szCs w:val="24"/>
              </w:rPr>
              <w:t>针对项目产生的危险废物，项目在日常管理过程中，必须严格按照《危险废物贮存污染控制标准》（GB18597-2001）及修改单的要求，在对危险废物的收集、贮存、利用和委托有资质的单位处理过程中，做到下表提出的要求。</w:t>
            </w:r>
          </w:p>
          <w:p>
            <w:pPr>
              <w:pStyle w:val="30"/>
              <w:spacing w:beforeLines="0"/>
              <w:rPr>
                <w:rFonts w:hAnsi="Times New Roman" w:eastAsiaTheme="minorEastAsia"/>
                <w:sz w:val="21"/>
                <w:szCs w:val="21"/>
              </w:rPr>
            </w:pPr>
            <w:r>
              <w:rPr>
                <w:rFonts w:hAnsi="Times New Roman" w:eastAsiaTheme="minorEastAsia"/>
                <w:sz w:val="21"/>
                <w:szCs w:val="21"/>
              </w:rPr>
              <w:t>表4.2.4-3 项目危险废物管理要求一览表</w:t>
            </w:r>
          </w:p>
          <w:tbl>
            <w:tblPr>
              <w:tblStyle w:val="17"/>
              <w:tblW w:w="8841"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0"/>
              <w:gridCol w:w="835"/>
              <w:gridCol w:w="74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30" w:type="dxa"/>
                  <w:vAlign w:val="center"/>
                </w:tcPr>
                <w:p>
                  <w:pPr>
                    <w:pStyle w:val="28"/>
                    <w:spacing w:before="78"/>
                    <w:ind w:left="11"/>
                    <w:rPr>
                      <w:rFonts w:eastAsiaTheme="minorEastAsia"/>
                      <w:color w:val="auto"/>
                    </w:rPr>
                  </w:pPr>
                  <w:r>
                    <w:rPr>
                      <w:rFonts w:eastAsiaTheme="minorEastAsia"/>
                      <w:color w:val="auto"/>
                    </w:rPr>
                    <w:t>序号</w:t>
                  </w:r>
                </w:p>
              </w:tc>
              <w:tc>
                <w:tcPr>
                  <w:tcW w:w="835" w:type="dxa"/>
                  <w:vAlign w:val="center"/>
                </w:tcPr>
                <w:p>
                  <w:pPr>
                    <w:pStyle w:val="28"/>
                    <w:spacing w:before="78"/>
                    <w:ind w:left="11"/>
                    <w:rPr>
                      <w:rFonts w:eastAsiaTheme="minorEastAsia"/>
                      <w:color w:val="auto"/>
                    </w:rPr>
                  </w:pPr>
                  <w:r>
                    <w:rPr>
                      <w:rFonts w:eastAsiaTheme="minorEastAsia"/>
                      <w:color w:val="auto"/>
                    </w:rPr>
                    <w:t>环节</w:t>
                  </w:r>
                </w:p>
              </w:tc>
              <w:tc>
                <w:tcPr>
                  <w:tcW w:w="7476" w:type="dxa"/>
                  <w:vAlign w:val="center"/>
                </w:tcPr>
                <w:p>
                  <w:pPr>
                    <w:pStyle w:val="28"/>
                    <w:spacing w:before="78"/>
                    <w:ind w:left="11"/>
                    <w:rPr>
                      <w:rFonts w:eastAsiaTheme="minorEastAsia"/>
                      <w:color w:val="auto"/>
                    </w:rPr>
                  </w:pPr>
                  <w:r>
                    <w:rPr>
                      <w:rFonts w:eastAsiaTheme="minorEastAsia"/>
                      <w:color w:val="auto"/>
                    </w:rPr>
                    <w:t>管理要求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30" w:type="dxa"/>
                  <w:vAlign w:val="center"/>
                </w:tcPr>
                <w:p>
                  <w:pPr>
                    <w:pStyle w:val="28"/>
                    <w:spacing w:before="78"/>
                    <w:ind w:left="11"/>
                    <w:rPr>
                      <w:rFonts w:eastAsiaTheme="minorEastAsia"/>
                      <w:color w:val="auto"/>
                    </w:rPr>
                  </w:pPr>
                  <w:r>
                    <w:rPr>
                      <w:rFonts w:eastAsiaTheme="minorEastAsia"/>
                      <w:color w:val="auto"/>
                    </w:rPr>
                    <w:t>1</w:t>
                  </w:r>
                </w:p>
              </w:tc>
              <w:tc>
                <w:tcPr>
                  <w:tcW w:w="835" w:type="dxa"/>
                  <w:vAlign w:val="center"/>
                </w:tcPr>
                <w:p>
                  <w:pPr>
                    <w:pStyle w:val="28"/>
                    <w:spacing w:before="78"/>
                    <w:ind w:left="11"/>
                    <w:rPr>
                      <w:rFonts w:eastAsiaTheme="minorEastAsia"/>
                      <w:color w:val="auto"/>
                    </w:rPr>
                  </w:pPr>
                  <w:r>
                    <w:rPr>
                      <w:rFonts w:eastAsiaTheme="minorEastAsia"/>
                      <w:color w:val="auto"/>
                    </w:rPr>
                    <w:t>收集过程</w:t>
                  </w:r>
                </w:p>
              </w:tc>
              <w:tc>
                <w:tcPr>
                  <w:tcW w:w="7476" w:type="dxa"/>
                  <w:vAlign w:val="center"/>
                </w:tcPr>
                <w:p>
                  <w:pPr>
                    <w:pStyle w:val="28"/>
                    <w:spacing w:before="78"/>
                    <w:ind w:left="11" w:firstLine="210" w:firstLineChars="100"/>
                    <w:jc w:val="left"/>
                    <w:rPr>
                      <w:rFonts w:eastAsiaTheme="minorEastAsia"/>
                      <w:color w:val="auto"/>
                    </w:rPr>
                  </w:pPr>
                  <w:r>
                    <w:rPr>
                      <w:rFonts w:eastAsiaTheme="minorEastAsia"/>
                      <w:color w:val="auto"/>
                    </w:rPr>
                    <w:t>项目所产生的危险废物必须单独收集，严禁和一般固体废物混装。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30" w:type="dxa"/>
                  <w:vAlign w:val="center"/>
                </w:tcPr>
                <w:p>
                  <w:pPr>
                    <w:pStyle w:val="28"/>
                    <w:spacing w:before="78"/>
                    <w:ind w:left="11"/>
                    <w:rPr>
                      <w:rFonts w:eastAsiaTheme="minorEastAsia"/>
                      <w:color w:val="auto"/>
                    </w:rPr>
                  </w:pPr>
                  <w:r>
                    <w:rPr>
                      <w:rFonts w:eastAsiaTheme="minorEastAsia"/>
                      <w:color w:val="auto"/>
                    </w:rPr>
                    <w:t>2</w:t>
                  </w:r>
                </w:p>
              </w:tc>
              <w:tc>
                <w:tcPr>
                  <w:tcW w:w="835" w:type="dxa"/>
                  <w:vAlign w:val="center"/>
                </w:tcPr>
                <w:p>
                  <w:pPr>
                    <w:pStyle w:val="28"/>
                    <w:spacing w:before="78"/>
                    <w:ind w:left="11"/>
                    <w:rPr>
                      <w:rFonts w:eastAsiaTheme="minorEastAsia"/>
                      <w:color w:val="auto"/>
                    </w:rPr>
                  </w:pPr>
                  <w:r>
                    <w:rPr>
                      <w:rFonts w:eastAsiaTheme="minorEastAsia"/>
                      <w:color w:val="auto"/>
                    </w:rPr>
                    <w:t>贮存过程</w:t>
                  </w:r>
                </w:p>
              </w:tc>
              <w:tc>
                <w:tcPr>
                  <w:tcW w:w="7476" w:type="dxa"/>
                  <w:vAlign w:val="center"/>
                </w:tcPr>
                <w:p>
                  <w:pPr>
                    <w:pStyle w:val="28"/>
                    <w:ind w:left="11" w:firstLine="210" w:firstLineChars="100"/>
                    <w:jc w:val="left"/>
                    <w:rPr>
                      <w:rFonts w:eastAsiaTheme="minorEastAsia"/>
                      <w:color w:val="auto"/>
                    </w:rPr>
                  </w:pPr>
                  <w:r>
                    <w:rPr>
                      <w:color w:val="auto"/>
                    </w:rPr>
                    <w:t>①</w:t>
                  </w:r>
                  <w:r>
                    <w:rPr>
                      <w:rFonts w:eastAsiaTheme="minorEastAsia"/>
                      <w:color w:val="auto"/>
                    </w:rPr>
                    <w:t>要做好危险废物贮存间的防渗、防泄漏工作。</w:t>
                  </w:r>
                </w:p>
                <w:p>
                  <w:pPr>
                    <w:pStyle w:val="28"/>
                    <w:ind w:left="11" w:firstLine="210" w:firstLineChars="100"/>
                    <w:jc w:val="left"/>
                    <w:rPr>
                      <w:rFonts w:eastAsiaTheme="minorEastAsia"/>
                      <w:color w:val="auto"/>
                    </w:rPr>
                  </w:pPr>
                  <w:r>
                    <w:rPr>
                      <w:color w:val="auto"/>
                    </w:rPr>
                    <w:t>②</w:t>
                  </w:r>
                  <w:r>
                    <w:rPr>
                      <w:rFonts w:eastAsiaTheme="minorEastAsia"/>
                      <w:color w:val="auto"/>
                    </w:rPr>
                    <w:t>危险废物堆场必须封顶，并做好防雨工作，场内须做好防渗措施。</w:t>
                  </w:r>
                </w:p>
                <w:p>
                  <w:pPr>
                    <w:pStyle w:val="28"/>
                    <w:ind w:left="11" w:firstLine="210" w:firstLineChars="100"/>
                    <w:jc w:val="left"/>
                    <w:rPr>
                      <w:rFonts w:eastAsiaTheme="minorEastAsia"/>
                      <w:color w:val="auto"/>
                    </w:rPr>
                  </w:pPr>
                  <w:r>
                    <w:rPr>
                      <w:color w:val="auto"/>
                    </w:rPr>
                    <w:t>③</w:t>
                  </w:r>
                  <w:r>
                    <w:rPr>
                      <w:rFonts w:eastAsiaTheme="minorEastAsia"/>
                      <w:color w:val="auto"/>
                    </w:rPr>
                    <w:t>危险废物需用符合标准的容器盛装，容器上需粘贴符合《危险废物贮存污染控制标准》（GB18597-2001）附录A所示的标签。</w:t>
                  </w:r>
                </w:p>
                <w:p>
                  <w:pPr>
                    <w:pStyle w:val="28"/>
                    <w:ind w:left="11" w:firstLine="210" w:firstLineChars="100"/>
                    <w:jc w:val="left"/>
                    <w:rPr>
                      <w:rFonts w:eastAsiaTheme="minorEastAsia"/>
                      <w:color w:val="auto"/>
                    </w:rPr>
                  </w:pPr>
                  <w:r>
                    <w:rPr>
                      <w:color w:val="auto"/>
                    </w:rPr>
                    <w:t>④</w:t>
                  </w:r>
                  <w:r>
                    <w:rPr>
                      <w:rFonts w:eastAsiaTheme="minorEastAsia"/>
                      <w:color w:val="auto"/>
                    </w:rPr>
                    <w:t>危险废物贮存间必须按GB15562.2《环境保护图形标志—固体废物贮存（处置）场》的规定设置警示标志。</w:t>
                  </w:r>
                </w:p>
                <w:p>
                  <w:pPr>
                    <w:pStyle w:val="28"/>
                    <w:ind w:left="11" w:firstLine="210" w:firstLineChars="100"/>
                    <w:jc w:val="left"/>
                    <w:rPr>
                      <w:rFonts w:eastAsiaTheme="minorEastAsia"/>
                      <w:color w:val="auto"/>
                    </w:rPr>
                  </w:pPr>
                  <w:r>
                    <w:rPr>
                      <w:color w:val="auto"/>
                    </w:rPr>
                    <w:t>⑤</w:t>
                  </w:r>
                  <w:r>
                    <w:rPr>
                      <w:rFonts w:eastAsiaTheme="minorEastAsia"/>
                      <w:color w:val="auto"/>
                    </w:rPr>
                    <w:t>装载危险废物的容器要满足相应的强度要求，必须完好无损。</w:t>
                  </w:r>
                </w:p>
                <w:p>
                  <w:pPr>
                    <w:pStyle w:val="28"/>
                    <w:ind w:left="11" w:firstLine="210" w:firstLineChars="100"/>
                    <w:jc w:val="left"/>
                    <w:rPr>
                      <w:rFonts w:eastAsiaTheme="minorEastAsia"/>
                      <w:color w:val="auto"/>
                    </w:rPr>
                  </w:pPr>
                  <w:r>
                    <w:rPr>
                      <w:color w:val="auto"/>
                    </w:rPr>
                    <w:t>⑥</w:t>
                  </w:r>
                  <w:r>
                    <w:rPr>
                      <w:rFonts w:eastAsiaTheme="minorEastAsia"/>
                      <w:color w:val="auto"/>
                    </w:rPr>
                    <w:t>盛装危险废物的容器材质和衬里要与危险废物性质相容（不相互反应）。</w:t>
                  </w:r>
                </w:p>
                <w:p>
                  <w:pPr>
                    <w:pStyle w:val="28"/>
                    <w:ind w:left="11" w:firstLine="210" w:firstLineChars="100"/>
                    <w:jc w:val="left"/>
                    <w:rPr>
                      <w:rFonts w:eastAsiaTheme="minorEastAsia"/>
                      <w:color w:val="auto"/>
                    </w:rPr>
                  </w:pPr>
                  <w:r>
                    <w:rPr>
                      <w:color w:val="auto"/>
                    </w:rPr>
                    <w:t>⑦</w:t>
                  </w:r>
                  <w:r>
                    <w:rPr>
                      <w:rFonts w:eastAsiaTheme="minorEastAsia"/>
                      <w:color w:val="auto"/>
                    </w:rPr>
                    <w:t>盛装危险废物容器都应有防漏裙脚或储漏盘，防漏裙脚或储漏盘的材料要与危险废物相容。</w:t>
                  </w:r>
                </w:p>
                <w:p>
                  <w:pPr>
                    <w:pStyle w:val="28"/>
                    <w:ind w:left="11" w:firstLine="210" w:firstLineChars="100"/>
                    <w:jc w:val="left"/>
                    <w:rPr>
                      <w:rFonts w:eastAsiaTheme="minorEastAsia"/>
                      <w:color w:val="auto"/>
                    </w:rPr>
                  </w:pPr>
                  <w:r>
                    <w:rPr>
                      <w:color w:val="auto"/>
                    </w:rPr>
                    <w:t>⑧</w:t>
                  </w:r>
                  <w:r>
                    <w:rPr>
                      <w:rFonts w:eastAsiaTheme="minorEastAsia"/>
                      <w:color w:val="auto"/>
                    </w:rPr>
                    <w:t>作好危险废物贮存情况的记录，记录上须注明危险废物的名称、来源、数量、特性和包装容器的类别、入库日期、存放库位、废物出库日期及接收单位名称。记录和货单在危险废物处置后继续保留三年。</w:t>
                  </w:r>
                </w:p>
                <w:p>
                  <w:pPr>
                    <w:pStyle w:val="28"/>
                    <w:ind w:left="11" w:firstLine="210" w:firstLineChars="100"/>
                    <w:jc w:val="left"/>
                    <w:rPr>
                      <w:rFonts w:eastAsiaTheme="minorEastAsia"/>
                      <w:color w:val="auto"/>
                    </w:rPr>
                  </w:pPr>
                  <w:r>
                    <w:rPr>
                      <w:color w:val="auto"/>
                    </w:rPr>
                    <w:t>⑨</w:t>
                  </w:r>
                  <w:r>
                    <w:rPr>
                      <w:rFonts w:eastAsiaTheme="minorEastAsia"/>
                      <w:color w:val="auto"/>
                    </w:rPr>
                    <w:t>必须定期对所贮存的危险废物包装容器进行检查，发现破损，应及时采取措施清理更换。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30" w:type="dxa"/>
                  <w:vAlign w:val="center"/>
                </w:tcPr>
                <w:p>
                  <w:pPr>
                    <w:pStyle w:val="28"/>
                    <w:spacing w:before="78"/>
                    <w:ind w:left="11"/>
                    <w:rPr>
                      <w:rFonts w:eastAsiaTheme="minorEastAsia"/>
                      <w:color w:val="auto"/>
                    </w:rPr>
                  </w:pPr>
                  <w:r>
                    <w:rPr>
                      <w:rFonts w:eastAsiaTheme="minorEastAsia"/>
                      <w:color w:val="auto"/>
                    </w:rPr>
                    <w:t>3</w:t>
                  </w:r>
                </w:p>
              </w:tc>
              <w:tc>
                <w:tcPr>
                  <w:tcW w:w="835" w:type="dxa"/>
                  <w:vAlign w:val="center"/>
                </w:tcPr>
                <w:p>
                  <w:pPr>
                    <w:pStyle w:val="28"/>
                    <w:spacing w:before="78"/>
                    <w:ind w:left="11"/>
                    <w:rPr>
                      <w:rFonts w:eastAsiaTheme="minorEastAsia"/>
                      <w:color w:val="auto"/>
                    </w:rPr>
                  </w:pPr>
                  <w:r>
                    <w:rPr>
                      <w:rFonts w:eastAsiaTheme="minorEastAsia"/>
                      <w:color w:val="auto"/>
                    </w:rPr>
                    <w:t>委托转移</w:t>
                  </w:r>
                </w:p>
              </w:tc>
              <w:tc>
                <w:tcPr>
                  <w:tcW w:w="7476" w:type="dxa"/>
                  <w:vAlign w:val="center"/>
                </w:tcPr>
                <w:p>
                  <w:pPr>
                    <w:pStyle w:val="28"/>
                    <w:spacing w:before="78"/>
                    <w:ind w:left="11" w:firstLine="210" w:firstLineChars="100"/>
                    <w:jc w:val="left"/>
                    <w:rPr>
                      <w:rFonts w:eastAsiaTheme="minorEastAsia"/>
                      <w:color w:val="auto"/>
                    </w:rPr>
                  </w:pPr>
                  <w:r>
                    <w:rPr>
                      <w:rFonts w:eastAsiaTheme="minorEastAsia"/>
                      <w:color w:val="auto"/>
                    </w:rPr>
                    <w:t>利用和委托有资质的单位处理过程中必须严格按照《危险废物转移联单管理办法》相关要求，严格执行危险废物转移联单制度，设置台账。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30" w:type="dxa"/>
                  <w:vAlign w:val="center"/>
                </w:tcPr>
                <w:p>
                  <w:pPr>
                    <w:pStyle w:val="28"/>
                    <w:spacing w:before="78"/>
                    <w:ind w:left="11"/>
                    <w:rPr>
                      <w:rFonts w:eastAsiaTheme="minorEastAsia"/>
                      <w:color w:val="auto"/>
                    </w:rPr>
                  </w:pPr>
                  <w:r>
                    <w:rPr>
                      <w:rFonts w:eastAsiaTheme="minorEastAsia"/>
                      <w:color w:val="auto"/>
                    </w:rPr>
                    <w:t>4</w:t>
                  </w:r>
                </w:p>
              </w:tc>
              <w:tc>
                <w:tcPr>
                  <w:tcW w:w="835" w:type="dxa"/>
                  <w:vAlign w:val="center"/>
                </w:tcPr>
                <w:p>
                  <w:pPr>
                    <w:pStyle w:val="28"/>
                    <w:spacing w:before="78"/>
                    <w:ind w:left="11"/>
                    <w:rPr>
                      <w:rFonts w:eastAsiaTheme="minorEastAsia"/>
                      <w:color w:val="auto"/>
                    </w:rPr>
                  </w:pPr>
                  <w:r>
                    <w:rPr>
                      <w:rFonts w:eastAsiaTheme="minorEastAsia"/>
                      <w:color w:val="auto"/>
                    </w:rPr>
                    <w:t>危险废物贮存间的建设及管理</w:t>
                  </w:r>
                </w:p>
              </w:tc>
              <w:tc>
                <w:tcPr>
                  <w:tcW w:w="7476" w:type="dxa"/>
                  <w:vAlign w:val="center"/>
                </w:tcPr>
                <w:p>
                  <w:pPr>
                    <w:pStyle w:val="28"/>
                    <w:ind w:left="11" w:firstLine="210" w:firstLineChars="100"/>
                    <w:jc w:val="left"/>
                    <w:rPr>
                      <w:rFonts w:eastAsiaTheme="minorEastAsia"/>
                      <w:color w:val="auto"/>
                    </w:rPr>
                  </w:pPr>
                  <w:r>
                    <w:rPr>
                      <w:color w:val="auto"/>
                    </w:rPr>
                    <w:t>①</w:t>
                  </w:r>
                  <w:r>
                    <w:rPr>
                      <w:rFonts w:eastAsiaTheme="minorEastAsia"/>
                      <w:color w:val="auto"/>
                    </w:rPr>
                    <w:t>危险废物贮存间必须要密闭建设，门口内侧设立围堰，地面应做好硬化及“三防”措施；</w:t>
                  </w:r>
                </w:p>
                <w:p>
                  <w:pPr>
                    <w:pStyle w:val="28"/>
                    <w:ind w:left="11" w:firstLine="210" w:firstLineChars="100"/>
                    <w:jc w:val="left"/>
                    <w:rPr>
                      <w:rFonts w:eastAsiaTheme="minorEastAsia"/>
                      <w:color w:val="auto"/>
                    </w:rPr>
                  </w:pPr>
                  <w:r>
                    <w:rPr>
                      <w:color w:val="auto"/>
                    </w:rPr>
                    <w:t>②</w:t>
                  </w:r>
                  <w:r>
                    <w:rPr>
                      <w:rFonts w:eastAsiaTheme="minorEastAsia"/>
                      <w:color w:val="auto"/>
                    </w:rPr>
                    <w:t>危险废物贮存间门口需张贴标准规范的危险废物标识和危险信息版，屋内张贴企业《危险废物管理制度》；</w:t>
                  </w:r>
                </w:p>
                <w:p>
                  <w:pPr>
                    <w:pStyle w:val="28"/>
                    <w:ind w:left="11" w:firstLine="210" w:firstLineChars="100"/>
                    <w:jc w:val="left"/>
                    <w:rPr>
                      <w:rFonts w:eastAsiaTheme="minorEastAsia"/>
                      <w:color w:val="auto"/>
                    </w:rPr>
                  </w:pPr>
                  <w:r>
                    <w:rPr>
                      <w:color w:val="auto"/>
                    </w:rPr>
                    <w:t>③</w:t>
                  </w:r>
                  <w:r>
                    <w:rPr>
                      <w:rFonts w:eastAsiaTheme="minorEastAsia"/>
                      <w:color w:val="auto"/>
                    </w:rPr>
                    <w:t>危险废物贮存间需按照“双人双锁”制度管理；</w:t>
                  </w:r>
                </w:p>
                <w:p>
                  <w:pPr>
                    <w:pStyle w:val="28"/>
                    <w:ind w:left="11" w:firstLine="210" w:firstLineChars="100"/>
                    <w:jc w:val="left"/>
                    <w:rPr>
                      <w:rFonts w:eastAsiaTheme="minorEastAsia"/>
                      <w:color w:val="auto"/>
                    </w:rPr>
                  </w:pPr>
                  <w:r>
                    <w:rPr>
                      <w:color w:val="auto"/>
                    </w:rPr>
                    <w:t>④</w:t>
                  </w:r>
                  <w:r>
                    <w:rPr>
                      <w:rFonts w:eastAsiaTheme="minorEastAsia"/>
                      <w:color w:val="auto"/>
                    </w:rPr>
                    <w:t>不同种类危险废物应有明显的过道划分，墙上张贴危废名称，液体危废需将盛装容器放至防渗漏托盘内并在容器粘贴危险废物标签，固态危险废物包装需完好无破损并系挂危险废物标签，并按要求填写；</w:t>
                  </w:r>
                </w:p>
                <w:p>
                  <w:pPr>
                    <w:pStyle w:val="28"/>
                    <w:ind w:left="11" w:firstLine="210" w:firstLineChars="100"/>
                    <w:jc w:val="left"/>
                    <w:rPr>
                      <w:rFonts w:eastAsiaTheme="minorEastAsia"/>
                      <w:color w:val="auto"/>
                    </w:rPr>
                  </w:pPr>
                  <w:r>
                    <w:rPr>
                      <w:color w:val="auto"/>
                    </w:rPr>
                    <w:t>⑤</w:t>
                  </w:r>
                  <w:r>
                    <w:rPr>
                      <w:rFonts w:eastAsiaTheme="minorEastAsia"/>
                      <w:color w:val="auto"/>
                    </w:rPr>
                    <w:t>建立台账并悬挂于危险废物贮存间内；</w:t>
                  </w:r>
                </w:p>
                <w:p>
                  <w:pPr>
                    <w:pStyle w:val="28"/>
                    <w:ind w:left="11" w:firstLine="210" w:firstLineChars="100"/>
                    <w:jc w:val="left"/>
                    <w:rPr>
                      <w:rFonts w:eastAsiaTheme="minorEastAsia"/>
                      <w:color w:val="auto"/>
                    </w:rPr>
                  </w:pPr>
                  <w:r>
                    <w:rPr>
                      <w:color w:val="auto"/>
                    </w:rPr>
                    <w:t>⑥</w:t>
                  </w:r>
                  <w:r>
                    <w:rPr>
                      <w:rFonts w:eastAsiaTheme="minorEastAsia"/>
                      <w:color w:val="auto"/>
                    </w:rPr>
                    <w:t>危险废物贮存间内禁止存放除危险废物及应急工具及其他物品；</w:t>
                  </w:r>
                </w:p>
                <w:p>
                  <w:pPr>
                    <w:pStyle w:val="28"/>
                    <w:ind w:left="11" w:firstLine="210" w:firstLineChars="100"/>
                    <w:jc w:val="left"/>
                    <w:rPr>
                      <w:rFonts w:eastAsiaTheme="minorEastAsia"/>
                      <w:color w:val="auto"/>
                    </w:rPr>
                  </w:pPr>
                  <w:r>
                    <w:rPr>
                      <w:rFonts w:eastAsiaTheme="minorEastAsia"/>
                      <w:color w:val="auto"/>
                    </w:rPr>
                    <w:t>⑦要求危险废物贮存间地面及裙墙应进行防腐防渗，内部设置导流渠和收集池。</w:t>
                  </w:r>
                </w:p>
              </w:tc>
            </w:tr>
          </w:tbl>
          <w:p>
            <w:pPr>
              <w:pStyle w:val="35"/>
              <w:spacing w:before="156" w:beforeLines="50"/>
              <w:ind w:firstLine="482"/>
              <w:rPr>
                <w:rFonts w:eastAsiaTheme="minorEastAsia"/>
                <w:b/>
                <w:szCs w:val="24"/>
              </w:rPr>
            </w:pPr>
            <w:bookmarkStart w:id="8" w:name="_Toc484976361"/>
            <w:r>
              <w:rPr>
                <w:b/>
                <w:szCs w:val="24"/>
              </w:rPr>
              <w:t>②</w:t>
            </w:r>
            <w:r>
              <w:rPr>
                <w:rFonts w:eastAsiaTheme="minorEastAsia"/>
                <w:b/>
                <w:szCs w:val="24"/>
              </w:rPr>
              <w:t>生活垃圾管理要求</w:t>
            </w:r>
          </w:p>
          <w:p>
            <w:pPr>
              <w:pStyle w:val="35"/>
              <w:ind w:firstLine="480"/>
              <w:rPr>
                <w:szCs w:val="24"/>
              </w:rPr>
            </w:pPr>
            <w:r>
              <w:rPr>
                <w:szCs w:val="24"/>
              </w:rPr>
              <w:t>项目产生的生活垃圾应做到日产日清。</w:t>
            </w:r>
          </w:p>
          <w:bookmarkEnd w:id="8"/>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4.2.5 地下水、土壤环境影响和保护措施</w:t>
            </w:r>
          </w:p>
          <w:p>
            <w:pPr>
              <w:pStyle w:val="35"/>
              <w:ind w:firstLine="361" w:firstLineChars="150"/>
              <w:rPr>
                <w:rFonts w:eastAsiaTheme="minorEastAsia"/>
                <w:b/>
                <w:szCs w:val="24"/>
              </w:rPr>
            </w:pPr>
            <w:r>
              <w:rPr>
                <w:rFonts w:eastAsiaTheme="minorEastAsia"/>
                <w:b/>
                <w:szCs w:val="24"/>
              </w:rPr>
              <w:t>（1）污染源及污染物类型</w:t>
            </w:r>
          </w:p>
          <w:p>
            <w:pPr>
              <w:pStyle w:val="35"/>
              <w:ind w:firstLine="480"/>
              <w:rPr>
                <w:szCs w:val="24"/>
              </w:rPr>
            </w:pPr>
            <w:r>
              <w:rPr>
                <w:szCs w:val="24"/>
              </w:rPr>
              <w:t>污染物从污染源进入地下水所经过的路径称为地下水污染途径，地下水污染途径是多种多样的。根据项目的特点，本项目可能对地下水造成污染的途径主要有：废机油等在地面防渗层发生破损的情况下会发生渗漏，对地下水造成污染，其污染物类型包括石油类。</w:t>
            </w:r>
          </w:p>
          <w:p>
            <w:pPr>
              <w:pStyle w:val="35"/>
              <w:ind w:firstLine="361" w:firstLineChars="150"/>
              <w:rPr>
                <w:rFonts w:eastAsiaTheme="minorEastAsia"/>
                <w:b/>
                <w:szCs w:val="24"/>
              </w:rPr>
            </w:pPr>
            <w:r>
              <w:rPr>
                <w:rFonts w:eastAsiaTheme="minorEastAsia"/>
                <w:b/>
                <w:szCs w:val="24"/>
              </w:rPr>
              <w:t>（2）污染源及污染途径</w:t>
            </w:r>
          </w:p>
          <w:p>
            <w:pPr>
              <w:pStyle w:val="35"/>
              <w:ind w:firstLine="480"/>
              <w:rPr>
                <w:szCs w:val="24"/>
              </w:rPr>
            </w:pPr>
            <w:r>
              <w:rPr>
                <w:szCs w:val="24"/>
              </w:rPr>
              <w:t>污染物从污染源进入地下水所经过的路径称为地下水污染途径，地下水污染途径是多种多样的。根据项目的特点，本项目可能对地下水造成污染的途径主要有：危险废物，在地面防渗层发生破损的情况下会发生渗漏，对地下水造成污染。</w:t>
            </w:r>
          </w:p>
          <w:p>
            <w:pPr>
              <w:pStyle w:val="35"/>
              <w:ind w:firstLine="361" w:firstLineChars="150"/>
              <w:rPr>
                <w:rFonts w:eastAsiaTheme="minorEastAsia"/>
                <w:b/>
                <w:szCs w:val="24"/>
              </w:rPr>
            </w:pPr>
            <w:r>
              <w:rPr>
                <w:rFonts w:eastAsiaTheme="minorEastAsia"/>
                <w:b/>
                <w:szCs w:val="24"/>
              </w:rPr>
              <w:t>（2）防控措施</w:t>
            </w:r>
          </w:p>
          <w:p>
            <w:pPr>
              <w:pStyle w:val="35"/>
              <w:ind w:firstLine="480"/>
              <w:rPr>
                <w:szCs w:val="24"/>
              </w:rPr>
            </w:pPr>
            <w:r>
              <w:rPr>
                <w:szCs w:val="24"/>
              </w:rPr>
              <w:t>本项目地下水、土壤污染防治措施按照“源头控制、分区防治、应急响应”相结合的原则，从污染物的产生、入渗、扩散、应急响应进行控制。</w:t>
            </w:r>
          </w:p>
          <w:p>
            <w:pPr>
              <w:pStyle w:val="35"/>
              <w:ind w:firstLine="482"/>
              <w:rPr>
                <w:b/>
                <w:szCs w:val="24"/>
              </w:rPr>
            </w:pPr>
            <w:r>
              <w:rPr>
                <w:b/>
                <w:szCs w:val="24"/>
              </w:rPr>
              <w:t>①源头控制措施</w:t>
            </w:r>
          </w:p>
          <w:p>
            <w:pPr>
              <w:pStyle w:val="35"/>
              <w:ind w:firstLine="480"/>
              <w:rPr>
                <w:szCs w:val="24"/>
              </w:rPr>
            </w:pPr>
            <w:r>
              <w:rPr>
                <w:szCs w:val="24"/>
              </w:rPr>
              <w:t>严格按照公司制定的规范管理要求进行危险废物的管理。</w:t>
            </w:r>
          </w:p>
          <w:p>
            <w:pPr>
              <w:pStyle w:val="35"/>
              <w:ind w:firstLine="482"/>
              <w:rPr>
                <w:b/>
                <w:szCs w:val="24"/>
              </w:rPr>
            </w:pPr>
            <w:r>
              <w:rPr>
                <w:b/>
                <w:szCs w:val="24"/>
              </w:rPr>
              <w:t>②分区控制措施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根据《环境影响评价技术导则-地下水环境》（HJ610-2016），项目分区防控措施根据建设项目场地天然包气带防污性能、污染控制难易程度和污染物特性提出防渗技术要求。污染控制难易程度分级如下表所示</w:t>
            </w:r>
            <w:r>
              <w:rPr>
                <w:rFonts w:ascii="Times New Roman" w:hAnsi="Times New Roman" w:cs="Times New Roman"/>
                <w:sz w:val="24"/>
              </w:rPr>
              <w:t>。</w:t>
            </w:r>
          </w:p>
          <w:p>
            <w:pPr>
              <w:jc w:val="center"/>
              <w:rPr>
                <w:rFonts w:ascii="Times New Roman" w:hAnsi="Times New Roman" w:cs="Times New Roman"/>
                <w:b/>
              </w:rPr>
            </w:pPr>
            <w:r>
              <w:rPr>
                <w:rFonts w:ascii="Times New Roman" w:hAnsi="Times New Roman" w:cs="Times New Roman"/>
                <w:b/>
              </w:rPr>
              <w:t>表4.2.5-1  污染控制难易程度分级参照表</w:t>
            </w:r>
          </w:p>
          <w:tbl>
            <w:tblPr>
              <w:tblStyle w:val="16"/>
              <w:tblW w:w="88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7" w:type="dxa"/>
                  <w:vAlign w:val="center"/>
                </w:tcPr>
                <w:p>
                  <w:pPr>
                    <w:pStyle w:val="28"/>
                    <w:spacing w:line="360" w:lineRule="exact"/>
                    <w:rPr>
                      <w:rFonts w:eastAsiaTheme="minorEastAsia"/>
                      <w:color w:val="auto"/>
                      <w:szCs w:val="21"/>
                    </w:rPr>
                  </w:pPr>
                  <w:r>
                    <w:rPr>
                      <w:rFonts w:eastAsiaTheme="minorEastAsia"/>
                      <w:color w:val="auto"/>
                      <w:szCs w:val="21"/>
                    </w:rPr>
                    <w:t>污染物控制难易程度</w:t>
                  </w:r>
                </w:p>
              </w:tc>
              <w:tc>
                <w:tcPr>
                  <w:tcW w:w="7064" w:type="dxa"/>
                  <w:vAlign w:val="center"/>
                </w:tcPr>
                <w:p>
                  <w:pPr>
                    <w:pStyle w:val="28"/>
                    <w:spacing w:line="360" w:lineRule="exact"/>
                    <w:rPr>
                      <w:rFonts w:eastAsiaTheme="minorEastAsia"/>
                      <w:color w:val="auto"/>
                      <w:szCs w:val="21"/>
                    </w:rPr>
                  </w:pPr>
                  <w:r>
                    <w:rPr>
                      <w:rFonts w:eastAsiaTheme="minorEastAsia"/>
                      <w:color w:val="auto"/>
                      <w:szCs w:val="21"/>
                    </w:rPr>
                    <w:t>主要特征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7" w:type="dxa"/>
                  <w:vAlign w:val="center"/>
                </w:tcPr>
                <w:p>
                  <w:pPr>
                    <w:pStyle w:val="28"/>
                    <w:spacing w:line="360" w:lineRule="exact"/>
                    <w:rPr>
                      <w:rFonts w:eastAsiaTheme="minorEastAsia"/>
                      <w:color w:val="auto"/>
                      <w:szCs w:val="21"/>
                    </w:rPr>
                  </w:pPr>
                  <w:r>
                    <w:rPr>
                      <w:rFonts w:eastAsiaTheme="minorEastAsia"/>
                      <w:color w:val="auto"/>
                      <w:szCs w:val="21"/>
                    </w:rPr>
                    <w:t>难</w:t>
                  </w:r>
                </w:p>
              </w:tc>
              <w:tc>
                <w:tcPr>
                  <w:tcW w:w="7064" w:type="dxa"/>
                  <w:vAlign w:val="center"/>
                </w:tcPr>
                <w:p>
                  <w:pPr>
                    <w:pStyle w:val="28"/>
                    <w:spacing w:line="360" w:lineRule="exact"/>
                    <w:ind w:firstLine="210" w:firstLineChars="100"/>
                    <w:jc w:val="both"/>
                    <w:rPr>
                      <w:rFonts w:eastAsiaTheme="minorEastAsia"/>
                      <w:color w:val="auto"/>
                      <w:szCs w:val="21"/>
                    </w:rPr>
                  </w:pPr>
                  <w:r>
                    <w:rPr>
                      <w:rFonts w:eastAsiaTheme="minorEastAsia"/>
                      <w:color w:val="auto"/>
                      <w:szCs w:val="21"/>
                    </w:rPr>
                    <w:t>对地下水环境有污染的物料或污染物泄漏后，不能及时发现和处理。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7" w:type="dxa"/>
                  <w:vAlign w:val="center"/>
                </w:tcPr>
                <w:p>
                  <w:pPr>
                    <w:pStyle w:val="28"/>
                    <w:spacing w:line="360" w:lineRule="exact"/>
                    <w:rPr>
                      <w:rFonts w:eastAsiaTheme="minorEastAsia"/>
                      <w:color w:val="auto"/>
                      <w:szCs w:val="21"/>
                    </w:rPr>
                  </w:pPr>
                  <w:r>
                    <w:rPr>
                      <w:rFonts w:eastAsiaTheme="minorEastAsia"/>
                      <w:color w:val="auto"/>
                      <w:szCs w:val="21"/>
                    </w:rPr>
                    <w:t>易</w:t>
                  </w:r>
                </w:p>
              </w:tc>
              <w:tc>
                <w:tcPr>
                  <w:tcW w:w="7064" w:type="dxa"/>
                  <w:vAlign w:val="center"/>
                </w:tcPr>
                <w:p>
                  <w:pPr>
                    <w:pStyle w:val="28"/>
                    <w:spacing w:line="360" w:lineRule="exact"/>
                    <w:ind w:firstLine="210" w:firstLineChars="100"/>
                    <w:jc w:val="both"/>
                    <w:rPr>
                      <w:rFonts w:eastAsiaTheme="minorEastAsia"/>
                      <w:color w:val="auto"/>
                      <w:szCs w:val="21"/>
                    </w:rPr>
                  </w:pPr>
                  <w:r>
                    <w:rPr>
                      <w:rFonts w:eastAsiaTheme="minorEastAsia"/>
                      <w:color w:val="auto"/>
                      <w:szCs w:val="21"/>
                    </w:rPr>
                    <w:t>对地下水环境有污染的物料或污染物泄漏后，可及时发现和处理。</w:t>
                  </w:r>
                </w:p>
              </w:tc>
            </w:tr>
          </w:tbl>
          <w:p>
            <w:pPr>
              <w:spacing w:before="156"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天然包气带防污性能分级如下表所示。</w:t>
            </w:r>
          </w:p>
          <w:p>
            <w:pPr>
              <w:jc w:val="center"/>
              <w:rPr>
                <w:rFonts w:ascii="Times New Roman" w:hAnsi="Times New Roman" w:cs="Times New Roman"/>
                <w:b/>
              </w:rPr>
            </w:pPr>
            <w:r>
              <w:rPr>
                <w:rFonts w:ascii="Times New Roman" w:hAnsi="Times New Roman" w:cs="Times New Roman"/>
                <w:b/>
              </w:rPr>
              <w:t>表4.2.5-2  天然包气带防污性能分级</w:t>
            </w:r>
          </w:p>
          <w:tbl>
            <w:tblPr>
              <w:tblStyle w:val="16"/>
              <w:tblW w:w="88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8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8" w:type="dxa"/>
                  <w:vAlign w:val="center"/>
                </w:tcPr>
                <w:p>
                  <w:pPr>
                    <w:pStyle w:val="28"/>
                    <w:spacing w:line="360" w:lineRule="exact"/>
                    <w:rPr>
                      <w:rFonts w:eastAsiaTheme="minorEastAsia"/>
                      <w:color w:val="auto"/>
                      <w:szCs w:val="21"/>
                    </w:rPr>
                  </w:pPr>
                  <w:r>
                    <w:rPr>
                      <w:rFonts w:eastAsiaTheme="minorEastAsia"/>
                      <w:color w:val="auto"/>
                      <w:szCs w:val="21"/>
                    </w:rPr>
                    <w:t>分级</w:t>
                  </w:r>
                </w:p>
              </w:tc>
              <w:tc>
                <w:tcPr>
                  <w:tcW w:w="8083" w:type="dxa"/>
                  <w:vAlign w:val="center"/>
                </w:tcPr>
                <w:p>
                  <w:pPr>
                    <w:pStyle w:val="28"/>
                    <w:spacing w:line="360" w:lineRule="exact"/>
                    <w:rPr>
                      <w:rFonts w:eastAsiaTheme="minorEastAsia"/>
                      <w:color w:val="auto"/>
                      <w:szCs w:val="21"/>
                    </w:rPr>
                  </w:pPr>
                  <w:r>
                    <w:rPr>
                      <w:rFonts w:eastAsiaTheme="minorEastAsia"/>
                      <w:color w:val="auto"/>
                      <w:szCs w:val="21"/>
                    </w:rPr>
                    <w:t>包气带岩土的渗透性能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8" w:type="dxa"/>
                  <w:vAlign w:val="center"/>
                </w:tcPr>
                <w:p>
                  <w:pPr>
                    <w:pStyle w:val="28"/>
                    <w:spacing w:line="360" w:lineRule="exact"/>
                    <w:rPr>
                      <w:rFonts w:eastAsiaTheme="minorEastAsia"/>
                      <w:color w:val="auto"/>
                      <w:szCs w:val="21"/>
                    </w:rPr>
                  </w:pPr>
                  <w:r>
                    <w:rPr>
                      <w:rFonts w:eastAsiaTheme="minorEastAsia"/>
                      <w:color w:val="auto"/>
                      <w:szCs w:val="21"/>
                    </w:rPr>
                    <w:t>强</w:t>
                  </w:r>
                </w:p>
              </w:tc>
              <w:tc>
                <w:tcPr>
                  <w:tcW w:w="8083" w:type="dxa"/>
                  <w:vAlign w:val="center"/>
                </w:tcPr>
                <w:p>
                  <w:pPr>
                    <w:pStyle w:val="28"/>
                    <w:spacing w:line="360" w:lineRule="exact"/>
                    <w:ind w:firstLine="210" w:firstLineChars="100"/>
                    <w:jc w:val="both"/>
                    <w:rPr>
                      <w:rFonts w:eastAsiaTheme="minorEastAsia"/>
                      <w:color w:val="auto"/>
                      <w:szCs w:val="21"/>
                    </w:rPr>
                  </w:pPr>
                  <w:r>
                    <w:rPr>
                      <w:rFonts w:eastAsiaTheme="minorEastAsia"/>
                      <w:color w:val="auto"/>
                      <w:szCs w:val="21"/>
                    </w:rPr>
                    <w:t>岩（土）单层厚度Mb≥1.0m，渗透系数K≤10</w:t>
                  </w:r>
                  <w:r>
                    <w:rPr>
                      <w:rFonts w:eastAsiaTheme="minorEastAsia"/>
                      <w:color w:val="auto"/>
                      <w:szCs w:val="21"/>
                      <w:vertAlign w:val="superscript"/>
                    </w:rPr>
                    <w:t>-6</w:t>
                  </w:r>
                  <w:r>
                    <w:rPr>
                      <w:rFonts w:eastAsiaTheme="minorEastAsia"/>
                      <w:color w:val="auto"/>
                      <w:szCs w:val="21"/>
                    </w:rPr>
                    <w:t>cm/s，且分布连续、稳定；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8" w:type="dxa"/>
                  <w:vAlign w:val="center"/>
                </w:tcPr>
                <w:p>
                  <w:pPr>
                    <w:pStyle w:val="28"/>
                    <w:spacing w:line="360" w:lineRule="exact"/>
                    <w:rPr>
                      <w:rFonts w:eastAsiaTheme="minorEastAsia"/>
                      <w:color w:val="auto"/>
                      <w:szCs w:val="21"/>
                    </w:rPr>
                  </w:pPr>
                  <w:r>
                    <w:rPr>
                      <w:rFonts w:eastAsiaTheme="minorEastAsia"/>
                      <w:color w:val="auto"/>
                      <w:szCs w:val="21"/>
                    </w:rPr>
                    <w:t>中</w:t>
                  </w:r>
                </w:p>
              </w:tc>
              <w:tc>
                <w:tcPr>
                  <w:tcW w:w="8083" w:type="dxa"/>
                  <w:vAlign w:val="center"/>
                </w:tcPr>
                <w:p>
                  <w:pPr>
                    <w:pStyle w:val="28"/>
                    <w:spacing w:line="360" w:lineRule="exact"/>
                    <w:ind w:firstLine="210" w:firstLineChars="100"/>
                    <w:jc w:val="both"/>
                    <w:rPr>
                      <w:rFonts w:eastAsiaTheme="minorEastAsia"/>
                      <w:color w:val="auto"/>
                      <w:szCs w:val="21"/>
                    </w:rPr>
                  </w:pPr>
                  <w:r>
                    <w:rPr>
                      <w:rFonts w:eastAsiaTheme="minorEastAsia"/>
                      <w:color w:val="auto"/>
                      <w:szCs w:val="21"/>
                    </w:rPr>
                    <w:t>岩（土）单层厚度0.5m≤Mb＜1.0m，渗透系数K≤10</w:t>
                  </w:r>
                  <w:r>
                    <w:rPr>
                      <w:rFonts w:eastAsiaTheme="minorEastAsia"/>
                      <w:color w:val="auto"/>
                      <w:szCs w:val="21"/>
                      <w:vertAlign w:val="superscript"/>
                    </w:rPr>
                    <w:t>-6</w:t>
                  </w:r>
                  <w:r>
                    <w:rPr>
                      <w:rFonts w:eastAsiaTheme="minorEastAsia"/>
                      <w:color w:val="auto"/>
                      <w:szCs w:val="21"/>
                    </w:rPr>
                    <w:t>cm/s，且分布连续、稳定；</w:t>
                  </w:r>
                </w:p>
                <w:p>
                  <w:pPr>
                    <w:pStyle w:val="28"/>
                    <w:spacing w:line="360" w:lineRule="exact"/>
                    <w:ind w:firstLine="210" w:firstLineChars="100"/>
                    <w:jc w:val="both"/>
                    <w:rPr>
                      <w:rFonts w:eastAsiaTheme="minorEastAsia"/>
                      <w:color w:val="auto"/>
                      <w:szCs w:val="21"/>
                    </w:rPr>
                  </w:pPr>
                  <w:r>
                    <w:rPr>
                      <w:rFonts w:eastAsiaTheme="minorEastAsia"/>
                      <w:color w:val="auto"/>
                      <w:szCs w:val="21"/>
                    </w:rPr>
                    <w:t>岩（土）单层厚度Mb≥1.0m，渗透系数10</w:t>
                  </w:r>
                  <w:r>
                    <w:rPr>
                      <w:rFonts w:eastAsiaTheme="minorEastAsia"/>
                      <w:color w:val="auto"/>
                      <w:szCs w:val="21"/>
                      <w:vertAlign w:val="superscript"/>
                    </w:rPr>
                    <w:t>-6</w:t>
                  </w:r>
                  <w:r>
                    <w:rPr>
                      <w:rFonts w:eastAsiaTheme="minorEastAsia"/>
                      <w:color w:val="auto"/>
                      <w:szCs w:val="21"/>
                    </w:rPr>
                    <w:t>cm/s＜K≤10</w:t>
                  </w:r>
                  <w:r>
                    <w:rPr>
                      <w:rFonts w:eastAsiaTheme="minorEastAsia"/>
                      <w:color w:val="auto"/>
                      <w:szCs w:val="21"/>
                      <w:vertAlign w:val="superscript"/>
                    </w:rPr>
                    <w:t>-4</w:t>
                  </w:r>
                  <w:r>
                    <w:rPr>
                      <w:rFonts w:eastAsiaTheme="minorEastAsia"/>
                      <w:color w:val="auto"/>
                      <w:szCs w:val="21"/>
                    </w:rPr>
                    <w:t>cm/s，且分布连续、稳定。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8" w:type="dxa"/>
                  <w:vAlign w:val="center"/>
                </w:tcPr>
                <w:p>
                  <w:pPr>
                    <w:pStyle w:val="28"/>
                    <w:spacing w:line="360" w:lineRule="exact"/>
                    <w:rPr>
                      <w:rFonts w:eastAsiaTheme="minorEastAsia"/>
                      <w:color w:val="auto"/>
                      <w:szCs w:val="21"/>
                    </w:rPr>
                  </w:pPr>
                  <w:r>
                    <w:rPr>
                      <w:rFonts w:eastAsiaTheme="minorEastAsia"/>
                      <w:color w:val="auto"/>
                      <w:szCs w:val="21"/>
                    </w:rPr>
                    <w:t>弱</w:t>
                  </w:r>
                </w:p>
              </w:tc>
              <w:tc>
                <w:tcPr>
                  <w:tcW w:w="8083" w:type="dxa"/>
                  <w:vAlign w:val="center"/>
                </w:tcPr>
                <w:p>
                  <w:pPr>
                    <w:pStyle w:val="28"/>
                    <w:spacing w:line="360" w:lineRule="exact"/>
                    <w:ind w:firstLine="210" w:firstLineChars="100"/>
                    <w:jc w:val="both"/>
                    <w:rPr>
                      <w:rFonts w:eastAsiaTheme="minorEastAsia"/>
                      <w:color w:val="auto"/>
                      <w:szCs w:val="21"/>
                    </w:rPr>
                  </w:pPr>
                  <w:r>
                    <w:rPr>
                      <w:rFonts w:eastAsiaTheme="minorEastAsia"/>
                      <w:color w:val="auto"/>
                      <w:szCs w:val="21"/>
                    </w:rPr>
                    <w:t>岩（土）层不满足上述“强”和“中”条件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8" w:type="dxa"/>
                  <w:vAlign w:val="center"/>
                </w:tcPr>
                <w:p>
                  <w:pPr>
                    <w:pStyle w:val="28"/>
                    <w:spacing w:line="360" w:lineRule="exact"/>
                    <w:rPr>
                      <w:rFonts w:eastAsiaTheme="minorEastAsia"/>
                      <w:color w:val="auto"/>
                      <w:szCs w:val="21"/>
                    </w:rPr>
                  </w:pPr>
                  <w:r>
                    <w:rPr>
                      <w:rFonts w:eastAsiaTheme="minorEastAsia"/>
                      <w:color w:val="auto"/>
                      <w:szCs w:val="21"/>
                    </w:rPr>
                    <w:t>备注</w:t>
                  </w:r>
                </w:p>
              </w:tc>
              <w:tc>
                <w:tcPr>
                  <w:tcW w:w="8083" w:type="dxa"/>
                  <w:vAlign w:val="center"/>
                </w:tcPr>
                <w:p>
                  <w:pPr>
                    <w:pStyle w:val="28"/>
                    <w:spacing w:line="360" w:lineRule="exact"/>
                    <w:ind w:firstLine="210" w:firstLineChars="100"/>
                    <w:jc w:val="both"/>
                    <w:rPr>
                      <w:rFonts w:eastAsiaTheme="minorEastAsia"/>
                      <w:color w:val="auto"/>
                      <w:szCs w:val="21"/>
                    </w:rPr>
                  </w:pPr>
                  <w:r>
                    <w:rPr>
                      <w:rFonts w:eastAsiaTheme="minorEastAsia"/>
                      <w:color w:val="auto"/>
                      <w:szCs w:val="21"/>
                    </w:rPr>
                    <w:t>项目区地下水类型主要为岩溶水，含水层岩性主要为古生界石炭系大塘阶组（C1d）浅海相泥质灰岩或白云岩，综上确定包气带防污性能为“弱”。</w:t>
                  </w:r>
                </w:p>
              </w:tc>
            </w:tr>
          </w:tbl>
          <w:p>
            <w:pPr>
              <w:spacing w:before="156"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地下水污染防渗分区按下表要求执行。</w:t>
            </w:r>
          </w:p>
          <w:p>
            <w:pPr>
              <w:jc w:val="center"/>
              <w:rPr>
                <w:rFonts w:ascii="Times New Roman" w:hAnsi="Times New Roman" w:cs="Times New Roman"/>
                <w:b/>
              </w:rPr>
            </w:pPr>
            <w:r>
              <w:rPr>
                <w:rFonts w:ascii="Times New Roman" w:hAnsi="Times New Roman" w:cs="Times New Roman"/>
                <w:b/>
              </w:rPr>
              <w:t>表4.2.5-3  地下水污染防渗分区</w:t>
            </w:r>
          </w:p>
          <w:tbl>
            <w:tblPr>
              <w:tblStyle w:val="16"/>
              <w:tblW w:w="88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457"/>
              <w:gridCol w:w="1457"/>
              <w:gridCol w:w="1747"/>
              <w:gridCol w:w="3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9" w:type="dxa"/>
                  <w:vAlign w:val="center"/>
                </w:tcPr>
                <w:p>
                  <w:pPr>
                    <w:pStyle w:val="28"/>
                    <w:spacing w:line="360" w:lineRule="exact"/>
                    <w:rPr>
                      <w:rFonts w:eastAsiaTheme="minorEastAsia"/>
                      <w:color w:val="auto"/>
                      <w:szCs w:val="21"/>
                    </w:rPr>
                  </w:pPr>
                  <w:r>
                    <w:rPr>
                      <w:rFonts w:eastAsiaTheme="minorEastAsia"/>
                      <w:color w:val="auto"/>
                      <w:szCs w:val="21"/>
                    </w:rPr>
                    <w:t>防渗分区</w:t>
                  </w:r>
                </w:p>
              </w:tc>
              <w:tc>
                <w:tcPr>
                  <w:tcW w:w="1457" w:type="dxa"/>
                  <w:vAlign w:val="center"/>
                </w:tcPr>
                <w:p>
                  <w:pPr>
                    <w:pStyle w:val="28"/>
                    <w:spacing w:line="360" w:lineRule="exact"/>
                    <w:rPr>
                      <w:rFonts w:eastAsiaTheme="minorEastAsia"/>
                      <w:color w:val="auto"/>
                      <w:szCs w:val="21"/>
                    </w:rPr>
                  </w:pPr>
                  <w:r>
                    <w:rPr>
                      <w:rFonts w:eastAsiaTheme="minorEastAsia"/>
                      <w:color w:val="auto"/>
                      <w:szCs w:val="21"/>
                    </w:rPr>
                    <w:t>天然包气带防污性能</w:t>
                  </w:r>
                </w:p>
              </w:tc>
              <w:tc>
                <w:tcPr>
                  <w:tcW w:w="1457" w:type="dxa"/>
                  <w:vAlign w:val="center"/>
                </w:tcPr>
                <w:p>
                  <w:pPr>
                    <w:pStyle w:val="28"/>
                    <w:spacing w:line="360" w:lineRule="exact"/>
                    <w:rPr>
                      <w:rFonts w:eastAsiaTheme="minorEastAsia"/>
                      <w:color w:val="auto"/>
                      <w:szCs w:val="21"/>
                    </w:rPr>
                  </w:pPr>
                  <w:r>
                    <w:rPr>
                      <w:rFonts w:eastAsiaTheme="minorEastAsia"/>
                      <w:color w:val="auto"/>
                      <w:szCs w:val="21"/>
                    </w:rPr>
                    <w:t>污染控制难易程度</w:t>
                  </w:r>
                </w:p>
              </w:tc>
              <w:tc>
                <w:tcPr>
                  <w:tcW w:w="1747" w:type="dxa"/>
                  <w:vAlign w:val="center"/>
                </w:tcPr>
                <w:p>
                  <w:pPr>
                    <w:pStyle w:val="28"/>
                    <w:spacing w:line="360" w:lineRule="exact"/>
                    <w:rPr>
                      <w:rFonts w:eastAsiaTheme="minorEastAsia"/>
                      <w:color w:val="auto"/>
                      <w:szCs w:val="21"/>
                    </w:rPr>
                  </w:pPr>
                  <w:r>
                    <w:rPr>
                      <w:rFonts w:eastAsiaTheme="minorEastAsia"/>
                      <w:color w:val="auto"/>
                      <w:szCs w:val="21"/>
                    </w:rPr>
                    <w:t>污染物类型</w:t>
                  </w:r>
                </w:p>
              </w:tc>
              <w:tc>
                <w:tcPr>
                  <w:tcW w:w="3131" w:type="dxa"/>
                  <w:vAlign w:val="center"/>
                </w:tcPr>
                <w:p>
                  <w:pPr>
                    <w:pStyle w:val="28"/>
                    <w:spacing w:line="360" w:lineRule="exact"/>
                    <w:rPr>
                      <w:rFonts w:eastAsiaTheme="minorEastAsia"/>
                      <w:color w:val="auto"/>
                      <w:szCs w:val="21"/>
                    </w:rPr>
                  </w:pPr>
                  <w:r>
                    <w:rPr>
                      <w:rFonts w:eastAsiaTheme="minorEastAsia"/>
                      <w:color w:val="auto"/>
                      <w:szCs w:val="21"/>
                    </w:rPr>
                    <w:t>防渗技术要求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9" w:type="dxa"/>
                  <w:vMerge w:val="restart"/>
                  <w:vAlign w:val="center"/>
                </w:tcPr>
                <w:p>
                  <w:pPr>
                    <w:pStyle w:val="28"/>
                    <w:spacing w:line="360" w:lineRule="exact"/>
                    <w:rPr>
                      <w:rFonts w:eastAsiaTheme="minorEastAsia"/>
                      <w:color w:val="auto"/>
                      <w:szCs w:val="21"/>
                    </w:rPr>
                  </w:pPr>
                  <w:r>
                    <w:rPr>
                      <w:rFonts w:eastAsiaTheme="minorEastAsia"/>
                      <w:color w:val="auto"/>
                      <w:szCs w:val="21"/>
                    </w:rPr>
                    <w:t>重点防渗区</w:t>
                  </w:r>
                </w:p>
              </w:tc>
              <w:tc>
                <w:tcPr>
                  <w:tcW w:w="1457" w:type="dxa"/>
                  <w:vAlign w:val="center"/>
                </w:tcPr>
                <w:p>
                  <w:pPr>
                    <w:pStyle w:val="28"/>
                    <w:spacing w:line="360" w:lineRule="exact"/>
                    <w:rPr>
                      <w:rFonts w:eastAsiaTheme="minorEastAsia"/>
                      <w:color w:val="auto"/>
                      <w:szCs w:val="21"/>
                    </w:rPr>
                  </w:pPr>
                  <w:r>
                    <w:rPr>
                      <w:rFonts w:eastAsiaTheme="minorEastAsia"/>
                      <w:color w:val="auto"/>
                      <w:szCs w:val="21"/>
                    </w:rPr>
                    <w:t>弱</w:t>
                  </w:r>
                </w:p>
              </w:tc>
              <w:tc>
                <w:tcPr>
                  <w:tcW w:w="1457" w:type="dxa"/>
                  <w:vAlign w:val="center"/>
                </w:tcPr>
                <w:p>
                  <w:pPr>
                    <w:pStyle w:val="28"/>
                    <w:spacing w:line="360" w:lineRule="exact"/>
                    <w:rPr>
                      <w:rFonts w:eastAsiaTheme="minorEastAsia"/>
                      <w:color w:val="auto"/>
                      <w:szCs w:val="21"/>
                    </w:rPr>
                  </w:pPr>
                  <w:r>
                    <w:rPr>
                      <w:rFonts w:eastAsiaTheme="minorEastAsia"/>
                      <w:color w:val="auto"/>
                      <w:szCs w:val="21"/>
                    </w:rPr>
                    <w:t>难</w:t>
                  </w:r>
                </w:p>
              </w:tc>
              <w:tc>
                <w:tcPr>
                  <w:tcW w:w="1747" w:type="dxa"/>
                  <w:vMerge w:val="restart"/>
                  <w:vAlign w:val="center"/>
                </w:tcPr>
                <w:p>
                  <w:pPr>
                    <w:pStyle w:val="28"/>
                    <w:spacing w:line="360" w:lineRule="exact"/>
                    <w:rPr>
                      <w:rFonts w:eastAsiaTheme="minorEastAsia"/>
                      <w:color w:val="auto"/>
                      <w:szCs w:val="21"/>
                    </w:rPr>
                  </w:pPr>
                  <w:r>
                    <w:rPr>
                      <w:rFonts w:eastAsiaTheme="minorEastAsia"/>
                      <w:color w:val="auto"/>
                      <w:szCs w:val="21"/>
                    </w:rPr>
                    <w:t>重金属、持久性有机污染物</w:t>
                  </w:r>
                </w:p>
              </w:tc>
              <w:tc>
                <w:tcPr>
                  <w:tcW w:w="3131" w:type="dxa"/>
                  <w:vMerge w:val="restart"/>
                  <w:vAlign w:val="center"/>
                </w:tcPr>
                <w:p>
                  <w:pPr>
                    <w:pStyle w:val="28"/>
                    <w:spacing w:line="360" w:lineRule="exact"/>
                    <w:ind w:firstLine="210" w:firstLineChars="100"/>
                    <w:jc w:val="both"/>
                    <w:rPr>
                      <w:rFonts w:eastAsiaTheme="minorEastAsia"/>
                      <w:color w:val="auto"/>
                      <w:szCs w:val="21"/>
                    </w:rPr>
                  </w:pPr>
                  <w:r>
                    <w:rPr>
                      <w:rFonts w:eastAsiaTheme="minorEastAsia"/>
                      <w:color w:val="auto"/>
                      <w:szCs w:val="21"/>
                    </w:rPr>
                    <w:t>等效黏土防渗层Mb≥6.0m，K≤1×10</w:t>
                  </w:r>
                  <w:r>
                    <w:rPr>
                      <w:rFonts w:eastAsiaTheme="minorEastAsia"/>
                      <w:color w:val="auto"/>
                      <w:szCs w:val="21"/>
                      <w:vertAlign w:val="superscript"/>
                    </w:rPr>
                    <w:t>-7</w:t>
                  </w:r>
                  <w:r>
                    <w:rPr>
                      <w:rFonts w:eastAsiaTheme="minorEastAsia"/>
                      <w:color w:val="auto"/>
                      <w:szCs w:val="21"/>
                    </w:rPr>
                    <w:t>cm/s；或参照GB18598执行</w:t>
                  </w:r>
                </w:p>
              </w:tc>
            </w:tr>
            <w:tr>
              <w:tblPrEx>
                <w:tblLayout w:type="fixed"/>
                <w:tblCellMar>
                  <w:top w:w="0" w:type="dxa"/>
                  <w:left w:w="108" w:type="dxa"/>
                  <w:bottom w:w="0" w:type="dxa"/>
                  <w:right w:w="108" w:type="dxa"/>
                </w:tblCellMar>
              </w:tblPrEx>
              <w:trPr>
                <w:jc w:val="center"/>
              </w:trPr>
              <w:tc>
                <w:tcPr>
                  <w:tcW w:w="1049" w:type="dxa"/>
                  <w:vMerge w:val="continue"/>
                  <w:vAlign w:val="center"/>
                </w:tcPr>
                <w:p>
                  <w:pPr>
                    <w:pStyle w:val="28"/>
                    <w:spacing w:line="360" w:lineRule="exact"/>
                    <w:rPr>
                      <w:rFonts w:eastAsiaTheme="minorEastAsia"/>
                      <w:color w:val="auto"/>
                      <w:szCs w:val="21"/>
                    </w:rPr>
                  </w:pPr>
                </w:p>
              </w:tc>
              <w:tc>
                <w:tcPr>
                  <w:tcW w:w="1457" w:type="dxa"/>
                  <w:vAlign w:val="center"/>
                </w:tcPr>
                <w:p>
                  <w:pPr>
                    <w:pStyle w:val="28"/>
                    <w:spacing w:line="360" w:lineRule="exact"/>
                    <w:rPr>
                      <w:rFonts w:eastAsiaTheme="minorEastAsia"/>
                      <w:color w:val="auto"/>
                      <w:szCs w:val="21"/>
                    </w:rPr>
                  </w:pPr>
                  <w:r>
                    <w:rPr>
                      <w:rFonts w:eastAsiaTheme="minorEastAsia"/>
                      <w:color w:val="auto"/>
                      <w:szCs w:val="21"/>
                    </w:rPr>
                    <w:t>中-强</w:t>
                  </w:r>
                </w:p>
              </w:tc>
              <w:tc>
                <w:tcPr>
                  <w:tcW w:w="1457" w:type="dxa"/>
                  <w:vAlign w:val="center"/>
                </w:tcPr>
                <w:p>
                  <w:pPr>
                    <w:pStyle w:val="28"/>
                    <w:spacing w:line="360" w:lineRule="exact"/>
                    <w:rPr>
                      <w:rFonts w:eastAsiaTheme="minorEastAsia"/>
                      <w:color w:val="auto"/>
                      <w:szCs w:val="21"/>
                    </w:rPr>
                  </w:pPr>
                  <w:r>
                    <w:rPr>
                      <w:rFonts w:eastAsiaTheme="minorEastAsia"/>
                      <w:color w:val="auto"/>
                      <w:szCs w:val="21"/>
                    </w:rPr>
                    <w:t>难</w:t>
                  </w:r>
                </w:p>
              </w:tc>
              <w:tc>
                <w:tcPr>
                  <w:tcW w:w="1747" w:type="dxa"/>
                  <w:vMerge w:val="continue"/>
                  <w:vAlign w:val="center"/>
                </w:tcPr>
                <w:p>
                  <w:pPr>
                    <w:pStyle w:val="28"/>
                    <w:spacing w:line="360" w:lineRule="exact"/>
                    <w:rPr>
                      <w:rFonts w:eastAsiaTheme="minorEastAsia"/>
                      <w:color w:val="auto"/>
                      <w:szCs w:val="21"/>
                    </w:rPr>
                  </w:pPr>
                </w:p>
              </w:tc>
              <w:tc>
                <w:tcPr>
                  <w:tcW w:w="3131" w:type="dxa"/>
                  <w:vMerge w:val="continue"/>
                  <w:vAlign w:val="center"/>
                </w:tcPr>
                <w:p>
                  <w:pPr>
                    <w:pStyle w:val="28"/>
                    <w:spacing w:line="360" w:lineRule="exact"/>
                    <w:ind w:firstLine="210" w:firstLineChars="100"/>
                    <w:jc w:val="both"/>
                    <w:rPr>
                      <w:rFonts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9" w:type="dxa"/>
                  <w:vMerge w:val="continue"/>
                  <w:vAlign w:val="center"/>
                </w:tcPr>
                <w:p>
                  <w:pPr>
                    <w:pStyle w:val="28"/>
                    <w:spacing w:line="360" w:lineRule="exact"/>
                    <w:rPr>
                      <w:rFonts w:eastAsiaTheme="minorEastAsia"/>
                      <w:color w:val="auto"/>
                      <w:szCs w:val="21"/>
                    </w:rPr>
                  </w:pPr>
                </w:p>
              </w:tc>
              <w:tc>
                <w:tcPr>
                  <w:tcW w:w="1457" w:type="dxa"/>
                  <w:vAlign w:val="center"/>
                </w:tcPr>
                <w:p>
                  <w:pPr>
                    <w:pStyle w:val="28"/>
                    <w:spacing w:line="360" w:lineRule="exact"/>
                    <w:rPr>
                      <w:rFonts w:eastAsiaTheme="minorEastAsia"/>
                      <w:color w:val="auto"/>
                      <w:szCs w:val="21"/>
                    </w:rPr>
                  </w:pPr>
                  <w:r>
                    <w:rPr>
                      <w:rFonts w:eastAsiaTheme="minorEastAsia"/>
                      <w:color w:val="auto"/>
                      <w:szCs w:val="21"/>
                    </w:rPr>
                    <w:t>弱</w:t>
                  </w:r>
                </w:p>
              </w:tc>
              <w:tc>
                <w:tcPr>
                  <w:tcW w:w="1457" w:type="dxa"/>
                  <w:vAlign w:val="center"/>
                </w:tcPr>
                <w:p>
                  <w:pPr>
                    <w:pStyle w:val="28"/>
                    <w:spacing w:line="360" w:lineRule="exact"/>
                    <w:rPr>
                      <w:rFonts w:eastAsiaTheme="minorEastAsia"/>
                      <w:color w:val="auto"/>
                      <w:szCs w:val="21"/>
                    </w:rPr>
                  </w:pPr>
                  <w:r>
                    <w:rPr>
                      <w:rFonts w:eastAsiaTheme="minorEastAsia"/>
                      <w:color w:val="auto"/>
                      <w:szCs w:val="21"/>
                    </w:rPr>
                    <w:t>易</w:t>
                  </w:r>
                </w:p>
              </w:tc>
              <w:tc>
                <w:tcPr>
                  <w:tcW w:w="1747" w:type="dxa"/>
                  <w:vMerge w:val="continue"/>
                  <w:vAlign w:val="center"/>
                </w:tcPr>
                <w:p>
                  <w:pPr>
                    <w:pStyle w:val="28"/>
                    <w:spacing w:line="360" w:lineRule="exact"/>
                    <w:rPr>
                      <w:rFonts w:eastAsiaTheme="minorEastAsia"/>
                      <w:color w:val="auto"/>
                      <w:szCs w:val="21"/>
                    </w:rPr>
                  </w:pPr>
                </w:p>
              </w:tc>
              <w:tc>
                <w:tcPr>
                  <w:tcW w:w="3131" w:type="dxa"/>
                  <w:vMerge w:val="continue"/>
                  <w:vAlign w:val="center"/>
                </w:tcPr>
                <w:p>
                  <w:pPr>
                    <w:pStyle w:val="28"/>
                    <w:spacing w:line="360" w:lineRule="exact"/>
                    <w:ind w:firstLine="210" w:firstLineChars="100"/>
                    <w:jc w:val="both"/>
                    <w:rPr>
                      <w:rFonts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9" w:type="dxa"/>
                  <w:vMerge w:val="restart"/>
                  <w:vAlign w:val="center"/>
                </w:tcPr>
                <w:p>
                  <w:pPr>
                    <w:pStyle w:val="28"/>
                    <w:spacing w:line="360" w:lineRule="exact"/>
                    <w:rPr>
                      <w:rFonts w:eastAsiaTheme="minorEastAsia"/>
                      <w:color w:val="auto"/>
                      <w:szCs w:val="21"/>
                    </w:rPr>
                  </w:pPr>
                  <w:r>
                    <w:rPr>
                      <w:rFonts w:eastAsiaTheme="minorEastAsia"/>
                      <w:color w:val="auto"/>
                      <w:szCs w:val="21"/>
                    </w:rPr>
                    <w:t>一般防渗区</w:t>
                  </w:r>
                </w:p>
              </w:tc>
              <w:tc>
                <w:tcPr>
                  <w:tcW w:w="1457" w:type="dxa"/>
                  <w:vAlign w:val="center"/>
                </w:tcPr>
                <w:p>
                  <w:pPr>
                    <w:pStyle w:val="28"/>
                    <w:spacing w:line="360" w:lineRule="exact"/>
                    <w:rPr>
                      <w:rFonts w:eastAsiaTheme="minorEastAsia"/>
                      <w:color w:val="auto"/>
                      <w:szCs w:val="21"/>
                    </w:rPr>
                  </w:pPr>
                  <w:r>
                    <w:rPr>
                      <w:rFonts w:eastAsiaTheme="minorEastAsia"/>
                      <w:color w:val="auto"/>
                      <w:szCs w:val="21"/>
                    </w:rPr>
                    <w:t>弱</w:t>
                  </w:r>
                </w:p>
              </w:tc>
              <w:tc>
                <w:tcPr>
                  <w:tcW w:w="1457" w:type="dxa"/>
                  <w:vAlign w:val="center"/>
                </w:tcPr>
                <w:p>
                  <w:pPr>
                    <w:pStyle w:val="28"/>
                    <w:spacing w:line="360" w:lineRule="exact"/>
                    <w:rPr>
                      <w:rFonts w:eastAsiaTheme="minorEastAsia"/>
                      <w:color w:val="auto"/>
                      <w:szCs w:val="21"/>
                    </w:rPr>
                  </w:pPr>
                  <w:r>
                    <w:rPr>
                      <w:rFonts w:eastAsiaTheme="minorEastAsia"/>
                      <w:color w:val="auto"/>
                      <w:szCs w:val="21"/>
                    </w:rPr>
                    <w:t>易-难</w:t>
                  </w:r>
                </w:p>
              </w:tc>
              <w:tc>
                <w:tcPr>
                  <w:tcW w:w="1747" w:type="dxa"/>
                  <w:vMerge w:val="restart"/>
                  <w:vAlign w:val="center"/>
                </w:tcPr>
                <w:p>
                  <w:pPr>
                    <w:pStyle w:val="28"/>
                    <w:spacing w:line="360" w:lineRule="exact"/>
                    <w:rPr>
                      <w:rFonts w:eastAsiaTheme="minorEastAsia"/>
                      <w:color w:val="auto"/>
                      <w:szCs w:val="21"/>
                    </w:rPr>
                  </w:pPr>
                  <w:r>
                    <w:rPr>
                      <w:rFonts w:eastAsiaTheme="minorEastAsia"/>
                      <w:color w:val="auto"/>
                      <w:szCs w:val="21"/>
                    </w:rPr>
                    <w:t>其他类型</w:t>
                  </w:r>
                </w:p>
              </w:tc>
              <w:tc>
                <w:tcPr>
                  <w:tcW w:w="3131" w:type="dxa"/>
                  <w:vMerge w:val="restart"/>
                  <w:vAlign w:val="center"/>
                </w:tcPr>
                <w:p>
                  <w:pPr>
                    <w:pStyle w:val="28"/>
                    <w:spacing w:line="360" w:lineRule="exact"/>
                    <w:ind w:firstLine="210" w:firstLineChars="100"/>
                    <w:jc w:val="both"/>
                    <w:rPr>
                      <w:rFonts w:eastAsiaTheme="minorEastAsia"/>
                      <w:color w:val="auto"/>
                      <w:szCs w:val="21"/>
                    </w:rPr>
                  </w:pPr>
                  <w:r>
                    <w:rPr>
                      <w:rFonts w:eastAsiaTheme="minorEastAsia"/>
                      <w:color w:val="auto"/>
                      <w:szCs w:val="21"/>
                    </w:rPr>
                    <w:t>等效黏土防渗层Mb≥1.5m，K≤1×10</w:t>
                  </w:r>
                  <w:r>
                    <w:rPr>
                      <w:rFonts w:eastAsiaTheme="minorEastAsia"/>
                      <w:color w:val="auto"/>
                      <w:szCs w:val="21"/>
                      <w:vertAlign w:val="superscript"/>
                    </w:rPr>
                    <w:t>-7</w:t>
                  </w:r>
                  <w:r>
                    <w:rPr>
                      <w:rFonts w:eastAsiaTheme="minorEastAsia"/>
                      <w:color w:val="auto"/>
                      <w:szCs w:val="21"/>
                    </w:rPr>
                    <w:t>cm/s；或参照GB16889执行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9" w:type="dxa"/>
                  <w:vMerge w:val="continue"/>
                  <w:vAlign w:val="center"/>
                </w:tcPr>
                <w:p>
                  <w:pPr>
                    <w:pStyle w:val="28"/>
                    <w:spacing w:line="360" w:lineRule="exact"/>
                    <w:rPr>
                      <w:rFonts w:eastAsiaTheme="minorEastAsia"/>
                      <w:color w:val="auto"/>
                      <w:szCs w:val="21"/>
                    </w:rPr>
                  </w:pPr>
                </w:p>
              </w:tc>
              <w:tc>
                <w:tcPr>
                  <w:tcW w:w="1457" w:type="dxa"/>
                  <w:vAlign w:val="center"/>
                </w:tcPr>
                <w:p>
                  <w:pPr>
                    <w:pStyle w:val="28"/>
                    <w:spacing w:line="360" w:lineRule="exact"/>
                    <w:rPr>
                      <w:rFonts w:eastAsiaTheme="minorEastAsia"/>
                      <w:color w:val="auto"/>
                      <w:szCs w:val="21"/>
                    </w:rPr>
                  </w:pPr>
                  <w:r>
                    <w:rPr>
                      <w:rFonts w:eastAsiaTheme="minorEastAsia"/>
                      <w:color w:val="auto"/>
                      <w:szCs w:val="21"/>
                    </w:rPr>
                    <w:t>中-强</w:t>
                  </w:r>
                </w:p>
              </w:tc>
              <w:tc>
                <w:tcPr>
                  <w:tcW w:w="1457" w:type="dxa"/>
                  <w:vAlign w:val="center"/>
                </w:tcPr>
                <w:p>
                  <w:pPr>
                    <w:pStyle w:val="28"/>
                    <w:spacing w:line="360" w:lineRule="exact"/>
                    <w:rPr>
                      <w:rFonts w:eastAsiaTheme="minorEastAsia"/>
                      <w:color w:val="auto"/>
                      <w:szCs w:val="21"/>
                    </w:rPr>
                  </w:pPr>
                  <w:r>
                    <w:rPr>
                      <w:rFonts w:eastAsiaTheme="minorEastAsia"/>
                      <w:color w:val="auto"/>
                      <w:szCs w:val="21"/>
                    </w:rPr>
                    <w:t>难</w:t>
                  </w:r>
                </w:p>
              </w:tc>
              <w:tc>
                <w:tcPr>
                  <w:tcW w:w="1747" w:type="dxa"/>
                  <w:vMerge w:val="continue"/>
                  <w:vAlign w:val="center"/>
                </w:tcPr>
                <w:p>
                  <w:pPr>
                    <w:pStyle w:val="28"/>
                    <w:spacing w:line="360" w:lineRule="exact"/>
                    <w:rPr>
                      <w:rFonts w:eastAsiaTheme="minorEastAsia"/>
                      <w:color w:val="auto"/>
                      <w:szCs w:val="21"/>
                    </w:rPr>
                  </w:pPr>
                </w:p>
              </w:tc>
              <w:tc>
                <w:tcPr>
                  <w:tcW w:w="3131" w:type="dxa"/>
                  <w:vMerge w:val="continue"/>
                  <w:vAlign w:val="center"/>
                </w:tcPr>
                <w:p>
                  <w:pPr>
                    <w:pStyle w:val="28"/>
                    <w:spacing w:line="360" w:lineRule="exact"/>
                    <w:ind w:firstLine="210" w:firstLineChars="100"/>
                    <w:jc w:val="both"/>
                    <w:rPr>
                      <w:rFonts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9" w:type="dxa"/>
                  <w:vMerge w:val="continue"/>
                  <w:vAlign w:val="center"/>
                </w:tcPr>
                <w:p>
                  <w:pPr>
                    <w:pStyle w:val="28"/>
                    <w:spacing w:line="360" w:lineRule="exact"/>
                    <w:rPr>
                      <w:rFonts w:eastAsiaTheme="minorEastAsia"/>
                      <w:color w:val="auto"/>
                      <w:szCs w:val="21"/>
                    </w:rPr>
                  </w:pPr>
                </w:p>
              </w:tc>
              <w:tc>
                <w:tcPr>
                  <w:tcW w:w="1457" w:type="dxa"/>
                  <w:vAlign w:val="center"/>
                </w:tcPr>
                <w:p>
                  <w:pPr>
                    <w:pStyle w:val="28"/>
                    <w:spacing w:line="360" w:lineRule="exact"/>
                    <w:rPr>
                      <w:rFonts w:eastAsiaTheme="minorEastAsia"/>
                      <w:color w:val="auto"/>
                      <w:szCs w:val="21"/>
                    </w:rPr>
                  </w:pPr>
                  <w:r>
                    <w:rPr>
                      <w:rFonts w:eastAsiaTheme="minorEastAsia"/>
                      <w:color w:val="auto"/>
                      <w:szCs w:val="21"/>
                    </w:rPr>
                    <w:t>中</w:t>
                  </w:r>
                </w:p>
              </w:tc>
              <w:tc>
                <w:tcPr>
                  <w:tcW w:w="1457" w:type="dxa"/>
                  <w:vAlign w:val="center"/>
                </w:tcPr>
                <w:p>
                  <w:pPr>
                    <w:pStyle w:val="28"/>
                    <w:spacing w:line="360" w:lineRule="exact"/>
                    <w:rPr>
                      <w:rFonts w:eastAsiaTheme="minorEastAsia"/>
                      <w:color w:val="auto"/>
                      <w:szCs w:val="21"/>
                    </w:rPr>
                  </w:pPr>
                  <w:r>
                    <w:rPr>
                      <w:rFonts w:eastAsiaTheme="minorEastAsia"/>
                      <w:color w:val="auto"/>
                      <w:szCs w:val="21"/>
                    </w:rPr>
                    <w:t>易</w:t>
                  </w:r>
                </w:p>
              </w:tc>
              <w:tc>
                <w:tcPr>
                  <w:tcW w:w="1747" w:type="dxa"/>
                  <w:vMerge w:val="restart"/>
                  <w:vAlign w:val="center"/>
                </w:tcPr>
                <w:p>
                  <w:pPr>
                    <w:pStyle w:val="28"/>
                    <w:spacing w:line="360" w:lineRule="exact"/>
                    <w:rPr>
                      <w:rFonts w:eastAsiaTheme="minorEastAsia"/>
                      <w:color w:val="auto"/>
                      <w:szCs w:val="21"/>
                    </w:rPr>
                  </w:pPr>
                  <w:r>
                    <w:rPr>
                      <w:rFonts w:eastAsiaTheme="minorEastAsia"/>
                      <w:color w:val="auto"/>
                      <w:szCs w:val="21"/>
                    </w:rPr>
                    <w:t>重金属、持久性有机污染物</w:t>
                  </w:r>
                </w:p>
              </w:tc>
              <w:tc>
                <w:tcPr>
                  <w:tcW w:w="3131" w:type="dxa"/>
                  <w:vMerge w:val="continue"/>
                  <w:vAlign w:val="center"/>
                </w:tcPr>
                <w:p>
                  <w:pPr>
                    <w:pStyle w:val="28"/>
                    <w:spacing w:line="360" w:lineRule="exact"/>
                    <w:ind w:firstLine="210" w:firstLineChars="100"/>
                    <w:jc w:val="both"/>
                    <w:rPr>
                      <w:rFonts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9" w:type="dxa"/>
                  <w:vMerge w:val="continue"/>
                  <w:vAlign w:val="center"/>
                </w:tcPr>
                <w:p>
                  <w:pPr>
                    <w:pStyle w:val="28"/>
                    <w:spacing w:line="360" w:lineRule="exact"/>
                    <w:rPr>
                      <w:rFonts w:eastAsiaTheme="minorEastAsia"/>
                      <w:color w:val="auto"/>
                      <w:szCs w:val="21"/>
                    </w:rPr>
                  </w:pPr>
                </w:p>
              </w:tc>
              <w:tc>
                <w:tcPr>
                  <w:tcW w:w="1457" w:type="dxa"/>
                  <w:vAlign w:val="center"/>
                </w:tcPr>
                <w:p>
                  <w:pPr>
                    <w:pStyle w:val="28"/>
                    <w:spacing w:line="360" w:lineRule="exact"/>
                    <w:rPr>
                      <w:rFonts w:eastAsiaTheme="minorEastAsia"/>
                      <w:color w:val="auto"/>
                      <w:szCs w:val="21"/>
                    </w:rPr>
                  </w:pPr>
                  <w:r>
                    <w:rPr>
                      <w:rFonts w:eastAsiaTheme="minorEastAsia"/>
                      <w:color w:val="auto"/>
                      <w:szCs w:val="21"/>
                    </w:rPr>
                    <w:t>强</w:t>
                  </w:r>
                </w:p>
              </w:tc>
              <w:tc>
                <w:tcPr>
                  <w:tcW w:w="1457" w:type="dxa"/>
                  <w:vAlign w:val="center"/>
                </w:tcPr>
                <w:p>
                  <w:pPr>
                    <w:pStyle w:val="28"/>
                    <w:spacing w:line="360" w:lineRule="exact"/>
                    <w:rPr>
                      <w:rFonts w:eastAsiaTheme="minorEastAsia"/>
                      <w:color w:val="auto"/>
                      <w:szCs w:val="21"/>
                    </w:rPr>
                  </w:pPr>
                  <w:r>
                    <w:rPr>
                      <w:rFonts w:eastAsiaTheme="minorEastAsia"/>
                      <w:color w:val="auto"/>
                      <w:szCs w:val="21"/>
                    </w:rPr>
                    <w:t>易</w:t>
                  </w:r>
                </w:p>
              </w:tc>
              <w:tc>
                <w:tcPr>
                  <w:tcW w:w="1747" w:type="dxa"/>
                  <w:vMerge w:val="continue"/>
                  <w:vAlign w:val="center"/>
                </w:tcPr>
                <w:p>
                  <w:pPr>
                    <w:pStyle w:val="28"/>
                    <w:spacing w:line="360" w:lineRule="exact"/>
                    <w:rPr>
                      <w:rFonts w:eastAsiaTheme="minorEastAsia"/>
                      <w:color w:val="auto"/>
                      <w:szCs w:val="21"/>
                    </w:rPr>
                  </w:pPr>
                </w:p>
              </w:tc>
              <w:tc>
                <w:tcPr>
                  <w:tcW w:w="3131" w:type="dxa"/>
                  <w:vMerge w:val="continue"/>
                  <w:vAlign w:val="center"/>
                </w:tcPr>
                <w:p>
                  <w:pPr>
                    <w:pStyle w:val="28"/>
                    <w:spacing w:line="360" w:lineRule="exact"/>
                    <w:ind w:firstLine="210" w:firstLineChars="100"/>
                    <w:jc w:val="both"/>
                    <w:rPr>
                      <w:rFonts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9" w:type="dxa"/>
                  <w:vAlign w:val="center"/>
                </w:tcPr>
                <w:p>
                  <w:pPr>
                    <w:pStyle w:val="28"/>
                    <w:spacing w:line="360" w:lineRule="exact"/>
                    <w:rPr>
                      <w:rFonts w:eastAsiaTheme="minorEastAsia"/>
                      <w:color w:val="auto"/>
                      <w:szCs w:val="21"/>
                    </w:rPr>
                  </w:pPr>
                  <w:r>
                    <w:rPr>
                      <w:rFonts w:eastAsiaTheme="minorEastAsia"/>
                      <w:color w:val="auto"/>
                      <w:szCs w:val="21"/>
                    </w:rPr>
                    <w:t>简单防渗区</w:t>
                  </w:r>
                </w:p>
              </w:tc>
              <w:tc>
                <w:tcPr>
                  <w:tcW w:w="1457" w:type="dxa"/>
                  <w:vAlign w:val="center"/>
                </w:tcPr>
                <w:p>
                  <w:pPr>
                    <w:pStyle w:val="28"/>
                    <w:spacing w:line="360" w:lineRule="exact"/>
                    <w:rPr>
                      <w:rFonts w:eastAsiaTheme="minorEastAsia"/>
                      <w:color w:val="auto"/>
                      <w:szCs w:val="21"/>
                    </w:rPr>
                  </w:pPr>
                  <w:r>
                    <w:rPr>
                      <w:rFonts w:eastAsiaTheme="minorEastAsia"/>
                      <w:color w:val="auto"/>
                      <w:szCs w:val="21"/>
                    </w:rPr>
                    <w:t>中-强</w:t>
                  </w:r>
                </w:p>
              </w:tc>
              <w:tc>
                <w:tcPr>
                  <w:tcW w:w="1457" w:type="dxa"/>
                  <w:vAlign w:val="center"/>
                </w:tcPr>
                <w:p>
                  <w:pPr>
                    <w:pStyle w:val="28"/>
                    <w:spacing w:line="360" w:lineRule="exact"/>
                    <w:rPr>
                      <w:rFonts w:eastAsiaTheme="minorEastAsia"/>
                      <w:color w:val="auto"/>
                      <w:szCs w:val="21"/>
                    </w:rPr>
                  </w:pPr>
                  <w:r>
                    <w:rPr>
                      <w:rFonts w:eastAsiaTheme="minorEastAsia"/>
                      <w:color w:val="auto"/>
                      <w:szCs w:val="21"/>
                    </w:rPr>
                    <w:t>易</w:t>
                  </w:r>
                </w:p>
              </w:tc>
              <w:tc>
                <w:tcPr>
                  <w:tcW w:w="1747" w:type="dxa"/>
                  <w:vAlign w:val="center"/>
                </w:tcPr>
                <w:p>
                  <w:pPr>
                    <w:pStyle w:val="28"/>
                    <w:spacing w:line="360" w:lineRule="exact"/>
                    <w:rPr>
                      <w:rFonts w:eastAsiaTheme="minorEastAsia"/>
                      <w:color w:val="auto"/>
                      <w:szCs w:val="21"/>
                    </w:rPr>
                  </w:pPr>
                  <w:r>
                    <w:rPr>
                      <w:rFonts w:eastAsiaTheme="minorEastAsia"/>
                      <w:color w:val="auto"/>
                      <w:szCs w:val="21"/>
                    </w:rPr>
                    <w:t>其他类型</w:t>
                  </w:r>
                </w:p>
              </w:tc>
              <w:tc>
                <w:tcPr>
                  <w:tcW w:w="3131" w:type="dxa"/>
                  <w:vAlign w:val="center"/>
                </w:tcPr>
                <w:p>
                  <w:pPr>
                    <w:pStyle w:val="28"/>
                    <w:spacing w:line="360" w:lineRule="exact"/>
                    <w:ind w:firstLine="210" w:firstLineChars="100"/>
                    <w:jc w:val="both"/>
                    <w:rPr>
                      <w:rFonts w:eastAsiaTheme="minorEastAsia"/>
                      <w:color w:val="auto"/>
                      <w:szCs w:val="21"/>
                    </w:rPr>
                  </w:pPr>
                  <w:r>
                    <w:rPr>
                      <w:rFonts w:eastAsiaTheme="minorEastAsia"/>
                      <w:color w:val="auto"/>
                      <w:szCs w:val="21"/>
                    </w:rPr>
                    <w:t>一般地面硬化</w:t>
                  </w:r>
                </w:p>
              </w:tc>
            </w:tr>
          </w:tbl>
          <w:p>
            <w:pPr>
              <w:spacing w:before="156"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根据以上分区原则可知，项目分区防渗具体如下：</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 1 \* GB2 </w:instrText>
            </w:r>
            <w:r>
              <w:rPr>
                <w:rFonts w:ascii="Times New Roman" w:hAnsi="Times New Roman" w:cs="Times New Roman"/>
                <w:b/>
                <w:sz w:val="24"/>
                <w:szCs w:val="24"/>
              </w:rPr>
              <w:fldChar w:fldCharType="separate"/>
            </w:r>
            <w:r>
              <w:rPr>
                <w:rFonts w:ascii="Times New Roman" w:hAnsi="Times New Roman" w:eastAsia="宋体" w:cs="Times New Roman"/>
                <w:b/>
                <w:sz w:val="24"/>
                <w:szCs w:val="24"/>
              </w:rPr>
              <w:t>⑴</w:t>
            </w:r>
            <w:r>
              <w:rPr>
                <w:rFonts w:ascii="Times New Roman" w:hAnsi="Times New Roman" w:cs="Times New Roman"/>
                <w:b/>
                <w:sz w:val="24"/>
                <w:szCs w:val="24"/>
              </w:rPr>
              <w:fldChar w:fldCharType="end"/>
            </w:r>
            <w:r>
              <w:rPr>
                <w:rFonts w:ascii="Times New Roman" w:hAnsi="Times New Roman" w:cs="Times New Roman"/>
                <w:b/>
                <w:sz w:val="24"/>
                <w:szCs w:val="24"/>
              </w:rPr>
              <w:t>重点防渗区</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项目重点防渗区为危险废物贮存间：危险废物贮存间地面及裙墙应采用不低于2mm后的HDPE膜或其他人工防渗材料进行防渗，使其渗透系数≤10</w:t>
            </w:r>
            <w:r>
              <w:rPr>
                <w:rFonts w:ascii="Times New Roman" w:hAnsi="Times New Roman" w:cs="Times New Roman"/>
                <w:sz w:val="24"/>
                <w:szCs w:val="24"/>
                <w:vertAlign w:val="superscript"/>
              </w:rPr>
              <w:t>-10</w:t>
            </w:r>
            <w:r>
              <w:rPr>
                <w:rFonts w:ascii="Times New Roman" w:hAnsi="Times New Roman" w:cs="Times New Roman"/>
                <w:sz w:val="24"/>
                <w:szCs w:val="24"/>
              </w:rPr>
              <w:t>cm/s。</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 2 \* GB2 </w:instrText>
            </w:r>
            <w:r>
              <w:rPr>
                <w:rFonts w:ascii="Times New Roman" w:hAnsi="Times New Roman" w:cs="Times New Roman"/>
                <w:b/>
                <w:sz w:val="24"/>
                <w:szCs w:val="24"/>
              </w:rPr>
              <w:fldChar w:fldCharType="separate"/>
            </w:r>
            <w:r>
              <w:rPr>
                <w:rFonts w:ascii="Times New Roman" w:hAnsi="Times New Roman" w:eastAsia="宋体" w:cs="Times New Roman"/>
                <w:b/>
                <w:sz w:val="24"/>
                <w:szCs w:val="24"/>
              </w:rPr>
              <w:t>⑵</w:t>
            </w:r>
            <w:r>
              <w:rPr>
                <w:rFonts w:ascii="Times New Roman" w:hAnsi="Times New Roman" w:cs="Times New Roman"/>
                <w:b/>
                <w:sz w:val="24"/>
                <w:szCs w:val="24"/>
              </w:rPr>
              <w:fldChar w:fldCharType="end"/>
            </w:r>
            <w:r>
              <w:rPr>
                <w:rFonts w:ascii="Times New Roman" w:hAnsi="Times New Roman" w:cs="Times New Roman"/>
                <w:b/>
                <w:sz w:val="24"/>
                <w:szCs w:val="24"/>
              </w:rPr>
              <w:t>一般防渗区</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分区防渗规范要求，项目生产车间、产品库、生产废水处理系统、生活污水处理系统和初期雨水收集系统区域均划定为一般防渗区，各一般防渗区域拟应采用粘土铺底，并在上层铺30cm的混凝土进行硬化。确保防渗性能，使其渗透系数≤1.0×10</w:t>
            </w:r>
            <w:r>
              <w:rPr>
                <w:rFonts w:ascii="Times New Roman" w:hAnsi="Times New Roman" w:cs="Times New Roman"/>
                <w:sz w:val="24"/>
                <w:szCs w:val="24"/>
                <w:vertAlign w:val="superscript"/>
              </w:rPr>
              <w:t>-7</w:t>
            </w:r>
            <w:r>
              <w:rPr>
                <w:rFonts w:ascii="Times New Roman" w:hAnsi="Times New Roman" w:cs="Times New Roman"/>
                <w:sz w:val="24"/>
                <w:szCs w:val="24"/>
              </w:rPr>
              <w:t>cm/s。</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 3 \* GB2 </w:instrText>
            </w:r>
            <w:r>
              <w:rPr>
                <w:rFonts w:ascii="Times New Roman" w:hAnsi="Times New Roman" w:cs="Times New Roman"/>
                <w:b/>
                <w:sz w:val="24"/>
                <w:szCs w:val="24"/>
              </w:rPr>
              <w:fldChar w:fldCharType="separate"/>
            </w:r>
            <w:r>
              <w:rPr>
                <w:rFonts w:ascii="Times New Roman" w:hAnsi="Times New Roman" w:eastAsia="宋体" w:cs="Times New Roman"/>
                <w:b/>
                <w:sz w:val="24"/>
                <w:szCs w:val="24"/>
              </w:rPr>
              <w:t>⑶</w:t>
            </w:r>
            <w:r>
              <w:rPr>
                <w:rFonts w:ascii="Times New Roman" w:hAnsi="Times New Roman" w:cs="Times New Roman"/>
                <w:b/>
                <w:sz w:val="24"/>
                <w:szCs w:val="24"/>
              </w:rPr>
              <w:fldChar w:fldCharType="end"/>
            </w:r>
            <w:r>
              <w:rPr>
                <w:rFonts w:ascii="Times New Roman" w:hAnsi="Times New Roman" w:cs="Times New Roman"/>
                <w:b/>
                <w:sz w:val="24"/>
                <w:szCs w:val="24"/>
              </w:rPr>
              <w:t>简单防渗区</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根据项目特点，对于基本上不产生污染物的简单防渗区，不采取专门针对地下水污染的防治措施。</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4.2.6 生态环境影响和保护措施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本项目位于昆明市东川区铜都镇小李庄村，本项目占地29.97亩，建筑面积6222.06</w:t>
            </w:r>
            <w:r>
              <w:rPr>
                <w:rFonts w:ascii="Times New Roman" w:hAnsi="Times New Roman" w:cs="Times New Roman"/>
                <w:spacing w:val="-8"/>
                <w:sz w:val="24"/>
                <w:szCs w:val="24"/>
              </w:rPr>
              <w:t xml:space="preserve"> m</w:t>
            </w:r>
            <w:r>
              <w:rPr>
                <w:rFonts w:ascii="Times New Roman" w:hAnsi="Times New Roman" w:cs="Times New Roman"/>
                <w:spacing w:val="-8"/>
                <w:sz w:val="24"/>
                <w:szCs w:val="24"/>
                <w:vertAlign w:val="superscript"/>
              </w:rPr>
              <w:t>2</w:t>
            </w:r>
            <w:r>
              <w:rPr>
                <w:rFonts w:ascii="Times New Roman" w:hAnsi="Times New Roman" w:cs="Times New Roman"/>
                <w:sz w:val="24"/>
                <w:szCs w:val="24"/>
              </w:rPr>
              <w:t>，其余面积为建设单位向政府承诺的建设的绿化和道路等占地面积。项目占地全部为滩涂地，不涉及农用地、林地等。根据调查，项目所在区域受人类活动的影响，已基本无原生植被及大型野生哺乳动物分布，常见动物有老鼠，麻雀等，生物多样性较简单。项目及周边200m范围内无国家和省级珍稀、濒危生物物种、无珍稀植物资源和需保护的古树。</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本项目的建设对生态的主要影响为改变土地的利用类型，但项目实际占地较小，其生态环境影响较小，同时，项目建设过程中将对靠河一侧建设绿化带，则进一步降低项目对生态环境的影响。</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4.2.7 环境风险影响和防治措施</w:t>
            </w:r>
          </w:p>
          <w:p>
            <w:pPr>
              <w:pStyle w:val="35"/>
              <w:ind w:firstLine="361" w:firstLineChars="150"/>
              <w:rPr>
                <w:rFonts w:eastAsiaTheme="minorEastAsia"/>
                <w:b/>
                <w:szCs w:val="24"/>
              </w:rPr>
            </w:pPr>
            <w:r>
              <w:rPr>
                <w:rFonts w:eastAsiaTheme="minorEastAsia"/>
                <w:b/>
                <w:szCs w:val="24"/>
              </w:rPr>
              <w:t>（1）风险物质的分布情况</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按照《建设项目环境风险评价技术导则》（HJ 169-2018）的要求，环境风险主要对对涉及到的有毒有害和易燃易爆危险物质生产、使用、储存（包括使用管线输运）可能发生的突发性事故（不包括人为破坏及自然灾害引发的事故）的环境风险评价。根据项目特点，本项目危险废物，其危险特性如下表所示。</w:t>
            </w:r>
          </w:p>
          <w:p>
            <w:pPr>
              <w:pStyle w:val="30"/>
              <w:spacing w:beforeLines="0"/>
              <w:rPr>
                <w:rFonts w:hAnsi="Times New Roman" w:eastAsiaTheme="minorEastAsia"/>
                <w:sz w:val="21"/>
                <w:szCs w:val="21"/>
              </w:rPr>
            </w:pPr>
            <w:r>
              <w:rPr>
                <w:rFonts w:hAnsi="Times New Roman" w:eastAsiaTheme="minorEastAsia"/>
                <w:sz w:val="21"/>
                <w:szCs w:val="21"/>
              </w:rPr>
              <w:t>表4.2.7-1  项目涉及的危险物质基本情况一览表</w:t>
            </w:r>
          </w:p>
          <w:tbl>
            <w:tblPr>
              <w:tblStyle w:val="17"/>
              <w:tblW w:w="8841"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41"/>
              <w:gridCol w:w="1522"/>
              <w:gridCol w:w="1522"/>
              <w:gridCol w:w="1248"/>
              <w:gridCol w:w="32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41" w:type="dxa"/>
                  <w:vAlign w:val="center"/>
                </w:tcPr>
                <w:p>
                  <w:pPr>
                    <w:pStyle w:val="28"/>
                    <w:spacing w:line="360" w:lineRule="exact"/>
                    <w:rPr>
                      <w:color w:val="auto"/>
                      <w:szCs w:val="21"/>
                    </w:rPr>
                  </w:pPr>
                  <w:r>
                    <w:rPr>
                      <w:color w:val="auto"/>
                      <w:szCs w:val="21"/>
                    </w:rPr>
                    <w:t>产生环节</w:t>
                  </w:r>
                </w:p>
              </w:tc>
              <w:tc>
                <w:tcPr>
                  <w:tcW w:w="1522" w:type="dxa"/>
                  <w:vAlign w:val="center"/>
                </w:tcPr>
                <w:p>
                  <w:pPr>
                    <w:pStyle w:val="28"/>
                    <w:spacing w:line="360" w:lineRule="exact"/>
                    <w:rPr>
                      <w:color w:val="auto"/>
                      <w:szCs w:val="21"/>
                    </w:rPr>
                  </w:pPr>
                  <w:r>
                    <w:rPr>
                      <w:color w:val="auto"/>
                      <w:szCs w:val="21"/>
                    </w:rPr>
                    <w:t>危险物质</w:t>
                  </w:r>
                </w:p>
              </w:tc>
              <w:tc>
                <w:tcPr>
                  <w:tcW w:w="1522" w:type="dxa"/>
                  <w:vAlign w:val="center"/>
                </w:tcPr>
                <w:p>
                  <w:pPr>
                    <w:pStyle w:val="28"/>
                    <w:spacing w:line="360" w:lineRule="exact"/>
                    <w:rPr>
                      <w:color w:val="auto"/>
                      <w:szCs w:val="21"/>
                    </w:rPr>
                  </w:pPr>
                  <w:r>
                    <w:rPr>
                      <w:color w:val="auto"/>
                      <w:szCs w:val="21"/>
                    </w:rPr>
                    <w:t>年使用/产生量</w:t>
                  </w:r>
                </w:p>
              </w:tc>
              <w:tc>
                <w:tcPr>
                  <w:tcW w:w="1248" w:type="dxa"/>
                  <w:vAlign w:val="center"/>
                </w:tcPr>
                <w:p>
                  <w:pPr>
                    <w:pStyle w:val="28"/>
                    <w:spacing w:line="360" w:lineRule="exact"/>
                    <w:rPr>
                      <w:color w:val="auto"/>
                      <w:szCs w:val="21"/>
                    </w:rPr>
                  </w:pPr>
                  <w:r>
                    <w:rPr>
                      <w:color w:val="auto"/>
                      <w:szCs w:val="21"/>
                    </w:rPr>
                    <w:t>最大储存量</w:t>
                  </w:r>
                </w:p>
              </w:tc>
              <w:tc>
                <w:tcPr>
                  <w:tcW w:w="3208" w:type="dxa"/>
                  <w:vAlign w:val="center"/>
                </w:tcPr>
                <w:p>
                  <w:pPr>
                    <w:pStyle w:val="28"/>
                    <w:spacing w:line="360" w:lineRule="exact"/>
                    <w:rPr>
                      <w:color w:val="auto"/>
                      <w:szCs w:val="21"/>
                    </w:rPr>
                  </w:pPr>
                  <w:r>
                    <w:rPr>
                      <w:color w:val="auto"/>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41" w:type="dxa"/>
                  <w:vAlign w:val="center"/>
                </w:tcPr>
                <w:p>
                  <w:pPr>
                    <w:pStyle w:val="28"/>
                    <w:spacing w:line="360" w:lineRule="exact"/>
                    <w:rPr>
                      <w:color w:val="auto"/>
                      <w:szCs w:val="21"/>
                    </w:rPr>
                  </w:pPr>
                  <w:r>
                    <w:rPr>
                      <w:color w:val="auto"/>
                      <w:szCs w:val="21"/>
                    </w:rPr>
                    <w:t>产生污染物</w:t>
                  </w:r>
                </w:p>
              </w:tc>
              <w:tc>
                <w:tcPr>
                  <w:tcW w:w="1522" w:type="dxa"/>
                  <w:vAlign w:val="center"/>
                </w:tcPr>
                <w:p>
                  <w:pPr>
                    <w:pStyle w:val="28"/>
                    <w:spacing w:line="360" w:lineRule="exact"/>
                    <w:rPr>
                      <w:rFonts w:eastAsiaTheme="minorEastAsia"/>
                      <w:color w:val="auto"/>
                      <w:szCs w:val="21"/>
                    </w:rPr>
                  </w:pPr>
                  <w:r>
                    <w:rPr>
                      <w:rFonts w:eastAsiaTheme="minorEastAsia"/>
                      <w:color w:val="auto"/>
                      <w:szCs w:val="21"/>
                    </w:rPr>
                    <w:t>废机油</w:t>
                  </w:r>
                </w:p>
              </w:tc>
              <w:tc>
                <w:tcPr>
                  <w:tcW w:w="1522" w:type="dxa"/>
                  <w:vAlign w:val="center"/>
                </w:tcPr>
                <w:p>
                  <w:pPr>
                    <w:pStyle w:val="28"/>
                    <w:spacing w:line="360" w:lineRule="exact"/>
                    <w:rPr>
                      <w:rFonts w:eastAsiaTheme="minorEastAsia"/>
                      <w:color w:val="auto"/>
                      <w:szCs w:val="21"/>
                    </w:rPr>
                  </w:pPr>
                  <w:r>
                    <w:rPr>
                      <w:rFonts w:eastAsiaTheme="minorEastAsia"/>
                      <w:color w:val="auto"/>
                      <w:szCs w:val="21"/>
                      <w:lang w:val="en-US"/>
                    </w:rPr>
                    <w:t>50</w:t>
                  </w:r>
                  <w:r>
                    <w:rPr>
                      <w:rFonts w:eastAsiaTheme="minorEastAsia"/>
                      <w:color w:val="auto"/>
                      <w:szCs w:val="21"/>
                    </w:rPr>
                    <w:t>kg/a</w:t>
                  </w:r>
                </w:p>
              </w:tc>
              <w:tc>
                <w:tcPr>
                  <w:tcW w:w="1248" w:type="dxa"/>
                  <w:vAlign w:val="center"/>
                </w:tcPr>
                <w:p>
                  <w:pPr>
                    <w:pStyle w:val="28"/>
                    <w:spacing w:line="360" w:lineRule="exact"/>
                    <w:rPr>
                      <w:color w:val="auto"/>
                      <w:szCs w:val="21"/>
                    </w:rPr>
                  </w:pPr>
                  <w:r>
                    <w:rPr>
                      <w:color w:val="auto"/>
                      <w:szCs w:val="21"/>
                    </w:rPr>
                    <w:t>0.0</w:t>
                  </w:r>
                  <w:r>
                    <w:rPr>
                      <w:color w:val="auto"/>
                      <w:szCs w:val="21"/>
                      <w:lang w:val="en-US"/>
                    </w:rPr>
                    <w:t>5</w:t>
                  </w:r>
                  <w:r>
                    <w:rPr>
                      <w:color w:val="auto"/>
                      <w:szCs w:val="21"/>
                    </w:rPr>
                    <w:t>t/a</w:t>
                  </w:r>
                </w:p>
              </w:tc>
              <w:tc>
                <w:tcPr>
                  <w:tcW w:w="3208" w:type="dxa"/>
                  <w:vAlign w:val="center"/>
                </w:tcPr>
                <w:p>
                  <w:pPr>
                    <w:pStyle w:val="28"/>
                    <w:spacing w:line="360" w:lineRule="exact"/>
                    <w:ind w:left="11" w:firstLine="210" w:firstLineChars="100"/>
                    <w:jc w:val="both"/>
                    <w:rPr>
                      <w:color w:val="auto"/>
                      <w:szCs w:val="21"/>
                    </w:rPr>
                  </w:pPr>
                  <w:r>
                    <w:rPr>
                      <w:color w:val="auto"/>
                    </w:rPr>
                    <w:t>厂区拟建设1个5m²的危险废物贮存间对项目区废机油等危险废物进行暂存。</w:t>
                  </w:r>
                </w:p>
              </w:tc>
            </w:tr>
          </w:tbl>
          <w:p>
            <w:pPr>
              <w:spacing w:before="156"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项目涉及危险物质的理化性质如下表所示。</w:t>
            </w:r>
          </w:p>
          <w:p>
            <w:pPr>
              <w:pStyle w:val="30"/>
              <w:spacing w:beforeLines="0"/>
              <w:rPr>
                <w:rFonts w:hAnsi="Times New Roman" w:eastAsiaTheme="minorEastAsia"/>
                <w:sz w:val="21"/>
                <w:szCs w:val="21"/>
              </w:rPr>
            </w:pPr>
          </w:p>
          <w:p>
            <w:pPr>
              <w:pStyle w:val="30"/>
              <w:spacing w:beforeLines="0"/>
              <w:rPr>
                <w:rFonts w:hAnsi="Times New Roman" w:eastAsiaTheme="minorEastAsia"/>
                <w:sz w:val="21"/>
                <w:szCs w:val="21"/>
              </w:rPr>
            </w:pPr>
            <w:r>
              <w:rPr>
                <w:rFonts w:hAnsi="Times New Roman" w:eastAsiaTheme="minorEastAsia"/>
                <w:sz w:val="21"/>
                <w:szCs w:val="21"/>
              </w:rPr>
              <w:t>表4.2.7-2 危险物质主要成分基本性质一览表</w:t>
            </w:r>
          </w:p>
          <w:tbl>
            <w:tblPr>
              <w:tblStyle w:val="17"/>
              <w:tblW w:w="8841"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91"/>
              <w:gridCol w:w="1748"/>
              <w:gridCol w:w="59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91" w:type="dxa"/>
                  <w:vMerge w:val="restart"/>
                  <w:vAlign w:val="center"/>
                </w:tcPr>
                <w:p>
                  <w:pPr>
                    <w:pStyle w:val="28"/>
                    <w:spacing w:line="360" w:lineRule="exact"/>
                    <w:rPr>
                      <w:color w:val="auto"/>
                      <w:szCs w:val="21"/>
                    </w:rPr>
                  </w:pPr>
                  <w:r>
                    <w:rPr>
                      <w:color w:val="auto"/>
                      <w:szCs w:val="21"/>
                    </w:rPr>
                    <w:t>废机油</w:t>
                  </w:r>
                </w:p>
              </w:tc>
              <w:tc>
                <w:tcPr>
                  <w:tcW w:w="1748" w:type="dxa"/>
                </w:tcPr>
                <w:p>
                  <w:pPr>
                    <w:pStyle w:val="28"/>
                    <w:spacing w:line="360" w:lineRule="exact"/>
                    <w:rPr>
                      <w:color w:val="auto"/>
                      <w:szCs w:val="21"/>
                    </w:rPr>
                  </w:pPr>
                  <w:r>
                    <w:rPr>
                      <w:color w:val="auto"/>
                      <w:szCs w:val="21"/>
                    </w:rPr>
                    <w:t>废物类别</w:t>
                  </w:r>
                </w:p>
              </w:tc>
              <w:tc>
                <w:tcPr>
                  <w:tcW w:w="5902" w:type="dxa"/>
                  <w:vAlign w:val="center"/>
                </w:tcPr>
                <w:p>
                  <w:pPr>
                    <w:pStyle w:val="28"/>
                    <w:spacing w:line="360" w:lineRule="exact"/>
                    <w:ind w:left="11" w:firstLine="210" w:firstLineChars="100"/>
                    <w:jc w:val="left"/>
                    <w:rPr>
                      <w:color w:val="auto"/>
                      <w:szCs w:val="21"/>
                    </w:rPr>
                  </w:pPr>
                  <w:r>
                    <w:rPr>
                      <w:color w:val="auto"/>
                      <w:szCs w:val="21"/>
                    </w:rPr>
                    <w:t>HW08废矿物油与含矿物油废物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91" w:type="dxa"/>
                  <w:vMerge w:val="continue"/>
                  <w:vAlign w:val="center"/>
                </w:tcPr>
                <w:p>
                  <w:pPr>
                    <w:pStyle w:val="28"/>
                    <w:spacing w:line="360" w:lineRule="exact"/>
                    <w:rPr>
                      <w:color w:val="auto"/>
                      <w:szCs w:val="21"/>
                    </w:rPr>
                  </w:pPr>
                </w:p>
              </w:tc>
              <w:tc>
                <w:tcPr>
                  <w:tcW w:w="1748" w:type="dxa"/>
                  <w:vAlign w:val="center"/>
                </w:tcPr>
                <w:p>
                  <w:pPr>
                    <w:pStyle w:val="28"/>
                    <w:spacing w:line="360" w:lineRule="exact"/>
                    <w:rPr>
                      <w:color w:val="auto"/>
                      <w:szCs w:val="21"/>
                    </w:rPr>
                  </w:pPr>
                  <w:r>
                    <w:rPr>
                      <w:color w:val="auto"/>
                      <w:szCs w:val="21"/>
                    </w:rPr>
                    <w:t>废物代码</w:t>
                  </w:r>
                </w:p>
              </w:tc>
              <w:tc>
                <w:tcPr>
                  <w:tcW w:w="5902" w:type="dxa"/>
                  <w:vAlign w:val="center"/>
                </w:tcPr>
                <w:p>
                  <w:pPr>
                    <w:pStyle w:val="28"/>
                    <w:spacing w:line="360" w:lineRule="exact"/>
                    <w:ind w:left="11" w:firstLine="210" w:firstLineChars="100"/>
                    <w:jc w:val="left"/>
                    <w:rPr>
                      <w:color w:val="auto"/>
                      <w:szCs w:val="21"/>
                    </w:rPr>
                  </w:pPr>
                  <w:r>
                    <w:rPr>
                      <w:color w:val="auto"/>
                      <w:szCs w:val="21"/>
                    </w:rPr>
                    <w:t>900-214-08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91" w:type="dxa"/>
                  <w:vMerge w:val="continue"/>
                  <w:vAlign w:val="center"/>
                </w:tcPr>
                <w:p>
                  <w:pPr>
                    <w:pStyle w:val="28"/>
                    <w:spacing w:line="360" w:lineRule="exact"/>
                    <w:rPr>
                      <w:color w:val="auto"/>
                      <w:szCs w:val="21"/>
                    </w:rPr>
                  </w:pPr>
                </w:p>
              </w:tc>
              <w:tc>
                <w:tcPr>
                  <w:tcW w:w="1748" w:type="dxa"/>
                  <w:vAlign w:val="center"/>
                </w:tcPr>
                <w:p>
                  <w:pPr>
                    <w:pStyle w:val="28"/>
                    <w:spacing w:line="360" w:lineRule="exact"/>
                    <w:rPr>
                      <w:color w:val="auto"/>
                      <w:szCs w:val="21"/>
                    </w:rPr>
                  </w:pPr>
                  <w:r>
                    <w:rPr>
                      <w:color w:val="auto"/>
                      <w:szCs w:val="21"/>
                    </w:rPr>
                    <w:t>危险特征</w:t>
                  </w:r>
                </w:p>
              </w:tc>
              <w:tc>
                <w:tcPr>
                  <w:tcW w:w="5902" w:type="dxa"/>
                  <w:vAlign w:val="center"/>
                </w:tcPr>
                <w:p>
                  <w:pPr>
                    <w:pStyle w:val="28"/>
                    <w:spacing w:line="360" w:lineRule="exact"/>
                    <w:ind w:left="11" w:firstLine="210" w:firstLineChars="100"/>
                    <w:jc w:val="left"/>
                    <w:rPr>
                      <w:color w:val="auto"/>
                      <w:szCs w:val="21"/>
                    </w:rPr>
                  </w:pPr>
                  <w:r>
                    <w:rPr>
                      <w:color w:val="auto"/>
                      <w:szCs w:val="21"/>
                    </w:rPr>
                    <w:t>T，I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91" w:type="dxa"/>
                  <w:vMerge w:val="continue"/>
                  <w:vAlign w:val="center"/>
                </w:tcPr>
                <w:p>
                  <w:pPr>
                    <w:pStyle w:val="28"/>
                    <w:spacing w:line="360" w:lineRule="exact"/>
                    <w:rPr>
                      <w:color w:val="auto"/>
                      <w:szCs w:val="21"/>
                    </w:rPr>
                  </w:pPr>
                </w:p>
              </w:tc>
              <w:tc>
                <w:tcPr>
                  <w:tcW w:w="1748" w:type="dxa"/>
                  <w:vAlign w:val="center"/>
                </w:tcPr>
                <w:p>
                  <w:pPr>
                    <w:pStyle w:val="28"/>
                    <w:spacing w:line="360" w:lineRule="exact"/>
                    <w:rPr>
                      <w:color w:val="auto"/>
                      <w:szCs w:val="21"/>
                    </w:rPr>
                  </w:pPr>
                  <w:r>
                    <w:rPr>
                      <w:color w:val="auto"/>
                      <w:szCs w:val="21"/>
                    </w:rPr>
                    <w:t>危险特性</w:t>
                  </w:r>
                </w:p>
              </w:tc>
              <w:tc>
                <w:tcPr>
                  <w:tcW w:w="5902" w:type="dxa"/>
                  <w:vAlign w:val="center"/>
                </w:tcPr>
                <w:p>
                  <w:pPr>
                    <w:pStyle w:val="28"/>
                    <w:spacing w:line="360" w:lineRule="exact"/>
                    <w:ind w:left="11" w:firstLine="210" w:firstLineChars="100"/>
                    <w:jc w:val="left"/>
                    <w:rPr>
                      <w:color w:val="auto"/>
                      <w:szCs w:val="21"/>
                    </w:rPr>
                  </w:pPr>
                  <w:r>
                    <w:rPr>
                      <w:color w:val="auto"/>
                      <w:szCs w:val="21"/>
                    </w:rPr>
                    <w:t>和矿物油性质类似，废矿油含有多种有毒性物质。如果废矿油内的有毒物质通过人体和动物的表皮渗透到血液中，并在体内积累，会导致各种细胞丧失正常功能，是公认的致癌和致突变化合物。其毒性可经呼吸道、消化道、皮肤进入人体。主要引起消化道和中枢神经系统损害。大剂量食入矿物油而引发的急性中毒变现为恶心、呕吐、头晕、视物模糊、易激动、步态不稳、细微震颤等。一般日常食用多位呕吐、腹泻症状。慢性中毒则可导致神经衰弱综合症及植物神经功能紊乱，轻者出现头晕、头疼、记忆力下降、失眠多梦、心悸、乏力等，有眼睑、舌、手指震颤，有些患者甚至会有癔病样发作；重者可出现表情淡漠、反应迟钝、傻笑、智力下降等类似精神分裂的症状。</w:t>
                  </w:r>
                </w:p>
              </w:tc>
            </w:tr>
          </w:tbl>
          <w:p>
            <w:pPr>
              <w:pStyle w:val="35"/>
              <w:spacing w:before="156" w:beforeLines="50"/>
              <w:ind w:firstLine="361" w:firstLineChars="150"/>
              <w:rPr>
                <w:rFonts w:eastAsiaTheme="minorEastAsia"/>
                <w:b/>
                <w:szCs w:val="24"/>
              </w:rPr>
            </w:pPr>
            <w:r>
              <w:rPr>
                <w:rFonts w:eastAsiaTheme="minorEastAsia"/>
                <w:b/>
                <w:szCs w:val="24"/>
              </w:rPr>
              <w:t>（2）可能影响途径</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本项目危险物质在存储及运输过程中泄露对地下水和土壤造成影响。影响途经为：本项目废机油在存储及运输过程中火灾、爆炸、泄露的环境风险。</w:t>
            </w:r>
          </w:p>
          <w:p>
            <w:pPr>
              <w:pStyle w:val="35"/>
              <w:ind w:firstLine="361" w:firstLineChars="150"/>
              <w:rPr>
                <w:rFonts w:eastAsiaTheme="minorEastAsia"/>
                <w:b/>
                <w:szCs w:val="24"/>
              </w:rPr>
            </w:pPr>
            <w:r>
              <w:rPr>
                <w:rFonts w:eastAsiaTheme="minorEastAsia"/>
                <w:b/>
                <w:szCs w:val="24"/>
              </w:rPr>
              <w:t>（3）环境风险防范措施</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 1 \* GB4 </w:instrText>
            </w:r>
            <w:r>
              <w:rPr>
                <w:rFonts w:ascii="Times New Roman" w:hAnsi="Times New Roman" w:cs="Times New Roman"/>
                <w:b/>
                <w:sz w:val="24"/>
                <w:szCs w:val="24"/>
              </w:rPr>
              <w:fldChar w:fldCharType="separate"/>
            </w:r>
            <w:r>
              <w:rPr>
                <w:rFonts w:ascii="Times New Roman" w:hAnsi="Times New Roman" w:cs="Times New Roman"/>
                <w:b/>
                <w:sz w:val="24"/>
                <w:szCs w:val="24"/>
              </w:rPr>
              <w:t>㈠</w:t>
            </w:r>
            <w:r>
              <w:rPr>
                <w:rFonts w:ascii="Times New Roman" w:hAnsi="Times New Roman" w:cs="Times New Roman"/>
                <w:b/>
                <w:sz w:val="24"/>
                <w:szCs w:val="24"/>
              </w:rPr>
              <w:fldChar w:fldCharType="end"/>
            </w:r>
            <w:r>
              <w:rPr>
                <w:rFonts w:ascii="Times New Roman" w:hAnsi="Times New Roman" w:cs="Times New Roman"/>
                <w:b/>
                <w:sz w:val="24"/>
                <w:szCs w:val="24"/>
              </w:rPr>
              <w:t>事故应急池的设置分析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突发环境事件应急管理办法》（环境保护令第34号）第九条的规定，企业事业单位的突发环境事件风险防控措施包括有效防止泄漏物质、消防水、污染雨水等扩散至外环境的收集、导流、拦截、降污等措施。</w:t>
            </w:r>
          </w:p>
          <w:p>
            <w:pPr>
              <w:spacing w:line="360" w:lineRule="auto"/>
              <w:ind w:firstLine="480" w:firstLineChars="200"/>
              <w:rPr>
                <w:rFonts w:hint="eastAsia" w:ascii="Times New Roman" w:hAnsi="Times New Roman" w:cs="Times New Roman" w:eastAsiaTheme="minorEastAsia"/>
                <w:sz w:val="24"/>
                <w:szCs w:val="24"/>
                <w:lang w:eastAsia="zh-CN"/>
              </w:rPr>
            </w:pPr>
            <w:r>
              <w:rPr>
                <w:rFonts w:ascii="Times New Roman" w:hAnsi="Times New Roman" w:cs="Times New Roman"/>
                <w:sz w:val="24"/>
                <w:szCs w:val="24"/>
              </w:rPr>
              <w:t>根据《建设项目环境风险评价技术导则》（HJ69-2018）的要求，项目存在的的风险物质为废机油，在危险废物贮存间内已分别配套设置了导流渠、收集池等设施，因此该风险物质不会泄漏到危险废物贮存间外；而本项目对小江清淤固废（河沙）进行破碎筛分，出现火灾、爆炸的可能性极小，因此基本不存在消防水；由针对污染雨水，项目已配套设置有初期雨水收集池对其进行收集</w:t>
            </w:r>
            <w:r>
              <w:rPr>
                <w:rFonts w:hint="eastAsia" w:ascii="Times New Roman" w:hAnsi="Times New Roman" w:cs="Times New Roman"/>
                <w:sz w:val="24"/>
                <w:szCs w:val="24"/>
                <w:lang w:eastAsia="zh-CN"/>
              </w:rPr>
              <w:t>。</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 2 \* GB4 </w:instrText>
            </w:r>
            <w:r>
              <w:rPr>
                <w:rFonts w:ascii="Times New Roman" w:hAnsi="Times New Roman" w:cs="Times New Roman"/>
                <w:b/>
                <w:sz w:val="24"/>
                <w:szCs w:val="24"/>
              </w:rPr>
              <w:fldChar w:fldCharType="separate"/>
            </w:r>
            <w:r>
              <w:rPr>
                <w:rFonts w:ascii="Times New Roman" w:hAnsi="Times New Roman" w:cs="Times New Roman"/>
                <w:b/>
                <w:sz w:val="24"/>
                <w:szCs w:val="24"/>
              </w:rPr>
              <w:t>㈡</w:t>
            </w:r>
            <w:r>
              <w:rPr>
                <w:rFonts w:ascii="Times New Roman" w:hAnsi="Times New Roman" w:cs="Times New Roman"/>
                <w:b/>
                <w:sz w:val="24"/>
                <w:szCs w:val="24"/>
              </w:rPr>
              <w:fldChar w:fldCharType="end"/>
            </w:r>
            <w:r>
              <w:rPr>
                <w:rFonts w:ascii="Times New Roman" w:hAnsi="Times New Roman" w:cs="Times New Roman"/>
                <w:b/>
                <w:sz w:val="24"/>
                <w:szCs w:val="24"/>
              </w:rPr>
              <w:t>环境风险防范措施要求</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根据本项目环境影响途经，提出以下风险防范措施：</w:t>
            </w:r>
          </w:p>
          <w:p>
            <w:pPr>
              <w:spacing w:line="360" w:lineRule="auto"/>
              <w:ind w:firstLine="480" w:firstLineChars="200"/>
              <w:rPr>
                <w:rFonts w:ascii="Times New Roman" w:hAnsi="Times New Roman" w:cs="Times New Roman"/>
                <w:sz w:val="24"/>
                <w:szCs w:val="24"/>
              </w:rPr>
            </w:pPr>
            <w:bookmarkStart w:id="9" w:name="_Toc114997846"/>
            <w:bookmarkStart w:id="10" w:name="_Toc116622310"/>
            <w:bookmarkStart w:id="11" w:name="_Toc115259923"/>
            <w:bookmarkStart w:id="12" w:name="_Toc88466811"/>
            <w:bookmarkStart w:id="13" w:name="_Toc56427845"/>
            <w:bookmarkStart w:id="14" w:name="_Toc57516383"/>
            <w:bookmarkStart w:id="15" w:name="_Toc76139457"/>
            <w:bookmarkStart w:id="16" w:name="_Toc82857308"/>
            <w:bookmarkStart w:id="17" w:name="_Toc57516232"/>
            <w:bookmarkStart w:id="18" w:name="_Toc67822189"/>
            <w:r>
              <w:rPr>
                <w:rFonts w:ascii="Times New Roman" w:hAnsi="Times New Roman" w:eastAsia="宋体" w:cs="Times New Roman"/>
                <w:sz w:val="24"/>
                <w:szCs w:val="24"/>
              </w:rPr>
              <w:t>①</w:t>
            </w:r>
            <w:r>
              <w:rPr>
                <w:rFonts w:ascii="Times New Roman" w:hAnsi="Times New Roman" w:cs="Times New Roman"/>
                <w:sz w:val="24"/>
                <w:szCs w:val="24"/>
              </w:rPr>
              <w:t>危废废物应储存于规范的危险废物贮存间；入库时，严格检验物品质量、数量、包装情况、有无泄漏。</w:t>
            </w:r>
          </w:p>
          <w:p>
            <w:pPr>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②</w:t>
            </w:r>
            <w:r>
              <w:rPr>
                <w:rFonts w:ascii="Times New Roman" w:hAnsi="Times New Roman" w:cs="Times New Roman"/>
                <w:sz w:val="24"/>
                <w:szCs w:val="24"/>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p>
            <w:pPr>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③</w:t>
            </w:r>
            <w:r>
              <w:rPr>
                <w:rFonts w:ascii="Times New Roman" w:hAnsi="Times New Roman" w:cs="Times New Roman"/>
                <w:sz w:val="24"/>
                <w:szCs w:val="24"/>
              </w:rPr>
              <w:t>项目区配备相应品种的消防器材。</w:t>
            </w:r>
          </w:p>
          <w:bookmarkEnd w:id="9"/>
          <w:bookmarkEnd w:id="10"/>
          <w:bookmarkEnd w:id="11"/>
          <w:bookmarkEnd w:id="12"/>
          <w:bookmarkEnd w:id="13"/>
          <w:bookmarkEnd w:id="14"/>
          <w:bookmarkEnd w:id="15"/>
          <w:bookmarkEnd w:id="16"/>
          <w:bookmarkEnd w:id="17"/>
          <w:bookmarkEnd w:id="18"/>
          <w:p>
            <w:pPr>
              <w:pStyle w:val="35"/>
              <w:ind w:firstLine="361" w:firstLineChars="150"/>
              <w:rPr>
                <w:rFonts w:eastAsiaTheme="minorEastAsia"/>
                <w:b/>
                <w:szCs w:val="24"/>
              </w:rPr>
            </w:pPr>
            <w:r>
              <w:rPr>
                <w:rFonts w:eastAsiaTheme="minorEastAsia"/>
                <w:b/>
                <w:szCs w:val="24"/>
              </w:rPr>
              <w:t>（4）环境风险结论</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本项目涉及到的危险物质主要有废机油等，在采取严格的防护措施后，事故发生概率较小，环境风险可接受。</w:t>
            </w:r>
          </w:p>
          <w:p>
            <w:pPr>
              <w:spacing w:line="360" w:lineRule="auto"/>
              <w:ind w:firstLine="482" w:firstLineChars="200"/>
              <w:rPr>
                <w:rFonts w:ascii="Times New Roman" w:hAnsi="Times New Roman" w:cs="Times New Roman"/>
                <w:b/>
                <w:sz w:val="24"/>
                <w:szCs w:val="24"/>
              </w:rPr>
            </w:pPr>
            <w:bookmarkStart w:id="19" w:name="_Toc72228649"/>
            <w:r>
              <w:rPr>
                <w:rFonts w:ascii="Times New Roman" w:hAnsi="Times New Roman" w:cs="Times New Roman"/>
                <w:b/>
                <w:sz w:val="24"/>
                <w:szCs w:val="24"/>
              </w:rPr>
              <w:t>4.3 环保投资估算</w:t>
            </w:r>
            <w:bookmarkEnd w:id="19"/>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项目总投资4683.17万元，其中基建环保投资为203.5万元，占总投资的4.345%。年环保投资运行费用约为25万元，项目拟采取措施的具体内容、责任主体、实施时段及环境保护投入资金如下表所示。</w:t>
            </w:r>
          </w:p>
          <w:p>
            <w:pPr>
              <w:pStyle w:val="30"/>
              <w:spacing w:beforeLines="0"/>
              <w:rPr>
                <w:rFonts w:hAnsi="Times New Roman" w:eastAsiaTheme="minorEastAsia"/>
                <w:sz w:val="21"/>
                <w:szCs w:val="21"/>
              </w:rPr>
            </w:pPr>
            <w:r>
              <w:rPr>
                <w:rFonts w:hAnsi="Times New Roman" w:eastAsiaTheme="minorEastAsia"/>
                <w:sz w:val="21"/>
                <w:szCs w:val="21"/>
              </w:rPr>
              <w:t>表4.3-1  项目环保投资一览表 单位：万元</w:t>
            </w:r>
          </w:p>
          <w:tbl>
            <w:tblPr>
              <w:tblStyle w:val="16"/>
              <w:tblW w:w="88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581"/>
              <w:gridCol w:w="688"/>
              <w:gridCol w:w="1388"/>
              <w:gridCol w:w="2704"/>
              <w:gridCol w:w="720"/>
              <w:gridCol w:w="147"/>
              <w:gridCol w:w="582"/>
              <w:gridCol w:w="803"/>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vMerge w:val="restart"/>
                  <w:vAlign w:val="center"/>
                </w:tcPr>
                <w:p>
                  <w:pPr>
                    <w:pStyle w:val="28"/>
                    <w:spacing w:line="360" w:lineRule="exact"/>
                    <w:rPr>
                      <w:color w:val="auto"/>
                      <w:szCs w:val="21"/>
                    </w:rPr>
                  </w:pPr>
                  <w:r>
                    <w:rPr>
                      <w:color w:val="auto"/>
                      <w:szCs w:val="21"/>
                    </w:rPr>
                    <w:t>时期</w:t>
                  </w:r>
                </w:p>
              </w:tc>
              <w:tc>
                <w:tcPr>
                  <w:tcW w:w="1269" w:type="dxa"/>
                  <w:gridSpan w:val="2"/>
                  <w:vMerge w:val="restart"/>
                  <w:vAlign w:val="center"/>
                </w:tcPr>
                <w:p>
                  <w:pPr>
                    <w:pStyle w:val="28"/>
                    <w:spacing w:line="360" w:lineRule="exact"/>
                    <w:rPr>
                      <w:color w:val="auto"/>
                      <w:szCs w:val="21"/>
                    </w:rPr>
                  </w:pPr>
                  <w:r>
                    <w:rPr>
                      <w:color w:val="auto"/>
                      <w:szCs w:val="21"/>
                    </w:rPr>
                    <w:t>类型</w:t>
                  </w:r>
                </w:p>
              </w:tc>
              <w:tc>
                <w:tcPr>
                  <w:tcW w:w="4092" w:type="dxa"/>
                  <w:gridSpan w:val="2"/>
                  <w:vAlign w:val="center"/>
                </w:tcPr>
                <w:p>
                  <w:pPr>
                    <w:pStyle w:val="28"/>
                    <w:spacing w:line="360" w:lineRule="exact"/>
                    <w:rPr>
                      <w:color w:val="auto"/>
                      <w:szCs w:val="21"/>
                    </w:rPr>
                  </w:pPr>
                  <w:r>
                    <w:rPr>
                      <w:color w:val="auto"/>
                      <w:szCs w:val="21"/>
                    </w:rPr>
                    <w:t>环保措施</w:t>
                  </w:r>
                </w:p>
              </w:tc>
              <w:tc>
                <w:tcPr>
                  <w:tcW w:w="1449" w:type="dxa"/>
                  <w:gridSpan w:val="3"/>
                  <w:vAlign w:val="center"/>
                </w:tcPr>
                <w:p>
                  <w:pPr>
                    <w:pStyle w:val="28"/>
                    <w:spacing w:line="360" w:lineRule="exact"/>
                    <w:rPr>
                      <w:color w:val="auto"/>
                      <w:szCs w:val="21"/>
                    </w:rPr>
                  </w:pPr>
                  <w:r>
                    <w:rPr>
                      <w:color w:val="auto"/>
                      <w:szCs w:val="21"/>
                    </w:rPr>
                    <w:t>建设期资金投入（万元）</w:t>
                  </w:r>
                </w:p>
              </w:tc>
              <w:tc>
                <w:tcPr>
                  <w:tcW w:w="1528" w:type="dxa"/>
                  <w:gridSpan w:val="2"/>
                  <w:vAlign w:val="center"/>
                </w:tcPr>
                <w:p>
                  <w:pPr>
                    <w:pStyle w:val="28"/>
                    <w:spacing w:line="360" w:lineRule="exact"/>
                    <w:rPr>
                      <w:color w:val="auto"/>
                      <w:szCs w:val="21"/>
                    </w:rPr>
                  </w:pPr>
                  <w:r>
                    <w:rPr>
                      <w:color w:val="auto"/>
                      <w:szCs w:val="21"/>
                    </w:rPr>
                    <w:t>运行期资金投入（万元/a）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vMerge w:val="continue"/>
                  <w:vAlign w:val="center"/>
                </w:tcPr>
                <w:p>
                  <w:pPr>
                    <w:pStyle w:val="28"/>
                    <w:spacing w:line="360" w:lineRule="exact"/>
                    <w:rPr>
                      <w:color w:val="auto"/>
                      <w:szCs w:val="21"/>
                    </w:rPr>
                  </w:pPr>
                </w:p>
              </w:tc>
              <w:tc>
                <w:tcPr>
                  <w:tcW w:w="1269" w:type="dxa"/>
                  <w:gridSpan w:val="2"/>
                  <w:vMerge w:val="continue"/>
                  <w:vAlign w:val="center"/>
                </w:tcPr>
                <w:p>
                  <w:pPr>
                    <w:pStyle w:val="28"/>
                    <w:spacing w:line="360" w:lineRule="exact"/>
                    <w:rPr>
                      <w:color w:val="auto"/>
                      <w:szCs w:val="21"/>
                    </w:rPr>
                  </w:pPr>
                </w:p>
              </w:tc>
              <w:tc>
                <w:tcPr>
                  <w:tcW w:w="1388" w:type="dxa"/>
                  <w:vAlign w:val="center"/>
                </w:tcPr>
                <w:p>
                  <w:pPr>
                    <w:pStyle w:val="28"/>
                    <w:spacing w:line="360" w:lineRule="exact"/>
                    <w:rPr>
                      <w:color w:val="auto"/>
                      <w:szCs w:val="21"/>
                    </w:rPr>
                  </w:pPr>
                  <w:r>
                    <w:rPr>
                      <w:color w:val="auto"/>
                      <w:szCs w:val="21"/>
                    </w:rPr>
                    <w:t>环保项目</w:t>
                  </w:r>
                </w:p>
              </w:tc>
              <w:tc>
                <w:tcPr>
                  <w:tcW w:w="2704" w:type="dxa"/>
                  <w:vAlign w:val="center"/>
                </w:tcPr>
                <w:p>
                  <w:pPr>
                    <w:pStyle w:val="28"/>
                    <w:spacing w:line="360" w:lineRule="exact"/>
                    <w:rPr>
                      <w:color w:val="auto"/>
                      <w:szCs w:val="21"/>
                    </w:rPr>
                  </w:pPr>
                  <w:r>
                    <w:rPr>
                      <w:color w:val="auto"/>
                      <w:szCs w:val="21"/>
                    </w:rPr>
                    <w:t>数量</w:t>
                  </w:r>
                </w:p>
              </w:tc>
              <w:tc>
                <w:tcPr>
                  <w:tcW w:w="720" w:type="dxa"/>
                  <w:vAlign w:val="center"/>
                </w:tcPr>
                <w:p>
                  <w:pPr>
                    <w:pStyle w:val="28"/>
                    <w:spacing w:line="360" w:lineRule="exact"/>
                    <w:rPr>
                      <w:color w:val="auto"/>
                      <w:szCs w:val="21"/>
                    </w:rPr>
                  </w:pPr>
                  <w:r>
                    <w:rPr>
                      <w:color w:val="auto"/>
                      <w:szCs w:val="21"/>
                    </w:rPr>
                    <w:t>建设费用</w:t>
                  </w:r>
                </w:p>
              </w:tc>
              <w:tc>
                <w:tcPr>
                  <w:tcW w:w="729" w:type="dxa"/>
                  <w:gridSpan w:val="2"/>
                  <w:vAlign w:val="center"/>
                </w:tcPr>
                <w:p>
                  <w:pPr>
                    <w:pStyle w:val="28"/>
                    <w:spacing w:line="360" w:lineRule="exact"/>
                    <w:rPr>
                      <w:color w:val="auto"/>
                      <w:szCs w:val="21"/>
                    </w:rPr>
                  </w:pPr>
                  <w:r>
                    <w:rPr>
                      <w:color w:val="auto"/>
                      <w:szCs w:val="21"/>
                    </w:rPr>
                    <w:t>责任主体</w:t>
                  </w:r>
                </w:p>
              </w:tc>
              <w:tc>
                <w:tcPr>
                  <w:tcW w:w="803" w:type="dxa"/>
                  <w:vAlign w:val="center"/>
                </w:tcPr>
                <w:p>
                  <w:pPr>
                    <w:pStyle w:val="28"/>
                    <w:spacing w:line="360" w:lineRule="exact"/>
                    <w:rPr>
                      <w:color w:val="auto"/>
                      <w:szCs w:val="21"/>
                    </w:rPr>
                  </w:pPr>
                  <w:r>
                    <w:rPr>
                      <w:color w:val="auto"/>
                      <w:szCs w:val="21"/>
                    </w:rPr>
                    <w:t>运行维护费用</w:t>
                  </w:r>
                </w:p>
              </w:tc>
              <w:tc>
                <w:tcPr>
                  <w:tcW w:w="725" w:type="dxa"/>
                  <w:vAlign w:val="center"/>
                </w:tcPr>
                <w:p>
                  <w:pPr>
                    <w:pStyle w:val="28"/>
                    <w:spacing w:line="360" w:lineRule="exact"/>
                    <w:rPr>
                      <w:color w:val="auto"/>
                      <w:szCs w:val="21"/>
                    </w:rPr>
                  </w:pPr>
                  <w:r>
                    <w:rPr>
                      <w:color w:val="auto"/>
                      <w:szCs w:val="21"/>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vMerge w:val="restart"/>
                  <w:vAlign w:val="center"/>
                </w:tcPr>
                <w:p>
                  <w:pPr>
                    <w:pStyle w:val="28"/>
                    <w:spacing w:line="360" w:lineRule="exact"/>
                    <w:rPr>
                      <w:color w:val="auto"/>
                      <w:szCs w:val="21"/>
                    </w:rPr>
                  </w:pPr>
                  <w:r>
                    <w:rPr>
                      <w:color w:val="auto"/>
                      <w:szCs w:val="21"/>
                    </w:rPr>
                    <w:t>运营期污染源</w:t>
                  </w:r>
                </w:p>
              </w:tc>
              <w:tc>
                <w:tcPr>
                  <w:tcW w:w="581" w:type="dxa"/>
                  <w:vAlign w:val="center"/>
                </w:tcPr>
                <w:p>
                  <w:pPr>
                    <w:pStyle w:val="28"/>
                    <w:spacing w:line="360" w:lineRule="exact"/>
                    <w:rPr>
                      <w:color w:val="auto"/>
                      <w:szCs w:val="21"/>
                    </w:rPr>
                  </w:pPr>
                  <w:r>
                    <w:rPr>
                      <w:color w:val="auto"/>
                      <w:szCs w:val="21"/>
                    </w:rPr>
                    <w:t>废气</w:t>
                  </w:r>
                </w:p>
              </w:tc>
              <w:tc>
                <w:tcPr>
                  <w:tcW w:w="688" w:type="dxa"/>
                  <w:vAlign w:val="center"/>
                </w:tcPr>
                <w:p>
                  <w:pPr>
                    <w:pStyle w:val="28"/>
                    <w:spacing w:line="360" w:lineRule="exact"/>
                    <w:rPr>
                      <w:rFonts w:eastAsiaTheme="minorEastAsia"/>
                      <w:color w:val="auto"/>
                      <w:szCs w:val="21"/>
                    </w:rPr>
                  </w:pPr>
                  <w:r>
                    <w:rPr>
                      <w:rFonts w:eastAsiaTheme="minorEastAsia"/>
                      <w:color w:val="auto"/>
                      <w:szCs w:val="21"/>
                    </w:rPr>
                    <w:t>扬尘</w:t>
                  </w:r>
                </w:p>
              </w:tc>
              <w:tc>
                <w:tcPr>
                  <w:tcW w:w="1388" w:type="dxa"/>
                  <w:vAlign w:val="center"/>
                </w:tcPr>
                <w:p>
                  <w:pPr>
                    <w:pStyle w:val="28"/>
                    <w:spacing w:line="360" w:lineRule="exact"/>
                    <w:rPr>
                      <w:rFonts w:eastAsiaTheme="minorEastAsia"/>
                      <w:color w:val="auto"/>
                      <w:szCs w:val="21"/>
                    </w:rPr>
                  </w:pPr>
                  <w:r>
                    <w:rPr>
                      <w:rFonts w:eastAsiaTheme="minorEastAsia"/>
                      <w:color w:val="auto"/>
                      <w:szCs w:val="21"/>
                    </w:rPr>
                    <w:t>产品库全封闭</w:t>
                  </w:r>
                </w:p>
              </w:tc>
              <w:tc>
                <w:tcPr>
                  <w:tcW w:w="2704" w:type="dxa"/>
                  <w:vAlign w:val="center"/>
                </w:tcPr>
                <w:p>
                  <w:pPr>
                    <w:pStyle w:val="28"/>
                    <w:spacing w:line="360" w:lineRule="exact"/>
                    <w:ind w:firstLine="210" w:firstLineChars="100"/>
                    <w:jc w:val="left"/>
                    <w:rPr>
                      <w:color w:val="auto"/>
                      <w:szCs w:val="21"/>
                    </w:rPr>
                  </w:pPr>
                  <w:r>
                    <w:rPr>
                      <w:color w:val="auto"/>
                      <w:szCs w:val="21"/>
                    </w:rPr>
                    <w:t>项目拟将产品库设置为车间式全封闭库房。</w:t>
                  </w:r>
                </w:p>
              </w:tc>
              <w:tc>
                <w:tcPr>
                  <w:tcW w:w="720" w:type="dxa"/>
                  <w:vAlign w:val="center"/>
                </w:tcPr>
                <w:p>
                  <w:pPr>
                    <w:pStyle w:val="28"/>
                    <w:spacing w:line="360" w:lineRule="exact"/>
                    <w:rPr>
                      <w:color w:val="auto"/>
                      <w:szCs w:val="21"/>
                    </w:rPr>
                  </w:pPr>
                  <w:r>
                    <w:rPr>
                      <w:color w:val="auto"/>
                      <w:szCs w:val="21"/>
                    </w:rPr>
                    <w:t>60</w:t>
                  </w:r>
                </w:p>
              </w:tc>
              <w:tc>
                <w:tcPr>
                  <w:tcW w:w="729" w:type="dxa"/>
                  <w:gridSpan w:val="2"/>
                  <w:vMerge w:val="restart"/>
                  <w:vAlign w:val="center"/>
                </w:tcPr>
                <w:p>
                  <w:pPr>
                    <w:pStyle w:val="28"/>
                    <w:spacing w:line="360" w:lineRule="exact"/>
                    <w:rPr>
                      <w:color w:val="auto"/>
                      <w:szCs w:val="21"/>
                    </w:rPr>
                  </w:pPr>
                  <w:r>
                    <w:rPr>
                      <w:color w:val="auto"/>
                      <w:szCs w:val="21"/>
                    </w:rPr>
                    <w:t>施工单位</w:t>
                  </w:r>
                </w:p>
              </w:tc>
              <w:tc>
                <w:tcPr>
                  <w:tcW w:w="803" w:type="dxa"/>
                  <w:vAlign w:val="center"/>
                </w:tcPr>
                <w:p>
                  <w:pPr>
                    <w:pStyle w:val="28"/>
                    <w:spacing w:line="360" w:lineRule="exact"/>
                    <w:rPr>
                      <w:color w:val="auto"/>
                      <w:szCs w:val="21"/>
                    </w:rPr>
                  </w:pPr>
                  <w:r>
                    <w:rPr>
                      <w:color w:val="auto"/>
                      <w:szCs w:val="21"/>
                    </w:rPr>
                    <w:t>2</w:t>
                  </w:r>
                </w:p>
              </w:tc>
              <w:tc>
                <w:tcPr>
                  <w:tcW w:w="725" w:type="dxa"/>
                  <w:vMerge w:val="restart"/>
                  <w:vAlign w:val="center"/>
                </w:tcPr>
                <w:p>
                  <w:pPr>
                    <w:pStyle w:val="28"/>
                    <w:spacing w:line="360" w:lineRule="exact"/>
                    <w:rPr>
                      <w:color w:val="auto"/>
                      <w:szCs w:val="21"/>
                    </w:rPr>
                  </w:pPr>
                  <w:r>
                    <w:rPr>
                      <w:color w:val="auto"/>
                      <w:szCs w:val="21"/>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vMerge w:val="continue"/>
                  <w:vAlign w:val="center"/>
                </w:tcPr>
                <w:p>
                  <w:pPr>
                    <w:pStyle w:val="28"/>
                    <w:spacing w:line="360" w:lineRule="exact"/>
                    <w:rPr>
                      <w:color w:val="auto"/>
                      <w:szCs w:val="21"/>
                    </w:rPr>
                  </w:pPr>
                </w:p>
              </w:tc>
              <w:tc>
                <w:tcPr>
                  <w:tcW w:w="581" w:type="dxa"/>
                  <w:vMerge w:val="restart"/>
                  <w:vAlign w:val="center"/>
                </w:tcPr>
                <w:p>
                  <w:pPr>
                    <w:pStyle w:val="28"/>
                    <w:spacing w:line="360" w:lineRule="exact"/>
                    <w:rPr>
                      <w:color w:val="auto"/>
                      <w:szCs w:val="21"/>
                    </w:rPr>
                  </w:pPr>
                  <w:r>
                    <w:rPr>
                      <w:color w:val="auto"/>
                      <w:szCs w:val="21"/>
                    </w:rPr>
                    <w:t>废水</w:t>
                  </w:r>
                </w:p>
              </w:tc>
              <w:tc>
                <w:tcPr>
                  <w:tcW w:w="2076" w:type="dxa"/>
                  <w:gridSpan w:val="2"/>
                  <w:vAlign w:val="center"/>
                </w:tcPr>
                <w:p>
                  <w:pPr>
                    <w:pStyle w:val="28"/>
                    <w:spacing w:line="360" w:lineRule="exact"/>
                    <w:rPr>
                      <w:rFonts w:eastAsiaTheme="minorEastAsia"/>
                      <w:color w:val="auto"/>
                      <w:szCs w:val="21"/>
                    </w:rPr>
                  </w:pPr>
                  <w:r>
                    <w:rPr>
                      <w:rFonts w:eastAsiaTheme="minorEastAsia"/>
                      <w:color w:val="auto"/>
                      <w:szCs w:val="21"/>
                    </w:rPr>
                    <w:t>雨污分流</w:t>
                  </w:r>
                </w:p>
              </w:tc>
              <w:tc>
                <w:tcPr>
                  <w:tcW w:w="2704" w:type="dxa"/>
                  <w:vAlign w:val="center"/>
                </w:tcPr>
                <w:p>
                  <w:pPr>
                    <w:pStyle w:val="28"/>
                    <w:spacing w:line="360" w:lineRule="exact"/>
                    <w:ind w:firstLine="210" w:firstLineChars="100"/>
                    <w:jc w:val="left"/>
                    <w:rPr>
                      <w:color w:val="auto"/>
                      <w:szCs w:val="21"/>
                    </w:rPr>
                  </w:pPr>
                  <w:r>
                    <w:rPr>
                      <w:color w:val="auto"/>
                      <w:szCs w:val="21"/>
                    </w:rPr>
                    <w:t>雨水管网</w:t>
                  </w:r>
                </w:p>
              </w:tc>
              <w:tc>
                <w:tcPr>
                  <w:tcW w:w="720" w:type="dxa"/>
                  <w:vAlign w:val="center"/>
                </w:tcPr>
                <w:p>
                  <w:pPr>
                    <w:pStyle w:val="28"/>
                    <w:spacing w:line="360" w:lineRule="exact"/>
                    <w:rPr>
                      <w:color w:val="auto"/>
                      <w:szCs w:val="21"/>
                    </w:rPr>
                  </w:pPr>
                  <w:r>
                    <w:rPr>
                      <w:color w:val="auto"/>
                      <w:szCs w:val="21"/>
                    </w:rPr>
                    <w:t>--</w:t>
                  </w:r>
                </w:p>
              </w:tc>
              <w:tc>
                <w:tcPr>
                  <w:tcW w:w="729" w:type="dxa"/>
                  <w:gridSpan w:val="2"/>
                  <w:vMerge w:val="continue"/>
                  <w:vAlign w:val="center"/>
                </w:tcPr>
                <w:p>
                  <w:pPr>
                    <w:pStyle w:val="28"/>
                    <w:spacing w:line="360" w:lineRule="exact"/>
                    <w:rPr>
                      <w:color w:val="auto"/>
                      <w:szCs w:val="21"/>
                    </w:rPr>
                  </w:pPr>
                </w:p>
              </w:tc>
              <w:tc>
                <w:tcPr>
                  <w:tcW w:w="803" w:type="dxa"/>
                  <w:vAlign w:val="center"/>
                </w:tcPr>
                <w:p>
                  <w:pPr>
                    <w:pStyle w:val="28"/>
                    <w:spacing w:line="360" w:lineRule="exact"/>
                    <w:rPr>
                      <w:color w:val="auto"/>
                      <w:szCs w:val="21"/>
                    </w:rPr>
                  </w:pPr>
                  <w:r>
                    <w:rPr>
                      <w:color w:val="auto"/>
                      <w:szCs w:val="21"/>
                    </w:rPr>
                    <w:t>--</w:t>
                  </w:r>
                </w:p>
              </w:tc>
              <w:tc>
                <w:tcPr>
                  <w:tcW w:w="725" w:type="dxa"/>
                  <w:vMerge w:val="continue"/>
                  <w:vAlign w:val="center"/>
                </w:tcPr>
                <w:p>
                  <w:pPr>
                    <w:pStyle w:val="2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vMerge w:val="continue"/>
                  <w:vAlign w:val="center"/>
                </w:tcPr>
                <w:p>
                  <w:pPr>
                    <w:pStyle w:val="28"/>
                    <w:spacing w:line="360" w:lineRule="exact"/>
                    <w:rPr>
                      <w:color w:val="auto"/>
                      <w:szCs w:val="21"/>
                    </w:rPr>
                  </w:pPr>
                </w:p>
              </w:tc>
              <w:tc>
                <w:tcPr>
                  <w:tcW w:w="581" w:type="dxa"/>
                  <w:vMerge w:val="continue"/>
                  <w:vAlign w:val="center"/>
                </w:tcPr>
                <w:p>
                  <w:pPr>
                    <w:pStyle w:val="28"/>
                    <w:spacing w:line="360" w:lineRule="exact"/>
                    <w:rPr>
                      <w:color w:val="auto"/>
                      <w:szCs w:val="21"/>
                    </w:rPr>
                  </w:pPr>
                </w:p>
              </w:tc>
              <w:tc>
                <w:tcPr>
                  <w:tcW w:w="688" w:type="dxa"/>
                  <w:vMerge w:val="restart"/>
                  <w:vAlign w:val="center"/>
                </w:tcPr>
                <w:p>
                  <w:pPr>
                    <w:pStyle w:val="28"/>
                    <w:spacing w:line="360" w:lineRule="exact"/>
                    <w:rPr>
                      <w:color w:val="auto"/>
                      <w:szCs w:val="21"/>
                    </w:rPr>
                  </w:pPr>
                  <w:r>
                    <w:rPr>
                      <w:color w:val="auto"/>
                      <w:szCs w:val="21"/>
                    </w:rPr>
                    <w:t>生产废水</w:t>
                  </w:r>
                </w:p>
              </w:tc>
              <w:tc>
                <w:tcPr>
                  <w:tcW w:w="1388" w:type="dxa"/>
                  <w:vAlign w:val="center"/>
                </w:tcPr>
                <w:p>
                  <w:pPr>
                    <w:pStyle w:val="28"/>
                    <w:spacing w:line="360" w:lineRule="exact"/>
                    <w:rPr>
                      <w:color w:val="auto"/>
                      <w:szCs w:val="21"/>
                    </w:rPr>
                  </w:pPr>
                  <w:r>
                    <w:rPr>
                      <w:color w:val="auto"/>
                      <w:szCs w:val="21"/>
                    </w:rPr>
                    <w:t>生产废水收集池</w:t>
                  </w:r>
                </w:p>
              </w:tc>
              <w:tc>
                <w:tcPr>
                  <w:tcW w:w="2704" w:type="dxa"/>
                  <w:vAlign w:val="center"/>
                </w:tcPr>
                <w:p>
                  <w:pPr>
                    <w:pStyle w:val="28"/>
                    <w:spacing w:line="360" w:lineRule="exact"/>
                    <w:ind w:firstLine="210" w:firstLineChars="100"/>
                    <w:jc w:val="left"/>
                    <w:rPr>
                      <w:color w:val="auto"/>
                      <w:szCs w:val="21"/>
                    </w:rPr>
                  </w:pPr>
                  <w:r>
                    <w:rPr>
                      <w:color w:val="auto"/>
                      <w:szCs w:val="21"/>
                    </w:rPr>
                    <w:t>2个，</w:t>
                  </w:r>
                  <w:r>
                    <w:rPr>
                      <w:color w:val="auto"/>
                      <w:szCs w:val="21"/>
                      <w:lang w:val="en-US"/>
                    </w:rPr>
                    <w:t>200</w:t>
                  </w:r>
                  <w:r>
                    <w:rPr>
                      <w:color w:val="auto"/>
                      <w:szCs w:val="21"/>
                    </w:rPr>
                    <w:t>m³/个</w:t>
                  </w:r>
                </w:p>
              </w:tc>
              <w:tc>
                <w:tcPr>
                  <w:tcW w:w="720" w:type="dxa"/>
                  <w:vAlign w:val="center"/>
                </w:tcPr>
                <w:p>
                  <w:pPr>
                    <w:pStyle w:val="28"/>
                    <w:spacing w:line="360" w:lineRule="exact"/>
                    <w:rPr>
                      <w:color w:val="auto"/>
                      <w:szCs w:val="21"/>
                      <w:lang w:val="en-US"/>
                    </w:rPr>
                  </w:pPr>
                  <w:r>
                    <w:rPr>
                      <w:color w:val="auto"/>
                      <w:szCs w:val="21"/>
                      <w:lang w:val="en-US"/>
                    </w:rPr>
                    <w:t>20</w:t>
                  </w:r>
                </w:p>
              </w:tc>
              <w:tc>
                <w:tcPr>
                  <w:tcW w:w="729" w:type="dxa"/>
                  <w:gridSpan w:val="2"/>
                  <w:vMerge w:val="continue"/>
                  <w:vAlign w:val="center"/>
                </w:tcPr>
                <w:p>
                  <w:pPr>
                    <w:pStyle w:val="28"/>
                    <w:spacing w:line="360" w:lineRule="exact"/>
                    <w:rPr>
                      <w:color w:val="auto"/>
                      <w:szCs w:val="21"/>
                    </w:rPr>
                  </w:pPr>
                </w:p>
              </w:tc>
              <w:tc>
                <w:tcPr>
                  <w:tcW w:w="803" w:type="dxa"/>
                  <w:vAlign w:val="center"/>
                </w:tcPr>
                <w:p>
                  <w:pPr>
                    <w:pStyle w:val="28"/>
                    <w:spacing w:line="360" w:lineRule="exact"/>
                    <w:rPr>
                      <w:color w:val="auto"/>
                      <w:szCs w:val="21"/>
                    </w:rPr>
                  </w:pPr>
                  <w:r>
                    <w:rPr>
                      <w:color w:val="auto"/>
                      <w:szCs w:val="21"/>
                    </w:rPr>
                    <w:t>1</w:t>
                  </w:r>
                </w:p>
              </w:tc>
              <w:tc>
                <w:tcPr>
                  <w:tcW w:w="725" w:type="dxa"/>
                  <w:vMerge w:val="continue"/>
                  <w:vAlign w:val="center"/>
                </w:tcPr>
                <w:p>
                  <w:pPr>
                    <w:pStyle w:val="2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vMerge w:val="continue"/>
                  <w:vAlign w:val="center"/>
                </w:tcPr>
                <w:p>
                  <w:pPr>
                    <w:pStyle w:val="28"/>
                    <w:spacing w:line="360" w:lineRule="exact"/>
                    <w:rPr>
                      <w:color w:val="auto"/>
                      <w:szCs w:val="21"/>
                    </w:rPr>
                  </w:pPr>
                </w:p>
              </w:tc>
              <w:tc>
                <w:tcPr>
                  <w:tcW w:w="581" w:type="dxa"/>
                  <w:vMerge w:val="continue"/>
                  <w:vAlign w:val="center"/>
                </w:tcPr>
                <w:p>
                  <w:pPr>
                    <w:pStyle w:val="28"/>
                    <w:spacing w:line="360" w:lineRule="exact"/>
                    <w:rPr>
                      <w:color w:val="auto"/>
                      <w:szCs w:val="21"/>
                    </w:rPr>
                  </w:pPr>
                </w:p>
              </w:tc>
              <w:tc>
                <w:tcPr>
                  <w:tcW w:w="688" w:type="dxa"/>
                  <w:vMerge w:val="continue"/>
                  <w:vAlign w:val="center"/>
                </w:tcPr>
                <w:p>
                  <w:pPr>
                    <w:pStyle w:val="28"/>
                    <w:spacing w:line="360" w:lineRule="exact"/>
                    <w:rPr>
                      <w:color w:val="auto"/>
                      <w:szCs w:val="21"/>
                    </w:rPr>
                  </w:pPr>
                </w:p>
              </w:tc>
              <w:tc>
                <w:tcPr>
                  <w:tcW w:w="1388" w:type="dxa"/>
                  <w:vAlign w:val="center"/>
                </w:tcPr>
                <w:p>
                  <w:pPr>
                    <w:pStyle w:val="28"/>
                    <w:spacing w:line="360" w:lineRule="exact"/>
                    <w:rPr>
                      <w:color w:val="auto"/>
                      <w:szCs w:val="21"/>
                    </w:rPr>
                  </w:pPr>
                  <w:r>
                    <w:rPr>
                      <w:color w:val="auto"/>
                      <w:szCs w:val="21"/>
                    </w:rPr>
                    <w:t>污水处理塔</w:t>
                  </w:r>
                </w:p>
              </w:tc>
              <w:tc>
                <w:tcPr>
                  <w:tcW w:w="2704" w:type="dxa"/>
                  <w:vAlign w:val="center"/>
                </w:tcPr>
                <w:p>
                  <w:pPr>
                    <w:pStyle w:val="28"/>
                    <w:spacing w:line="360" w:lineRule="exact"/>
                    <w:ind w:firstLine="210" w:firstLineChars="100"/>
                    <w:jc w:val="left"/>
                    <w:rPr>
                      <w:color w:val="auto"/>
                      <w:szCs w:val="21"/>
                    </w:rPr>
                  </w:pPr>
                  <w:r>
                    <w:rPr>
                      <w:color w:val="auto"/>
                      <w:szCs w:val="21"/>
                    </w:rPr>
                    <w:t>2个，100m³/个</w:t>
                  </w:r>
                </w:p>
              </w:tc>
              <w:tc>
                <w:tcPr>
                  <w:tcW w:w="720" w:type="dxa"/>
                  <w:vAlign w:val="center"/>
                </w:tcPr>
                <w:p>
                  <w:pPr>
                    <w:pStyle w:val="28"/>
                    <w:spacing w:line="360" w:lineRule="exact"/>
                    <w:rPr>
                      <w:color w:val="auto"/>
                      <w:szCs w:val="21"/>
                      <w:lang w:val="en-US"/>
                    </w:rPr>
                  </w:pPr>
                  <w:r>
                    <w:rPr>
                      <w:color w:val="auto"/>
                      <w:szCs w:val="21"/>
                      <w:lang w:val="en-US"/>
                    </w:rPr>
                    <w:t>10</w:t>
                  </w:r>
                </w:p>
              </w:tc>
              <w:tc>
                <w:tcPr>
                  <w:tcW w:w="729" w:type="dxa"/>
                  <w:gridSpan w:val="2"/>
                  <w:vMerge w:val="continue"/>
                  <w:vAlign w:val="center"/>
                </w:tcPr>
                <w:p>
                  <w:pPr>
                    <w:pStyle w:val="28"/>
                    <w:spacing w:line="360" w:lineRule="exact"/>
                    <w:rPr>
                      <w:color w:val="auto"/>
                      <w:szCs w:val="21"/>
                    </w:rPr>
                  </w:pPr>
                </w:p>
              </w:tc>
              <w:tc>
                <w:tcPr>
                  <w:tcW w:w="803" w:type="dxa"/>
                  <w:vAlign w:val="center"/>
                </w:tcPr>
                <w:p>
                  <w:pPr>
                    <w:pStyle w:val="28"/>
                    <w:spacing w:line="360" w:lineRule="exact"/>
                    <w:rPr>
                      <w:color w:val="auto"/>
                      <w:szCs w:val="21"/>
                    </w:rPr>
                  </w:pPr>
                  <w:r>
                    <w:rPr>
                      <w:color w:val="auto"/>
                      <w:szCs w:val="21"/>
                    </w:rPr>
                    <w:t>2</w:t>
                  </w:r>
                </w:p>
              </w:tc>
              <w:tc>
                <w:tcPr>
                  <w:tcW w:w="725" w:type="dxa"/>
                  <w:vMerge w:val="continue"/>
                  <w:vAlign w:val="center"/>
                </w:tcPr>
                <w:p>
                  <w:pPr>
                    <w:pStyle w:val="2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vMerge w:val="continue"/>
                  <w:vAlign w:val="center"/>
                </w:tcPr>
                <w:p>
                  <w:pPr>
                    <w:pStyle w:val="28"/>
                    <w:spacing w:line="360" w:lineRule="exact"/>
                    <w:rPr>
                      <w:color w:val="auto"/>
                      <w:szCs w:val="21"/>
                    </w:rPr>
                  </w:pPr>
                </w:p>
              </w:tc>
              <w:tc>
                <w:tcPr>
                  <w:tcW w:w="581" w:type="dxa"/>
                  <w:vMerge w:val="continue"/>
                  <w:vAlign w:val="center"/>
                </w:tcPr>
                <w:p>
                  <w:pPr>
                    <w:pStyle w:val="28"/>
                    <w:spacing w:line="360" w:lineRule="exact"/>
                    <w:rPr>
                      <w:color w:val="auto"/>
                      <w:szCs w:val="21"/>
                    </w:rPr>
                  </w:pPr>
                </w:p>
              </w:tc>
              <w:tc>
                <w:tcPr>
                  <w:tcW w:w="688" w:type="dxa"/>
                  <w:vMerge w:val="continue"/>
                  <w:vAlign w:val="center"/>
                </w:tcPr>
                <w:p>
                  <w:pPr>
                    <w:pStyle w:val="28"/>
                    <w:spacing w:line="360" w:lineRule="exact"/>
                    <w:rPr>
                      <w:color w:val="auto"/>
                      <w:szCs w:val="21"/>
                    </w:rPr>
                  </w:pPr>
                </w:p>
              </w:tc>
              <w:tc>
                <w:tcPr>
                  <w:tcW w:w="1388" w:type="dxa"/>
                  <w:vAlign w:val="center"/>
                </w:tcPr>
                <w:p>
                  <w:pPr>
                    <w:pStyle w:val="28"/>
                    <w:spacing w:line="360" w:lineRule="exact"/>
                    <w:rPr>
                      <w:color w:val="auto"/>
                      <w:szCs w:val="21"/>
                    </w:rPr>
                  </w:pPr>
                  <w:r>
                    <w:rPr>
                      <w:color w:val="auto"/>
                      <w:szCs w:val="21"/>
                    </w:rPr>
                    <w:t>清水池</w:t>
                  </w:r>
                </w:p>
              </w:tc>
              <w:tc>
                <w:tcPr>
                  <w:tcW w:w="2704" w:type="dxa"/>
                  <w:vAlign w:val="center"/>
                </w:tcPr>
                <w:p>
                  <w:pPr>
                    <w:pStyle w:val="28"/>
                    <w:spacing w:line="360" w:lineRule="exact"/>
                    <w:ind w:firstLine="210" w:firstLineChars="100"/>
                    <w:jc w:val="left"/>
                    <w:rPr>
                      <w:color w:val="auto"/>
                      <w:szCs w:val="21"/>
                    </w:rPr>
                  </w:pPr>
                  <w:r>
                    <w:rPr>
                      <w:color w:val="auto"/>
                      <w:szCs w:val="21"/>
                    </w:rPr>
                    <w:t>1个，</w:t>
                  </w:r>
                  <w:r>
                    <w:rPr>
                      <w:color w:val="auto"/>
                      <w:szCs w:val="21"/>
                      <w:lang w:val="en-US"/>
                    </w:rPr>
                    <w:t>300</w:t>
                  </w:r>
                  <w:r>
                    <w:rPr>
                      <w:color w:val="auto"/>
                      <w:szCs w:val="21"/>
                    </w:rPr>
                    <w:t>m³</w:t>
                  </w:r>
                </w:p>
              </w:tc>
              <w:tc>
                <w:tcPr>
                  <w:tcW w:w="720" w:type="dxa"/>
                  <w:vAlign w:val="center"/>
                </w:tcPr>
                <w:p>
                  <w:pPr>
                    <w:pStyle w:val="28"/>
                    <w:spacing w:line="360" w:lineRule="exact"/>
                    <w:rPr>
                      <w:color w:val="auto"/>
                      <w:szCs w:val="21"/>
                      <w:lang w:val="en-US"/>
                    </w:rPr>
                  </w:pPr>
                  <w:r>
                    <w:rPr>
                      <w:color w:val="auto"/>
                      <w:szCs w:val="21"/>
                      <w:lang w:val="en-US"/>
                    </w:rPr>
                    <w:t>12</w:t>
                  </w:r>
                </w:p>
              </w:tc>
              <w:tc>
                <w:tcPr>
                  <w:tcW w:w="729" w:type="dxa"/>
                  <w:gridSpan w:val="2"/>
                  <w:vMerge w:val="continue"/>
                  <w:vAlign w:val="center"/>
                </w:tcPr>
                <w:p>
                  <w:pPr>
                    <w:pStyle w:val="28"/>
                    <w:spacing w:line="360" w:lineRule="exact"/>
                    <w:rPr>
                      <w:color w:val="auto"/>
                      <w:szCs w:val="21"/>
                    </w:rPr>
                  </w:pPr>
                </w:p>
              </w:tc>
              <w:tc>
                <w:tcPr>
                  <w:tcW w:w="803" w:type="dxa"/>
                  <w:vAlign w:val="center"/>
                </w:tcPr>
                <w:p>
                  <w:pPr>
                    <w:pStyle w:val="28"/>
                    <w:spacing w:line="360" w:lineRule="exact"/>
                    <w:rPr>
                      <w:color w:val="auto"/>
                      <w:szCs w:val="21"/>
                    </w:rPr>
                  </w:pPr>
                  <w:r>
                    <w:rPr>
                      <w:color w:val="auto"/>
                      <w:szCs w:val="21"/>
                    </w:rPr>
                    <w:t>1</w:t>
                  </w:r>
                </w:p>
              </w:tc>
              <w:tc>
                <w:tcPr>
                  <w:tcW w:w="725" w:type="dxa"/>
                  <w:vMerge w:val="continue"/>
                  <w:vAlign w:val="center"/>
                </w:tcPr>
                <w:p>
                  <w:pPr>
                    <w:pStyle w:val="2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vMerge w:val="continue"/>
                  <w:vAlign w:val="center"/>
                </w:tcPr>
                <w:p>
                  <w:pPr>
                    <w:pStyle w:val="28"/>
                    <w:spacing w:line="360" w:lineRule="exact"/>
                    <w:rPr>
                      <w:color w:val="auto"/>
                      <w:szCs w:val="21"/>
                    </w:rPr>
                  </w:pPr>
                </w:p>
              </w:tc>
              <w:tc>
                <w:tcPr>
                  <w:tcW w:w="581" w:type="dxa"/>
                  <w:vMerge w:val="continue"/>
                  <w:vAlign w:val="center"/>
                </w:tcPr>
                <w:p>
                  <w:pPr>
                    <w:pStyle w:val="28"/>
                    <w:spacing w:line="360" w:lineRule="exact"/>
                    <w:rPr>
                      <w:color w:val="auto"/>
                      <w:szCs w:val="21"/>
                    </w:rPr>
                  </w:pPr>
                </w:p>
              </w:tc>
              <w:tc>
                <w:tcPr>
                  <w:tcW w:w="688" w:type="dxa"/>
                  <w:vMerge w:val="continue"/>
                  <w:vAlign w:val="center"/>
                </w:tcPr>
                <w:p>
                  <w:pPr>
                    <w:pStyle w:val="28"/>
                    <w:spacing w:line="360" w:lineRule="exact"/>
                    <w:rPr>
                      <w:color w:val="auto"/>
                      <w:szCs w:val="21"/>
                    </w:rPr>
                  </w:pPr>
                </w:p>
              </w:tc>
              <w:tc>
                <w:tcPr>
                  <w:tcW w:w="1388" w:type="dxa"/>
                  <w:vAlign w:val="center"/>
                </w:tcPr>
                <w:p>
                  <w:pPr>
                    <w:pStyle w:val="28"/>
                    <w:spacing w:line="360" w:lineRule="exact"/>
                    <w:rPr>
                      <w:color w:val="auto"/>
                      <w:szCs w:val="21"/>
                      <w:lang w:val="en-US"/>
                    </w:rPr>
                  </w:pPr>
                  <w:r>
                    <w:rPr>
                      <w:color w:val="auto"/>
                      <w:szCs w:val="21"/>
                      <w:lang w:val="en-US"/>
                    </w:rPr>
                    <w:t>泥浆回收池</w:t>
                  </w:r>
                </w:p>
              </w:tc>
              <w:tc>
                <w:tcPr>
                  <w:tcW w:w="2704" w:type="dxa"/>
                  <w:vAlign w:val="center"/>
                </w:tcPr>
                <w:p>
                  <w:pPr>
                    <w:pStyle w:val="28"/>
                    <w:spacing w:line="360" w:lineRule="exact"/>
                    <w:ind w:firstLine="210" w:firstLineChars="100"/>
                    <w:jc w:val="left"/>
                    <w:rPr>
                      <w:color w:val="auto"/>
                      <w:szCs w:val="21"/>
                      <w:lang w:val="en-US"/>
                    </w:rPr>
                  </w:pPr>
                  <w:r>
                    <w:rPr>
                      <w:color w:val="auto"/>
                      <w:szCs w:val="21"/>
                      <w:lang w:val="en-US"/>
                    </w:rPr>
                    <w:t>2个，50</w:t>
                  </w:r>
                  <w:r>
                    <w:rPr>
                      <w:color w:val="auto"/>
                      <w:szCs w:val="21"/>
                    </w:rPr>
                    <w:t>m³/个</w:t>
                  </w:r>
                </w:p>
              </w:tc>
              <w:tc>
                <w:tcPr>
                  <w:tcW w:w="720" w:type="dxa"/>
                  <w:vAlign w:val="center"/>
                </w:tcPr>
                <w:p>
                  <w:pPr>
                    <w:pStyle w:val="28"/>
                    <w:spacing w:line="360" w:lineRule="exact"/>
                    <w:rPr>
                      <w:color w:val="auto"/>
                      <w:szCs w:val="21"/>
                      <w:lang w:val="en-US"/>
                    </w:rPr>
                  </w:pPr>
                  <w:r>
                    <w:rPr>
                      <w:color w:val="auto"/>
                      <w:szCs w:val="21"/>
                      <w:lang w:val="en-US"/>
                    </w:rPr>
                    <w:t>5</w:t>
                  </w:r>
                </w:p>
              </w:tc>
              <w:tc>
                <w:tcPr>
                  <w:tcW w:w="729" w:type="dxa"/>
                  <w:gridSpan w:val="2"/>
                  <w:vMerge w:val="continue"/>
                  <w:vAlign w:val="center"/>
                </w:tcPr>
                <w:p>
                  <w:pPr>
                    <w:pStyle w:val="28"/>
                    <w:spacing w:line="360" w:lineRule="exact"/>
                    <w:rPr>
                      <w:color w:val="auto"/>
                      <w:szCs w:val="21"/>
                    </w:rPr>
                  </w:pPr>
                </w:p>
              </w:tc>
              <w:tc>
                <w:tcPr>
                  <w:tcW w:w="803" w:type="dxa"/>
                  <w:vAlign w:val="center"/>
                </w:tcPr>
                <w:p>
                  <w:pPr>
                    <w:pStyle w:val="28"/>
                    <w:spacing w:line="360" w:lineRule="exact"/>
                    <w:rPr>
                      <w:color w:val="auto"/>
                      <w:szCs w:val="21"/>
                      <w:lang w:val="en-US"/>
                    </w:rPr>
                  </w:pPr>
                  <w:r>
                    <w:rPr>
                      <w:color w:val="auto"/>
                      <w:szCs w:val="21"/>
                      <w:lang w:val="en-US"/>
                    </w:rPr>
                    <w:t>1</w:t>
                  </w:r>
                </w:p>
              </w:tc>
              <w:tc>
                <w:tcPr>
                  <w:tcW w:w="725" w:type="dxa"/>
                  <w:vMerge w:val="continue"/>
                  <w:vAlign w:val="center"/>
                </w:tcPr>
                <w:p>
                  <w:pPr>
                    <w:pStyle w:val="2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vMerge w:val="continue"/>
                  <w:vAlign w:val="center"/>
                </w:tcPr>
                <w:p>
                  <w:pPr>
                    <w:pStyle w:val="28"/>
                    <w:spacing w:line="360" w:lineRule="exact"/>
                    <w:rPr>
                      <w:color w:val="auto"/>
                      <w:szCs w:val="21"/>
                    </w:rPr>
                  </w:pPr>
                </w:p>
              </w:tc>
              <w:tc>
                <w:tcPr>
                  <w:tcW w:w="581" w:type="dxa"/>
                  <w:vMerge w:val="continue"/>
                  <w:vAlign w:val="center"/>
                </w:tcPr>
                <w:p>
                  <w:pPr>
                    <w:pStyle w:val="28"/>
                    <w:spacing w:line="360" w:lineRule="exact"/>
                    <w:rPr>
                      <w:color w:val="auto"/>
                      <w:szCs w:val="21"/>
                    </w:rPr>
                  </w:pPr>
                </w:p>
              </w:tc>
              <w:tc>
                <w:tcPr>
                  <w:tcW w:w="688" w:type="dxa"/>
                  <w:vMerge w:val="continue"/>
                  <w:vAlign w:val="center"/>
                </w:tcPr>
                <w:p>
                  <w:pPr>
                    <w:pStyle w:val="28"/>
                    <w:spacing w:line="360" w:lineRule="exact"/>
                    <w:rPr>
                      <w:color w:val="auto"/>
                      <w:szCs w:val="21"/>
                    </w:rPr>
                  </w:pPr>
                </w:p>
              </w:tc>
              <w:tc>
                <w:tcPr>
                  <w:tcW w:w="1388" w:type="dxa"/>
                  <w:vAlign w:val="center"/>
                </w:tcPr>
                <w:p>
                  <w:pPr>
                    <w:pStyle w:val="28"/>
                    <w:spacing w:line="360" w:lineRule="exact"/>
                    <w:rPr>
                      <w:color w:val="auto"/>
                      <w:szCs w:val="21"/>
                    </w:rPr>
                  </w:pPr>
                  <w:r>
                    <w:rPr>
                      <w:color w:val="auto"/>
                      <w:szCs w:val="21"/>
                    </w:rPr>
                    <w:t>污泥压滤机</w:t>
                  </w:r>
                </w:p>
              </w:tc>
              <w:tc>
                <w:tcPr>
                  <w:tcW w:w="2704" w:type="dxa"/>
                  <w:vAlign w:val="center"/>
                </w:tcPr>
                <w:p>
                  <w:pPr>
                    <w:pStyle w:val="28"/>
                    <w:spacing w:line="360" w:lineRule="exact"/>
                    <w:ind w:firstLine="210" w:firstLineChars="100"/>
                    <w:jc w:val="left"/>
                    <w:rPr>
                      <w:color w:val="auto"/>
                      <w:szCs w:val="21"/>
                    </w:rPr>
                  </w:pPr>
                  <w:r>
                    <w:rPr>
                      <w:color w:val="auto"/>
                      <w:szCs w:val="21"/>
                      <w:lang w:val="en-US"/>
                    </w:rPr>
                    <w:t>2</w:t>
                  </w:r>
                  <w:r>
                    <w:rPr>
                      <w:color w:val="auto"/>
                      <w:szCs w:val="21"/>
                    </w:rPr>
                    <w:t>台</w:t>
                  </w:r>
                </w:p>
              </w:tc>
              <w:tc>
                <w:tcPr>
                  <w:tcW w:w="720" w:type="dxa"/>
                  <w:vAlign w:val="center"/>
                </w:tcPr>
                <w:p>
                  <w:pPr>
                    <w:pStyle w:val="28"/>
                    <w:spacing w:line="360" w:lineRule="exact"/>
                    <w:rPr>
                      <w:color w:val="auto"/>
                      <w:szCs w:val="21"/>
                      <w:lang w:val="en-US"/>
                    </w:rPr>
                  </w:pPr>
                  <w:r>
                    <w:rPr>
                      <w:color w:val="auto"/>
                      <w:szCs w:val="21"/>
                      <w:lang w:val="en-US"/>
                    </w:rPr>
                    <w:t>30</w:t>
                  </w:r>
                </w:p>
              </w:tc>
              <w:tc>
                <w:tcPr>
                  <w:tcW w:w="729" w:type="dxa"/>
                  <w:gridSpan w:val="2"/>
                  <w:vMerge w:val="continue"/>
                  <w:vAlign w:val="center"/>
                </w:tcPr>
                <w:p>
                  <w:pPr>
                    <w:pStyle w:val="28"/>
                    <w:spacing w:line="360" w:lineRule="exact"/>
                    <w:rPr>
                      <w:color w:val="auto"/>
                      <w:szCs w:val="21"/>
                    </w:rPr>
                  </w:pPr>
                </w:p>
              </w:tc>
              <w:tc>
                <w:tcPr>
                  <w:tcW w:w="803" w:type="dxa"/>
                  <w:vAlign w:val="center"/>
                </w:tcPr>
                <w:p>
                  <w:pPr>
                    <w:pStyle w:val="28"/>
                    <w:spacing w:line="360" w:lineRule="exact"/>
                    <w:rPr>
                      <w:color w:val="auto"/>
                      <w:szCs w:val="21"/>
                    </w:rPr>
                  </w:pPr>
                  <w:r>
                    <w:rPr>
                      <w:color w:val="auto"/>
                      <w:szCs w:val="21"/>
                      <w:lang w:val="en-US"/>
                    </w:rPr>
                    <w:t>5</w:t>
                  </w:r>
                </w:p>
              </w:tc>
              <w:tc>
                <w:tcPr>
                  <w:tcW w:w="725" w:type="dxa"/>
                  <w:vMerge w:val="continue"/>
                  <w:vAlign w:val="center"/>
                </w:tcPr>
                <w:p>
                  <w:pPr>
                    <w:pStyle w:val="2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vMerge w:val="continue"/>
                  <w:vAlign w:val="center"/>
                </w:tcPr>
                <w:p>
                  <w:pPr>
                    <w:pStyle w:val="28"/>
                    <w:spacing w:line="360" w:lineRule="exact"/>
                    <w:rPr>
                      <w:color w:val="auto"/>
                      <w:szCs w:val="21"/>
                    </w:rPr>
                  </w:pPr>
                </w:p>
              </w:tc>
              <w:tc>
                <w:tcPr>
                  <w:tcW w:w="581" w:type="dxa"/>
                  <w:vMerge w:val="continue"/>
                  <w:vAlign w:val="center"/>
                </w:tcPr>
                <w:p>
                  <w:pPr>
                    <w:pStyle w:val="28"/>
                    <w:spacing w:line="360" w:lineRule="exact"/>
                    <w:rPr>
                      <w:color w:val="auto"/>
                      <w:szCs w:val="21"/>
                    </w:rPr>
                  </w:pPr>
                </w:p>
              </w:tc>
              <w:tc>
                <w:tcPr>
                  <w:tcW w:w="688" w:type="dxa"/>
                  <w:vMerge w:val="restart"/>
                  <w:vAlign w:val="center"/>
                </w:tcPr>
                <w:p>
                  <w:pPr>
                    <w:pStyle w:val="28"/>
                    <w:spacing w:line="360" w:lineRule="exact"/>
                    <w:rPr>
                      <w:color w:val="auto"/>
                      <w:szCs w:val="21"/>
                    </w:rPr>
                  </w:pPr>
                  <w:r>
                    <w:rPr>
                      <w:color w:val="auto"/>
                      <w:szCs w:val="21"/>
                    </w:rPr>
                    <w:t>生活污水</w:t>
                  </w:r>
                </w:p>
              </w:tc>
              <w:tc>
                <w:tcPr>
                  <w:tcW w:w="1388" w:type="dxa"/>
                  <w:vAlign w:val="center"/>
                </w:tcPr>
                <w:p>
                  <w:pPr>
                    <w:pStyle w:val="28"/>
                    <w:spacing w:line="360" w:lineRule="exact"/>
                    <w:rPr>
                      <w:color w:val="auto"/>
                      <w:szCs w:val="21"/>
                    </w:rPr>
                  </w:pPr>
                  <w:r>
                    <w:rPr>
                      <w:color w:val="auto"/>
                      <w:szCs w:val="21"/>
                    </w:rPr>
                    <w:t>化粪池</w:t>
                  </w:r>
                </w:p>
              </w:tc>
              <w:tc>
                <w:tcPr>
                  <w:tcW w:w="2704" w:type="dxa"/>
                  <w:vAlign w:val="center"/>
                </w:tcPr>
                <w:p>
                  <w:pPr>
                    <w:pStyle w:val="28"/>
                    <w:spacing w:line="360" w:lineRule="exact"/>
                    <w:ind w:firstLine="210" w:firstLineChars="100"/>
                    <w:jc w:val="left"/>
                    <w:rPr>
                      <w:color w:val="auto"/>
                      <w:szCs w:val="21"/>
                    </w:rPr>
                  </w:pPr>
                  <w:r>
                    <w:rPr>
                      <w:color w:val="auto"/>
                      <w:szCs w:val="21"/>
                    </w:rPr>
                    <w:t>1个，有效容积为2m³</w:t>
                  </w:r>
                </w:p>
              </w:tc>
              <w:tc>
                <w:tcPr>
                  <w:tcW w:w="720" w:type="dxa"/>
                  <w:vAlign w:val="center"/>
                </w:tcPr>
                <w:p>
                  <w:pPr>
                    <w:pStyle w:val="28"/>
                    <w:spacing w:line="360" w:lineRule="exact"/>
                    <w:rPr>
                      <w:color w:val="auto"/>
                      <w:szCs w:val="21"/>
                    </w:rPr>
                  </w:pPr>
                  <w:r>
                    <w:rPr>
                      <w:color w:val="auto"/>
                      <w:szCs w:val="21"/>
                    </w:rPr>
                    <w:t>2</w:t>
                  </w:r>
                </w:p>
              </w:tc>
              <w:tc>
                <w:tcPr>
                  <w:tcW w:w="729" w:type="dxa"/>
                  <w:gridSpan w:val="2"/>
                  <w:vMerge w:val="continue"/>
                  <w:vAlign w:val="center"/>
                </w:tcPr>
                <w:p>
                  <w:pPr>
                    <w:pStyle w:val="28"/>
                    <w:spacing w:line="360" w:lineRule="exact"/>
                    <w:rPr>
                      <w:color w:val="auto"/>
                      <w:szCs w:val="21"/>
                    </w:rPr>
                  </w:pPr>
                </w:p>
              </w:tc>
              <w:tc>
                <w:tcPr>
                  <w:tcW w:w="803" w:type="dxa"/>
                  <w:vAlign w:val="center"/>
                </w:tcPr>
                <w:p>
                  <w:pPr>
                    <w:pStyle w:val="28"/>
                    <w:spacing w:line="360" w:lineRule="exact"/>
                    <w:rPr>
                      <w:color w:val="auto"/>
                      <w:szCs w:val="21"/>
                    </w:rPr>
                  </w:pPr>
                  <w:r>
                    <w:rPr>
                      <w:color w:val="auto"/>
                      <w:szCs w:val="21"/>
                    </w:rPr>
                    <w:t>0</w:t>
                  </w:r>
                </w:p>
              </w:tc>
              <w:tc>
                <w:tcPr>
                  <w:tcW w:w="725" w:type="dxa"/>
                  <w:vMerge w:val="continue"/>
                  <w:vAlign w:val="center"/>
                </w:tcPr>
                <w:p>
                  <w:pPr>
                    <w:pStyle w:val="2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vMerge w:val="continue"/>
                  <w:vAlign w:val="center"/>
                </w:tcPr>
                <w:p>
                  <w:pPr>
                    <w:pStyle w:val="28"/>
                    <w:spacing w:line="360" w:lineRule="exact"/>
                    <w:rPr>
                      <w:color w:val="auto"/>
                      <w:szCs w:val="21"/>
                    </w:rPr>
                  </w:pPr>
                </w:p>
              </w:tc>
              <w:tc>
                <w:tcPr>
                  <w:tcW w:w="581" w:type="dxa"/>
                  <w:vMerge w:val="continue"/>
                  <w:vAlign w:val="center"/>
                </w:tcPr>
                <w:p>
                  <w:pPr>
                    <w:pStyle w:val="28"/>
                    <w:spacing w:line="360" w:lineRule="exact"/>
                    <w:rPr>
                      <w:color w:val="auto"/>
                      <w:szCs w:val="21"/>
                    </w:rPr>
                  </w:pPr>
                </w:p>
              </w:tc>
              <w:tc>
                <w:tcPr>
                  <w:tcW w:w="688" w:type="dxa"/>
                  <w:vMerge w:val="continue"/>
                  <w:vAlign w:val="center"/>
                </w:tcPr>
                <w:p>
                  <w:pPr>
                    <w:pStyle w:val="28"/>
                    <w:spacing w:line="360" w:lineRule="exact"/>
                    <w:rPr>
                      <w:color w:val="auto"/>
                      <w:szCs w:val="21"/>
                    </w:rPr>
                  </w:pPr>
                </w:p>
              </w:tc>
              <w:tc>
                <w:tcPr>
                  <w:tcW w:w="1388" w:type="dxa"/>
                  <w:vAlign w:val="center"/>
                </w:tcPr>
                <w:p>
                  <w:pPr>
                    <w:pStyle w:val="28"/>
                    <w:spacing w:line="360" w:lineRule="exact"/>
                    <w:rPr>
                      <w:color w:val="auto"/>
                      <w:szCs w:val="21"/>
                    </w:rPr>
                  </w:pPr>
                  <w:r>
                    <w:rPr>
                      <w:color w:val="auto"/>
                      <w:szCs w:val="21"/>
                    </w:rPr>
                    <w:t>一体化污水处理设施</w:t>
                  </w:r>
                </w:p>
              </w:tc>
              <w:tc>
                <w:tcPr>
                  <w:tcW w:w="2704" w:type="dxa"/>
                  <w:vAlign w:val="center"/>
                </w:tcPr>
                <w:p>
                  <w:pPr>
                    <w:pStyle w:val="28"/>
                    <w:spacing w:line="360" w:lineRule="exact"/>
                    <w:ind w:firstLine="210" w:firstLineChars="100"/>
                    <w:jc w:val="left"/>
                    <w:rPr>
                      <w:color w:val="auto"/>
                      <w:szCs w:val="21"/>
                    </w:rPr>
                  </w:pPr>
                  <w:r>
                    <w:rPr>
                      <w:color w:val="auto"/>
                      <w:szCs w:val="21"/>
                    </w:rPr>
                    <w:t>1套，处理能力为2m³/d</w:t>
                  </w:r>
                </w:p>
              </w:tc>
              <w:tc>
                <w:tcPr>
                  <w:tcW w:w="720" w:type="dxa"/>
                  <w:vAlign w:val="center"/>
                </w:tcPr>
                <w:p>
                  <w:pPr>
                    <w:pStyle w:val="28"/>
                    <w:spacing w:line="360" w:lineRule="exact"/>
                    <w:rPr>
                      <w:color w:val="auto"/>
                      <w:szCs w:val="21"/>
                    </w:rPr>
                  </w:pPr>
                  <w:r>
                    <w:rPr>
                      <w:color w:val="auto"/>
                      <w:szCs w:val="21"/>
                    </w:rPr>
                    <w:t>5</w:t>
                  </w:r>
                </w:p>
              </w:tc>
              <w:tc>
                <w:tcPr>
                  <w:tcW w:w="729" w:type="dxa"/>
                  <w:gridSpan w:val="2"/>
                  <w:vMerge w:val="continue"/>
                  <w:vAlign w:val="center"/>
                </w:tcPr>
                <w:p>
                  <w:pPr>
                    <w:pStyle w:val="28"/>
                    <w:spacing w:line="360" w:lineRule="exact"/>
                    <w:rPr>
                      <w:color w:val="auto"/>
                      <w:szCs w:val="21"/>
                    </w:rPr>
                  </w:pPr>
                </w:p>
              </w:tc>
              <w:tc>
                <w:tcPr>
                  <w:tcW w:w="803" w:type="dxa"/>
                  <w:vAlign w:val="center"/>
                </w:tcPr>
                <w:p>
                  <w:pPr>
                    <w:pStyle w:val="28"/>
                    <w:spacing w:line="360" w:lineRule="exact"/>
                    <w:rPr>
                      <w:color w:val="auto"/>
                      <w:szCs w:val="21"/>
                    </w:rPr>
                  </w:pPr>
                  <w:r>
                    <w:rPr>
                      <w:color w:val="auto"/>
                      <w:szCs w:val="21"/>
                    </w:rPr>
                    <w:t>1</w:t>
                  </w:r>
                </w:p>
              </w:tc>
              <w:tc>
                <w:tcPr>
                  <w:tcW w:w="725" w:type="dxa"/>
                  <w:vMerge w:val="continue"/>
                  <w:vAlign w:val="center"/>
                </w:tcPr>
                <w:p>
                  <w:pPr>
                    <w:pStyle w:val="2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vMerge w:val="continue"/>
                  <w:vAlign w:val="center"/>
                </w:tcPr>
                <w:p>
                  <w:pPr>
                    <w:pStyle w:val="28"/>
                    <w:spacing w:line="360" w:lineRule="exact"/>
                    <w:rPr>
                      <w:color w:val="auto"/>
                      <w:szCs w:val="21"/>
                    </w:rPr>
                  </w:pPr>
                </w:p>
              </w:tc>
              <w:tc>
                <w:tcPr>
                  <w:tcW w:w="581" w:type="dxa"/>
                  <w:vMerge w:val="continue"/>
                  <w:vAlign w:val="center"/>
                </w:tcPr>
                <w:p>
                  <w:pPr>
                    <w:pStyle w:val="28"/>
                    <w:spacing w:line="360" w:lineRule="exact"/>
                    <w:rPr>
                      <w:color w:val="auto"/>
                      <w:szCs w:val="21"/>
                    </w:rPr>
                  </w:pPr>
                </w:p>
              </w:tc>
              <w:tc>
                <w:tcPr>
                  <w:tcW w:w="688" w:type="dxa"/>
                  <w:vMerge w:val="continue"/>
                  <w:vAlign w:val="center"/>
                </w:tcPr>
                <w:p>
                  <w:pPr>
                    <w:pStyle w:val="28"/>
                    <w:spacing w:line="360" w:lineRule="exact"/>
                    <w:rPr>
                      <w:color w:val="auto"/>
                      <w:szCs w:val="21"/>
                    </w:rPr>
                  </w:pPr>
                </w:p>
              </w:tc>
              <w:tc>
                <w:tcPr>
                  <w:tcW w:w="1388" w:type="dxa"/>
                  <w:vAlign w:val="center"/>
                </w:tcPr>
                <w:p>
                  <w:pPr>
                    <w:pStyle w:val="28"/>
                    <w:spacing w:line="360" w:lineRule="exact"/>
                    <w:rPr>
                      <w:color w:val="auto"/>
                      <w:szCs w:val="21"/>
                    </w:rPr>
                  </w:pPr>
                  <w:r>
                    <w:rPr>
                      <w:color w:val="auto"/>
                      <w:szCs w:val="21"/>
                    </w:rPr>
                    <w:t>再生水收集池</w:t>
                  </w:r>
                </w:p>
              </w:tc>
              <w:tc>
                <w:tcPr>
                  <w:tcW w:w="2704" w:type="dxa"/>
                  <w:vAlign w:val="center"/>
                </w:tcPr>
                <w:p>
                  <w:pPr>
                    <w:pStyle w:val="28"/>
                    <w:spacing w:line="360" w:lineRule="exact"/>
                    <w:ind w:firstLine="210" w:firstLineChars="100"/>
                    <w:jc w:val="left"/>
                    <w:rPr>
                      <w:color w:val="auto"/>
                      <w:szCs w:val="21"/>
                    </w:rPr>
                  </w:pPr>
                  <w:r>
                    <w:rPr>
                      <w:color w:val="auto"/>
                      <w:szCs w:val="21"/>
                    </w:rPr>
                    <w:t>1个，有效容积为8m³</w:t>
                  </w:r>
                </w:p>
              </w:tc>
              <w:tc>
                <w:tcPr>
                  <w:tcW w:w="720" w:type="dxa"/>
                  <w:vAlign w:val="center"/>
                </w:tcPr>
                <w:p>
                  <w:pPr>
                    <w:pStyle w:val="28"/>
                    <w:spacing w:line="360" w:lineRule="exact"/>
                    <w:rPr>
                      <w:color w:val="auto"/>
                      <w:szCs w:val="21"/>
                    </w:rPr>
                  </w:pPr>
                  <w:r>
                    <w:rPr>
                      <w:color w:val="auto"/>
                      <w:szCs w:val="21"/>
                    </w:rPr>
                    <w:t>4</w:t>
                  </w:r>
                </w:p>
              </w:tc>
              <w:tc>
                <w:tcPr>
                  <w:tcW w:w="729" w:type="dxa"/>
                  <w:gridSpan w:val="2"/>
                  <w:vMerge w:val="continue"/>
                  <w:vAlign w:val="center"/>
                </w:tcPr>
                <w:p>
                  <w:pPr>
                    <w:pStyle w:val="28"/>
                    <w:spacing w:line="360" w:lineRule="exact"/>
                    <w:rPr>
                      <w:color w:val="auto"/>
                      <w:szCs w:val="21"/>
                    </w:rPr>
                  </w:pPr>
                </w:p>
              </w:tc>
              <w:tc>
                <w:tcPr>
                  <w:tcW w:w="803" w:type="dxa"/>
                  <w:vAlign w:val="center"/>
                </w:tcPr>
                <w:p>
                  <w:pPr>
                    <w:pStyle w:val="28"/>
                    <w:spacing w:line="360" w:lineRule="exact"/>
                    <w:rPr>
                      <w:color w:val="auto"/>
                      <w:szCs w:val="21"/>
                    </w:rPr>
                  </w:pPr>
                  <w:r>
                    <w:rPr>
                      <w:color w:val="auto"/>
                      <w:szCs w:val="21"/>
                    </w:rPr>
                    <w:t>1</w:t>
                  </w:r>
                </w:p>
              </w:tc>
              <w:tc>
                <w:tcPr>
                  <w:tcW w:w="725" w:type="dxa"/>
                  <w:vMerge w:val="continue"/>
                  <w:vAlign w:val="center"/>
                </w:tcPr>
                <w:p>
                  <w:pPr>
                    <w:pStyle w:val="2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vMerge w:val="continue"/>
                  <w:vAlign w:val="center"/>
                </w:tcPr>
                <w:p>
                  <w:pPr>
                    <w:pStyle w:val="28"/>
                    <w:spacing w:line="360" w:lineRule="exact"/>
                    <w:rPr>
                      <w:color w:val="auto"/>
                      <w:szCs w:val="21"/>
                    </w:rPr>
                  </w:pPr>
                </w:p>
              </w:tc>
              <w:tc>
                <w:tcPr>
                  <w:tcW w:w="581" w:type="dxa"/>
                  <w:vMerge w:val="continue"/>
                  <w:vAlign w:val="center"/>
                </w:tcPr>
                <w:p>
                  <w:pPr>
                    <w:pStyle w:val="28"/>
                    <w:spacing w:line="360" w:lineRule="exact"/>
                    <w:rPr>
                      <w:color w:val="auto"/>
                      <w:szCs w:val="21"/>
                    </w:rPr>
                  </w:pPr>
                </w:p>
              </w:tc>
              <w:tc>
                <w:tcPr>
                  <w:tcW w:w="688" w:type="dxa"/>
                  <w:vMerge w:val="restart"/>
                  <w:vAlign w:val="center"/>
                </w:tcPr>
                <w:p>
                  <w:pPr>
                    <w:pStyle w:val="28"/>
                    <w:spacing w:line="360" w:lineRule="exact"/>
                    <w:rPr>
                      <w:color w:val="auto"/>
                      <w:szCs w:val="21"/>
                    </w:rPr>
                  </w:pPr>
                  <w:r>
                    <w:rPr>
                      <w:color w:val="auto"/>
                      <w:szCs w:val="21"/>
                    </w:rPr>
                    <w:t>初期雨水</w:t>
                  </w:r>
                </w:p>
              </w:tc>
              <w:tc>
                <w:tcPr>
                  <w:tcW w:w="1388" w:type="dxa"/>
                  <w:vAlign w:val="center"/>
                </w:tcPr>
                <w:p>
                  <w:pPr>
                    <w:pStyle w:val="28"/>
                    <w:spacing w:line="360" w:lineRule="exact"/>
                    <w:rPr>
                      <w:color w:val="auto"/>
                      <w:szCs w:val="21"/>
                    </w:rPr>
                  </w:pPr>
                  <w:r>
                    <w:rPr>
                      <w:color w:val="auto"/>
                      <w:szCs w:val="21"/>
                    </w:rPr>
                    <w:t>截排水沟</w:t>
                  </w:r>
                </w:p>
              </w:tc>
              <w:tc>
                <w:tcPr>
                  <w:tcW w:w="2704" w:type="dxa"/>
                  <w:vAlign w:val="center"/>
                </w:tcPr>
                <w:p>
                  <w:pPr>
                    <w:pStyle w:val="28"/>
                    <w:spacing w:line="360" w:lineRule="exact"/>
                    <w:ind w:firstLine="210" w:firstLineChars="100"/>
                    <w:jc w:val="left"/>
                    <w:rPr>
                      <w:color w:val="auto"/>
                      <w:szCs w:val="21"/>
                    </w:rPr>
                  </w:pPr>
                  <w:r>
                    <w:rPr>
                      <w:color w:val="auto"/>
                      <w:szCs w:val="21"/>
                    </w:rPr>
                    <w:t>厂房外围及厂区周围设置900m。</w:t>
                  </w:r>
                </w:p>
              </w:tc>
              <w:tc>
                <w:tcPr>
                  <w:tcW w:w="720" w:type="dxa"/>
                  <w:vAlign w:val="center"/>
                </w:tcPr>
                <w:p>
                  <w:pPr>
                    <w:pStyle w:val="28"/>
                    <w:spacing w:line="360" w:lineRule="exact"/>
                    <w:rPr>
                      <w:color w:val="auto"/>
                      <w:szCs w:val="21"/>
                    </w:rPr>
                  </w:pPr>
                  <w:r>
                    <w:rPr>
                      <w:color w:val="auto"/>
                      <w:szCs w:val="21"/>
                    </w:rPr>
                    <w:t>6</w:t>
                  </w:r>
                </w:p>
              </w:tc>
              <w:tc>
                <w:tcPr>
                  <w:tcW w:w="729" w:type="dxa"/>
                  <w:gridSpan w:val="2"/>
                  <w:vMerge w:val="continue"/>
                  <w:vAlign w:val="center"/>
                </w:tcPr>
                <w:p>
                  <w:pPr>
                    <w:pStyle w:val="28"/>
                    <w:spacing w:line="360" w:lineRule="exact"/>
                    <w:rPr>
                      <w:color w:val="auto"/>
                      <w:szCs w:val="21"/>
                    </w:rPr>
                  </w:pPr>
                </w:p>
              </w:tc>
              <w:tc>
                <w:tcPr>
                  <w:tcW w:w="803" w:type="dxa"/>
                  <w:vAlign w:val="center"/>
                </w:tcPr>
                <w:p>
                  <w:pPr>
                    <w:pStyle w:val="28"/>
                    <w:spacing w:line="360" w:lineRule="exact"/>
                    <w:rPr>
                      <w:color w:val="auto"/>
                      <w:szCs w:val="21"/>
                    </w:rPr>
                  </w:pPr>
                  <w:r>
                    <w:rPr>
                      <w:color w:val="auto"/>
                      <w:szCs w:val="21"/>
                    </w:rPr>
                    <w:t>2</w:t>
                  </w:r>
                </w:p>
              </w:tc>
              <w:tc>
                <w:tcPr>
                  <w:tcW w:w="725" w:type="dxa"/>
                  <w:vMerge w:val="continue"/>
                  <w:vAlign w:val="center"/>
                </w:tcPr>
                <w:p>
                  <w:pPr>
                    <w:pStyle w:val="2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vMerge w:val="continue"/>
                  <w:vAlign w:val="center"/>
                </w:tcPr>
                <w:p>
                  <w:pPr>
                    <w:pStyle w:val="28"/>
                    <w:spacing w:line="360" w:lineRule="exact"/>
                    <w:rPr>
                      <w:color w:val="auto"/>
                      <w:szCs w:val="21"/>
                    </w:rPr>
                  </w:pPr>
                </w:p>
              </w:tc>
              <w:tc>
                <w:tcPr>
                  <w:tcW w:w="581" w:type="dxa"/>
                  <w:vMerge w:val="continue"/>
                  <w:vAlign w:val="center"/>
                </w:tcPr>
                <w:p>
                  <w:pPr>
                    <w:pStyle w:val="28"/>
                    <w:spacing w:line="360" w:lineRule="exact"/>
                    <w:rPr>
                      <w:color w:val="auto"/>
                      <w:szCs w:val="21"/>
                    </w:rPr>
                  </w:pPr>
                </w:p>
              </w:tc>
              <w:tc>
                <w:tcPr>
                  <w:tcW w:w="688" w:type="dxa"/>
                  <w:vMerge w:val="continue"/>
                  <w:vAlign w:val="center"/>
                </w:tcPr>
                <w:p>
                  <w:pPr>
                    <w:pStyle w:val="28"/>
                    <w:spacing w:line="360" w:lineRule="exact"/>
                    <w:rPr>
                      <w:color w:val="auto"/>
                      <w:szCs w:val="21"/>
                    </w:rPr>
                  </w:pPr>
                </w:p>
              </w:tc>
              <w:tc>
                <w:tcPr>
                  <w:tcW w:w="1388" w:type="dxa"/>
                  <w:vAlign w:val="center"/>
                </w:tcPr>
                <w:p>
                  <w:pPr>
                    <w:pStyle w:val="28"/>
                    <w:spacing w:line="360" w:lineRule="exact"/>
                    <w:rPr>
                      <w:color w:val="auto"/>
                      <w:szCs w:val="21"/>
                    </w:rPr>
                  </w:pPr>
                  <w:r>
                    <w:rPr>
                      <w:color w:val="auto"/>
                      <w:szCs w:val="21"/>
                    </w:rPr>
                    <w:t>初期雨水收集池</w:t>
                  </w:r>
                </w:p>
              </w:tc>
              <w:tc>
                <w:tcPr>
                  <w:tcW w:w="2704" w:type="dxa"/>
                  <w:vAlign w:val="center"/>
                </w:tcPr>
                <w:p>
                  <w:pPr>
                    <w:pStyle w:val="28"/>
                    <w:spacing w:line="360" w:lineRule="exact"/>
                    <w:ind w:firstLine="210" w:firstLineChars="100"/>
                    <w:jc w:val="left"/>
                    <w:rPr>
                      <w:color w:val="auto"/>
                      <w:szCs w:val="21"/>
                    </w:rPr>
                  </w:pPr>
                  <w:r>
                    <w:rPr>
                      <w:color w:val="auto"/>
                      <w:szCs w:val="21"/>
                    </w:rPr>
                    <w:t>1个，有效容积不低于20m³</w:t>
                  </w:r>
                </w:p>
              </w:tc>
              <w:tc>
                <w:tcPr>
                  <w:tcW w:w="720" w:type="dxa"/>
                  <w:vAlign w:val="center"/>
                </w:tcPr>
                <w:p>
                  <w:pPr>
                    <w:pStyle w:val="28"/>
                    <w:spacing w:line="360" w:lineRule="exact"/>
                    <w:rPr>
                      <w:color w:val="auto"/>
                      <w:szCs w:val="21"/>
                    </w:rPr>
                  </w:pPr>
                  <w:r>
                    <w:rPr>
                      <w:color w:val="auto"/>
                      <w:szCs w:val="21"/>
                    </w:rPr>
                    <w:t>9</w:t>
                  </w:r>
                </w:p>
              </w:tc>
              <w:tc>
                <w:tcPr>
                  <w:tcW w:w="729" w:type="dxa"/>
                  <w:gridSpan w:val="2"/>
                  <w:vMerge w:val="continue"/>
                  <w:vAlign w:val="center"/>
                </w:tcPr>
                <w:p>
                  <w:pPr>
                    <w:pStyle w:val="28"/>
                    <w:spacing w:line="360" w:lineRule="exact"/>
                    <w:rPr>
                      <w:color w:val="auto"/>
                      <w:szCs w:val="21"/>
                    </w:rPr>
                  </w:pPr>
                </w:p>
              </w:tc>
              <w:tc>
                <w:tcPr>
                  <w:tcW w:w="803" w:type="dxa"/>
                  <w:vAlign w:val="center"/>
                </w:tcPr>
                <w:p>
                  <w:pPr>
                    <w:pStyle w:val="28"/>
                    <w:spacing w:line="360" w:lineRule="exact"/>
                    <w:rPr>
                      <w:color w:val="auto"/>
                      <w:szCs w:val="21"/>
                    </w:rPr>
                  </w:pPr>
                  <w:r>
                    <w:rPr>
                      <w:color w:val="auto"/>
                      <w:szCs w:val="21"/>
                    </w:rPr>
                    <w:t>1</w:t>
                  </w:r>
                </w:p>
              </w:tc>
              <w:tc>
                <w:tcPr>
                  <w:tcW w:w="725" w:type="dxa"/>
                  <w:vMerge w:val="continue"/>
                  <w:vAlign w:val="center"/>
                </w:tcPr>
                <w:p>
                  <w:pPr>
                    <w:pStyle w:val="2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vMerge w:val="continue"/>
                  <w:vAlign w:val="center"/>
                </w:tcPr>
                <w:p>
                  <w:pPr>
                    <w:pStyle w:val="28"/>
                    <w:spacing w:line="360" w:lineRule="exact"/>
                    <w:rPr>
                      <w:color w:val="auto"/>
                      <w:szCs w:val="21"/>
                    </w:rPr>
                  </w:pPr>
                </w:p>
              </w:tc>
              <w:tc>
                <w:tcPr>
                  <w:tcW w:w="1269" w:type="dxa"/>
                  <w:gridSpan w:val="2"/>
                  <w:vMerge w:val="restart"/>
                  <w:vAlign w:val="center"/>
                </w:tcPr>
                <w:p>
                  <w:pPr>
                    <w:pStyle w:val="28"/>
                    <w:spacing w:line="360" w:lineRule="exact"/>
                    <w:rPr>
                      <w:color w:val="auto"/>
                      <w:szCs w:val="21"/>
                    </w:rPr>
                  </w:pPr>
                  <w:r>
                    <w:rPr>
                      <w:color w:val="auto"/>
                      <w:szCs w:val="21"/>
                    </w:rPr>
                    <w:t>地下水防渗</w:t>
                  </w:r>
                </w:p>
              </w:tc>
              <w:tc>
                <w:tcPr>
                  <w:tcW w:w="1388" w:type="dxa"/>
                  <w:vAlign w:val="center"/>
                </w:tcPr>
                <w:p>
                  <w:pPr>
                    <w:pStyle w:val="28"/>
                    <w:spacing w:line="360" w:lineRule="exact"/>
                    <w:rPr>
                      <w:color w:val="auto"/>
                      <w:szCs w:val="21"/>
                    </w:rPr>
                  </w:pPr>
                  <w:r>
                    <w:rPr>
                      <w:color w:val="auto"/>
                      <w:szCs w:val="21"/>
                    </w:rPr>
                    <w:t>重点防渗区</w:t>
                  </w:r>
                </w:p>
              </w:tc>
              <w:tc>
                <w:tcPr>
                  <w:tcW w:w="2704" w:type="dxa"/>
                  <w:vAlign w:val="center"/>
                </w:tcPr>
                <w:p>
                  <w:pPr>
                    <w:pStyle w:val="28"/>
                    <w:spacing w:line="360" w:lineRule="exact"/>
                    <w:ind w:firstLine="210" w:firstLineChars="100"/>
                    <w:jc w:val="both"/>
                    <w:rPr>
                      <w:color w:val="auto"/>
                      <w:szCs w:val="21"/>
                      <w:lang w:val="en-US"/>
                    </w:rPr>
                  </w:pPr>
                  <w:r>
                    <w:rPr>
                      <w:color w:val="auto"/>
                      <w:szCs w:val="21"/>
                    </w:rPr>
                    <w:t>危险废物贮存间地面和裙墙应采用不低于2mm后的HDPE膜或其他人工防渗材料进行防渗，使其渗透系数≤10</w:t>
                  </w:r>
                  <w:r>
                    <w:rPr>
                      <w:color w:val="auto"/>
                      <w:szCs w:val="21"/>
                      <w:vertAlign w:val="superscript"/>
                    </w:rPr>
                    <w:t>-10</w:t>
                  </w:r>
                  <w:r>
                    <w:rPr>
                      <w:color w:val="auto"/>
                      <w:szCs w:val="21"/>
                    </w:rPr>
                    <w:t>cm/s</w:t>
                  </w:r>
                </w:p>
              </w:tc>
              <w:tc>
                <w:tcPr>
                  <w:tcW w:w="720" w:type="dxa"/>
                  <w:vAlign w:val="center"/>
                </w:tcPr>
                <w:p>
                  <w:pPr>
                    <w:pStyle w:val="28"/>
                    <w:spacing w:line="360" w:lineRule="exact"/>
                    <w:rPr>
                      <w:color w:val="auto"/>
                      <w:szCs w:val="21"/>
                    </w:rPr>
                  </w:pPr>
                  <w:r>
                    <w:rPr>
                      <w:color w:val="auto"/>
                      <w:szCs w:val="21"/>
                    </w:rPr>
                    <w:t>1</w:t>
                  </w:r>
                </w:p>
              </w:tc>
              <w:tc>
                <w:tcPr>
                  <w:tcW w:w="729" w:type="dxa"/>
                  <w:gridSpan w:val="2"/>
                  <w:vMerge w:val="continue"/>
                  <w:vAlign w:val="center"/>
                </w:tcPr>
                <w:p>
                  <w:pPr>
                    <w:pStyle w:val="28"/>
                    <w:spacing w:line="360" w:lineRule="exact"/>
                    <w:rPr>
                      <w:color w:val="auto"/>
                      <w:szCs w:val="21"/>
                    </w:rPr>
                  </w:pPr>
                </w:p>
              </w:tc>
              <w:tc>
                <w:tcPr>
                  <w:tcW w:w="803" w:type="dxa"/>
                  <w:vAlign w:val="center"/>
                </w:tcPr>
                <w:p>
                  <w:pPr>
                    <w:pStyle w:val="28"/>
                    <w:spacing w:line="360" w:lineRule="exact"/>
                    <w:rPr>
                      <w:color w:val="auto"/>
                      <w:szCs w:val="21"/>
                    </w:rPr>
                  </w:pPr>
                  <w:r>
                    <w:rPr>
                      <w:color w:val="auto"/>
                      <w:szCs w:val="21"/>
                    </w:rPr>
                    <w:t>0</w:t>
                  </w:r>
                </w:p>
              </w:tc>
              <w:tc>
                <w:tcPr>
                  <w:tcW w:w="725" w:type="dxa"/>
                  <w:vMerge w:val="continue"/>
                  <w:vAlign w:val="center"/>
                </w:tcPr>
                <w:p>
                  <w:pPr>
                    <w:pStyle w:val="2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vMerge w:val="continue"/>
                  <w:vAlign w:val="center"/>
                </w:tcPr>
                <w:p>
                  <w:pPr>
                    <w:pStyle w:val="28"/>
                    <w:spacing w:line="360" w:lineRule="exact"/>
                    <w:rPr>
                      <w:color w:val="auto"/>
                      <w:szCs w:val="21"/>
                    </w:rPr>
                  </w:pPr>
                </w:p>
              </w:tc>
              <w:tc>
                <w:tcPr>
                  <w:tcW w:w="1269" w:type="dxa"/>
                  <w:gridSpan w:val="2"/>
                  <w:vMerge w:val="continue"/>
                  <w:vAlign w:val="center"/>
                </w:tcPr>
                <w:p>
                  <w:pPr>
                    <w:pStyle w:val="28"/>
                    <w:spacing w:line="360" w:lineRule="exact"/>
                    <w:rPr>
                      <w:color w:val="auto"/>
                      <w:szCs w:val="21"/>
                    </w:rPr>
                  </w:pPr>
                </w:p>
              </w:tc>
              <w:tc>
                <w:tcPr>
                  <w:tcW w:w="1388" w:type="dxa"/>
                  <w:vAlign w:val="center"/>
                </w:tcPr>
                <w:p>
                  <w:pPr>
                    <w:pStyle w:val="28"/>
                    <w:spacing w:line="360" w:lineRule="exact"/>
                    <w:rPr>
                      <w:color w:val="auto"/>
                      <w:szCs w:val="21"/>
                    </w:rPr>
                  </w:pPr>
                  <w:r>
                    <w:rPr>
                      <w:color w:val="auto"/>
                      <w:szCs w:val="21"/>
                    </w:rPr>
                    <w:t>一般防渗区</w:t>
                  </w:r>
                </w:p>
              </w:tc>
              <w:tc>
                <w:tcPr>
                  <w:tcW w:w="2704" w:type="dxa"/>
                  <w:vAlign w:val="center"/>
                </w:tcPr>
                <w:p>
                  <w:pPr>
                    <w:pStyle w:val="28"/>
                    <w:spacing w:line="360" w:lineRule="exact"/>
                    <w:ind w:firstLine="210" w:firstLineChars="100"/>
                    <w:jc w:val="both"/>
                    <w:rPr>
                      <w:color w:val="auto"/>
                      <w:szCs w:val="21"/>
                    </w:rPr>
                  </w:pPr>
                  <w:r>
                    <w:rPr>
                      <w:color w:val="auto"/>
                      <w:szCs w:val="21"/>
                    </w:rPr>
                    <w:t>一般防渗区域拟应采用粘土铺底，并在上层铺30cm的混凝土进行硬化。确保防渗性能，使其渗透系数≤1.0×10</w:t>
                  </w:r>
                  <w:r>
                    <w:rPr>
                      <w:color w:val="auto"/>
                      <w:szCs w:val="21"/>
                      <w:vertAlign w:val="superscript"/>
                    </w:rPr>
                    <w:t>-7</w:t>
                  </w:r>
                  <w:r>
                    <w:rPr>
                      <w:color w:val="auto"/>
                      <w:szCs w:val="21"/>
                    </w:rPr>
                    <w:t>cm/s。</w:t>
                  </w:r>
                </w:p>
              </w:tc>
              <w:tc>
                <w:tcPr>
                  <w:tcW w:w="720" w:type="dxa"/>
                  <w:vAlign w:val="center"/>
                </w:tcPr>
                <w:p>
                  <w:pPr>
                    <w:pStyle w:val="28"/>
                    <w:spacing w:line="360" w:lineRule="exact"/>
                    <w:rPr>
                      <w:color w:val="auto"/>
                      <w:szCs w:val="21"/>
                    </w:rPr>
                  </w:pPr>
                  <w:r>
                    <w:rPr>
                      <w:color w:val="auto"/>
                      <w:szCs w:val="21"/>
                    </w:rPr>
                    <w:t>26</w:t>
                  </w:r>
                </w:p>
              </w:tc>
              <w:tc>
                <w:tcPr>
                  <w:tcW w:w="729" w:type="dxa"/>
                  <w:gridSpan w:val="2"/>
                  <w:vMerge w:val="continue"/>
                  <w:vAlign w:val="center"/>
                </w:tcPr>
                <w:p>
                  <w:pPr>
                    <w:pStyle w:val="28"/>
                    <w:spacing w:line="360" w:lineRule="exact"/>
                    <w:rPr>
                      <w:color w:val="auto"/>
                      <w:szCs w:val="21"/>
                    </w:rPr>
                  </w:pPr>
                </w:p>
              </w:tc>
              <w:tc>
                <w:tcPr>
                  <w:tcW w:w="803" w:type="dxa"/>
                  <w:vAlign w:val="center"/>
                </w:tcPr>
                <w:p>
                  <w:pPr>
                    <w:pStyle w:val="28"/>
                    <w:spacing w:line="360" w:lineRule="exact"/>
                    <w:rPr>
                      <w:color w:val="auto"/>
                      <w:szCs w:val="21"/>
                    </w:rPr>
                  </w:pPr>
                  <w:r>
                    <w:rPr>
                      <w:color w:val="auto"/>
                      <w:szCs w:val="21"/>
                    </w:rPr>
                    <w:t>0</w:t>
                  </w:r>
                </w:p>
              </w:tc>
              <w:tc>
                <w:tcPr>
                  <w:tcW w:w="725" w:type="dxa"/>
                  <w:vMerge w:val="continue"/>
                  <w:vAlign w:val="center"/>
                </w:tcPr>
                <w:p>
                  <w:pPr>
                    <w:pStyle w:val="2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vMerge w:val="continue"/>
                  <w:vAlign w:val="center"/>
                </w:tcPr>
                <w:p>
                  <w:pPr>
                    <w:pStyle w:val="28"/>
                    <w:spacing w:line="360" w:lineRule="exact"/>
                    <w:rPr>
                      <w:color w:val="auto"/>
                      <w:szCs w:val="21"/>
                    </w:rPr>
                  </w:pPr>
                </w:p>
              </w:tc>
              <w:tc>
                <w:tcPr>
                  <w:tcW w:w="581" w:type="dxa"/>
                  <w:vAlign w:val="center"/>
                </w:tcPr>
                <w:p>
                  <w:pPr>
                    <w:pStyle w:val="28"/>
                    <w:spacing w:line="360" w:lineRule="exact"/>
                    <w:rPr>
                      <w:color w:val="auto"/>
                      <w:szCs w:val="21"/>
                    </w:rPr>
                  </w:pPr>
                  <w:r>
                    <w:rPr>
                      <w:color w:val="auto"/>
                      <w:szCs w:val="21"/>
                    </w:rPr>
                    <w:t>噪声</w:t>
                  </w:r>
                </w:p>
              </w:tc>
              <w:tc>
                <w:tcPr>
                  <w:tcW w:w="688" w:type="dxa"/>
                  <w:vAlign w:val="center"/>
                </w:tcPr>
                <w:p>
                  <w:pPr>
                    <w:pStyle w:val="28"/>
                    <w:spacing w:line="360" w:lineRule="exact"/>
                    <w:rPr>
                      <w:color w:val="auto"/>
                      <w:szCs w:val="21"/>
                    </w:rPr>
                  </w:pPr>
                  <w:r>
                    <w:rPr>
                      <w:color w:val="auto"/>
                      <w:szCs w:val="21"/>
                    </w:rPr>
                    <w:t>设备噪声</w:t>
                  </w:r>
                </w:p>
              </w:tc>
              <w:tc>
                <w:tcPr>
                  <w:tcW w:w="1388" w:type="dxa"/>
                  <w:vAlign w:val="center"/>
                </w:tcPr>
                <w:p>
                  <w:pPr>
                    <w:pStyle w:val="28"/>
                    <w:spacing w:line="360" w:lineRule="exact"/>
                    <w:rPr>
                      <w:color w:val="auto"/>
                      <w:szCs w:val="21"/>
                    </w:rPr>
                  </w:pPr>
                  <w:r>
                    <w:rPr>
                      <w:color w:val="auto"/>
                      <w:szCs w:val="21"/>
                    </w:rPr>
                    <w:t>减震垫、消声器等</w:t>
                  </w:r>
                </w:p>
              </w:tc>
              <w:tc>
                <w:tcPr>
                  <w:tcW w:w="2704" w:type="dxa"/>
                  <w:vAlign w:val="center"/>
                </w:tcPr>
                <w:p>
                  <w:pPr>
                    <w:pStyle w:val="28"/>
                    <w:spacing w:line="360" w:lineRule="exact"/>
                    <w:ind w:firstLine="210" w:firstLineChars="100"/>
                    <w:jc w:val="left"/>
                    <w:rPr>
                      <w:color w:val="auto"/>
                      <w:szCs w:val="21"/>
                    </w:rPr>
                  </w:pPr>
                  <w:r>
                    <w:rPr>
                      <w:color w:val="auto"/>
                      <w:szCs w:val="21"/>
                    </w:rPr>
                    <w:t>设备基础加装减震垫、消声器等。</w:t>
                  </w:r>
                </w:p>
              </w:tc>
              <w:tc>
                <w:tcPr>
                  <w:tcW w:w="720" w:type="dxa"/>
                  <w:vAlign w:val="center"/>
                </w:tcPr>
                <w:p>
                  <w:pPr>
                    <w:pStyle w:val="28"/>
                    <w:spacing w:line="360" w:lineRule="exact"/>
                    <w:rPr>
                      <w:color w:val="auto"/>
                      <w:szCs w:val="21"/>
                    </w:rPr>
                  </w:pPr>
                  <w:r>
                    <w:rPr>
                      <w:color w:val="auto"/>
                      <w:szCs w:val="21"/>
                    </w:rPr>
                    <w:t>2</w:t>
                  </w:r>
                </w:p>
              </w:tc>
              <w:tc>
                <w:tcPr>
                  <w:tcW w:w="729" w:type="dxa"/>
                  <w:gridSpan w:val="2"/>
                  <w:vMerge w:val="continue"/>
                  <w:vAlign w:val="center"/>
                </w:tcPr>
                <w:p>
                  <w:pPr>
                    <w:pStyle w:val="28"/>
                    <w:spacing w:line="360" w:lineRule="exact"/>
                    <w:rPr>
                      <w:color w:val="auto"/>
                      <w:szCs w:val="21"/>
                    </w:rPr>
                  </w:pPr>
                </w:p>
              </w:tc>
              <w:tc>
                <w:tcPr>
                  <w:tcW w:w="803" w:type="dxa"/>
                  <w:vAlign w:val="center"/>
                </w:tcPr>
                <w:p>
                  <w:pPr>
                    <w:pStyle w:val="28"/>
                    <w:spacing w:line="360" w:lineRule="exact"/>
                    <w:rPr>
                      <w:color w:val="auto"/>
                      <w:szCs w:val="21"/>
                    </w:rPr>
                  </w:pPr>
                  <w:r>
                    <w:rPr>
                      <w:color w:val="auto"/>
                      <w:szCs w:val="21"/>
                    </w:rPr>
                    <w:t>0</w:t>
                  </w:r>
                </w:p>
              </w:tc>
              <w:tc>
                <w:tcPr>
                  <w:tcW w:w="725" w:type="dxa"/>
                  <w:vMerge w:val="continue"/>
                  <w:vAlign w:val="center"/>
                </w:tcPr>
                <w:p>
                  <w:pPr>
                    <w:pStyle w:val="2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vMerge w:val="continue"/>
                  <w:vAlign w:val="center"/>
                </w:tcPr>
                <w:p>
                  <w:pPr>
                    <w:pStyle w:val="28"/>
                    <w:spacing w:line="360" w:lineRule="exact"/>
                    <w:rPr>
                      <w:color w:val="auto"/>
                      <w:szCs w:val="21"/>
                    </w:rPr>
                  </w:pPr>
                </w:p>
              </w:tc>
              <w:tc>
                <w:tcPr>
                  <w:tcW w:w="581" w:type="dxa"/>
                  <w:vMerge w:val="restart"/>
                  <w:vAlign w:val="center"/>
                </w:tcPr>
                <w:p>
                  <w:pPr>
                    <w:pStyle w:val="28"/>
                    <w:spacing w:line="360" w:lineRule="exact"/>
                    <w:rPr>
                      <w:color w:val="auto"/>
                      <w:szCs w:val="21"/>
                    </w:rPr>
                  </w:pPr>
                  <w:r>
                    <w:rPr>
                      <w:color w:val="auto"/>
                      <w:szCs w:val="21"/>
                    </w:rPr>
                    <w:t>固废</w:t>
                  </w:r>
                </w:p>
              </w:tc>
              <w:tc>
                <w:tcPr>
                  <w:tcW w:w="688" w:type="dxa"/>
                  <w:vAlign w:val="center"/>
                </w:tcPr>
                <w:p>
                  <w:pPr>
                    <w:pStyle w:val="28"/>
                    <w:spacing w:line="360" w:lineRule="exact"/>
                    <w:rPr>
                      <w:color w:val="auto"/>
                      <w:szCs w:val="21"/>
                    </w:rPr>
                  </w:pPr>
                  <w:r>
                    <w:rPr>
                      <w:color w:val="auto"/>
                      <w:szCs w:val="21"/>
                    </w:rPr>
                    <w:t>生产废水污泥</w:t>
                  </w:r>
                </w:p>
              </w:tc>
              <w:tc>
                <w:tcPr>
                  <w:tcW w:w="1388" w:type="dxa"/>
                  <w:vAlign w:val="center"/>
                </w:tcPr>
                <w:p>
                  <w:pPr>
                    <w:pStyle w:val="28"/>
                    <w:spacing w:line="360" w:lineRule="exact"/>
                    <w:rPr>
                      <w:color w:val="auto"/>
                      <w:szCs w:val="21"/>
                    </w:rPr>
                  </w:pPr>
                  <w:r>
                    <w:rPr>
                      <w:color w:val="auto"/>
                      <w:szCs w:val="21"/>
                    </w:rPr>
                    <w:t>污泥暂存库</w:t>
                  </w:r>
                </w:p>
              </w:tc>
              <w:tc>
                <w:tcPr>
                  <w:tcW w:w="2704" w:type="dxa"/>
                  <w:vAlign w:val="center"/>
                </w:tcPr>
                <w:p>
                  <w:pPr>
                    <w:pStyle w:val="28"/>
                    <w:spacing w:line="360" w:lineRule="exact"/>
                    <w:ind w:firstLine="210" w:firstLineChars="100"/>
                    <w:jc w:val="left"/>
                    <w:rPr>
                      <w:color w:val="auto"/>
                      <w:szCs w:val="21"/>
                    </w:rPr>
                  </w:pPr>
                  <w:r>
                    <w:rPr>
                      <w:color w:val="auto"/>
                      <w:szCs w:val="21"/>
                    </w:rPr>
                    <w:t>1个，100m²</w:t>
                  </w:r>
                </w:p>
              </w:tc>
              <w:tc>
                <w:tcPr>
                  <w:tcW w:w="720" w:type="dxa"/>
                  <w:vAlign w:val="center"/>
                </w:tcPr>
                <w:p>
                  <w:pPr>
                    <w:pStyle w:val="28"/>
                    <w:spacing w:line="360" w:lineRule="exact"/>
                    <w:rPr>
                      <w:color w:val="auto"/>
                      <w:szCs w:val="21"/>
                    </w:rPr>
                  </w:pPr>
                  <w:r>
                    <w:rPr>
                      <w:color w:val="auto"/>
                      <w:szCs w:val="21"/>
                    </w:rPr>
                    <w:t>5</w:t>
                  </w:r>
                </w:p>
              </w:tc>
              <w:tc>
                <w:tcPr>
                  <w:tcW w:w="729" w:type="dxa"/>
                  <w:gridSpan w:val="2"/>
                  <w:vMerge w:val="continue"/>
                  <w:vAlign w:val="center"/>
                </w:tcPr>
                <w:p>
                  <w:pPr>
                    <w:pStyle w:val="28"/>
                    <w:spacing w:line="360" w:lineRule="exact"/>
                    <w:rPr>
                      <w:color w:val="auto"/>
                      <w:szCs w:val="21"/>
                    </w:rPr>
                  </w:pPr>
                </w:p>
              </w:tc>
              <w:tc>
                <w:tcPr>
                  <w:tcW w:w="803" w:type="dxa"/>
                  <w:vAlign w:val="center"/>
                </w:tcPr>
                <w:p>
                  <w:pPr>
                    <w:pStyle w:val="28"/>
                    <w:spacing w:line="360" w:lineRule="exact"/>
                    <w:rPr>
                      <w:color w:val="auto"/>
                      <w:szCs w:val="21"/>
                    </w:rPr>
                  </w:pPr>
                  <w:r>
                    <w:rPr>
                      <w:color w:val="auto"/>
                      <w:szCs w:val="21"/>
                    </w:rPr>
                    <w:t>6</w:t>
                  </w:r>
                </w:p>
              </w:tc>
              <w:tc>
                <w:tcPr>
                  <w:tcW w:w="725" w:type="dxa"/>
                  <w:vMerge w:val="continue"/>
                  <w:vAlign w:val="center"/>
                </w:tcPr>
                <w:p>
                  <w:pPr>
                    <w:pStyle w:val="2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vMerge w:val="continue"/>
                  <w:vAlign w:val="center"/>
                </w:tcPr>
                <w:p>
                  <w:pPr>
                    <w:pStyle w:val="28"/>
                    <w:spacing w:line="360" w:lineRule="exact"/>
                    <w:rPr>
                      <w:color w:val="auto"/>
                      <w:szCs w:val="21"/>
                    </w:rPr>
                  </w:pPr>
                </w:p>
              </w:tc>
              <w:tc>
                <w:tcPr>
                  <w:tcW w:w="581" w:type="dxa"/>
                  <w:vMerge w:val="continue"/>
                  <w:vAlign w:val="center"/>
                </w:tcPr>
                <w:p>
                  <w:pPr>
                    <w:pStyle w:val="28"/>
                    <w:spacing w:line="360" w:lineRule="exact"/>
                    <w:rPr>
                      <w:color w:val="auto"/>
                      <w:szCs w:val="21"/>
                    </w:rPr>
                  </w:pPr>
                </w:p>
              </w:tc>
              <w:tc>
                <w:tcPr>
                  <w:tcW w:w="688" w:type="dxa"/>
                  <w:vAlign w:val="center"/>
                </w:tcPr>
                <w:p>
                  <w:pPr>
                    <w:pStyle w:val="28"/>
                    <w:spacing w:line="360" w:lineRule="exact"/>
                    <w:rPr>
                      <w:color w:val="auto"/>
                      <w:szCs w:val="21"/>
                    </w:rPr>
                  </w:pPr>
                  <w:r>
                    <w:rPr>
                      <w:color w:val="auto"/>
                      <w:szCs w:val="21"/>
                    </w:rPr>
                    <w:t>危险废物</w:t>
                  </w:r>
                </w:p>
              </w:tc>
              <w:tc>
                <w:tcPr>
                  <w:tcW w:w="1388" w:type="dxa"/>
                  <w:vAlign w:val="center"/>
                </w:tcPr>
                <w:p>
                  <w:pPr>
                    <w:pStyle w:val="28"/>
                    <w:spacing w:line="360" w:lineRule="exact"/>
                    <w:rPr>
                      <w:color w:val="auto"/>
                      <w:szCs w:val="21"/>
                    </w:rPr>
                  </w:pPr>
                  <w:r>
                    <w:rPr>
                      <w:color w:val="auto"/>
                      <w:szCs w:val="21"/>
                    </w:rPr>
                    <w:t>危险废物贮存间</w:t>
                  </w:r>
                </w:p>
              </w:tc>
              <w:tc>
                <w:tcPr>
                  <w:tcW w:w="2704" w:type="dxa"/>
                  <w:vAlign w:val="center"/>
                </w:tcPr>
                <w:p>
                  <w:pPr>
                    <w:pStyle w:val="28"/>
                    <w:spacing w:line="360" w:lineRule="exact"/>
                    <w:ind w:firstLine="210" w:firstLineChars="100"/>
                    <w:jc w:val="left"/>
                    <w:rPr>
                      <w:color w:val="auto"/>
                      <w:szCs w:val="21"/>
                    </w:rPr>
                  </w:pPr>
                  <w:r>
                    <w:rPr>
                      <w:color w:val="auto"/>
                      <w:szCs w:val="21"/>
                    </w:rPr>
                    <w:t>1个，5m²</w:t>
                  </w:r>
                </w:p>
              </w:tc>
              <w:tc>
                <w:tcPr>
                  <w:tcW w:w="720" w:type="dxa"/>
                  <w:vAlign w:val="center"/>
                </w:tcPr>
                <w:p>
                  <w:pPr>
                    <w:pStyle w:val="28"/>
                    <w:spacing w:line="360" w:lineRule="exact"/>
                    <w:rPr>
                      <w:color w:val="auto"/>
                      <w:szCs w:val="21"/>
                    </w:rPr>
                  </w:pPr>
                  <w:r>
                    <w:rPr>
                      <w:color w:val="auto"/>
                      <w:szCs w:val="21"/>
                    </w:rPr>
                    <w:t>6</w:t>
                  </w:r>
                </w:p>
              </w:tc>
              <w:tc>
                <w:tcPr>
                  <w:tcW w:w="729" w:type="dxa"/>
                  <w:gridSpan w:val="2"/>
                  <w:vMerge w:val="continue"/>
                  <w:vAlign w:val="center"/>
                </w:tcPr>
                <w:p>
                  <w:pPr>
                    <w:pStyle w:val="28"/>
                    <w:spacing w:line="360" w:lineRule="exact"/>
                    <w:rPr>
                      <w:color w:val="auto"/>
                      <w:szCs w:val="21"/>
                    </w:rPr>
                  </w:pPr>
                </w:p>
              </w:tc>
              <w:tc>
                <w:tcPr>
                  <w:tcW w:w="803" w:type="dxa"/>
                  <w:vAlign w:val="center"/>
                </w:tcPr>
                <w:p>
                  <w:pPr>
                    <w:pStyle w:val="28"/>
                    <w:spacing w:line="360" w:lineRule="exact"/>
                    <w:rPr>
                      <w:color w:val="auto"/>
                      <w:szCs w:val="21"/>
                    </w:rPr>
                  </w:pPr>
                  <w:r>
                    <w:rPr>
                      <w:color w:val="auto"/>
                      <w:szCs w:val="21"/>
                    </w:rPr>
                    <w:t>2</w:t>
                  </w:r>
                </w:p>
              </w:tc>
              <w:tc>
                <w:tcPr>
                  <w:tcW w:w="725" w:type="dxa"/>
                  <w:vMerge w:val="continue"/>
                  <w:vAlign w:val="center"/>
                </w:tcPr>
                <w:p>
                  <w:pPr>
                    <w:pStyle w:val="2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vMerge w:val="continue"/>
                  <w:vAlign w:val="center"/>
                </w:tcPr>
                <w:p>
                  <w:pPr>
                    <w:pStyle w:val="28"/>
                    <w:spacing w:line="360" w:lineRule="exact"/>
                    <w:rPr>
                      <w:color w:val="auto"/>
                      <w:szCs w:val="21"/>
                    </w:rPr>
                  </w:pPr>
                </w:p>
              </w:tc>
              <w:tc>
                <w:tcPr>
                  <w:tcW w:w="1269" w:type="dxa"/>
                  <w:gridSpan w:val="2"/>
                  <w:vAlign w:val="center"/>
                </w:tcPr>
                <w:p>
                  <w:pPr>
                    <w:pStyle w:val="28"/>
                    <w:spacing w:line="360" w:lineRule="exact"/>
                    <w:rPr>
                      <w:color w:val="auto"/>
                      <w:szCs w:val="21"/>
                    </w:rPr>
                  </w:pPr>
                  <w:r>
                    <w:rPr>
                      <w:color w:val="auto"/>
                      <w:szCs w:val="21"/>
                    </w:rPr>
                    <w:t>其他</w:t>
                  </w:r>
                </w:p>
              </w:tc>
              <w:tc>
                <w:tcPr>
                  <w:tcW w:w="1388" w:type="dxa"/>
                  <w:vAlign w:val="center"/>
                </w:tcPr>
                <w:p>
                  <w:pPr>
                    <w:pStyle w:val="28"/>
                    <w:spacing w:line="360" w:lineRule="exact"/>
                    <w:rPr>
                      <w:color w:val="auto"/>
                      <w:szCs w:val="21"/>
                    </w:rPr>
                  </w:pPr>
                  <w:r>
                    <w:rPr>
                      <w:color w:val="auto"/>
                      <w:szCs w:val="21"/>
                    </w:rPr>
                    <w:t>标识牌</w:t>
                  </w:r>
                </w:p>
              </w:tc>
              <w:tc>
                <w:tcPr>
                  <w:tcW w:w="2704" w:type="dxa"/>
                  <w:vAlign w:val="center"/>
                </w:tcPr>
                <w:p>
                  <w:pPr>
                    <w:pStyle w:val="28"/>
                    <w:spacing w:line="360" w:lineRule="exact"/>
                    <w:ind w:firstLine="210" w:firstLineChars="100"/>
                    <w:jc w:val="left"/>
                    <w:rPr>
                      <w:color w:val="auto"/>
                      <w:szCs w:val="21"/>
                    </w:rPr>
                  </w:pPr>
                  <w:r>
                    <w:rPr>
                      <w:color w:val="auto"/>
                      <w:szCs w:val="21"/>
                    </w:rPr>
                    <w:t>--</w:t>
                  </w:r>
                </w:p>
              </w:tc>
              <w:tc>
                <w:tcPr>
                  <w:tcW w:w="720" w:type="dxa"/>
                  <w:vAlign w:val="center"/>
                </w:tcPr>
                <w:p>
                  <w:pPr>
                    <w:pStyle w:val="28"/>
                    <w:spacing w:line="360" w:lineRule="exact"/>
                    <w:rPr>
                      <w:color w:val="auto"/>
                      <w:szCs w:val="21"/>
                    </w:rPr>
                  </w:pPr>
                  <w:r>
                    <w:rPr>
                      <w:color w:val="auto"/>
                      <w:szCs w:val="21"/>
                    </w:rPr>
                    <w:t>0.</w:t>
                  </w:r>
                  <w:r>
                    <w:rPr>
                      <w:color w:val="auto"/>
                      <w:szCs w:val="21"/>
                      <w:lang w:val="en-US"/>
                    </w:rPr>
                    <w:t>5</w:t>
                  </w:r>
                </w:p>
              </w:tc>
              <w:tc>
                <w:tcPr>
                  <w:tcW w:w="729" w:type="dxa"/>
                  <w:gridSpan w:val="2"/>
                  <w:vMerge w:val="continue"/>
                  <w:vAlign w:val="center"/>
                </w:tcPr>
                <w:p>
                  <w:pPr>
                    <w:pStyle w:val="28"/>
                    <w:spacing w:line="360" w:lineRule="exact"/>
                    <w:rPr>
                      <w:color w:val="auto"/>
                      <w:szCs w:val="21"/>
                    </w:rPr>
                  </w:pPr>
                </w:p>
              </w:tc>
              <w:tc>
                <w:tcPr>
                  <w:tcW w:w="803" w:type="dxa"/>
                  <w:vAlign w:val="center"/>
                </w:tcPr>
                <w:p>
                  <w:pPr>
                    <w:pStyle w:val="28"/>
                    <w:spacing w:line="360" w:lineRule="exact"/>
                    <w:rPr>
                      <w:color w:val="auto"/>
                      <w:szCs w:val="21"/>
                    </w:rPr>
                  </w:pPr>
                  <w:r>
                    <w:rPr>
                      <w:color w:val="auto"/>
                      <w:szCs w:val="21"/>
                    </w:rPr>
                    <w:t>0</w:t>
                  </w:r>
                </w:p>
              </w:tc>
              <w:tc>
                <w:tcPr>
                  <w:tcW w:w="725" w:type="dxa"/>
                  <w:vMerge w:val="continue"/>
                  <w:vAlign w:val="center"/>
                </w:tcPr>
                <w:p>
                  <w:pPr>
                    <w:pStyle w:val="2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4" w:type="dxa"/>
                  <w:gridSpan w:val="5"/>
                  <w:vAlign w:val="center"/>
                </w:tcPr>
                <w:p>
                  <w:pPr>
                    <w:pStyle w:val="28"/>
                    <w:spacing w:line="360" w:lineRule="exact"/>
                    <w:rPr>
                      <w:color w:val="auto"/>
                      <w:szCs w:val="21"/>
                    </w:rPr>
                  </w:pPr>
                  <w:r>
                    <w:rPr>
                      <w:color w:val="auto"/>
                      <w:szCs w:val="21"/>
                    </w:rPr>
                    <w:t>管理相关费用</w:t>
                  </w:r>
                </w:p>
              </w:tc>
              <w:tc>
                <w:tcPr>
                  <w:tcW w:w="2977" w:type="dxa"/>
                  <w:gridSpan w:val="5"/>
                  <w:vAlign w:val="center"/>
                </w:tcPr>
                <w:p>
                  <w:pPr>
                    <w:pStyle w:val="28"/>
                    <w:spacing w:line="360" w:lineRule="exact"/>
                    <w:rPr>
                      <w:color w:val="auto"/>
                      <w:szCs w:val="21"/>
                    </w:rPr>
                  </w:pPr>
                  <w:r>
                    <w:rPr>
                      <w:color w:val="auto"/>
                      <w:szCs w:val="21"/>
                    </w:rPr>
                    <w:t xml:space="preserve">10万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4" w:type="dxa"/>
                  <w:gridSpan w:val="5"/>
                  <w:vAlign w:val="center"/>
                </w:tcPr>
                <w:p>
                  <w:pPr>
                    <w:pStyle w:val="28"/>
                    <w:spacing w:line="360" w:lineRule="exact"/>
                    <w:rPr>
                      <w:color w:val="auto"/>
                      <w:szCs w:val="21"/>
                    </w:rPr>
                  </w:pPr>
                  <w:r>
                    <w:rPr>
                      <w:color w:val="auto"/>
                      <w:szCs w:val="21"/>
                    </w:rPr>
                    <w:t>合计</w:t>
                  </w:r>
                </w:p>
              </w:tc>
              <w:tc>
                <w:tcPr>
                  <w:tcW w:w="867" w:type="dxa"/>
                  <w:gridSpan w:val="2"/>
                  <w:vAlign w:val="center"/>
                </w:tcPr>
                <w:p>
                  <w:pPr>
                    <w:pStyle w:val="28"/>
                    <w:spacing w:line="360" w:lineRule="exact"/>
                    <w:rPr>
                      <w:color w:val="auto"/>
                      <w:szCs w:val="21"/>
                      <w:lang w:val="en-US"/>
                    </w:rPr>
                  </w:pPr>
                  <w:r>
                    <w:rPr>
                      <w:color w:val="auto"/>
                      <w:szCs w:val="21"/>
                      <w:lang w:val="en-US"/>
                    </w:rPr>
                    <w:t>203.5</w:t>
                  </w:r>
                </w:p>
              </w:tc>
              <w:tc>
                <w:tcPr>
                  <w:tcW w:w="582" w:type="dxa"/>
                  <w:vAlign w:val="center"/>
                </w:tcPr>
                <w:p>
                  <w:pPr>
                    <w:pStyle w:val="28"/>
                    <w:spacing w:line="360" w:lineRule="exact"/>
                    <w:rPr>
                      <w:color w:val="auto"/>
                      <w:szCs w:val="21"/>
                    </w:rPr>
                  </w:pPr>
                  <w:r>
                    <w:rPr>
                      <w:color w:val="auto"/>
                      <w:szCs w:val="21"/>
                    </w:rPr>
                    <w:t>--</w:t>
                  </w:r>
                </w:p>
              </w:tc>
              <w:tc>
                <w:tcPr>
                  <w:tcW w:w="803" w:type="dxa"/>
                  <w:vAlign w:val="center"/>
                </w:tcPr>
                <w:p>
                  <w:pPr>
                    <w:pStyle w:val="28"/>
                    <w:spacing w:line="360" w:lineRule="exact"/>
                    <w:rPr>
                      <w:color w:val="auto"/>
                      <w:szCs w:val="21"/>
                      <w:lang w:val="en-US"/>
                    </w:rPr>
                  </w:pPr>
                  <w:r>
                    <w:rPr>
                      <w:color w:val="auto"/>
                      <w:szCs w:val="21"/>
                      <w:lang w:val="en-US"/>
                    </w:rPr>
                    <w:t>25</w:t>
                  </w:r>
                </w:p>
              </w:tc>
              <w:tc>
                <w:tcPr>
                  <w:tcW w:w="725" w:type="dxa"/>
                  <w:vAlign w:val="center"/>
                </w:tcPr>
                <w:p>
                  <w:pPr>
                    <w:pStyle w:val="28"/>
                    <w:spacing w:line="360" w:lineRule="exact"/>
                    <w:rPr>
                      <w:color w:val="auto"/>
                      <w:szCs w:val="21"/>
                    </w:rPr>
                  </w:pPr>
                  <w:r>
                    <w:rPr>
                      <w:color w:val="auto"/>
                      <w:szCs w:val="21"/>
                    </w:rPr>
                    <w:t>--</w:t>
                  </w:r>
                </w:p>
              </w:tc>
            </w:tr>
          </w:tbl>
          <w:p>
            <w:pPr>
              <w:pStyle w:val="35"/>
              <w:ind w:firstLine="480"/>
              <w:rPr>
                <w:rFonts w:eastAsiaTheme="minorEastAsia"/>
                <w:bCs/>
              </w:rPr>
            </w:pPr>
          </w:p>
          <w:p>
            <w:pPr>
              <w:pStyle w:val="35"/>
              <w:ind w:firstLine="480"/>
              <w:rPr>
                <w:rFonts w:eastAsiaTheme="minorEastAsia"/>
                <w:bCs/>
              </w:rPr>
            </w:pPr>
          </w:p>
          <w:p>
            <w:pPr>
              <w:pStyle w:val="35"/>
              <w:ind w:firstLine="480"/>
              <w:rPr>
                <w:rFonts w:eastAsiaTheme="minorEastAsia"/>
                <w:bCs/>
              </w:rPr>
            </w:pPr>
          </w:p>
          <w:p>
            <w:pPr>
              <w:pStyle w:val="35"/>
              <w:ind w:firstLine="480"/>
              <w:rPr>
                <w:rFonts w:eastAsiaTheme="minorEastAsia"/>
                <w:bCs/>
              </w:rPr>
            </w:pPr>
          </w:p>
          <w:p>
            <w:pPr>
              <w:pStyle w:val="35"/>
              <w:ind w:firstLine="480"/>
              <w:rPr>
                <w:rFonts w:eastAsiaTheme="minorEastAsia"/>
                <w:bCs/>
              </w:rPr>
            </w:pPr>
          </w:p>
          <w:p>
            <w:pPr>
              <w:pStyle w:val="35"/>
              <w:ind w:firstLine="480"/>
              <w:rPr>
                <w:rFonts w:eastAsiaTheme="minorEastAsia"/>
                <w:bCs/>
              </w:rPr>
            </w:pPr>
          </w:p>
          <w:p>
            <w:pPr>
              <w:pStyle w:val="35"/>
              <w:ind w:firstLine="480"/>
              <w:rPr>
                <w:rFonts w:eastAsiaTheme="minorEastAsia"/>
                <w:bCs/>
              </w:rPr>
            </w:pPr>
          </w:p>
          <w:p>
            <w:pPr>
              <w:pStyle w:val="35"/>
              <w:ind w:firstLine="480"/>
              <w:rPr>
                <w:rFonts w:eastAsiaTheme="minorEastAsia"/>
                <w:bCs/>
              </w:rPr>
            </w:pPr>
          </w:p>
          <w:p>
            <w:pPr>
              <w:pStyle w:val="35"/>
              <w:ind w:firstLine="480"/>
              <w:rPr>
                <w:rFonts w:eastAsiaTheme="minorEastAsia"/>
                <w:bCs/>
              </w:rPr>
            </w:pPr>
          </w:p>
          <w:p>
            <w:pPr>
              <w:pStyle w:val="35"/>
              <w:ind w:firstLine="480"/>
              <w:rPr>
                <w:rFonts w:eastAsiaTheme="minorEastAsia"/>
                <w:bCs/>
              </w:rPr>
            </w:pPr>
          </w:p>
          <w:p>
            <w:pPr>
              <w:pStyle w:val="35"/>
              <w:ind w:firstLine="480"/>
              <w:rPr>
                <w:rFonts w:eastAsiaTheme="minorEastAsia"/>
                <w:bCs/>
              </w:rPr>
            </w:pPr>
          </w:p>
          <w:p>
            <w:pPr>
              <w:pStyle w:val="35"/>
              <w:ind w:firstLine="480"/>
              <w:rPr>
                <w:rFonts w:eastAsiaTheme="minorEastAsia"/>
                <w:szCs w:val="24"/>
              </w:rPr>
            </w:pPr>
          </w:p>
        </w:tc>
      </w:tr>
    </w:tbl>
    <w:p>
      <w:pPr>
        <w:pageBreakBefore/>
        <w:spacing w:line="360" w:lineRule="auto"/>
        <w:jc w:val="left"/>
        <w:outlineLvl w:val="0"/>
        <w:rPr>
          <w:rFonts w:ascii="Times New Roman" w:hAnsi="Times New Roman" w:cs="Times New Roman"/>
          <w:b/>
          <w:color w:val="000000" w:themeColor="text1"/>
          <w:sz w:val="28"/>
          <w:szCs w:val="20"/>
          <w14:textFill>
            <w14:solidFill>
              <w14:schemeClr w14:val="tx1"/>
            </w14:solidFill>
          </w14:textFill>
        </w:rPr>
      </w:pPr>
      <w:bookmarkStart w:id="20" w:name="_Toc351"/>
      <w:r>
        <w:rPr>
          <w:rFonts w:ascii="Times New Roman" w:hAnsi="Times New Roman" w:cs="Times New Roman"/>
          <w:b/>
          <w:color w:val="000000" w:themeColor="text1"/>
          <w:sz w:val="28"/>
          <w:szCs w:val="20"/>
          <w14:textFill>
            <w14:solidFill>
              <w14:schemeClr w14:val="tx1"/>
            </w14:solidFill>
          </w14:textFill>
        </w:rPr>
        <w:t>五、环境保护措施监督检查清单</w:t>
      </w:r>
      <w:bookmarkEnd w:id="20"/>
    </w:p>
    <w:tbl>
      <w:tblPr>
        <w:tblStyle w:val="17"/>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1"/>
        <w:gridCol w:w="851"/>
        <w:gridCol w:w="852"/>
        <w:gridCol w:w="859"/>
        <w:gridCol w:w="1135"/>
        <w:gridCol w:w="3104"/>
        <w:gridCol w:w="16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tcBorders>
              <w:tl2br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 xml:space="preserve">  内容</w:t>
            </w:r>
          </w:p>
          <w:p>
            <w:pPr>
              <w:spacing w:line="360" w:lineRule="exact"/>
              <w:jc w:val="left"/>
              <w:rPr>
                <w:rFonts w:ascii="Times New Roman" w:hAnsi="Times New Roman" w:cs="Times New Roman"/>
              </w:rPr>
            </w:pPr>
            <w:r>
              <w:rPr>
                <w:rFonts w:ascii="Times New Roman" w:hAnsi="Times New Roman" w:cs="Times New Roman"/>
              </w:rPr>
              <w:t>要素</w:t>
            </w:r>
          </w:p>
        </w:tc>
        <w:tc>
          <w:tcPr>
            <w:tcW w:w="2562" w:type="dxa"/>
            <w:gridSpan w:val="3"/>
            <w:vAlign w:val="center"/>
          </w:tcPr>
          <w:p>
            <w:pPr>
              <w:spacing w:line="360" w:lineRule="exact"/>
              <w:jc w:val="center"/>
              <w:rPr>
                <w:rFonts w:ascii="Times New Roman" w:hAnsi="Times New Roman" w:cs="Times New Roman"/>
              </w:rPr>
            </w:pPr>
            <w:r>
              <w:rPr>
                <w:rFonts w:ascii="Times New Roman" w:hAnsi="Times New Roman" w:cs="Times New Roman"/>
              </w:rPr>
              <w:t>排放口（编号、名称）/污染源</w:t>
            </w:r>
          </w:p>
        </w:tc>
        <w:tc>
          <w:tcPr>
            <w:tcW w:w="1135" w:type="dxa"/>
            <w:vAlign w:val="center"/>
          </w:tcPr>
          <w:p>
            <w:pPr>
              <w:spacing w:line="360" w:lineRule="exact"/>
              <w:jc w:val="center"/>
              <w:rPr>
                <w:rFonts w:ascii="Times New Roman" w:hAnsi="Times New Roman" w:cs="Times New Roman"/>
              </w:rPr>
            </w:pPr>
            <w:r>
              <w:rPr>
                <w:rFonts w:ascii="Times New Roman" w:hAnsi="Times New Roman" w:cs="Times New Roman"/>
              </w:rPr>
              <w:t>污染物项目</w:t>
            </w:r>
          </w:p>
        </w:tc>
        <w:tc>
          <w:tcPr>
            <w:tcW w:w="3104" w:type="dxa"/>
            <w:vAlign w:val="center"/>
          </w:tcPr>
          <w:p>
            <w:pPr>
              <w:spacing w:line="360" w:lineRule="exact"/>
              <w:jc w:val="center"/>
              <w:rPr>
                <w:rFonts w:ascii="Times New Roman" w:hAnsi="Times New Roman" w:cs="Times New Roman"/>
              </w:rPr>
            </w:pPr>
            <w:r>
              <w:rPr>
                <w:rFonts w:ascii="Times New Roman" w:hAnsi="Times New Roman" w:cs="Times New Roman"/>
              </w:rPr>
              <w:t>环境保护措施</w:t>
            </w:r>
          </w:p>
        </w:tc>
        <w:tc>
          <w:tcPr>
            <w:tcW w:w="1604" w:type="dxa"/>
            <w:vAlign w:val="center"/>
          </w:tcPr>
          <w:p>
            <w:pPr>
              <w:spacing w:line="360" w:lineRule="exact"/>
              <w:jc w:val="center"/>
              <w:rPr>
                <w:rFonts w:ascii="Times New Roman" w:hAnsi="Times New Roman" w:cs="Times New Roman"/>
              </w:rPr>
            </w:pPr>
            <w:r>
              <w:rPr>
                <w:rFonts w:ascii="Times New Roman" w:hAnsi="Times New Roman" w:cs="Times New Roman"/>
              </w:rPr>
              <w:t>执行标准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Align w:val="center"/>
          </w:tcPr>
          <w:p>
            <w:pPr>
              <w:spacing w:line="360" w:lineRule="exact"/>
              <w:jc w:val="center"/>
              <w:rPr>
                <w:rFonts w:ascii="Times New Roman" w:hAnsi="Times New Roman" w:cs="Times New Roman"/>
              </w:rPr>
            </w:pPr>
            <w:r>
              <w:rPr>
                <w:rFonts w:ascii="Times New Roman" w:hAnsi="Times New Roman" w:cs="Times New Roman"/>
              </w:rPr>
              <w:t>大气环境</w:t>
            </w:r>
          </w:p>
        </w:tc>
        <w:tc>
          <w:tcPr>
            <w:tcW w:w="851" w:type="dxa"/>
            <w:vAlign w:val="center"/>
          </w:tcPr>
          <w:p>
            <w:pPr>
              <w:pStyle w:val="28"/>
              <w:spacing w:line="360" w:lineRule="exact"/>
              <w:rPr>
                <w:color w:val="auto"/>
                <w:szCs w:val="21"/>
              </w:rPr>
            </w:pPr>
            <w:r>
              <w:rPr>
                <w:color w:val="auto"/>
                <w:szCs w:val="21"/>
              </w:rPr>
              <w:t>产品库</w:t>
            </w:r>
          </w:p>
        </w:tc>
        <w:tc>
          <w:tcPr>
            <w:tcW w:w="852" w:type="dxa"/>
            <w:vAlign w:val="center"/>
          </w:tcPr>
          <w:p>
            <w:pPr>
              <w:pStyle w:val="28"/>
              <w:spacing w:line="360" w:lineRule="exact"/>
              <w:rPr>
                <w:color w:val="auto"/>
                <w:szCs w:val="21"/>
              </w:rPr>
            </w:pPr>
            <w:r>
              <w:rPr>
                <w:color w:val="auto"/>
                <w:szCs w:val="21"/>
              </w:rPr>
              <w:t>装卸、暂存</w:t>
            </w:r>
          </w:p>
        </w:tc>
        <w:tc>
          <w:tcPr>
            <w:tcW w:w="859" w:type="dxa"/>
            <w:vAlign w:val="center"/>
          </w:tcPr>
          <w:p>
            <w:pPr>
              <w:pStyle w:val="28"/>
              <w:spacing w:line="360" w:lineRule="exact"/>
              <w:rPr>
                <w:rFonts w:eastAsiaTheme="minorEastAsia"/>
                <w:bCs w:val="0"/>
                <w:snapToGrid/>
                <w:color w:val="auto"/>
                <w:kern w:val="0"/>
                <w:szCs w:val="21"/>
                <w:lang w:val="en-US"/>
              </w:rPr>
            </w:pPr>
            <w:r>
              <w:rPr>
                <w:rFonts w:eastAsiaTheme="minorEastAsia"/>
                <w:bCs w:val="0"/>
                <w:snapToGrid/>
                <w:color w:val="auto"/>
                <w:kern w:val="0"/>
                <w:szCs w:val="21"/>
                <w:lang w:val="en-US"/>
              </w:rPr>
              <w:t>无组织</w:t>
            </w:r>
          </w:p>
        </w:tc>
        <w:tc>
          <w:tcPr>
            <w:tcW w:w="1135" w:type="dxa"/>
            <w:vAlign w:val="center"/>
          </w:tcPr>
          <w:p>
            <w:pPr>
              <w:pStyle w:val="28"/>
              <w:rPr>
                <w:rFonts w:eastAsiaTheme="minorEastAsia"/>
                <w:color w:val="auto"/>
                <w:szCs w:val="21"/>
              </w:rPr>
            </w:pPr>
            <w:r>
              <w:rPr>
                <w:rFonts w:eastAsiaTheme="minorEastAsia"/>
                <w:color w:val="auto"/>
                <w:szCs w:val="21"/>
              </w:rPr>
              <w:t>颗粒物</w:t>
            </w:r>
          </w:p>
        </w:tc>
        <w:tc>
          <w:tcPr>
            <w:tcW w:w="3104" w:type="dxa"/>
            <w:vAlign w:val="center"/>
          </w:tcPr>
          <w:p>
            <w:pPr>
              <w:pStyle w:val="28"/>
              <w:spacing w:line="360" w:lineRule="exact"/>
              <w:ind w:firstLine="210" w:firstLineChars="100"/>
              <w:jc w:val="both"/>
              <w:rPr>
                <w:rFonts w:eastAsiaTheme="minorEastAsia"/>
                <w:color w:val="auto"/>
                <w:szCs w:val="21"/>
              </w:rPr>
            </w:pPr>
            <w:r>
              <w:rPr>
                <w:rFonts w:eastAsiaTheme="minorEastAsia"/>
                <w:color w:val="auto"/>
                <w:szCs w:val="21"/>
              </w:rPr>
              <w:t>为最大限度降低扬尘对环境造成的影响，项目拟将产品库设置为车间式全封闭库房，则其扬尘抑制率约为90%。</w:t>
            </w:r>
          </w:p>
        </w:tc>
        <w:tc>
          <w:tcPr>
            <w:tcW w:w="1604" w:type="dxa"/>
            <w:vAlign w:val="center"/>
          </w:tcPr>
          <w:p>
            <w:pPr>
              <w:pStyle w:val="28"/>
              <w:spacing w:line="360" w:lineRule="exact"/>
              <w:ind w:firstLine="210" w:firstLineChars="100"/>
              <w:jc w:val="both"/>
              <w:rPr>
                <w:color w:val="auto"/>
                <w:szCs w:val="24"/>
              </w:rPr>
            </w:pPr>
            <w:r>
              <w:rPr>
                <w:color w:val="auto"/>
                <w:szCs w:val="24"/>
              </w:rPr>
              <w:t>《大气污染物综合排放标准》（GB16297-1996）无组织排放标准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restart"/>
            <w:vAlign w:val="center"/>
          </w:tcPr>
          <w:p>
            <w:pPr>
              <w:spacing w:line="360" w:lineRule="exact"/>
              <w:jc w:val="center"/>
              <w:rPr>
                <w:rFonts w:ascii="Times New Roman" w:hAnsi="Times New Roman" w:cs="Times New Roman"/>
              </w:rPr>
            </w:pPr>
            <w:r>
              <w:rPr>
                <w:rFonts w:ascii="Times New Roman" w:hAnsi="Times New Roman" w:cs="Times New Roman"/>
              </w:rPr>
              <w:t>地表水环境</w:t>
            </w:r>
          </w:p>
        </w:tc>
        <w:tc>
          <w:tcPr>
            <w:tcW w:w="851" w:type="dxa"/>
            <w:vAlign w:val="center"/>
          </w:tcPr>
          <w:p>
            <w:pPr>
              <w:pStyle w:val="28"/>
              <w:spacing w:line="360" w:lineRule="exact"/>
              <w:rPr>
                <w:color w:val="auto"/>
                <w:szCs w:val="21"/>
              </w:rPr>
            </w:pPr>
            <w:r>
              <w:rPr>
                <w:color w:val="auto"/>
                <w:szCs w:val="21"/>
              </w:rPr>
              <w:t>生产车间</w:t>
            </w:r>
          </w:p>
        </w:tc>
        <w:tc>
          <w:tcPr>
            <w:tcW w:w="852" w:type="dxa"/>
            <w:vAlign w:val="center"/>
          </w:tcPr>
          <w:p>
            <w:pPr>
              <w:pStyle w:val="28"/>
              <w:spacing w:line="360" w:lineRule="exact"/>
              <w:rPr>
                <w:color w:val="auto"/>
                <w:szCs w:val="21"/>
              </w:rPr>
            </w:pPr>
            <w:r>
              <w:rPr>
                <w:color w:val="auto"/>
                <w:szCs w:val="21"/>
              </w:rPr>
              <w:t>生产系统</w:t>
            </w:r>
          </w:p>
        </w:tc>
        <w:tc>
          <w:tcPr>
            <w:tcW w:w="859" w:type="dxa"/>
            <w:vAlign w:val="center"/>
          </w:tcPr>
          <w:p>
            <w:pPr>
              <w:pStyle w:val="28"/>
              <w:spacing w:line="360" w:lineRule="exact"/>
              <w:rPr>
                <w:rFonts w:eastAsiaTheme="minorEastAsia"/>
                <w:bCs w:val="0"/>
                <w:snapToGrid/>
                <w:color w:val="auto"/>
                <w:kern w:val="0"/>
                <w:szCs w:val="21"/>
                <w:lang w:val="en-US"/>
              </w:rPr>
            </w:pPr>
            <w:r>
              <w:rPr>
                <w:rFonts w:eastAsiaTheme="minorEastAsia"/>
                <w:bCs w:val="0"/>
                <w:snapToGrid/>
                <w:color w:val="auto"/>
                <w:kern w:val="0"/>
                <w:szCs w:val="21"/>
                <w:lang w:val="en-US"/>
              </w:rPr>
              <w:t>--</w:t>
            </w:r>
          </w:p>
        </w:tc>
        <w:tc>
          <w:tcPr>
            <w:tcW w:w="1135"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生产废水（pH、CODcr</w:t>
            </w:r>
            <w:r>
              <w:rPr>
                <w:rFonts w:eastAsiaTheme="minorEastAsia"/>
                <w:color w:val="auto"/>
                <w:szCs w:val="21"/>
              </w:rPr>
              <w:t>、</w:t>
            </w:r>
            <w:r>
              <w:rPr>
                <w:rFonts w:eastAsiaTheme="minorEastAsia"/>
                <w:color w:val="auto"/>
                <w:szCs w:val="21"/>
                <w:lang w:val="en-US"/>
              </w:rPr>
              <w:t>SS</w:t>
            </w:r>
            <w:r>
              <w:rPr>
                <w:rFonts w:eastAsiaTheme="minorEastAsia"/>
                <w:color w:val="auto"/>
                <w:szCs w:val="21"/>
              </w:rPr>
              <w:t>、</w:t>
            </w:r>
            <w:r>
              <w:rPr>
                <w:rFonts w:eastAsiaTheme="minorEastAsia"/>
                <w:color w:val="auto"/>
                <w:szCs w:val="21"/>
                <w:lang w:val="en-US"/>
              </w:rPr>
              <w:t>NH</w:t>
            </w:r>
            <w:r>
              <w:rPr>
                <w:rFonts w:eastAsiaTheme="minorEastAsia"/>
                <w:color w:val="auto"/>
                <w:szCs w:val="21"/>
                <w:vertAlign w:val="subscript"/>
                <w:lang w:val="en-US"/>
              </w:rPr>
              <w:t>3</w:t>
            </w:r>
            <w:r>
              <w:rPr>
                <w:rFonts w:eastAsiaTheme="minorEastAsia"/>
                <w:color w:val="auto"/>
                <w:szCs w:val="21"/>
                <w:lang w:val="en-US"/>
              </w:rPr>
              <w:t>-N）</w:t>
            </w:r>
          </w:p>
        </w:tc>
        <w:tc>
          <w:tcPr>
            <w:tcW w:w="3104" w:type="dxa"/>
            <w:vAlign w:val="center"/>
          </w:tcPr>
          <w:p>
            <w:pPr>
              <w:pStyle w:val="28"/>
              <w:spacing w:line="360" w:lineRule="exact"/>
              <w:ind w:firstLine="210" w:firstLineChars="100"/>
              <w:jc w:val="both"/>
              <w:rPr>
                <w:rFonts w:eastAsiaTheme="minorEastAsia"/>
                <w:color w:val="auto"/>
                <w:szCs w:val="21"/>
              </w:rPr>
            </w:pPr>
            <w:r>
              <w:rPr>
                <w:rFonts w:eastAsiaTheme="minorEastAsia"/>
                <w:color w:val="auto"/>
                <w:szCs w:val="21"/>
              </w:rPr>
              <w:t>项目生产废水主要为洗砂废水，项目拟设置一套生产废水处理系统对其进行处理，该系统由2个生产废水收集池、2个污水处理塔、2个清水池、2个泥浆回收池和4台污泥压滤机组成；项目生产废水经处理后完全回用，不外排。</w:t>
            </w:r>
          </w:p>
        </w:tc>
        <w:tc>
          <w:tcPr>
            <w:tcW w:w="1604" w:type="dxa"/>
            <w:vAlign w:val="center"/>
          </w:tcPr>
          <w:p>
            <w:pPr>
              <w:pStyle w:val="28"/>
              <w:spacing w:line="360" w:lineRule="exact"/>
              <w:ind w:firstLine="210" w:firstLineChars="100"/>
              <w:jc w:val="both"/>
              <w:rPr>
                <w:color w:val="auto"/>
                <w:szCs w:val="24"/>
              </w:rPr>
            </w:pPr>
            <w:r>
              <w:rPr>
                <w:color w:val="auto"/>
                <w:szCs w:val="24"/>
              </w:rPr>
              <w:t>不外排；执行《城市污水再生利用  工业用水水质》（GB/T 19923-2005）标准。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rPr>
            </w:pPr>
          </w:p>
        </w:tc>
        <w:tc>
          <w:tcPr>
            <w:tcW w:w="1703" w:type="dxa"/>
            <w:gridSpan w:val="2"/>
            <w:tcBorders>
              <w:right w:val="single" w:color="auto" w:sz="4" w:space="0"/>
            </w:tcBorders>
            <w:vAlign w:val="center"/>
          </w:tcPr>
          <w:p>
            <w:pPr>
              <w:pStyle w:val="28"/>
              <w:spacing w:line="360" w:lineRule="exact"/>
              <w:rPr>
                <w:color w:val="auto"/>
                <w:szCs w:val="21"/>
              </w:rPr>
            </w:pPr>
            <w:r>
              <w:rPr>
                <w:color w:val="auto"/>
                <w:szCs w:val="21"/>
              </w:rPr>
              <w:t>员工生活</w:t>
            </w:r>
          </w:p>
        </w:tc>
        <w:tc>
          <w:tcPr>
            <w:tcW w:w="859" w:type="dxa"/>
            <w:tcBorders>
              <w:left w:val="single" w:color="auto" w:sz="4" w:space="0"/>
            </w:tcBorders>
            <w:vAlign w:val="center"/>
          </w:tcPr>
          <w:p>
            <w:pPr>
              <w:pStyle w:val="28"/>
              <w:spacing w:line="360" w:lineRule="exact"/>
              <w:rPr>
                <w:color w:val="auto"/>
                <w:szCs w:val="21"/>
              </w:rPr>
            </w:pPr>
            <w:r>
              <w:rPr>
                <w:color w:val="auto"/>
                <w:szCs w:val="21"/>
              </w:rPr>
              <w:t>一体化污水处理设施</w:t>
            </w:r>
          </w:p>
        </w:tc>
        <w:tc>
          <w:tcPr>
            <w:tcW w:w="1135" w:type="dxa"/>
            <w:vAlign w:val="center"/>
          </w:tcPr>
          <w:p>
            <w:pPr>
              <w:pStyle w:val="28"/>
              <w:rPr>
                <w:rFonts w:eastAsiaTheme="minorEastAsia"/>
                <w:color w:val="auto"/>
                <w:sz w:val="20"/>
                <w:szCs w:val="21"/>
              </w:rPr>
            </w:pPr>
            <w:r>
              <w:rPr>
                <w:rFonts w:eastAsiaTheme="minorEastAsia"/>
                <w:color w:val="auto"/>
                <w:szCs w:val="21"/>
              </w:rPr>
              <w:t>生活污水（pH、CODcr、BOD</w:t>
            </w:r>
            <w:r>
              <w:rPr>
                <w:rFonts w:eastAsiaTheme="minorEastAsia"/>
                <w:color w:val="auto"/>
                <w:szCs w:val="21"/>
                <w:vertAlign w:val="subscript"/>
              </w:rPr>
              <w:t>5</w:t>
            </w:r>
            <w:r>
              <w:rPr>
                <w:rFonts w:eastAsiaTheme="minorEastAsia"/>
                <w:color w:val="auto"/>
                <w:szCs w:val="21"/>
              </w:rPr>
              <w:t>、NH</w:t>
            </w:r>
            <w:r>
              <w:rPr>
                <w:rFonts w:eastAsiaTheme="minorEastAsia"/>
                <w:color w:val="auto"/>
                <w:szCs w:val="21"/>
                <w:vertAlign w:val="subscript"/>
              </w:rPr>
              <w:t>3</w:t>
            </w:r>
            <w:r>
              <w:rPr>
                <w:rFonts w:eastAsiaTheme="minorEastAsia"/>
                <w:color w:val="auto"/>
                <w:szCs w:val="21"/>
              </w:rPr>
              <w:t>-N、SS、总磷、总氮、阴离子表面活性剂、粪大肠菌群数）</w:t>
            </w:r>
          </w:p>
        </w:tc>
        <w:tc>
          <w:tcPr>
            <w:tcW w:w="3104" w:type="dxa"/>
            <w:vAlign w:val="center"/>
          </w:tcPr>
          <w:p>
            <w:pPr>
              <w:pStyle w:val="28"/>
              <w:spacing w:line="360" w:lineRule="exact"/>
              <w:ind w:firstLine="210" w:firstLineChars="100"/>
              <w:jc w:val="both"/>
              <w:rPr>
                <w:rFonts w:eastAsiaTheme="minorEastAsia"/>
                <w:color w:val="auto"/>
                <w:szCs w:val="21"/>
              </w:rPr>
            </w:pPr>
            <w:r>
              <w:rPr>
                <w:rFonts w:eastAsiaTheme="minorEastAsia"/>
                <w:color w:val="auto"/>
                <w:szCs w:val="21"/>
              </w:rPr>
              <w:t>项目拟设置一个有效容积为2m³的化粪池、处理规模为2m³/d的一体化污水处理设施和一个有效容积为8m³的再生水收集池；项目生活污水经化粪池和一体化污水处理设施处理后，回用于绿化不外排。</w:t>
            </w:r>
          </w:p>
        </w:tc>
        <w:tc>
          <w:tcPr>
            <w:tcW w:w="1604" w:type="dxa"/>
            <w:tcBorders>
              <w:top w:val="single" w:color="auto" w:sz="4" w:space="0"/>
            </w:tcBorders>
            <w:vAlign w:val="center"/>
          </w:tcPr>
          <w:p>
            <w:pPr>
              <w:pStyle w:val="28"/>
              <w:spacing w:line="360" w:lineRule="exact"/>
              <w:ind w:firstLine="210" w:firstLineChars="100"/>
              <w:jc w:val="both"/>
              <w:rPr>
                <w:color w:val="auto"/>
                <w:szCs w:val="24"/>
              </w:rPr>
            </w:pPr>
            <w:r>
              <w:rPr>
                <w:color w:val="auto"/>
                <w:szCs w:val="24"/>
              </w:rPr>
              <w:t>不外排；执行《城市污水再生利用 城市杂用水水质》（GB/T18920-2020）城市绿化标准。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rPr>
            </w:pPr>
          </w:p>
        </w:tc>
        <w:tc>
          <w:tcPr>
            <w:tcW w:w="1703" w:type="dxa"/>
            <w:gridSpan w:val="2"/>
            <w:vMerge w:val="restart"/>
            <w:tcBorders>
              <w:right w:val="single" w:color="auto" w:sz="4" w:space="0"/>
            </w:tcBorders>
            <w:vAlign w:val="center"/>
          </w:tcPr>
          <w:p>
            <w:pPr>
              <w:pStyle w:val="28"/>
              <w:spacing w:line="360" w:lineRule="exact"/>
              <w:rPr>
                <w:color w:val="auto"/>
                <w:szCs w:val="21"/>
              </w:rPr>
            </w:pPr>
            <w:r>
              <w:rPr>
                <w:rFonts w:eastAsiaTheme="minorEastAsia"/>
                <w:bCs w:val="0"/>
                <w:snapToGrid/>
                <w:color w:val="auto"/>
                <w:kern w:val="0"/>
                <w:szCs w:val="21"/>
                <w:lang w:val="en-US"/>
              </w:rPr>
              <w:t>厂区</w:t>
            </w:r>
          </w:p>
        </w:tc>
        <w:tc>
          <w:tcPr>
            <w:tcW w:w="859" w:type="dxa"/>
            <w:tcBorders>
              <w:left w:val="single" w:color="auto" w:sz="4" w:space="0"/>
            </w:tcBorders>
            <w:vAlign w:val="center"/>
          </w:tcPr>
          <w:p>
            <w:pPr>
              <w:pStyle w:val="28"/>
              <w:spacing w:line="360" w:lineRule="exact"/>
              <w:rPr>
                <w:rFonts w:eastAsiaTheme="minorEastAsia"/>
                <w:bCs w:val="0"/>
                <w:snapToGrid/>
                <w:color w:val="auto"/>
                <w:kern w:val="0"/>
                <w:szCs w:val="21"/>
                <w:lang w:val="en-US"/>
              </w:rPr>
            </w:pPr>
            <w:r>
              <w:rPr>
                <w:rFonts w:eastAsiaTheme="minorEastAsia"/>
                <w:color w:val="auto"/>
                <w:szCs w:val="21"/>
              </w:rPr>
              <w:t>初期雨水</w:t>
            </w:r>
          </w:p>
        </w:tc>
        <w:tc>
          <w:tcPr>
            <w:tcW w:w="1135" w:type="dxa"/>
            <w:vAlign w:val="center"/>
          </w:tcPr>
          <w:p>
            <w:pPr>
              <w:pStyle w:val="28"/>
              <w:rPr>
                <w:rFonts w:eastAsiaTheme="minorEastAsia"/>
                <w:color w:val="auto"/>
                <w:szCs w:val="21"/>
              </w:rPr>
            </w:pPr>
            <w:r>
              <w:rPr>
                <w:rFonts w:eastAsiaTheme="minorEastAsia"/>
                <w:color w:val="auto"/>
                <w:szCs w:val="21"/>
              </w:rPr>
              <w:t>CODcr、NH</w:t>
            </w:r>
            <w:r>
              <w:rPr>
                <w:rFonts w:eastAsiaTheme="minorEastAsia"/>
                <w:color w:val="auto"/>
                <w:szCs w:val="21"/>
                <w:vertAlign w:val="subscript"/>
              </w:rPr>
              <w:t>3</w:t>
            </w:r>
            <w:r>
              <w:rPr>
                <w:rFonts w:eastAsiaTheme="minorEastAsia"/>
                <w:color w:val="auto"/>
                <w:szCs w:val="21"/>
              </w:rPr>
              <w:t>-N、SS、总磷</w:t>
            </w:r>
          </w:p>
        </w:tc>
        <w:tc>
          <w:tcPr>
            <w:tcW w:w="3104" w:type="dxa"/>
            <w:vAlign w:val="center"/>
          </w:tcPr>
          <w:p>
            <w:pPr>
              <w:pStyle w:val="28"/>
              <w:spacing w:line="360" w:lineRule="exact"/>
              <w:ind w:firstLine="210" w:firstLineChars="100"/>
              <w:jc w:val="both"/>
              <w:rPr>
                <w:rFonts w:eastAsiaTheme="minorEastAsia"/>
                <w:color w:val="auto"/>
                <w:szCs w:val="21"/>
              </w:rPr>
            </w:pPr>
            <w:r>
              <w:rPr>
                <w:rFonts w:eastAsiaTheme="minorEastAsia"/>
                <w:color w:val="auto"/>
                <w:szCs w:val="21"/>
              </w:rPr>
              <w:t>项目拟在厂房外围及厂区周围设置900m的截排水沟对雨天厂区产生的初期雨水及地表径流进行疏导，初期雨水通过截排水沟收集后进入有效容积不低于20m³的初期雨水收集池沉淀后回用于生产，不外排。</w:t>
            </w:r>
          </w:p>
        </w:tc>
        <w:tc>
          <w:tcPr>
            <w:tcW w:w="1604" w:type="dxa"/>
            <w:tcBorders>
              <w:top w:val="single" w:color="auto" w:sz="4" w:space="0"/>
            </w:tcBorders>
            <w:vAlign w:val="center"/>
          </w:tcPr>
          <w:p>
            <w:pPr>
              <w:pStyle w:val="28"/>
              <w:spacing w:line="360" w:lineRule="exact"/>
              <w:ind w:firstLine="210" w:firstLineChars="100"/>
              <w:jc w:val="both"/>
              <w:rPr>
                <w:rFonts w:eastAsiaTheme="minorEastAsia"/>
                <w:color w:val="auto"/>
                <w:szCs w:val="21"/>
              </w:rPr>
            </w:pPr>
            <w:r>
              <w:rPr>
                <w:rFonts w:eastAsiaTheme="minorEastAsia"/>
                <w:bCs w:val="0"/>
                <w:snapToGrid/>
                <w:color w:val="auto"/>
                <w:kern w:val="0"/>
                <w:szCs w:val="21"/>
                <w:lang w:val="en-US"/>
              </w:rPr>
              <w:t>不外排；执行</w:t>
            </w:r>
            <w:r>
              <w:rPr>
                <w:rFonts w:eastAsiaTheme="minorEastAsia"/>
                <w:color w:val="auto"/>
              </w:rPr>
              <w:t>《城市污水再生利用  工业用水水质》（GB/T 19923-2005）标准。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rPr>
            </w:pPr>
          </w:p>
        </w:tc>
        <w:tc>
          <w:tcPr>
            <w:tcW w:w="1703" w:type="dxa"/>
            <w:gridSpan w:val="2"/>
            <w:vMerge w:val="continue"/>
            <w:tcBorders>
              <w:right w:val="single" w:color="auto" w:sz="4" w:space="0"/>
            </w:tcBorders>
            <w:vAlign w:val="center"/>
          </w:tcPr>
          <w:p>
            <w:pPr>
              <w:pStyle w:val="28"/>
              <w:spacing w:line="360" w:lineRule="exact"/>
              <w:rPr>
                <w:rFonts w:eastAsiaTheme="minorEastAsia"/>
                <w:bCs w:val="0"/>
                <w:snapToGrid/>
                <w:color w:val="auto"/>
                <w:kern w:val="0"/>
                <w:szCs w:val="21"/>
                <w:lang w:val="en-US"/>
              </w:rPr>
            </w:pPr>
          </w:p>
        </w:tc>
        <w:tc>
          <w:tcPr>
            <w:tcW w:w="859" w:type="dxa"/>
            <w:tcBorders>
              <w:left w:val="single" w:color="auto" w:sz="4" w:space="0"/>
            </w:tcBorders>
            <w:vAlign w:val="center"/>
          </w:tcPr>
          <w:p>
            <w:pPr>
              <w:pStyle w:val="28"/>
              <w:spacing w:line="360" w:lineRule="exact"/>
              <w:rPr>
                <w:rFonts w:eastAsiaTheme="minorEastAsia"/>
                <w:bCs w:val="0"/>
                <w:snapToGrid/>
                <w:color w:val="auto"/>
                <w:kern w:val="0"/>
                <w:szCs w:val="21"/>
                <w:lang w:val="en-US"/>
              </w:rPr>
            </w:pPr>
            <w:r>
              <w:rPr>
                <w:rFonts w:eastAsiaTheme="minorEastAsia"/>
                <w:bCs w:val="0"/>
                <w:snapToGrid/>
                <w:color w:val="auto"/>
                <w:kern w:val="0"/>
                <w:szCs w:val="21"/>
                <w:lang w:val="en-US"/>
              </w:rPr>
              <w:t>雨水口</w:t>
            </w:r>
          </w:p>
        </w:tc>
        <w:tc>
          <w:tcPr>
            <w:tcW w:w="1135" w:type="dxa"/>
            <w:vAlign w:val="center"/>
          </w:tcPr>
          <w:p>
            <w:pPr>
              <w:pStyle w:val="28"/>
              <w:spacing w:line="360" w:lineRule="exact"/>
              <w:rPr>
                <w:rFonts w:eastAsiaTheme="minorEastAsia"/>
                <w:bCs w:val="0"/>
                <w:snapToGrid/>
                <w:color w:val="auto"/>
                <w:kern w:val="0"/>
                <w:szCs w:val="21"/>
                <w:lang w:val="en-US"/>
              </w:rPr>
            </w:pPr>
            <w:r>
              <w:rPr>
                <w:rFonts w:eastAsiaTheme="minorEastAsia"/>
                <w:bCs w:val="0"/>
                <w:snapToGrid/>
                <w:color w:val="auto"/>
                <w:kern w:val="0"/>
                <w:szCs w:val="21"/>
                <w:lang w:val="en-US"/>
              </w:rPr>
              <w:t>雨水</w:t>
            </w:r>
          </w:p>
        </w:tc>
        <w:tc>
          <w:tcPr>
            <w:tcW w:w="3104" w:type="dxa"/>
            <w:vAlign w:val="center"/>
          </w:tcPr>
          <w:p>
            <w:pPr>
              <w:pStyle w:val="28"/>
              <w:spacing w:line="360" w:lineRule="exact"/>
              <w:ind w:firstLine="210" w:firstLineChars="100"/>
              <w:jc w:val="both"/>
              <w:rPr>
                <w:rFonts w:eastAsiaTheme="minorEastAsia"/>
                <w:color w:val="auto"/>
                <w:szCs w:val="21"/>
              </w:rPr>
            </w:pPr>
            <w:r>
              <w:rPr>
                <w:rFonts w:eastAsiaTheme="minorEastAsia"/>
                <w:color w:val="auto"/>
                <w:szCs w:val="21"/>
              </w:rPr>
              <w:t>雨水外排。</w:t>
            </w:r>
          </w:p>
        </w:tc>
        <w:tc>
          <w:tcPr>
            <w:tcW w:w="1604" w:type="dxa"/>
            <w:vAlign w:val="center"/>
          </w:tcPr>
          <w:p>
            <w:pPr>
              <w:spacing w:line="360" w:lineRule="exact"/>
              <w:jc w:val="center"/>
              <w:rPr>
                <w:rFonts w:ascii="Times New Roman" w:hAnsi="Times New Roman" w:cs="Times New Roman"/>
              </w:rPr>
            </w:pPr>
            <w:r>
              <w:rPr>
                <w:rFonts w:ascii="Times New Roman" w:hAnsi="Times New Roman" w:cs="Times New Roma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restart"/>
            <w:vAlign w:val="center"/>
          </w:tcPr>
          <w:p>
            <w:pPr>
              <w:spacing w:line="360" w:lineRule="exact"/>
              <w:jc w:val="center"/>
              <w:rPr>
                <w:rFonts w:ascii="Times New Roman" w:hAnsi="Times New Roman" w:cs="Times New Roman"/>
                <w:kern w:val="0"/>
              </w:rPr>
            </w:pPr>
            <w:r>
              <w:rPr>
                <w:rFonts w:ascii="Times New Roman" w:hAnsi="Times New Roman" w:cs="Times New Roman"/>
                <w:kern w:val="0"/>
              </w:rPr>
              <w:t>声环境</w:t>
            </w:r>
          </w:p>
        </w:tc>
        <w:tc>
          <w:tcPr>
            <w:tcW w:w="851" w:type="dxa"/>
            <w:vMerge w:val="restart"/>
            <w:vAlign w:val="center"/>
          </w:tcPr>
          <w:p>
            <w:pPr>
              <w:spacing w:line="360" w:lineRule="exact"/>
              <w:jc w:val="center"/>
              <w:rPr>
                <w:rFonts w:ascii="Times New Roman" w:hAnsi="Times New Roman" w:cs="Times New Roman"/>
                <w:kern w:val="0"/>
              </w:rPr>
            </w:pPr>
            <w:r>
              <w:rPr>
                <w:rFonts w:ascii="Times New Roman" w:hAnsi="Times New Roman" w:cs="Times New Roman"/>
                <w:kern w:val="0"/>
              </w:rPr>
              <w:t>破碎车间</w:t>
            </w:r>
          </w:p>
        </w:tc>
        <w:tc>
          <w:tcPr>
            <w:tcW w:w="1711" w:type="dxa"/>
            <w:gridSpan w:val="2"/>
            <w:vAlign w:val="center"/>
          </w:tcPr>
          <w:p>
            <w:pPr>
              <w:widowControl/>
              <w:spacing w:line="360" w:lineRule="exact"/>
              <w:jc w:val="center"/>
              <w:rPr>
                <w:rFonts w:ascii="Times New Roman" w:hAnsi="Times New Roman" w:cs="Times New Roman"/>
                <w:kern w:val="0"/>
              </w:rPr>
            </w:pPr>
            <w:r>
              <w:rPr>
                <w:rFonts w:ascii="Times New Roman" w:hAnsi="Times New Roman" w:cs="Times New Roman"/>
                <w:kern w:val="0"/>
              </w:rPr>
              <w:t>颚式破碎机</w:t>
            </w:r>
          </w:p>
        </w:tc>
        <w:tc>
          <w:tcPr>
            <w:tcW w:w="1135" w:type="dxa"/>
            <w:vMerge w:val="restart"/>
            <w:vAlign w:val="center"/>
          </w:tcPr>
          <w:p>
            <w:pPr>
              <w:spacing w:line="360" w:lineRule="exact"/>
              <w:jc w:val="center"/>
              <w:rPr>
                <w:rFonts w:ascii="Times New Roman" w:hAnsi="Times New Roman" w:cs="Times New Roman"/>
                <w:kern w:val="0"/>
              </w:rPr>
            </w:pPr>
            <w:r>
              <w:rPr>
                <w:rFonts w:ascii="Times New Roman" w:hAnsi="Times New Roman" w:cs="Times New Roman"/>
                <w:kern w:val="0"/>
              </w:rPr>
              <w:t>LeqdB（A）</w:t>
            </w:r>
          </w:p>
        </w:tc>
        <w:tc>
          <w:tcPr>
            <w:tcW w:w="3104" w:type="dxa"/>
            <w:vMerge w:val="restart"/>
            <w:vAlign w:val="center"/>
          </w:tcPr>
          <w:p>
            <w:pPr>
              <w:pStyle w:val="28"/>
              <w:spacing w:line="360" w:lineRule="exact"/>
              <w:ind w:firstLine="210" w:firstLineChars="100"/>
              <w:jc w:val="both"/>
              <w:rPr>
                <w:rFonts w:eastAsiaTheme="minorEastAsia"/>
                <w:color w:val="auto"/>
                <w:szCs w:val="21"/>
              </w:rPr>
            </w:pPr>
            <w:r>
              <w:rPr>
                <w:rFonts w:eastAsiaTheme="minorEastAsia"/>
                <w:color w:val="auto"/>
                <w:szCs w:val="21"/>
              </w:rPr>
              <w:fldChar w:fldCharType="begin"/>
            </w:r>
            <w:r>
              <w:rPr>
                <w:rFonts w:eastAsiaTheme="minorEastAsia"/>
                <w:color w:val="auto"/>
                <w:szCs w:val="21"/>
              </w:rPr>
              <w:instrText xml:space="preserve"> = 1 \* GB2 </w:instrText>
            </w:r>
            <w:r>
              <w:rPr>
                <w:rFonts w:eastAsiaTheme="minorEastAsia"/>
                <w:color w:val="auto"/>
                <w:szCs w:val="21"/>
              </w:rPr>
              <w:fldChar w:fldCharType="separate"/>
            </w:r>
            <w:r>
              <w:rPr>
                <w:rFonts w:eastAsiaTheme="minorEastAsia"/>
                <w:color w:val="auto"/>
                <w:szCs w:val="21"/>
              </w:rPr>
              <w:t>⑴</w:t>
            </w:r>
            <w:r>
              <w:rPr>
                <w:rFonts w:eastAsiaTheme="minorEastAsia"/>
                <w:color w:val="auto"/>
                <w:szCs w:val="21"/>
              </w:rPr>
              <w:fldChar w:fldCharType="end"/>
            </w:r>
            <w:r>
              <w:rPr>
                <w:rFonts w:eastAsiaTheme="minorEastAsia"/>
                <w:color w:val="auto"/>
                <w:szCs w:val="21"/>
              </w:rPr>
              <w:t>设备安装减震垫、消声器、墙体阻隔等。</w:t>
            </w:r>
          </w:p>
          <w:p>
            <w:pPr>
              <w:pStyle w:val="28"/>
              <w:spacing w:line="360" w:lineRule="exact"/>
              <w:ind w:firstLine="210" w:firstLineChars="100"/>
              <w:jc w:val="both"/>
              <w:rPr>
                <w:rFonts w:eastAsiaTheme="minorEastAsia"/>
                <w:color w:val="auto"/>
                <w:szCs w:val="21"/>
              </w:rPr>
            </w:pPr>
            <w:r>
              <w:rPr>
                <w:rFonts w:eastAsiaTheme="minorEastAsia"/>
                <w:color w:val="auto"/>
                <w:szCs w:val="21"/>
              </w:rPr>
              <w:fldChar w:fldCharType="begin"/>
            </w:r>
            <w:r>
              <w:rPr>
                <w:rFonts w:eastAsiaTheme="minorEastAsia"/>
                <w:color w:val="auto"/>
                <w:szCs w:val="21"/>
              </w:rPr>
              <w:instrText xml:space="preserve"> = 2 \* GB2 </w:instrText>
            </w:r>
            <w:r>
              <w:rPr>
                <w:rFonts w:eastAsiaTheme="minorEastAsia"/>
                <w:color w:val="auto"/>
                <w:szCs w:val="21"/>
              </w:rPr>
              <w:fldChar w:fldCharType="separate"/>
            </w:r>
            <w:r>
              <w:rPr>
                <w:rFonts w:eastAsiaTheme="minorEastAsia"/>
                <w:color w:val="auto"/>
                <w:szCs w:val="21"/>
              </w:rPr>
              <w:t>⑵</w:t>
            </w:r>
            <w:r>
              <w:rPr>
                <w:rFonts w:eastAsiaTheme="minorEastAsia"/>
                <w:color w:val="auto"/>
                <w:szCs w:val="21"/>
              </w:rPr>
              <w:fldChar w:fldCharType="end"/>
            </w:r>
            <w:r>
              <w:rPr>
                <w:rFonts w:eastAsiaTheme="minorEastAsia"/>
                <w:color w:val="auto"/>
                <w:szCs w:val="21"/>
              </w:rPr>
              <w:t>采用绿化阻隔噪声传播。</w:t>
            </w:r>
          </w:p>
          <w:p>
            <w:pPr>
              <w:pStyle w:val="28"/>
              <w:spacing w:line="360" w:lineRule="exact"/>
              <w:ind w:firstLine="210" w:firstLineChars="100"/>
              <w:jc w:val="both"/>
              <w:rPr>
                <w:rFonts w:eastAsiaTheme="minorEastAsia"/>
                <w:color w:val="auto"/>
                <w:szCs w:val="21"/>
              </w:rPr>
            </w:pPr>
            <w:r>
              <w:rPr>
                <w:rFonts w:eastAsiaTheme="minorEastAsia"/>
                <w:color w:val="auto"/>
                <w:szCs w:val="21"/>
              </w:rPr>
              <w:fldChar w:fldCharType="begin"/>
            </w:r>
            <w:r>
              <w:rPr>
                <w:rFonts w:eastAsiaTheme="minorEastAsia"/>
                <w:color w:val="auto"/>
                <w:szCs w:val="21"/>
              </w:rPr>
              <w:instrText xml:space="preserve"> = 3 \* GB2 </w:instrText>
            </w:r>
            <w:r>
              <w:rPr>
                <w:rFonts w:eastAsiaTheme="minorEastAsia"/>
                <w:color w:val="auto"/>
                <w:szCs w:val="21"/>
              </w:rPr>
              <w:fldChar w:fldCharType="separate"/>
            </w:r>
            <w:r>
              <w:rPr>
                <w:rFonts w:eastAsiaTheme="minorEastAsia"/>
                <w:color w:val="auto"/>
                <w:szCs w:val="21"/>
              </w:rPr>
              <w:t>⑶</w:t>
            </w:r>
            <w:r>
              <w:rPr>
                <w:rFonts w:eastAsiaTheme="minorEastAsia"/>
                <w:color w:val="auto"/>
                <w:szCs w:val="21"/>
              </w:rPr>
              <w:fldChar w:fldCharType="end"/>
            </w:r>
            <w:r>
              <w:rPr>
                <w:rFonts w:eastAsiaTheme="minorEastAsia"/>
                <w:color w:val="auto"/>
                <w:szCs w:val="21"/>
              </w:rPr>
              <w:t>尽可能选用噪声低、振动小、能耗小的机械设备。</w:t>
            </w:r>
          </w:p>
          <w:p>
            <w:pPr>
              <w:pStyle w:val="28"/>
              <w:spacing w:line="360" w:lineRule="exact"/>
              <w:ind w:firstLine="210" w:firstLineChars="100"/>
              <w:jc w:val="both"/>
              <w:rPr>
                <w:rFonts w:eastAsiaTheme="minorEastAsia"/>
                <w:color w:val="auto"/>
                <w:szCs w:val="21"/>
              </w:rPr>
            </w:pPr>
            <w:r>
              <w:rPr>
                <w:rFonts w:eastAsiaTheme="minorEastAsia"/>
                <w:color w:val="auto"/>
                <w:szCs w:val="21"/>
              </w:rPr>
              <w:fldChar w:fldCharType="begin"/>
            </w:r>
            <w:r>
              <w:rPr>
                <w:rFonts w:eastAsiaTheme="minorEastAsia"/>
                <w:color w:val="auto"/>
                <w:szCs w:val="21"/>
              </w:rPr>
              <w:instrText xml:space="preserve"> = 4 \* GB2 </w:instrText>
            </w:r>
            <w:r>
              <w:rPr>
                <w:rFonts w:eastAsiaTheme="minorEastAsia"/>
                <w:color w:val="auto"/>
                <w:szCs w:val="21"/>
              </w:rPr>
              <w:fldChar w:fldCharType="separate"/>
            </w:r>
            <w:r>
              <w:rPr>
                <w:rFonts w:eastAsiaTheme="minorEastAsia"/>
                <w:color w:val="auto"/>
                <w:szCs w:val="21"/>
              </w:rPr>
              <w:t>⑷</w:t>
            </w:r>
            <w:r>
              <w:rPr>
                <w:rFonts w:eastAsiaTheme="minorEastAsia"/>
                <w:color w:val="auto"/>
                <w:szCs w:val="21"/>
              </w:rPr>
              <w:fldChar w:fldCharType="end"/>
            </w:r>
            <w:r>
              <w:rPr>
                <w:rFonts w:eastAsiaTheme="minorEastAsia"/>
                <w:color w:val="auto"/>
                <w:szCs w:val="21"/>
              </w:rPr>
              <w:t>加强生产设备的日常维护，并对老化和性能降低的旧设备进行及时更换，以此降低磨擦，减少噪声强度。</w:t>
            </w:r>
          </w:p>
          <w:p>
            <w:pPr>
              <w:pStyle w:val="28"/>
              <w:spacing w:line="360" w:lineRule="exact"/>
              <w:ind w:firstLine="210" w:firstLineChars="100"/>
              <w:jc w:val="both"/>
              <w:rPr>
                <w:rFonts w:eastAsiaTheme="minorEastAsia"/>
                <w:color w:val="auto"/>
                <w:szCs w:val="21"/>
              </w:rPr>
            </w:pPr>
            <w:r>
              <w:rPr>
                <w:rFonts w:eastAsiaTheme="minorEastAsia"/>
                <w:color w:val="auto"/>
                <w:szCs w:val="21"/>
              </w:rPr>
              <w:fldChar w:fldCharType="begin"/>
            </w:r>
            <w:r>
              <w:rPr>
                <w:rFonts w:eastAsiaTheme="minorEastAsia"/>
                <w:color w:val="auto"/>
                <w:szCs w:val="21"/>
              </w:rPr>
              <w:instrText xml:space="preserve"> = 5 \* GB2 </w:instrText>
            </w:r>
            <w:r>
              <w:rPr>
                <w:rFonts w:eastAsiaTheme="minorEastAsia"/>
                <w:color w:val="auto"/>
                <w:szCs w:val="21"/>
              </w:rPr>
              <w:fldChar w:fldCharType="separate"/>
            </w:r>
            <w:r>
              <w:rPr>
                <w:rFonts w:eastAsiaTheme="minorEastAsia"/>
                <w:color w:val="auto"/>
                <w:szCs w:val="21"/>
              </w:rPr>
              <w:t>⑸</w:t>
            </w:r>
            <w:r>
              <w:rPr>
                <w:rFonts w:eastAsiaTheme="minorEastAsia"/>
                <w:color w:val="auto"/>
                <w:szCs w:val="21"/>
              </w:rPr>
              <w:fldChar w:fldCharType="end"/>
            </w:r>
            <w:r>
              <w:rPr>
                <w:rFonts w:eastAsiaTheme="minorEastAsia"/>
                <w:color w:val="auto"/>
                <w:szCs w:val="21"/>
              </w:rPr>
              <w:t>应加强运输车辆管理，教育运输人员运输时低速、匀速行驶，禁止鸣笛。</w:t>
            </w:r>
          </w:p>
        </w:tc>
        <w:tc>
          <w:tcPr>
            <w:tcW w:w="1604" w:type="dxa"/>
            <w:vMerge w:val="restart"/>
            <w:vAlign w:val="center"/>
          </w:tcPr>
          <w:p>
            <w:pPr>
              <w:pStyle w:val="28"/>
              <w:spacing w:line="360" w:lineRule="exact"/>
              <w:ind w:firstLine="210" w:firstLineChars="100"/>
              <w:jc w:val="both"/>
              <w:rPr>
                <w:rFonts w:eastAsiaTheme="minorEastAsia"/>
                <w:color w:val="auto"/>
                <w:szCs w:val="21"/>
              </w:rPr>
            </w:pPr>
            <w:r>
              <w:rPr>
                <w:rFonts w:eastAsiaTheme="minorEastAsia"/>
                <w:color w:val="auto"/>
                <w:szCs w:val="21"/>
              </w:rPr>
              <w:t>达到《工业企业厂界环境噪声排放标准》（GB12348-2008）2类。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kern w:val="0"/>
              </w:rPr>
            </w:pPr>
          </w:p>
        </w:tc>
        <w:tc>
          <w:tcPr>
            <w:tcW w:w="851" w:type="dxa"/>
            <w:vMerge w:val="continue"/>
            <w:vAlign w:val="center"/>
          </w:tcPr>
          <w:p>
            <w:pPr>
              <w:spacing w:line="360" w:lineRule="exact"/>
              <w:jc w:val="center"/>
              <w:rPr>
                <w:rFonts w:ascii="Times New Roman" w:hAnsi="Times New Roman" w:cs="Times New Roman"/>
                <w:kern w:val="0"/>
              </w:rPr>
            </w:pPr>
          </w:p>
        </w:tc>
        <w:tc>
          <w:tcPr>
            <w:tcW w:w="1711" w:type="dxa"/>
            <w:gridSpan w:val="2"/>
            <w:vAlign w:val="center"/>
          </w:tcPr>
          <w:p>
            <w:pPr>
              <w:widowControl/>
              <w:spacing w:line="360" w:lineRule="exact"/>
              <w:jc w:val="center"/>
              <w:rPr>
                <w:rFonts w:ascii="Times New Roman" w:hAnsi="Times New Roman" w:cs="Times New Roman"/>
                <w:kern w:val="0"/>
              </w:rPr>
            </w:pPr>
            <w:r>
              <w:rPr>
                <w:rFonts w:ascii="Times New Roman" w:hAnsi="Times New Roman" w:cs="Times New Roman"/>
                <w:kern w:val="0"/>
              </w:rPr>
              <w:t>冲击式破碎机</w:t>
            </w:r>
          </w:p>
        </w:tc>
        <w:tc>
          <w:tcPr>
            <w:tcW w:w="1135" w:type="dxa"/>
            <w:vMerge w:val="continue"/>
            <w:vAlign w:val="center"/>
          </w:tcPr>
          <w:p>
            <w:pPr>
              <w:spacing w:line="360" w:lineRule="exact"/>
              <w:jc w:val="center"/>
              <w:rPr>
                <w:rFonts w:ascii="Times New Roman" w:hAnsi="Times New Roman" w:cs="Times New Roman"/>
                <w:kern w:val="0"/>
              </w:rPr>
            </w:pPr>
          </w:p>
        </w:tc>
        <w:tc>
          <w:tcPr>
            <w:tcW w:w="3104" w:type="dxa"/>
            <w:vMerge w:val="continue"/>
            <w:vAlign w:val="center"/>
          </w:tcPr>
          <w:p>
            <w:pPr>
              <w:pStyle w:val="28"/>
              <w:spacing w:line="360" w:lineRule="exact"/>
              <w:ind w:firstLine="210" w:firstLineChars="100"/>
              <w:jc w:val="both"/>
              <w:rPr>
                <w:rFonts w:eastAsiaTheme="minorEastAsia"/>
                <w:color w:val="auto"/>
                <w:szCs w:val="21"/>
              </w:rPr>
            </w:pPr>
          </w:p>
        </w:tc>
        <w:tc>
          <w:tcPr>
            <w:tcW w:w="1604" w:type="dxa"/>
            <w:vMerge w:val="continue"/>
            <w:vAlign w:val="center"/>
          </w:tcPr>
          <w:p>
            <w:pPr>
              <w:pStyle w:val="28"/>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kern w:val="0"/>
              </w:rPr>
            </w:pPr>
          </w:p>
        </w:tc>
        <w:tc>
          <w:tcPr>
            <w:tcW w:w="851" w:type="dxa"/>
            <w:vMerge w:val="continue"/>
            <w:tcBorders>
              <w:bottom w:val="single" w:color="auto" w:sz="4" w:space="0"/>
            </w:tcBorders>
            <w:vAlign w:val="center"/>
          </w:tcPr>
          <w:p>
            <w:pPr>
              <w:spacing w:line="360" w:lineRule="exact"/>
              <w:jc w:val="center"/>
              <w:rPr>
                <w:rFonts w:ascii="Times New Roman" w:hAnsi="Times New Roman" w:cs="Times New Roman"/>
                <w:kern w:val="0"/>
              </w:rPr>
            </w:pPr>
          </w:p>
        </w:tc>
        <w:tc>
          <w:tcPr>
            <w:tcW w:w="1711" w:type="dxa"/>
            <w:gridSpan w:val="2"/>
            <w:vAlign w:val="center"/>
          </w:tcPr>
          <w:p>
            <w:pPr>
              <w:widowControl/>
              <w:spacing w:line="360" w:lineRule="exact"/>
              <w:jc w:val="center"/>
              <w:rPr>
                <w:rFonts w:ascii="Times New Roman" w:hAnsi="Times New Roman" w:cs="Times New Roman"/>
                <w:kern w:val="0"/>
              </w:rPr>
            </w:pPr>
            <w:r>
              <w:rPr>
                <w:rFonts w:ascii="Times New Roman" w:hAnsi="Times New Roman" w:cs="Times New Roman"/>
                <w:kern w:val="0"/>
              </w:rPr>
              <w:t>圆锥破碎机</w:t>
            </w:r>
          </w:p>
        </w:tc>
        <w:tc>
          <w:tcPr>
            <w:tcW w:w="1135" w:type="dxa"/>
            <w:vMerge w:val="continue"/>
            <w:vAlign w:val="center"/>
          </w:tcPr>
          <w:p>
            <w:pPr>
              <w:spacing w:line="360" w:lineRule="exact"/>
              <w:jc w:val="center"/>
              <w:rPr>
                <w:rFonts w:ascii="Times New Roman" w:hAnsi="Times New Roman" w:cs="Times New Roman"/>
                <w:kern w:val="0"/>
              </w:rPr>
            </w:pPr>
          </w:p>
        </w:tc>
        <w:tc>
          <w:tcPr>
            <w:tcW w:w="3104" w:type="dxa"/>
            <w:vMerge w:val="continue"/>
            <w:vAlign w:val="center"/>
          </w:tcPr>
          <w:p>
            <w:pPr>
              <w:pStyle w:val="28"/>
              <w:spacing w:line="360" w:lineRule="exact"/>
              <w:ind w:firstLine="210" w:firstLineChars="100"/>
              <w:jc w:val="both"/>
              <w:rPr>
                <w:rFonts w:eastAsiaTheme="minorEastAsia"/>
                <w:color w:val="auto"/>
                <w:szCs w:val="21"/>
              </w:rPr>
            </w:pPr>
          </w:p>
        </w:tc>
        <w:tc>
          <w:tcPr>
            <w:tcW w:w="1604" w:type="dxa"/>
            <w:vMerge w:val="continue"/>
            <w:vAlign w:val="center"/>
          </w:tcPr>
          <w:p>
            <w:pPr>
              <w:pStyle w:val="28"/>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kern w:val="0"/>
              </w:rPr>
            </w:pPr>
          </w:p>
        </w:tc>
        <w:tc>
          <w:tcPr>
            <w:tcW w:w="851" w:type="dxa"/>
            <w:vMerge w:val="restart"/>
            <w:tcBorders>
              <w:top w:val="single" w:color="auto" w:sz="4" w:space="0"/>
            </w:tcBorders>
            <w:vAlign w:val="center"/>
          </w:tcPr>
          <w:p>
            <w:pPr>
              <w:spacing w:line="360" w:lineRule="exact"/>
              <w:jc w:val="center"/>
              <w:rPr>
                <w:rFonts w:ascii="Times New Roman" w:hAnsi="Times New Roman" w:cs="Times New Roman"/>
                <w:kern w:val="0"/>
              </w:rPr>
            </w:pPr>
            <w:r>
              <w:rPr>
                <w:rFonts w:ascii="Times New Roman" w:hAnsi="Times New Roman" w:cs="Times New Roman"/>
                <w:kern w:val="0"/>
              </w:rPr>
              <w:t>筛分水洗车间</w:t>
            </w:r>
          </w:p>
        </w:tc>
        <w:tc>
          <w:tcPr>
            <w:tcW w:w="1711" w:type="dxa"/>
            <w:gridSpan w:val="2"/>
            <w:vAlign w:val="center"/>
          </w:tcPr>
          <w:p>
            <w:pPr>
              <w:widowControl/>
              <w:spacing w:line="360" w:lineRule="exact"/>
              <w:jc w:val="center"/>
              <w:rPr>
                <w:rFonts w:ascii="Times New Roman" w:hAnsi="Times New Roman" w:cs="Times New Roman"/>
                <w:kern w:val="0"/>
              </w:rPr>
            </w:pPr>
            <w:r>
              <w:rPr>
                <w:rFonts w:ascii="Times New Roman" w:hAnsi="Times New Roman" w:cs="Times New Roman"/>
                <w:kern w:val="0"/>
              </w:rPr>
              <w:t>振动筛</w:t>
            </w:r>
          </w:p>
        </w:tc>
        <w:tc>
          <w:tcPr>
            <w:tcW w:w="1135" w:type="dxa"/>
            <w:vMerge w:val="continue"/>
            <w:vAlign w:val="center"/>
          </w:tcPr>
          <w:p>
            <w:pPr>
              <w:spacing w:line="360" w:lineRule="exact"/>
              <w:jc w:val="center"/>
              <w:rPr>
                <w:rFonts w:ascii="Times New Roman" w:hAnsi="Times New Roman" w:cs="Times New Roman"/>
                <w:kern w:val="0"/>
              </w:rPr>
            </w:pPr>
          </w:p>
        </w:tc>
        <w:tc>
          <w:tcPr>
            <w:tcW w:w="3104" w:type="dxa"/>
            <w:vMerge w:val="continue"/>
            <w:vAlign w:val="center"/>
          </w:tcPr>
          <w:p>
            <w:pPr>
              <w:pStyle w:val="28"/>
              <w:spacing w:line="360" w:lineRule="exact"/>
              <w:rPr>
                <w:rFonts w:eastAsiaTheme="minorEastAsia"/>
                <w:color w:val="auto"/>
                <w:szCs w:val="21"/>
              </w:rPr>
            </w:pPr>
          </w:p>
        </w:tc>
        <w:tc>
          <w:tcPr>
            <w:tcW w:w="1604" w:type="dxa"/>
            <w:vMerge w:val="continue"/>
            <w:vAlign w:val="center"/>
          </w:tcPr>
          <w:p>
            <w:pPr>
              <w:pStyle w:val="28"/>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kern w:val="0"/>
              </w:rPr>
            </w:pPr>
          </w:p>
        </w:tc>
        <w:tc>
          <w:tcPr>
            <w:tcW w:w="851" w:type="dxa"/>
            <w:vMerge w:val="continue"/>
            <w:vAlign w:val="center"/>
          </w:tcPr>
          <w:p>
            <w:pPr>
              <w:spacing w:line="360" w:lineRule="exact"/>
              <w:jc w:val="center"/>
              <w:rPr>
                <w:rFonts w:ascii="Times New Roman" w:hAnsi="Times New Roman" w:cs="Times New Roman"/>
                <w:kern w:val="0"/>
              </w:rPr>
            </w:pPr>
          </w:p>
        </w:tc>
        <w:tc>
          <w:tcPr>
            <w:tcW w:w="1711" w:type="dxa"/>
            <w:gridSpan w:val="2"/>
            <w:vAlign w:val="center"/>
          </w:tcPr>
          <w:p>
            <w:pPr>
              <w:widowControl/>
              <w:spacing w:line="360" w:lineRule="exact"/>
              <w:jc w:val="center"/>
              <w:rPr>
                <w:rFonts w:ascii="Times New Roman" w:hAnsi="Times New Roman" w:cs="Times New Roman"/>
                <w:kern w:val="0"/>
              </w:rPr>
            </w:pPr>
            <w:r>
              <w:rPr>
                <w:rFonts w:ascii="Times New Roman" w:hAnsi="Times New Roman" w:cs="Times New Roman"/>
                <w:kern w:val="0"/>
              </w:rPr>
              <w:t>螺旋洗砂机</w:t>
            </w:r>
          </w:p>
        </w:tc>
        <w:tc>
          <w:tcPr>
            <w:tcW w:w="1135" w:type="dxa"/>
            <w:vMerge w:val="continue"/>
            <w:vAlign w:val="center"/>
          </w:tcPr>
          <w:p>
            <w:pPr>
              <w:spacing w:line="360" w:lineRule="exact"/>
              <w:jc w:val="center"/>
              <w:rPr>
                <w:rFonts w:ascii="Times New Roman" w:hAnsi="Times New Roman" w:cs="Times New Roman"/>
                <w:kern w:val="0"/>
              </w:rPr>
            </w:pPr>
          </w:p>
        </w:tc>
        <w:tc>
          <w:tcPr>
            <w:tcW w:w="3104" w:type="dxa"/>
            <w:vMerge w:val="continue"/>
            <w:vAlign w:val="center"/>
          </w:tcPr>
          <w:p>
            <w:pPr>
              <w:pStyle w:val="28"/>
              <w:spacing w:line="360" w:lineRule="exact"/>
              <w:rPr>
                <w:rFonts w:eastAsiaTheme="minorEastAsia"/>
                <w:color w:val="auto"/>
                <w:szCs w:val="21"/>
              </w:rPr>
            </w:pPr>
          </w:p>
        </w:tc>
        <w:tc>
          <w:tcPr>
            <w:tcW w:w="1604" w:type="dxa"/>
            <w:vMerge w:val="continue"/>
            <w:vAlign w:val="center"/>
          </w:tcPr>
          <w:p>
            <w:pPr>
              <w:pStyle w:val="28"/>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kern w:val="0"/>
              </w:rPr>
            </w:pPr>
          </w:p>
        </w:tc>
        <w:tc>
          <w:tcPr>
            <w:tcW w:w="851" w:type="dxa"/>
            <w:vMerge w:val="continue"/>
            <w:tcBorders>
              <w:bottom w:val="single" w:color="auto" w:sz="4" w:space="0"/>
            </w:tcBorders>
            <w:vAlign w:val="center"/>
          </w:tcPr>
          <w:p>
            <w:pPr>
              <w:spacing w:line="360" w:lineRule="exact"/>
              <w:jc w:val="center"/>
              <w:rPr>
                <w:rFonts w:ascii="Times New Roman" w:hAnsi="Times New Roman" w:cs="Times New Roman"/>
                <w:kern w:val="0"/>
              </w:rPr>
            </w:pPr>
          </w:p>
        </w:tc>
        <w:tc>
          <w:tcPr>
            <w:tcW w:w="1711" w:type="dxa"/>
            <w:gridSpan w:val="2"/>
            <w:vAlign w:val="center"/>
          </w:tcPr>
          <w:p>
            <w:pPr>
              <w:widowControl/>
              <w:spacing w:line="360" w:lineRule="exact"/>
              <w:jc w:val="center"/>
              <w:rPr>
                <w:rFonts w:ascii="Times New Roman" w:hAnsi="Times New Roman" w:cs="Times New Roman"/>
                <w:kern w:val="0"/>
              </w:rPr>
            </w:pPr>
            <w:r>
              <w:rPr>
                <w:rFonts w:ascii="Times New Roman" w:hAnsi="Times New Roman" w:cs="Times New Roman"/>
                <w:kern w:val="0"/>
              </w:rPr>
              <w:t>脱水筛</w:t>
            </w:r>
          </w:p>
        </w:tc>
        <w:tc>
          <w:tcPr>
            <w:tcW w:w="1135" w:type="dxa"/>
            <w:vMerge w:val="continue"/>
            <w:vAlign w:val="center"/>
          </w:tcPr>
          <w:p>
            <w:pPr>
              <w:spacing w:line="360" w:lineRule="exact"/>
              <w:jc w:val="center"/>
              <w:rPr>
                <w:rFonts w:ascii="Times New Roman" w:hAnsi="Times New Roman" w:cs="Times New Roman"/>
                <w:kern w:val="0"/>
              </w:rPr>
            </w:pPr>
          </w:p>
        </w:tc>
        <w:tc>
          <w:tcPr>
            <w:tcW w:w="3104" w:type="dxa"/>
            <w:vMerge w:val="continue"/>
            <w:vAlign w:val="center"/>
          </w:tcPr>
          <w:p>
            <w:pPr>
              <w:pStyle w:val="28"/>
              <w:spacing w:line="360" w:lineRule="exact"/>
              <w:rPr>
                <w:rFonts w:eastAsiaTheme="minorEastAsia"/>
                <w:color w:val="auto"/>
                <w:szCs w:val="21"/>
              </w:rPr>
            </w:pPr>
          </w:p>
        </w:tc>
        <w:tc>
          <w:tcPr>
            <w:tcW w:w="1604" w:type="dxa"/>
            <w:vMerge w:val="continue"/>
            <w:vAlign w:val="center"/>
          </w:tcPr>
          <w:p>
            <w:pPr>
              <w:pStyle w:val="28"/>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kern w:val="0"/>
              </w:rPr>
            </w:pPr>
          </w:p>
        </w:tc>
        <w:tc>
          <w:tcPr>
            <w:tcW w:w="851" w:type="dxa"/>
            <w:vMerge w:val="restart"/>
            <w:tcBorders>
              <w:top w:val="single" w:color="auto" w:sz="4" w:space="0"/>
            </w:tcBorders>
            <w:vAlign w:val="center"/>
          </w:tcPr>
          <w:p>
            <w:pPr>
              <w:spacing w:line="360" w:lineRule="exact"/>
              <w:jc w:val="center"/>
              <w:rPr>
                <w:rFonts w:ascii="Times New Roman" w:hAnsi="Times New Roman" w:cs="Times New Roman"/>
                <w:kern w:val="0"/>
              </w:rPr>
            </w:pPr>
            <w:r>
              <w:rPr>
                <w:rFonts w:ascii="Times New Roman" w:hAnsi="Times New Roman" w:cs="Times New Roman"/>
                <w:kern w:val="0"/>
              </w:rPr>
              <w:t>产品库</w:t>
            </w:r>
          </w:p>
        </w:tc>
        <w:tc>
          <w:tcPr>
            <w:tcW w:w="1711" w:type="dxa"/>
            <w:gridSpan w:val="2"/>
            <w:vAlign w:val="center"/>
          </w:tcPr>
          <w:p>
            <w:pPr>
              <w:widowControl/>
              <w:spacing w:line="360" w:lineRule="exact"/>
              <w:jc w:val="center"/>
              <w:rPr>
                <w:rFonts w:ascii="Times New Roman" w:hAnsi="Times New Roman" w:cs="Times New Roman"/>
                <w:kern w:val="0"/>
              </w:rPr>
            </w:pPr>
            <w:r>
              <w:rPr>
                <w:rFonts w:ascii="Times New Roman" w:hAnsi="Times New Roman" w:cs="Times New Roman"/>
                <w:kern w:val="0"/>
              </w:rPr>
              <w:t>装载机</w:t>
            </w:r>
          </w:p>
        </w:tc>
        <w:tc>
          <w:tcPr>
            <w:tcW w:w="1135" w:type="dxa"/>
            <w:vMerge w:val="continue"/>
            <w:vAlign w:val="center"/>
          </w:tcPr>
          <w:p>
            <w:pPr>
              <w:spacing w:line="360" w:lineRule="exact"/>
              <w:jc w:val="center"/>
              <w:rPr>
                <w:rFonts w:ascii="Times New Roman" w:hAnsi="Times New Roman" w:cs="Times New Roman"/>
                <w:kern w:val="0"/>
              </w:rPr>
            </w:pPr>
          </w:p>
        </w:tc>
        <w:tc>
          <w:tcPr>
            <w:tcW w:w="3104" w:type="dxa"/>
            <w:vMerge w:val="continue"/>
            <w:vAlign w:val="center"/>
          </w:tcPr>
          <w:p>
            <w:pPr>
              <w:pStyle w:val="28"/>
              <w:spacing w:line="360" w:lineRule="exact"/>
              <w:rPr>
                <w:rFonts w:eastAsiaTheme="minorEastAsia"/>
                <w:color w:val="auto"/>
                <w:szCs w:val="21"/>
              </w:rPr>
            </w:pPr>
          </w:p>
        </w:tc>
        <w:tc>
          <w:tcPr>
            <w:tcW w:w="1604" w:type="dxa"/>
            <w:vMerge w:val="continue"/>
            <w:vAlign w:val="center"/>
          </w:tcPr>
          <w:p>
            <w:pPr>
              <w:pStyle w:val="28"/>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kern w:val="0"/>
              </w:rPr>
            </w:pPr>
          </w:p>
        </w:tc>
        <w:tc>
          <w:tcPr>
            <w:tcW w:w="851" w:type="dxa"/>
            <w:vMerge w:val="continue"/>
            <w:tcBorders>
              <w:bottom w:val="single" w:color="auto" w:sz="4" w:space="0"/>
            </w:tcBorders>
            <w:vAlign w:val="center"/>
          </w:tcPr>
          <w:p>
            <w:pPr>
              <w:spacing w:line="360" w:lineRule="exact"/>
              <w:jc w:val="center"/>
              <w:rPr>
                <w:rFonts w:ascii="Times New Roman" w:hAnsi="Times New Roman" w:cs="Times New Roman"/>
                <w:kern w:val="0"/>
              </w:rPr>
            </w:pPr>
          </w:p>
        </w:tc>
        <w:tc>
          <w:tcPr>
            <w:tcW w:w="1711" w:type="dxa"/>
            <w:gridSpan w:val="2"/>
            <w:vAlign w:val="center"/>
          </w:tcPr>
          <w:p>
            <w:pPr>
              <w:widowControl/>
              <w:spacing w:line="360" w:lineRule="exact"/>
              <w:jc w:val="center"/>
              <w:rPr>
                <w:rFonts w:ascii="Times New Roman" w:hAnsi="Times New Roman" w:cs="Times New Roman"/>
                <w:kern w:val="0"/>
              </w:rPr>
            </w:pPr>
            <w:r>
              <w:rPr>
                <w:rFonts w:ascii="Times New Roman" w:hAnsi="Times New Roman" w:cs="Times New Roman"/>
                <w:kern w:val="0"/>
              </w:rPr>
              <w:t>叉车</w:t>
            </w:r>
          </w:p>
        </w:tc>
        <w:tc>
          <w:tcPr>
            <w:tcW w:w="1135" w:type="dxa"/>
            <w:vMerge w:val="continue"/>
            <w:vAlign w:val="center"/>
          </w:tcPr>
          <w:p>
            <w:pPr>
              <w:spacing w:line="360" w:lineRule="exact"/>
              <w:jc w:val="center"/>
              <w:rPr>
                <w:rFonts w:ascii="Times New Roman" w:hAnsi="Times New Roman" w:cs="Times New Roman"/>
                <w:kern w:val="0"/>
              </w:rPr>
            </w:pPr>
          </w:p>
        </w:tc>
        <w:tc>
          <w:tcPr>
            <w:tcW w:w="3104" w:type="dxa"/>
            <w:vMerge w:val="continue"/>
            <w:vAlign w:val="center"/>
          </w:tcPr>
          <w:p>
            <w:pPr>
              <w:pStyle w:val="28"/>
              <w:spacing w:line="360" w:lineRule="exact"/>
              <w:rPr>
                <w:rFonts w:eastAsiaTheme="minorEastAsia"/>
                <w:color w:val="auto"/>
                <w:szCs w:val="21"/>
              </w:rPr>
            </w:pPr>
          </w:p>
        </w:tc>
        <w:tc>
          <w:tcPr>
            <w:tcW w:w="1604" w:type="dxa"/>
            <w:vMerge w:val="continue"/>
            <w:vAlign w:val="center"/>
          </w:tcPr>
          <w:p>
            <w:pPr>
              <w:pStyle w:val="28"/>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kern w:val="0"/>
              </w:rPr>
            </w:pPr>
          </w:p>
        </w:tc>
        <w:tc>
          <w:tcPr>
            <w:tcW w:w="851" w:type="dxa"/>
            <w:tcBorders>
              <w:bottom w:val="single" w:color="auto" w:sz="4" w:space="0"/>
            </w:tcBorders>
            <w:vAlign w:val="center"/>
          </w:tcPr>
          <w:p>
            <w:pPr>
              <w:spacing w:line="360" w:lineRule="exact"/>
              <w:jc w:val="center"/>
              <w:rPr>
                <w:rFonts w:ascii="Times New Roman" w:hAnsi="Times New Roman" w:cs="Times New Roman"/>
                <w:kern w:val="0"/>
              </w:rPr>
            </w:pPr>
            <w:r>
              <w:rPr>
                <w:rFonts w:ascii="Times New Roman" w:hAnsi="Times New Roman" w:cs="Times New Roman"/>
              </w:rPr>
              <w:t>生产废水处理系统</w:t>
            </w:r>
          </w:p>
        </w:tc>
        <w:tc>
          <w:tcPr>
            <w:tcW w:w="1711" w:type="dxa"/>
            <w:gridSpan w:val="2"/>
            <w:vAlign w:val="center"/>
          </w:tcPr>
          <w:p>
            <w:pPr>
              <w:widowControl/>
              <w:spacing w:line="360" w:lineRule="exact"/>
              <w:jc w:val="center"/>
              <w:rPr>
                <w:rFonts w:ascii="Times New Roman" w:hAnsi="Times New Roman" w:cs="Times New Roman"/>
                <w:kern w:val="0"/>
              </w:rPr>
            </w:pPr>
            <w:r>
              <w:rPr>
                <w:rFonts w:ascii="Times New Roman" w:hAnsi="Times New Roman" w:cs="Times New Roman"/>
              </w:rPr>
              <w:t>污泥压滤机</w:t>
            </w:r>
          </w:p>
        </w:tc>
        <w:tc>
          <w:tcPr>
            <w:tcW w:w="1135" w:type="dxa"/>
            <w:vMerge w:val="continue"/>
            <w:vAlign w:val="center"/>
          </w:tcPr>
          <w:p>
            <w:pPr>
              <w:spacing w:line="360" w:lineRule="exact"/>
              <w:jc w:val="center"/>
              <w:rPr>
                <w:rFonts w:ascii="Times New Roman" w:hAnsi="Times New Roman" w:cs="Times New Roman"/>
                <w:kern w:val="0"/>
              </w:rPr>
            </w:pPr>
          </w:p>
        </w:tc>
        <w:tc>
          <w:tcPr>
            <w:tcW w:w="3104" w:type="dxa"/>
            <w:vMerge w:val="continue"/>
            <w:vAlign w:val="center"/>
          </w:tcPr>
          <w:p>
            <w:pPr>
              <w:pStyle w:val="28"/>
              <w:spacing w:line="360" w:lineRule="exact"/>
              <w:rPr>
                <w:rFonts w:eastAsiaTheme="minorEastAsia"/>
                <w:color w:val="auto"/>
                <w:szCs w:val="21"/>
              </w:rPr>
            </w:pPr>
          </w:p>
        </w:tc>
        <w:tc>
          <w:tcPr>
            <w:tcW w:w="1604" w:type="dxa"/>
            <w:vMerge w:val="continue"/>
            <w:vAlign w:val="center"/>
          </w:tcPr>
          <w:p>
            <w:pPr>
              <w:pStyle w:val="28"/>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restart"/>
            <w:vAlign w:val="center"/>
          </w:tcPr>
          <w:p>
            <w:pPr>
              <w:spacing w:line="360" w:lineRule="exact"/>
              <w:jc w:val="center"/>
              <w:rPr>
                <w:rFonts w:ascii="Times New Roman" w:hAnsi="Times New Roman" w:cs="Times New Roman"/>
              </w:rPr>
            </w:pPr>
            <w:r>
              <w:rPr>
                <w:rFonts w:ascii="Times New Roman" w:hAnsi="Times New Roman" w:cs="Times New Roman"/>
              </w:rPr>
              <w:t>固体废物</w:t>
            </w:r>
          </w:p>
        </w:tc>
        <w:tc>
          <w:tcPr>
            <w:tcW w:w="2562" w:type="dxa"/>
            <w:gridSpan w:val="3"/>
            <w:vAlign w:val="center"/>
          </w:tcPr>
          <w:p>
            <w:pPr>
              <w:spacing w:line="360" w:lineRule="exact"/>
              <w:jc w:val="center"/>
              <w:rPr>
                <w:rFonts w:ascii="Times New Roman" w:hAnsi="Times New Roman" w:cs="Times New Roman"/>
                <w:kern w:val="0"/>
              </w:rPr>
            </w:pPr>
            <w:r>
              <w:rPr>
                <w:rFonts w:ascii="Times New Roman" w:hAnsi="Times New Roman" w:cs="Times New Roman"/>
                <w:szCs w:val="24"/>
              </w:rPr>
              <w:t>生产废水处理系统</w:t>
            </w:r>
          </w:p>
        </w:tc>
        <w:tc>
          <w:tcPr>
            <w:tcW w:w="1135" w:type="dxa"/>
            <w:tcBorders>
              <w:bottom w:val="single" w:color="auto" w:sz="4" w:space="0"/>
            </w:tcBorders>
            <w:vAlign w:val="center"/>
          </w:tcPr>
          <w:p>
            <w:pPr>
              <w:pStyle w:val="28"/>
              <w:spacing w:line="360" w:lineRule="exact"/>
              <w:rPr>
                <w:color w:val="auto"/>
                <w:kern w:val="0"/>
              </w:rPr>
            </w:pPr>
            <w:r>
              <w:rPr>
                <w:rFonts w:eastAsiaTheme="minorEastAsia"/>
                <w:color w:val="auto"/>
                <w:szCs w:val="21"/>
              </w:rPr>
              <w:t>生产废水污泥</w:t>
            </w:r>
          </w:p>
        </w:tc>
        <w:tc>
          <w:tcPr>
            <w:tcW w:w="3104" w:type="dxa"/>
            <w:tcBorders>
              <w:bottom w:val="single" w:color="auto" w:sz="4" w:space="0"/>
            </w:tcBorders>
            <w:vAlign w:val="center"/>
          </w:tcPr>
          <w:p>
            <w:pPr>
              <w:pStyle w:val="28"/>
              <w:spacing w:line="360" w:lineRule="exact"/>
              <w:ind w:firstLine="210" w:firstLineChars="100"/>
              <w:jc w:val="both"/>
              <w:rPr>
                <w:rFonts w:eastAsiaTheme="minorEastAsia"/>
                <w:color w:val="auto"/>
                <w:szCs w:val="24"/>
              </w:rPr>
            </w:pPr>
            <w:r>
              <w:rPr>
                <w:color w:val="auto"/>
                <w:szCs w:val="21"/>
              </w:rPr>
              <w:t>项目拟设置的100m²污泥暂存库对其进行暂存，该污泥的主要成分为小江河流中的泥土，一部分用于厂区周围绿化覆土和道路建设，剩余部分将其用于小李庄村肥田。</w:t>
            </w:r>
          </w:p>
        </w:tc>
        <w:tc>
          <w:tcPr>
            <w:tcW w:w="1604" w:type="dxa"/>
            <w:tcBorders>
              <w:bottom w:val="single" w:color="auto" w:sz="4" w:space="0"/>
            </w:tcBorders>
            <w:vAlign w:val="center"/>
          </w:tcPr>
          <w:p>
            <w:pPr>
              <w:pStyle w:val="28"/>
              <w:spacing w:line="360" w:lineRule="exact"/>
              <w:ind w:firstLine="210" w:firstLineChars="100"/>
              <w:jc w:val="both"/>
              <w:rPr>
                <w:rFonts w:eastAsiaTheme="minorEastAsia"/>
                <w:color w:val="auto"/>
                <w:szCs w:val="21"/>
              </w:rPr>
            </w:pPr>
            <w:r>
              <w:rPr>
                <w:rFonts w:eastAsiaTheme="minorEastAsia"/>
                <w:color w:val="auto"/>
                <w:szCs w:val="24"/>
              </w:rPr>
              <w:t>处置率100%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rPr>
            </w:pPr>
          </w:p>
        </w:tc>
        <w:tc>
          <w:tcPr>
            <w:tcW w:w="2562" w:type="dxa"/>
            <w:gridSpan w:val="3"/>
            <w:vMerge w:val="restart"/>
            <w:vAlign w:val="center"/>
          </w:tcPr>
          <w:p>
            <w:pPr>
              <w:spacing w:line="360" w:lineRule="exact"/>
              <w:jc w:val="center"/>
              <w:rPr>
                <w:rFonts w:ascii="Times New Roman" w:hAnsi="Times New Roman" w:cs="Times New Roman"/>
              </w:rPr>
            </w:pPr>
            <w:r>
              <w:rPr>
                <w:rFonts w:ascii="Times New Roman" w:hAnsi="Times New Roman" w:cs="Times New Roman"/>
              </w:rPr>
              <w:t>设备维护</w:t>
            </w:r>
          </w:p>
        </w:tc>
        <w:tc>
          <w:tcPr>
            <w:tcW w:w="1135" w:type="dxa"/>
            <w:vAlign w:val="center"/>
          </w:tcPr>
          <w:p>
            <w:pPr>
              <w:pStyle w:val="28"/>
              <w:spacing w:line="360" w:lineRule="exact"/>
              <w:rPr>
                <w:rFonts w:eastAsiaTheme="minorEastAsia"/>
                <w:bCs w:val="0"/>
                <w:snapToGrid/>
                <w:color w:val="auto"/>
                <w:kern w:val="2"/>
                <w:szCs w:val="21"/>
                <w:lang w:val="en-US"/>
              </w:rPr>
            </w:pPr>
            <w:r>
              <w:rPr>
                <w:rFonts w:eastAsiaTheme="minorEastAsia"/>
                <w:bCs w:val="0"/>
                <w:snapToGrid/>
                <w:color w:val="auto"/>
                <w:kern w:val="2"/>
                <w:szCs w:val="21"/>
                <w:lang w:val="en-US"/>
              </w:rPr>
              <w:t>废机油</w:t>
            </w:r>
          </w:p>
        </w:tc>
        <w:tc>
          <w:tcPr>
            <w:tcW w:w="3104" w:type="dxa"/>
            <w:tcBorders>
              <w:top w:val="single" w:color="auto" w:sz="4" w:space="0"/>
            </w:tcBorders>
            <w:vAlign w:val="center"/>
          </w:tcPr>
          <w:p>
            <w:pPr>
              <w:pStyle w:val="28"/>
              <w:spacing w:line="360" w:lineRule="exact"/>
              <w:ind w:firstLine="210" w:firstLineChars="100"/>
              <w:jc w:val="both"/>
              <w:rPr>
                <w:rFonts w:eastAsiaTheme="minorEastAsia"/>
                <w:color w:val="auto"/>
                <w:szCs w:val="21"/>
              </w:rPr>
            </w:pPr>
            <w:r>
              <w:rPr>
                <w:rFonts w:eastAsiaTheme="minorEastAsia"/>
                <w:color w:val="auto"/>
                <w:szCs w:val="24"/>
              </w:rPr>
              <w:t>厂区拟建设1个5m²的危险废物贮存间对项目区废机油等危险废物进行暂存；部分用于生产设备润滑使用，无法使用部分委托有资质的单位处置。</w:t>
            </w:r>
          </w:p>
        </w:tc>
        <w:tc>
          <w:tcPr>
            <w:tcW w:w="1604" w:type="dxa"/>
            <w:vAlign w:val="center"/>
          </w:tcPr>
          <w:p>
            <w:pPr>
              <w:pStyle w:val="28"/>
              <w:spacing w:line="360" w:lineRule="exact"/>
              <w:ind w:firstLine="210" w:firstLineChars="100"/>
              <w:jc w:val="both"/>
              <w:rPr>
                <w:rFonts w:eastAsiaTheme="minorEastAsia"/>
                <w:color w:val="auto"/>
                <w:szCs w:val="21"/>
              </w:rPr>
            </w:pPr>
            <w:r>
              <w:rPr>
                <w:rFonts w:eastAsiaTheme="minorEastAsia"/>
                <w:color w:val="auto"/>
                <w:szCs w:val="21"/>
              </w:rPr>
              <w:t>满足《危险废物贮存污染控制标准》（GB18597-2001）及修改单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rPr>
            </w:pPr>
          </w:p>
        </w:tc>
        <w:tc>
          <w:tcPr>
            <w:tcW w:w="2562" w:type="dxa"/>
            <w:gridSpan w:val="3"/>
            <w:vMerge w:val="continue"/>
            <w:vAlign w:val="center"/>
          </w:tcPr>
          <w:p>
            <w:pPr>
              <w:spacing w:line="360" w:lineRule="exact"/>
              <w:jc w:val="center"/>
              <w:rPr>
                <w:rFonts w:ascii="Times New Roman" w:hAnsi="Times New Roman" w:cs="Times New Roman"/>
              </w:rPr>
            </w:pPr>
          </w:p>
        </w:tc>
        <w:tc>
          <w:tcPr>
            <w:tcW w:w="1135" w:type="dxa"/>
            <w:vAlign w:val="center"/>
          </w:tcPr>
          <w:p>
            <w:pPr>
              <w:pStyle w:val="28"/>
              <w:spacing w:line="360" w:lineRule="exact"/>
              <w:rPr>
                <w:rFonts w:eastAsiaTheme="minorEastAsia"/>
                <w:bCs w:val="0"/>
                <w:snapToGrid/>
                <w:color w:val="auto"/>
                <w:kern w:val="2"/>
                <w:szCs w:val="21"/>
                <w:lang w:val="en-US"/>
              </w:rPr>
            </w:pPr>
            <w:r>
              <w:rPr>
                <w:rFonts w:eastAsiaTheme="minorEastAsia"/>
                <w:bCs w:val="0"/>
                <w:snapToGrid/>
                <w:color w:val="auto"/>
                <w:kern w:val="2"/>
                <w:szCs w:val="21"/>
                <w:lang w:val="en-US"/>
              </w:rPr>
              <w:t>废弃沾油抹布</w:t>
            </w:r>
          </w:p>
        </w:tc>
        <w:tc>
          <w:tcPr>
            <w:tcW w:w="3104" w:type="dxa"/>
            <w:vAlign w:val="center"/>
          </w:tcPr>
          <w:p>
            <w:pPr>
              <w:pStyle w:val="28"/>
              <w:spacing w:line="360" w:lineRule="exact"/>
              <w:ind w:firstLine="210" w:firstLineChars="100"/>
              <w:jc w:val="both"/>
              <w:rPr>
                <w:rFonts w:eastAsiaTheme="minorEastAsia"/>
                <w:color w:val="auto"/>
                <w:szCs w:val="21"/>
              </w:rPr>
            </w:pPr>
            <w:r>
              <w:rPr>
                <w:rFonts w:eastAsiaTheme="minorEastAsia"/>
                <w:color w:val="auto"/>
                <w:szCs w:val="21"/>
              </w:rPr>
              <w:t>使用垃圾桶集中收集，委托环卫部门定期清运处置。</w:t>
            </w:r>
          </w:p>
        </w:tc>
        <w:tc>
          <w:tcPr>
            <w:tcW w:w="1604" w:type="dxa"/>
            <w:vAlign w:val="center"/>
          </w:tcPr>
          <w:p>
            <w:pPr>
              <w:pStyle w:val="28"/>
              <w:spacing w:line="360" w:lineRule="exact"/>
              <w:ind w:firstLine="210" w:firstLineChars="100"/>
              <w:jc w:val="both"/>
              <w:rPr>
                <w:rFonts w:eastAsiaTheme="minorEastAsia"/>
                <w:color w:val="auto"/>
                <w:szCs w:val="21"/>
              </w:rPr>
            </w:pPr>
            <w:r>
              <w:rPr>
                <w:rFonts w:eastAsiaTheme="minorEastAsia"/>
                <w:color w:val="auto"/>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rPr>
            </w:pPr>
          </w:p>
        </w:tc>
        <w:tc>
          <w:tcPr>
            <w:tcW w:w="2562" w:type="dxa"/>
            <w:gridSpan w:val="3"/>
            <w:vAlign w:val="center"/>
          </w:tcPr>
          <w:p>
            <w:pPr>
              <w:spacing w:line="360" w:lineRule="exact"/>
              <w:jc w:val="center"/>
              <w:rPr>
                <w:rFonts w:ascii="Times New Roman" w:hAnsi="Times New Roman" w:cs="Times New Roman"/>
              </w:rPr>
            </w:pPr>
            <w:r>
              <w:rPr>
                <w:rFonts w:ascii="Times New Roman" w:hAnsi="Times New Roman" w:cs="Times New Roman"/>
              </w:rPr>
              <w:t>生活污水处理系统</w:t>
            </w:r>
          </w:p>
        </w:tc>
        <w:tc>
          <w:tcPr>
            <w:tcW w:w="1135" w:type="dxa"/>
            <w:vAlign w:val="center"/>
          </w:tcPr>
          <w:p>
            <w:pPr>
              <w:pStyle w:val="28"/>
              <w:spacing w:line="360" w:lineRule="exact"/>
              <w:rPr>
                <w:rFonts w:eastAsiaTheme="minorEastAsia"/>
                <w:bCs w:val="0"/>
                <w:snapToGrid/>
                <w:color w:val="auto"/>
                <w:kern w:val="2"/>
                <w:szCs w:val="21"/>
                <w:lang w:val="en-US"/>
              </w:rPr>
            </w:pPr>
            <w:r>
              <w:rPr>
                <w:rFonts w:eastAsiaTheme="minorEastAsia"/>
                <w:bCs w:val="0"/>
                <w:snapToGrid/>
                <w:color w:val="auto"/>
                <w:kern w:val="2"/>
                <w:szCs w:val="21"/>
                <w:lang w:val="en-US"/>
              </w:rPr>
              <w:t>生活污水污泥</w:t>
            </w:r>
          </w:p>
        </w:tc>
        <w:tc>
          <w:tcPr>
            <w:tcW w:w="3104" w:type="dxa"/>
            <w:vAlign w:val="center"/>
          </w:tcPr>
          <w:p>
            <w:pPr>
              <w:pStyle w:val="28"/>
              <w:spacing w:line="360" w:lineRule="exact"/>
              <w:ind w:firstLine="210" w:firstLineChars="100"/>
              <w:jc w:val="both"/>
              <w:rPr>
                <w:rFonts w:eastAsiaTheme="minorEastAsia"/>
                <w:color w:val="auto"/>
                <w:szCs w:val="21"/>
              </w:rPr>
            </w:pPr>
            <w:r>
              <w:rPr>
                <w:color w:val="auto"/>
              </w:rPr>
              <w:t>委托环卫部门清运处理</w:t>
            </w:r>
          </w:p>
        </w:tc>
        <w:tc>
          <w:tcPr>
            <w:tcW w:w="1604" w:type="dxa"/>
            <w:vAlign w:val="center"/>
          </w:tcPr>
          <w:p>
            <w:pPr>
              <w:pStyle w:val="28"/>
              <w:spacing w:line="360" w:lineRule="exact"/>
              <w:ind w:firstLine="210" w:firstLineChars="100"/>
              <w:jc w:val="both"/>
              <w:rPr>
                <w:rFonts w:eastAsiaTheme="minorEastAsia"/>
                <w:color w:val="auto"/>
                <w:szCs w:val="21"/>
              </w:rPr>
            </w:pPr>
            <w:r>
              <w:rPr>
                <w:rFonts w:eastAsiaTheme="minorEastAsia"/>
                <w:color w:val="auto"/>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rPr>
            </w:pPr>
          </w:p>
        </w:tc>
        <w:tc>
          <w:tcPr>
            <w:tcW w:w="2562" w:type="dxa"/>
            <w:gridSpan w:val="3"/>
            <w:vAlign w:val="center"/>
          </w:tcPr>
          <w:p>
            <w:pPr>
              <w:spacing w:line="360" w:lineRule="exact"/>
              <w:jc w:val="center"/>
              <w:rPr>
                <w:rFonts w:ascii="Times New Roman" w:hAnsi="Times New Roman" w:cs="Times New Roman"/>
              </w:rPr>
            </w:pPr>
            <w:r>
              <w:rPr>
                <w:rFonts w:ascii="Times New Roman" w:hAnsi="Times New Roman" w:cs="Times New Roman"/>
              </w:rPr>
              <w:t>员工生活</w:t>
            </w:r>
          </w:p>
        </w:tc>
        <w:tc>
          <w:tcPr>
            <w:tcW w:w="1135" w:type="dxa"/>
            <w:vAlign w:val="center"/>
          </w:tcPr>
          <w:p>
            <w:pPr>
              <w:spacing w:line="360" w:lineRule="exact"/>
              <w:jc w:val="center"/>
              <w:rPr>
                <w:rFonts w:ascii="Times New Roman" w:hAnsi="Times New Roman" w:cs="Times New Roman"/>
              </w:rPr>
            </w:pPr>
            <w:r>
              <w:rPr>
                <w:rFonts w:ascii="Times New Roman" w:hAnsi="Times New Roman" w:cs="Times New Roman"/>
              </w:rPr>
              <w:t>生活垃圾</w:t>
            </w:r>
          </w:p>
        </w:tc>
        <w:tc>
          <w:tcPr>
            <w:tcW w:w="3104" w:type="dxa"/>
            <w:vAlign w:val="center"/>
          </w:tcPr>
          <w:p>
            <w:pPr>
              <w:pStyle w:val="28"/>
              <w:spacing w:line="360" w:lineRule="exact"/>
              <w:ind w:firstLine="210" w:firstLineChars="100"/>
              <w:jc w:val="both"/>
              <w:rPr>
                <w:rFonts w:eastAsiaTheme="minorEastAsia"/>
                <w:color w:val="auto"/>
                <w:szCs w:val="21"/>
              </w:rPr>
            </w:pPr>
            <w:r>
              <w:rPr>
                <w:rFonts w:eastAsiaTheme="minorEastAsia"/>
                <w:color w:val="auto"/>
                <w:szCs w:val="21"/>
              </w:rPr>
              <w:t>委托环卫部门定期清运处置。</w:t>
            </w:r>
          </w:p>
        </w:tc>
        <w:tc>
          <w:tcPr>
            <w:tcW w:w="1604" w:type="dxa"/>
            <w:vAlign w:val="center"/>
          </w:tcPr>
          <w:p>
            <w:pPr>
              <w:pStyle w:val="28"/>
              <w:spacing w:line="360" w:lineRule="exact"/>
              <w:ind w:firstLine="210" w:firstLineChars="100"/>
              <w:jc w:val="both"/>
              <w:rPr>
                <w:rFonts w:eastAsiaTheme="minorEastAsia"/>
                <w:color w:val="auto"/>
                <w:szCs w:val="21"/>
              </w:rPr>
            </w:pPr>
            <w:r>
              <w:rPr>
                <w:rFonts w:eastAsiaTheme="minorEastAsia"/>
                <w:color w:val="auto"/>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Align w:val="center"/>
          </w:tcPr>
          <w:p>
            <w:pPr>
              <w:spacing w:line="360" w:lineRule="exact"/>
              <w:jc w:val="center"/>
              <w:rPr>
                <w:rFonts w:ascii="Times New Roman" w:hAnsi="Times New Roman" w:cs="Times New Roman"/>
              </w:rPr>
            </w:pPr>
            <w:r>
              <w:rPr>
                <w:rFonts w:ascii="Times New Roman" w:hAnsi="Times New Roman" w:cs="Times New Roman"/>
              </w:rPr>
              <w:t>土壤及地下水污染防治措施</w:t>
            </w:r>
          </w:p>
        </w:tc>
        <w:tc>
          <w:tcPr>
            <w:tcW w:w="8405" w:type="dxa"/>
            <w:gridSpan w:val="6"/>
            <w:vAlign w:val="center"/>
          </w:tcPr>
          <w:p>
            <w:pPr>
              <w:pStyle w:val="28"/>
              <w:spacing w:line="360" w:lineRule="auto"/>
              <w:ind w:firstLine="240" w:firstLineChars="100"/>
              <w:jc w:val="both"/>
              <w:rPr>
                <w:rFonts w:eastAsiaTheme="minorEastAsia"/>
                <w:color w:val="auto"/>
                <w:sz w:val="24"/>
                <w:szCs w:val="21"/>
              </w:rPr>
            </w:pPr>
            <w:r>
              <w:rPr>
                <w:rFonts w:eastAsiaTheme="minorEastAsia"/>
                <w:color w:val="auto"/>
                <w:sz w:val="24"/>
                <w:szCs w:val="21"/>
              </w:rPr>
              <w:fldChar w:fldCharType="begin"/>
            </w:r>
            <w:r>
              <w:rPr>
                <w:rFonts w:eastAsiaTheme="minorEastAsia"/>
                <w:color w:val="auto"/>
                <w:sz w:val="24"/>
                <w:szCs w:val="21"/>
              </w:rPr>
              <w:instrText xml:space="preserve"> = 1 \* GB2 </w:instrText>
            </w:r>
            <w:r>
              <w:rPr>
                <w:rFonts w:eastAsiaTheme="minorEastAsia"/>
                <w:color w:val="auto"/>
                <w:sz w:val="24"/>
                <w:szCs w:val="21"/>
              </w:rPr>
              <w:fldChar w:fldCharType="separate"/>
            </w:r>
            <w:r>
              <w:rPr>
                <w:rFonts w:eastAsiaTheme="minorEastAsia"/>
                <w:color w:val="auto"/>
                <w:sz w:val="24"/>
                <w:szCs w:val="21"/>
              </w:rPr>
              <w:t>⑴</w:t>
            </w:r>
            <w:r>
              <w:rPr>
                <w:rFonts w:eastAsiaTheme="minorEastAsia"/>
                <w:color w:val="auto"/>
                <w:sz w:val="24"/>
                <w:szCs w:val="21"/>
              </w:rPr>
              <w:fldChar w:fldCharType="end"/>
            </w:r>
            <w:r>
              <w:rPr>
                <w:rFonts w:eastAsiaTheme="minorEastAsia"/>
                <w:color w:val="auto"/>
                <w:sz w:val="24"/>
                <w:szCs w:val="21"/>
              </w:rPr>
              <w:t>重点防渗区</w:t>
            </w:r>
          </w:p>
          <w:p>
            <w:pPr>
              <w:pStyle w:val="28"/>
              <w:spacing w:line="360" w:lineRule="auto"/>
              <w:ind w:firstLine="240" w:firstLineChars="100"/>
              <w:jc w:val="both"/>
              <w:rPr>
                <w:rFonts w:eastAsiaTheme="minorEastAsia"/>
                <w:color w:val="auto"/>
                <w:sz w:val="24"/>
                <w:szCs w:val="21"/>
              </w:rPr>
            </w:pPr>
            <w:r>
              <w:rPr>
                <w:rFonts w:eastAsiaTheme="minorEastAsia"/>
                <w:color w:val="auto"/>
                <w:sz w:val="24"/>
                <w:szCs w:val="21"/>
              </w:rPr>
              <w:t>项目重点防渗区为危险废物贮存间：危险废物贮存间地面及裙墙应采用不低于2mm后的HDPE膜或其他人工防渗材料进行防渗，使其渗透系数≤10</w:t>
            </w:r>
            <w:r>
              <w:rPr>
                <w:rFonts w:eastAsiaTheme="minorEastAsia"/>
                <w:color w:val="auto"/>
                <w:sz w:val="24"/>
                <w:szCs w:val="21"/>
                <w:vertAlign w:val="superscript"/>
              </w:rPr>
              <w:t>-10</w:t>
            </w:r>
            <w:r>
              <w:rPr>
                <w:rFonts w:eastAsiaTheme="minorEastAsia"/>
                <w:color w:val="auto"/>
                <w:sz w:val="24"/>
                <w:szCs w:val="21"/>
              </w:rPr>
              <w:t>cm/s。</w:t>
            </w:r>
          </w:p>
          <w:p>
            <w:pPr>
              <w:pStyle w:val="28"/>
              <w:spacing w:line="360" w:lineRule="auto"/>
              <w:ind w:firstLine="240" w:firstLineChars="100"/>
              <w:jc w:val="both"/>
              <w:rPr>
                <w:rFonts w:eastAsiaTheme="minorEastAsia"/>
                <w:color w:val="auto"/>
                <w:sz w:val="24"/>
                <w:szCs w:val="21"/>
              </w:rPr>
            </w:pPr>
            <w:r>
              <w:rPr>
                <w:rFonts w:eastAsiaTheme="minorEastAsia"/>
                <w:color w:val="auto"/>
                <w:sz w:val="24"/>
                <w:szCs w:val="21"/>
              </w:rPr>
              <w:fldChar w:fldCharType="begin"/>
            </w:r>
            <w:r>
              <w:rPr>
                <w:rFonts w:eastAsiaTheme="minorEastAsia"/>
                <w:color w:val="auto"/>
                <w:sz w:val="24"/>
                <w:szCs w:val="21"/>
              </w:rPr>
              <w:instrText xml:space="preserve"> = 2 \* GB2 </w:instrText>
            </w:r>
            <w:r>
              <w:rPr>
                <w:rFonts w:eastAsiaTheme="minorEastAsia"/>
                <w:color w:val="auto"/>
                <w:sz w:val="24"/>
                <w:szCs w:val="21"/>
              </w:rPr>
              <w:fldChar w:fldCharType="separate"/>
            </w:r>
            <w:r>
              <w:rPr>
                <w:rFonts w:eastAsiaTheme="minorEastAsia"/>
                <w:color w:val="auto"/>
                <w:sz w:val="24"/>
                <w:szCs w:val="21"/>
              </w:rPr>
              <w:t>⑵</w:t>
            </w:r>
            <w:r>
              <w:rPr>
                <w:rFonts w:eastAsiaTheme="minorEastAsia"/>
                <w:color w:val="auto"/>
                <w:sz w:val="24"/>
                <w:szCs w:val="21"/>
              </w:rPr>
              <w:fldChar w:fldCharType="end"/>
            </w:r>
            <w:r>
              <w:rPr>
                <w:rFonts w:eastAsiaTheme="minorEastAsia"/>
                <w:color w:val="auto"/>
                <w:sz w:val="24"/>
                <w:szCs w:val="21"/>
              </w:rPr>
              <w:t>一般防渗区</w:t>
            </w:r>
          </w:p>
          <w:p>
            <w:pPr>
              <w:pStyle w:val="28"/>
              <w:spacing w:line="360" w:lineRule="auto"/>
              <w:ind w:firstLine="240" w:firstLineChars="100"/>
              <w:jc w:val="both"/>
              <w:rPr>
                <w:rFonts w:eastAsiaTheme="minorEastAsia"/>
                <w:color w:val="auto"/>
                <w:sz w:val="24"/>
                <w:szCs w:val="21"/>
              </w:rPr>
            </w:pPr>
            <w:r>
              <w:rPr>
                <w:rFonts w:eastAsiaTheme="minorEastAsia"/>
                <w:color w:val="auto"/>
                <w:sz w:val="24"/>
                <w:szCs w:val="21"/>
              </w:rPr>
              <w:t>根据分区防渗规范要求，项目生产车间、产品库、生产废水处理系统、生活污水处理系统和初期雨水收集系统区域均划定为一般防渗区，各一般防渗区域拟应采用粘土铺底，并在上层铺30cm的混凝土进行硬化。确保防渗性能，使其渗透系数≤1.0×10</w:t>
            </w:r>
            <w:r>
              <w:rPr>
                <w:rFonts w:eastAsiaTheme="minorEastAsia"/>
                <w:color w:val="auto"/>
                <w:sz w:val="24"/>
                <w:szCs w:val="21"/>
                <w:vertAlign w:val="superscript"/>
              </w:rPr>
              <w:t>-7</w:t>
            </w:r>
            <w:r>
              <w:rPr>
                <w:rFonts w:eastAsiaTheme="minorEastAsia"/>
                <w:color w:val="auto"/>
                <w:sz w:val="24"/>
                <w:szCs w:val="21"/>
              </w:rPr>
              <w:t>cm/s。</w:t>
            </w:r>
          </w:p>
          <w:p>
            <w:pPr>
              <w:pStyle w:val="28"/>
              <w:spacing w:line="360" w:lineRule="auto"/>
              <w:ind w:firstLine="240" w:firstLineChars="100"/>
              <w:jc w:val="both"/>
              <w:rPr>
                <w:rFonts w:eastAsiaTheme="minorEastAsia"/>
                <w:color w:val="auto"/>
                <w:sz w:val="24"/>
                <w:szCs w:val="21"/>
              </w:rPr>
            </w:pPr>
            <w:r>
              <w:rPr>
                <w:rFonts w:eastAsiaTheme="minorEastAsia"/>
                <w:color w:val="auto"/>
                <w:sz w:val="24"/>
                <w:szCs w:val="21"/>
              </w:rPr>
              <w:fldChar w:fldCharType="begin"/>
            </w:r>
            <w:r>
              <w:rPr>
                <w:rFonts w:eastAsiaTheme="minorEastAsia"/>
                <w:color w:val="auto"/>
                <w:sz w:val="24"/>
                <w:szCs w:val="21"/>
              </w:rPr>
              <w:instrText xml:space="preserve"> = 3 \* GB2 </w:instrText>
            </w:r>
            <w:r>
              <w:rPr>
                <w:rFonts w:eastAsiaTheme="minorEastAsia"/>
                <w:color w:val="auto"/>
                <w:sz w:val="24"/>
                <w:szCs w:val="21"/>
              </w:rPr>
              <w:fldChar w:fldCharType="separate"/>
            </w:r>
            <w:r>
              <w:rPr>
                <w:rFonts w:eastAsiaTheme="minorEastAsia"/>
                <w:color w:val="auto"/>
                <w:sz w:val="24"/>
                <w:szCs w:val="21"/>
              </w:rPr>
              <w:t>⑶</w:t>
            </w:r>
            <w:r>
              <w:rPr>
                <w:rFonts w:eastAsiaTheme="minorEastAsia"/>
                <w:color w:val="auto"/>
                <w:sz w:val="24"/>
                <w:szCs w:val="21"/>
              </w:rPr>
              <w:fldChar w:fldCharType="end"/>
            </w:r>
            <w:r>
              <w:rPr>
                <w:rFonts w:eastAsiaTheme="minorEastAsia"/>
                <w:color w:val="auto"/>
                <w:sz w:val="24"/>
                <w:szCs w:val="21"/>
              </w:rPr>
              <w:t>简单防渗区</w:t>
            </w:r>
          </w:p>
          <w:p>
            <w:pPr>
              <w:pStyle w:val="28"/>
              <w:spacing w:line="360" w:lineRule="auto"/>
              <w:ind w:firstLine="240" w:firstLineChars="100"/>
              <w:jc w:val="both"/>
              <w:rPr>
                <w:rFonts w:eastAsiaTheme="minorEastAsia"/>
                <w:color w:val="auto"/>
                <w:sz w:val="24"/>
                <w:szCs w:val="21"/>
              </w:rPr>
            </w:pPr>
            <w:r>
              <w:rPr>
                <w:rFonts w:eastAsiaTheme="minorEastAsia"/>
                <w:color w:val="auto"/>
                <w:sz w:val="24"/>
                <w:szCs w:val="21"/>
              </w:rPr>
              <w:t>根据项目特点，对于基本上不产生污染物的简单防渗区，不采取专门针对地下水污染的防治措施。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Align w:val="center"/>
          </w:tcPr>
          <w:p>
            <w:pPr>
              <w:spacing w:line="360" w:lineRule="exact"/>
              <w:jc w:val="center"/>
              <w:rPr>
                <w:rFonts w:ascii="Times New Roman" w:hAnsi="Times New Roman" w:cs="Times New Roman"/>
              </w:rPr>
            </w:pPr>
            <w:r>
              <w:rPr>
                <w:rFonts w:ascii="Times New Roman" w:hAnsi="Times New Roman" w:cs="Times New Roman"/>
              </w:rPr>
              <w:t>生态保护措施</w:t>
            </w:r>
          </w:p>
        </w:tc>
        <w:tc>
          <w:tcPr>
            <w:tcW w:w="8405" w:type="dxa"/>
            <w:gridSpan w:val="6"/>
            <w:vAlign w:val="center"/>
          </w:tcPr>
          <w:p>
            <w:pPr>
              <w:pStyle w:val="28"/>
              <w:spacing w:line="360" w:lineRule="auto"/>
              <w:ind w:firstLine="240" w:firstLineChars="100"/>
              <w:jc w:val="both"/>
              <w:rPr>
                <w:rFonts w:eastAsiaTheme="minorEastAsia"/>
                <w:color w:val="auto"/>
                <w:szCs w:val="21"/>
              </w:rPr>
            </w:pPr>
            <w:r>
              <w:rPr>
                <w:rFonts w:eastAsiaTheme="minorEastAsia"/>
                <w:color w:val="auto"/>
                <w:sz w:val="24"/>
                <w:szCs w:val="21"/>
              </w:rPr>
              <w:t>本项目的建设对生态的主要影响为改变土地的利用类型，但项目实际占地较小，其生态环境影响较小，同时，项目建设过程中将对靠河一侧建设绿化带，则进一步降低项目对生态环境的影响。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Align w:val="center"/>
          </w:tcPr>
          <w:p>
            <w:pPr>
              <w:spacing w:line="360" w:lineRule="exact"/>
              <w:jc w:val="center"/>
              <w:rPr>
                <w:rFonts w:ascii="Times New Roman" w:hAnsi="Times New Roman" w:cs="Times New Roman"/>
              </w:rPr>
            </w:pPr>
            <w:r>
              <w:rPr>
                <w:rFonts w:ascii="Times New Roman" w:hAnsi="Times New Roman" w:cs="Times New Roman"/>
              </w:rPr>
              <w:t>环境风险防范措施</w:t>
            </w:r>
          </w:p>
        </w:tc>
        <w:tc>
          <w:tcPr>
            <w:tcW w:w="8405" w:type="dxa"/>
            <w:gridSpan w:val="6"/>
            <w:vAlign w:val="center"/>
          </w:tcPr>
          <w:p>
            <w:pPr>
              <w:pStyle w:val="28"/>
              <w:spacing w:line="360" w:lineRule="auto"/>
              <w:ind w:firstLine="240" w:firstLineChars="100"/>
              <w:jc w:val="both"/>
              <w:rPr>
                <w:rFonts w:eastAsiaTheme="minorEastAsia"/>
                <w:color w:val="auto"/>
                <w:sz w:val="24"/>
                <w:szCs w:val="21"/>
              </w:rPr>
            </w:pPr>
            <w:r>
              <w:rPr>
                <w:rFonts w:eastAsiaTheme="minorEastAsia"/>
                <w:color w:val="auto"/>
                <w:sz w:val="24"/>
                <w:szCs w:val="21"/>
              </w:rPr>
              <w:t>①危废废物应储存于规范的危险废物贮存间；入库时，严格检验物品质量、数量、包装情况、有无泄漏。</w:t>
            </w:r>
          </w:p>
          <w:p>
            <w:pPr>
              <w:pStyle w:val="28"/>
              <w:spacing w:line="360" w:lineRule="auto"/>
              <w:ind w:firstLine="240" w:firstLineChars="100"/>
              <w:jc w:val="both"/>
              <w:rPr>
                <w:rFonts w:eastAsiaTheme="minorEastAsia"/>
                <w:color w:val="auto"/>
                <w:sz w:val="24"/>
                <w:szCs w:val="21"/>
              </w:rPr>
            </w:pPr>
            <w:r>
              <w:rPr>
                <w:rFonts w:eastAsiaTheme="minorEastAsia"/>
                <w:color w:val="auto"/>
                <w:sz w:val="24"/>
                <w:szCs w:val="21"/>
              </w:rPr>
              <w:t>②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p>
            <w:pPr>
              <w:pStyle w:val="28"/>
              <w:spacing w:line="360" w:lineRule="auto"/>
              <w:ind w:firstLine="240" w:firstLineChars="100"/>
              <w:jc w:val="both"/>
              <w:rPr>
                <w:rFonts w:eastAsiaTheme="minorEastAsia"/>
                <w:color w:val="auto"/>
                <w:sz w:val="24"/>
                <w:szCs w:val="21"/>
              </w:rPr>
            </w:pPr>
            <w:r>
              <w:rPr>
                <w:rFonts w:eastAsiaTheme="minorEastAsia"/>
                <w:color w:val="auto"/>
                <w:sz w:val="24"/>
                <w:szCs w:val="21"/>
              </w:rPr>
              <w:t>③项目区配备相应品种的消防器材。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Align w:val="center"/>
          </w:tcPr>
          <w:p>
            <w:pPr>
              <w:spacing w:line="360" w:lineRule="exact"/>
              <w:jc w:val="center"/>
              <w:rPr>
                <w:rFonts w:ascii="Times New Roman" w:hAnsi="Times New Roman" w:cs="Times New Roman"/>
              </w:rPr>
            </w:pPr>
            <w:r>
              <w:rPr>
                <w:rFonts w:ascii="Times New Roman" w:hAnsi="Times New Roman" w:cs="Times New Roman"/>
              </w:rPr>
              <w:t>其他环境管理要求</w:t>
            </w:r>
          </w:p>
        </w:tc>
        <w:tc>
          <w:tcPr>
            <w:tcW w:w="8405" w:type="dxa"/>
            <w:gridSpan w:val="6"/>
            <w:vAlign w:val="center"/>
          </w:tcPr>
          <w:p>
            <w:pPr>
              <w:pStyle w:val="28"/>
              <w:spacing w:line="360" w:lineRule="auto"/>
              <w:ind w:firstLine="240" w:firstLineChars="100"/>
              <w:jc w:val="both"/>
              <w:rPr>
                <w:rFonts w:eastAsiaTheme="minorEastAsia"/>
                <w:color w:val="auto"/>
                <w:sz w:val="24"/>
                <w:szCs w:val="21"/>
              </w:rPr>
            </w:pPr>
            <w:r>
              <w:rPr>
                <w:color w:val="auto"/>
                <w:sz w:val="24"/>
                <w:szCs w:val="21"/>
              </w:rPr>
              <w:t>①</w:t>
            </w:r>
            <w:r>
              <w:rPr>
                <w:rFonts w:eastAsiaTheme="minorEastAsia"/>
                <w:color w:val="auto"/>
                <w:sz w:val="24"/>
                <w:szCs w:val="21"/>
              </w:rPr>
              <w:t>建设单位按照危险废物管理的规范要求，设置危险废物识别标志、环境保护图形标志。</w:t>
            </w:r>
          </w:p>
          <w:p>
            <w:pPr>
              <w:pStyle w:val="28"/>
              <w:spacing w:line="360" w:lineRule="auto"/>
              <w:ind w:firstLine="240" w:firstLineChars="100"/>
              <w:jc w:val="both"/>
              <w:rPr>
                <w:rFonts w:eastAsiaTheme="minorEastAsia"/>
                <w:color w:val="auto"/>
                <w:sz w:val="24"/>
                <w:szCs w:val="21"/>
              </w:rPr>
            </w:pPr>
            <w:r>
              <w:rPr>
                <w:color w:val="auto"/>
                <w:sz w:val="24"/>
                <w:szCs w:val="21"/>
              </w:rPr>
              <w:t>②</w:t>
            </w:r>
            <w:r>
              <w:rPr>
                <w:rFonts w:eastAsiaTheme="minorEastAsia"/>
                <w:color w:val="auto"/>
                <w:sz w:val="24"/>
                <w:szCs w:val="21"/>
              </w:rPr>
              <w:t>要求建设单位制定突发环境事件应急预案，报所在地县级以上环境保护行政主管部门备案并按照预案要求每年组织演练。</w:t>
            </w:r>
          </w:p>
          <w:p>
            <w:pPr>
              <w:pStyle w:val="28"/>
              <w:spacing w:line="360" w:lineRule="auto"/>
              <w:ind w:firstLine="240" w:firstLineChars="100"/>
              <w:jc w:val="both"/>
              <w:rPr>
                <w:rFonts w:eastAsiaTheme="minorEastAsia"/>
                <w:color w:val="auto"/>
                <w:sz w:val="24"/>
                <w:szCs w:val="21"/>
              </w:rPr>
            </w:pPr>
          </w:p>
          <w:p>
            <w:pPr>
              <w:pStyle w:val="28"/>
              <w:spacing w:line="360" w:lineRule="auto"/>
              <w:ind w:firstLine="240" w:firstLineChars="100"/>
              <w:jc w:val="both"/>
              <w:rPr>
                <w:rFonts w:eastAsiaTheme="minorEastAsia"/>
                <w:color w:val="auto"/>
                <w:sz w:val="24"/>
                <w:szCs w:val="21"/>
              </w:rPr>
            </w:pPr>
          </w:p>
          <w:p>
            <w:pPr>
              <w:pStyle w:val="28"/>
              <w:spacing w:line="360" w:lineRule="auto"/>
              <w:ind w:firstLine="240" w:firstLineChars="100"/>
              <w:jc w:val="both"/>
              <w:rPr>
                <w:rFonts w:eastAsiaTheme="minorEastAsia"/>
                <w:color w:val="auto"/>
                <w:sz w:val="24"/>
                <w:szCs w:val="21"/>
              </w:rPr>
            </w:pPr>
          </w:p>
          <w:p>
            <w:pPr>
              <w:pStyle w:val="28"/>
              <w:spacing w:line="360" w:lineRule="auto"/>
              <w:ind w:firstLine="240" w:firstLineChars="100"/>
              <w:jc w:val="both"/>
              <w:rPr>
                <w:rFonts w:eastAsiaTheme="minorEastAsia"/>
                <w:color w:val="auto"/>
                <w:sz w:val="24"/>
                <w:szCs w:val="21"/>
              </w:rPr>
            </w:pPr>
          </w:p>
          <w:p>
            <w:pPr>
              <w:pStyle w:val="28"/>
              <w:spacing w:line="360" w:lineRule="auto"/>
              <w:ind w:firstLine="240" w:firstLineChars="100"/>
              <w:jc w:val="both"/>
              <w:rPr>
                <w:rFonts w:eastAsiaTheme="minorEastAsia"/>
                <w:color w:val="auto"/>
                <w:sz w:val="24"/>
                <w:szCs w:val="21"/>
              </w:rPr>
            </w:pPr>
          </w:p>
          <w:p>
            <w:pPr>
              <w:pStyle w:val="28"/>
              <w:spacing w:line="360" w:lineRule="auto"/>
              <w:ind w:firstLine="240" w:firstLineChars="100"/>
              <w:jc w:val="both"/>
              <w:rPr>
                <w:rFonts w:eastAsiaTheme="minorEastAsia"/>
                <w:color w:val="auto"/>
                <w:sz w:val="24"/>
                <w:szCs w:val="21"/>
              </w:rPr>
            </w:pPr>
          </w:p>
          <w:p>
            <w:pPr>
              <w:pStyle w:val="28"/>
              <w:spacing w:line="360" w:lineRule="auto"/>
              <w:ind w:firstLine="240" w:firstLineChars="100"/>
              <w:jc w:val="both"/>
              <w:rPr>
                <w:rFonts w:eastAsiaTheme="minorEastAsia"/>
                <w:color w:val="auto"/>
                <w:sz w:val="24"/>
                <w:szCs w:val="21"/>
              </w:rPr>
            </w:pPr>
          </w:p>
          <w:p>
            <w:pPr>
              <w:pStyle w:val="28"/>
              <w:spacing w:line="360" w:lineRule="auto"/>
              <w:ind w:firstLine="240" w:firstLineChars="100"/>
              <w:jc w:val="both"/>
              <w:rPr>
                <w:rFonts w:eastAsiaTheme="minorEastAsia"/>
                <w:color w:val="auto"/>
                <w:sz w:val="24"/>
                <w:szCs w:val="21"/>
              </w:rPr>
            </w:pPr>
          </w:p>
          <w:p>
            <w:pPr>
              <w:pStyle w:val="28"/>
              <w:spacing w:line="360" w:lineRule="auto"/>
              <w:jc w:val="both"/>
              <w:rPr>
                <w:rFonts w:eastAsiaTheme="minorEastAsia"/>
                <w:color w:val="auto"/>
                <w:szCs w:val="21"/>
              </w:rPr>
            </w:pPr>
          </w:p>
        </w:tc>
      </w:tr>
    </w:tbl>
    <w:p>
      <w:pPr>
        <w:pageBreakBefore/>
        <w:spacing w:line="360" w:lineRule="auto"/>
        <w:jc w:val="left"/>
        <w:outlineLvl w:val="0"/>
        <w:rPr>
          <w:rFonts w:ascii="Times New Roman" w:hAnsi="Times New Roman" w:cs="Times New Roman"/>
          <w:b/>
          <w:color w:val="000000" w:themeColor="text1"/>
          <w:sz w:val="28"/>
          <w:szCs w:val="20"/>
          <w14:textFill>
            <w14:solidFill>
              <w14:schemeClr w14:val="tx1"/>
            </w14:solidFill>
          </w14:textFill>
        </w:rPr>
      </w:pPr>
      <w:bookmarkStart w:id="21" w:name="_Toc25477"/>
      <w:r>
        <w:rPr>
          <w:rFonts w:ascii="Times New Roman" w:hAnsi="Times New Roman" w:cs="Times New Roman"/>
          <w:b/>
          <w:color w:val="000000" w:themeColor="text1"/>
          <w:sz w:val="28"/>
          <w:szCs w:val="20"/>
          <w14:textFill>
            <w14:solidFill>
              <w14:schemeClr w14:val="tx1"/>
            </w14:solidFill>
          </w14:textFill>
        </w:rPr>
        <w:t>六、结论</w:t>
      </w:r>
      <w:bookmarkEnd w:id="21"/>
    </w:p>
    <w:tbl>
      <w:tblPr>
        <w:tblStyle w:val="17"/>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356" w:type="dxa"/>
          </w:tcPr>
          <w:p>
            <w:pPr>
              <w:spacing w:before="156" w:beforeLines="50"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昆明滇中浩翊新型建材有限公司拟建设的东川区再利用废石废渣生产建筑用石用砂小李庄加工厂建设项目的建设符合国家产业政策，符合相关规划，选址合理，项目建设满足“三线一单”的管理要求，项目选址区域环境空气、地表水环境和声环境质量现状均可达到相应的质量标准要求，本项目产生的污染物均可得到合理处置，建设单位在项目运行过程中严格执行环境管理和监测计划，项目对外环境影响较小，环境风险可控；从环境影响的角度分析，项目建设可行。</w:t>
            </w: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p>
        </w:tc>
      </w:tr>
    </w:tbl>
    <w:p>
      <w:pPr>
        <w:spacing w:line="360" w:lineRule="auto"/>
        <w:rPr>
          <w:rFonts w:ascii="Times New Roman" w:hAnsi="Times New Roman" w:cs="Times New Roman"/>
          <w:color w:val="000000" w:themeColor="text1"/>
          <w:sz w:val="24"/>
          <w:szCs w:val="24"/>
          <w14:textFill>
            <w14:solidFill>
              <w14:schemeClr w14:val="tx1"/>
            </w14:solidFill>
          </w14:textFill>
        </w:rPr>
        <w:sectPr>
          <w:footerReference r:id="rId3" w:type="default"/>
          <w:pgSz w:w="11906" w:h="16838"/>
          <w:pgMar w:top="1440" w:right="1797" w:bottom="1440" w:left="1797" w:header="851" w:footer="992" w:gutter="0"/>
          <w:pgNumType w:start="1"/>
          <w:cols w:space="425" w:num="1"/>
          <w:docGrid w:type="lines" w:linePitch="312" w:charSpace="0"/>
        </w:sectPr>
      </w:pPr>
    </w:p>
    <w:p>
      <w:pPr>
        <w:spacing w:line="360" w:lineRule="auto"/>
        <w:jc w:val="left"/>
        <w:outlineLvl w:val="0"/>
        <w:rPr>
          <w:rFonts w:ascii="Times New Roman" w:hAnsi="Times New Roman" w:cs="Times New Roman"/>
          <w:b/>
          <w:color w:val="000000" w:themeColor="text1"/>
          <w:sz w:val="28"/>
          <w:szCs w:val="20"/>
          <w14:textFill>
            <w14:solidFill>
              <w14:schemeClr w14:val="tx1"/>
            </w14:solidFill>
          </w14:textFill>
        </w:rPr>
      </w:pPr>
      <w:bookmarkStart w:id="22" w:name="_Toc31761"/>
      <w:r>
        <w:rPr>
          <w:rFonts w:ascii="Times New Roman" w:hAnsi="Times New Roman" w:cs="Times New Roman"/>
          <w:b/>
          <w:color w:val="000000" w:themeColor="text1"/>
          <w:sz w:val="28"/>
          <w:szCs w:val="20"/>
          <w14:textFill>
            <w14:solidFill>
              <w14:schemeClr w14:val="tx1"/>
            </w14:solidFill>
          </w14:textFill>
        </w:rPr>
        <w:t>附表</w:t>
      </w:r>
      <w:bookmarkEnd w:id="22"/>
    </w:p>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建设项目污染物排放量汇总表</w:t>
      </w:r>
    </w:p>
    <w:tbl>
      <w:tblPr>
        <w:tblStyle w:val="17"/>
        <w:tblW w:w="141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1984"/>
        <w:gridCol w:w="1560"/>
        <w:gridCol w:w="1417"/>
        <w:gridCol w:w="1701"/>
        <w:gridCol w:w="1828"/>
        <w:gridCol w:w="1575"/>
        <w:gridCol w:w="1842"/>
        <w:gridCol w:w="13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Borders>
              <w:tl2br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 xml:space="preserve">   项目</w:t>
            </w:r>
          </w:p>
          <w:p>
            <w:pPr>
              <w:spacing w:line="360" w:lineRule="exact"/>
              <w:jc w:val="left"/>
              <w:rPr>
                <w:rFonts w:ascii="Times New Roman" w:hAnsi="Times New Roman" w:cs="Times New Roman"/>
              </w:rPr>
            </w:pPr>
            <w:r>
              <w:rPr>
                <w:rFonts w:ascii="Times New Roman" w:hAnsi="Times New Roman" w:cs="Times New Roman"/>
              </w:rPr>
              <w:t>分类</w:t>
            </w:r>
          </w:p>
        </w:tc>
        <w:tc>
          <w:tcPr>
            <w:tcW w:w="1984" w:type="dxa"/>
            <w:vAlign w:val="center"/>
          </w:tcPr>
          <w:p>
            <w:pPr>
              <w:spacing w:line="360" w:lineRule="exact"/>
              <w:jc w:val="center"/>
              <w:rPr>
                <w:rFonts w:ascii="Times New Roman" w:hAnsi="Times New Roman" w:cs="Times New Roman"/>
              </w:rPr>
            </w:pPr>
            <w:r>
              <w:rPr>
                <w:rFonts w:ascii="Times New Roman" w:hAnsi="Times New Roman" w:cs="Times New Roman"/>
              </w:rPr>
              <w:t>污染物名称</w:t>
            </w:r>
          </w:p>
        </w:tc>
        <w:tc>
          <w:tcPr>
            <w:tcW w:w="1560" w:type="dxa"/>
            <w:vAlign w:val="center"/>
          </w:tcPr>
          <w:p>
            <w:pPr>
              <w:spacing w:line="360" w:lineRule="exact"/>
              <w:jc w:val="center"/>
              <w:rPr>
                <w:rFonts w:ascii="Times New Roman" w:hAnsi="Times New Roman" w:cs="Times New Roman"/>
              </w:rPr>
            </w:pPr>
            <w:r>
              <w:rPr>
                <w:rFonts w:ascii="Times New Roman" w:hAnsi="Times New Roman" w:cs="Times New Roman"/>
              </w:rPr>
              <w:t>现有工程排放量（固体废物产生量）</w:t>
            </w:r>
            <w:r>
              <w:rPr>
                <w:rFonts w:ascii="Times New Roman" w:hAnsi="Times New Roman" w:eastAsia="宋体" w:cs="Times New Roman"/>
              </w:rPr>
              <w:t>①</w:t>
            </w:r>
          </w:p>
        </w:tc>
        <w:tc>
          <w:tcPr>
            <w:tcW w:w="1417" w:type="dxa"/>
            <w:vAlign w:val="center"/>
          </w:tcPr>
          <w:p>
            <w:pPr>
              <w:spacing w:line="360" w:lineRule="exact"/>
              <w:jc w:val="center"/>
              <w:rPr>
                <w:rFonts w:ascii="Times New Roman" w:hAnsi="Times New Roman" w:cs="Times New Roman"/>
              </w:rPr>
            </w:pPr>
            <w:r>
              <w:rPr>
                <w:rFonts w:ascii="Times New Roman" w:hAnsi="Times New Roman" w:cs="Times New Roman"/>
              </w:rPr>
              <w:t>现有工程许可排放量</w:t>
            </w:r>
            <w:r>
              <w:rPr>
                <w:rFonts w:ascii="Times New Roman" w:hAnsi="Times New Roman" w:eastAsia="宋体" w:cs="Times New Roman"/>
              </w:rPr>
              <w:t>②</w:t>
            </w:r>
          </w:p>
        </w:tc>
        <w:tc>
          <w:tcPr>
            <w:tcW w:w="1701" w:type="dxa"/>
            <w:vAlign w:val="center"/>
          </w:tcPr>
          <w:p>
            <w:pPr>
              <w:spacing w:line="360" w:lineRule="exact"/>
              <w:jc w:val="center"/>
              <w:rPr>
                <w:rFonts w:ascii="Times New Roman" w:hAnsi="Times New Roman" w:cs="Times New Roman"/>
              </w:rPr>
            </w:pPr>
            <w:r>
              <w:rPr>
                <w:rFonts w:ascii="Times New Roman" w:hAnsi="Times New Roman" w:cs="Times New Roman"/>
              </w:rPr>
              <w:t>在建工程排放量（固体废物产生量）</w:t>
            </w:r>
            <w:r>
              <w:rPr>
                <w:rFonts w:ascii="Times New Roman" w:hAnsi="Times New Roman" w:eastAsia="宋体" w:cs="Times New Roman"/>
              </w:rPr>
              <w:t>③</w:t>
            </w:r>
          </w:p>
        </w:tc>
        <w:tc>
          <w:tcPr>
            <w:tcW w:w="1828" w:type="dxa"/>
            <w:vAlign w:val="center"/>
          </w:tcPr>
          <w:p>
            <w:pPr>
              <w:spacing w:line="360" w:lineRule="exact"/>
              <w:jc w:val="center"/>
              <w:rPr>
                <w:rFonts w:ascii="Times New Roman" w:hAnsi="Times New Roman" w:cs="Times New Roman"/>
              </w:rPr>
            </w:pPr>
            <w:r>
              <w:rPr>
                <w:rFonts w:ascii="Times New Roman" w:hAnsi="Times New Roman" w:cs="Times New Roman"/>
              </w:rPr>
              <w:t>本项目排放量（固体废物产生量）</w:t>
            </w:r>
            <w:r>
              <w:rPr>
                <w:rFonts w:ascii="Times New Roman" w:hAnsi="Times New Roman" w:eastAsia="宋体" w:cs="Times New Roman"/>
              </w:rPr>
              <w:t>④</w:t>
            </w:r>
          </w:p>
        </w:tc>
        <w:tc>
          <w:tcPr>
            <w:tcW w:w="1575" w:type="dxa"/>
            <w:vAlign w:val="center"/>
          </w:tcPr>
          <w:p>
            <w:pPr>
              <w:spacing w:line="360" w:lineRule="exact"/>
              <w:jc w:val="center"/>
              <w:rPr>
                <w:rFonts w:ascii="Times New Roman" w:hAnsi="Times New Roman" w:cs="Times New Roman"/>
              </w:rPr>
            </w:pPr>
            <w:r>
              <w:rPr>
                <w:rFonts w:ascii="Times New Roman" w:hAnsi="Times New Roman" w:cs="Times New Roman"/>
              </w:rPr>
              <w:t>以新带老削减量（新建项目不填）</w:t>
            </w:r>
            <w:r>
              <w:rPr>
                <w:rFonts w:ascii="Times New Roman" w:hAnsi="Times New Roman" w:eastAsia="宋体" w:cs="Times New Roman"/>
              </w:rPr>
              <w:t>⑤</w:t>
            </w:r>
          </w:p>
        </w:tc>
        <w:tc>
          <w:tcPr>
            <w:tcW w:w="1842" w:type="dxa"/>
            <w:vAlign w:val="center"/>
          </w:tcPr>
          <w:p>
            <w:pPr>
              <w:spacing w:line="360" w:lineRule="exact"/>
              <w:jc w:val="center"/>
              <w:rPr>
                <w:rFonts w:ascii="Times New Roman" w:hAnsi="Times New Roman" w:cs="Times New Roman"/>
              </w:rPr>
            </w:pPr>
            <w:r>
              <w:rPr>
                <w:rFonts w:ascii="Times New Roman" w:hAnsi="Times New Roman" w:cs="Times New Roman"/>
              </w:rPr>
              <w:t>本项目建成后全厂排放量（固体废物产生量）</w:t>
            </w:r>
            <w:r>
              <w:rPr>
                <w:rFonts w:ascii="Times New Roman" w:hAnsi="Times New Roman" w:eastAsia="宋体" w:cs="Times New Roman"/>
              </w:rPr>
              <w:t>⑥</w:t>
            </w:r>
          </w:p>
        </w:tc>
        <w:tc>
          <w:tcPr>
            <w:tcW w:w="1308" w:type="dxa"/>
            <w:vAlign w:val="center"/>
          </w:tcPr>
          <w:p>
            <w:pPr>
              <w:spacing w:line="360" w:lineRule="exact"/>
              <w:jc w:val="center"/>
              <w:rPr>
                <w:rFonts w:ascii="Times New Roman" w:hAnsi="Times New Roman" w:cs="Times New Roman"/>
              </w:rPr>
            </w:pPr>
            <w:r>
              <w:rPr>
                <w:rFonts w:ascii="Times New Roman" w:hAnsi="Times New Roman" w:cs="Times New Roman"/>
              </w:rPr>
              <w:t>变化量</w:t>
            </w:r>
            <w:r>
              <w:rPr>
                <w:rFonts w:ascii="Times New Roman" w:hAnsi="Times New Roman" w:eastAsia="宋体" w:cs="Times New Roman"/>
              </w:rPr>
              <w:t>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Align w:val="center"/>
          </w:tcPr>
          <w:p>
            <w:pPr>
              <w:pStyle w:val="28"/>
              <w:spacing w:line="360" w:lineRule="exact"/>
              <w:rPr>
                <w:rFonts w:eastAsiaTheme="minorEastAsia"/>
                <w:color w:val="auto"/>
                <w:szCs w:val="21"/>
              </w:rPr>
            </w:pPr>
            <w:r>
              <w:rPr>
                <w:rFonts w:eastAsiaTheme="minorEastAsia"/>
                <w:color w:val="auto"/>
                <w:szCs w:val="21"/>
              </w:rPr>
              <w:t>废气</w:t>
            </w:r>
          </w:p>
        </w:tc>
        <w:tc>
          <w:tcPr>
            <w:tcW w:w="1984" w:type="dxa"/>
            <w:vAlign w:val="center"/>
          </w:tcPr>
          <w:p>
            <w:pPr>
              <w:pStyle w:val="28"/>
              <w:spacing w:line="360" w:lineRule="exact"/>
              <w:rPr>
                <w:rFonts w:eastAsiaTheme="minorEastAsia"/>
                <w:color w:val="auto"/>
                <w:szCs w:val="21"/>
              </w:rPr>
            </w:pPr>
            <w:r>
              <w:rPr>
                <w:rFonts w:eastAsiaTheme="minorEastAsia"/>
                <w:color w:val="auto"/>
                <w:szCs w:val="21"/>
              </w:rPr>
              <w:t>颗粒物</w:t>
            </w:r>
          </w:p>
        </w:tc>
        <w:tc>
          <w:tcPr>
            <w:tcW w:w="1560"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417"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8"/>
              <w:spacing w:line="360" w:lineRule="exact"/>
              <w:rPr>
                <w:rFonts w:eastAsiaTheme="minorEastAsia"/>
                <w:color w:val="auto"/>
                <w:szCs w:val="21"/>
              </w:rPr>
            </w:pPr>
            <w:r>
              <w:rPr>
                <w:rFonts w:eastAsiaTheme="minorEastAsia"/>
                <w:color w:val="auto"/>
                <w:szCs w:val="21"/>
              </w:rPr>
              <w:t>0.28</w:t>
            </w:r>
          </w:p>
        </w:tc>
        <w:tc>
          <w:tcPr>
            <w:tcW w:w="1575"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8"/>
              <w:spacing w:line="360" w:lineRule="exact"/>
              <w:rPr>
                <w:rFonts w:eastAsiaTheme="minorEastAsia"/>
                <w:color w:val="auto"/>
                <w:szCs w:val="21"/>
              </w:rPr>
            </w:pPr>
            <w:r>
              <w:rPr>
                <w:rFonts w:eastAsiaTheme="minorEastAsia"/>
                <w:color w:val="auto"/>
                <w:szCs w:val="21"/>
              </w:rPr>
              <w:t>0.28</w:t>
            </w:r>
          </w:p>
        </w:tc>
        <w:tc>
          <w:tcPr>
            <w:tcW w:w="1308" w:type="dxa"/>
            <w:vAlign w:val="center"/>
          </w:tcPr>
          <w:p>
            <w:pPr>
              <w:pStyle w:val="28"/>
              <w:spacing w:line="360" w:lineRule="exact"/>
              <w:rPr>
                <w:rFonts w:eastAsiaTheme="minorEastAsia"/>
                <w:color w:val="auto"/>
                <w:szCs w:val="21"/>
              </w:rPr>
            </w:pPr>
            <w:r>
              <w:rPr>
                <w:rFonts w:eastAsiaTheme="minorEastAsia"/>
                <w:color w:val="auto"/>
                <w:szCs w:val="21"/>
              </w:rPr>
              <w:t>0.28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restart"/>
            <w:vAlign w:val="center"/>
          </w:tcPr>
          <w:p>
            <w:pPr>
              <w:spacing w:line="360" w:lineRule="exact"/>
              <w:jc w:val="center"/>
              <w:rPr>
                <w:rFonts w:ascii="Times New Roman" w:hAnsi="Times New Roman" w:cs="Times New Roman"/>
              </w:rPr>
            </w:pPr>
            <w:r>
              <w:rPr>
                <w:rFonts w:ascii="Times New Roman" w:hAnsi="Times New Roman" w:cs="Times New Roman"/>
              </w:rPr>
              <w:t>废水</w:t>
            </w:r>
          </w:p>
        </w:tc>
        <w:tc>
          <w:tcPr>
            <w:tcW w:w="1984" w:type="dxa"/>
            <w:vAlign w:val="center"/>
          </w:tcPr>
          <w:p>
            <w:pPr>
              <w:pStyle w:val="28"/>
              <w:spacing w:line="360" w:lineRule="exact"/>
              <w:rPr>
                <w:rFonts w:eastAsiaTheme="minorEastAsia"/>
                <w:color w:val="auto"/>
                <w:szCs w:val="21"/>
              </w:rPr>
            </w:pPr>
            <w:r>
              <w:rPr>
                <w:rFonts w:eastAsiaTheme="minorEastAsia"/>
                <w:color w:val="auto"/>
                <w:szCs w:val="21"/>
              </w:rPr>
              <w:t>废水量</w:t>
            </w:r>
          </w:p>
        </w:tc>
        <w:tc>
          <w:tcPr>
            <w:tcW w:w="1560"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417"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575"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308" w:type="dxa"/>
            <w:vAlign w:val="center"/>
          </w:tcPr>
          <w:p>
            <w:pPr>
              <w:pStyle w:val="28"/>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rPr>
            </w:pPr>
          </w:p>
        </w:tc>
        <w:tc>
          <w:tcPr>
            <w:tcW w:w="1984" w:type="dxa"/>
            <w:vAlign w:val="center"/>
          </w:tcPr>
          <w:p>
            <w:pPr>
              <w:pStyle w:val="28"/>
              <w:spacing w:line="360" w:lineRule="exact"/>
              <w:rPr>
                <w:rFonts w:eastAsiaTheme="minorEastAsia"/>
                <w:color w:val="auto"/>
                <w:szCs w:val="21"/>
              </w:rPr>
            </w:pPr>
            <w:r>
              <w:rPr>
                <w:rFonts w:eastAsiaTheme="minorEastAsia"/>
                <w:color w:val="auto"/>
                <w:szCs w:val="21"/>
              </w:rPr>
              <w:t>pH</w:t>
            </w:r>
          </w:p>
        </w:tc>
        <w:tc>
          <w:tcPr>
            <w:tcW w:w="1560"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417"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575"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308" w:type="dxa"/>
            <w:vAlign w:val="center"/>
          </w:tcPr>
          <w:p>
            <w:pPr>
              <w:pStyle w:val="28"/>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rPr>
            </w:pPr>
          </w:p>
        </w:tc>
        <w:tc>
          <w:tcPr>
            <w:tcW w:w="1984" w:type="dxa"/>
            <w:vAlign w:val="center"/>
          </w:tcPr>
          <w:p>
            <w:pPr>
              <w:pStyle w:val="28"/>
              <w:spacing w:line="360" w:lineRule="exact"/>
              <w:rPr>
                <w:rFonts w:eastAsiaTheme="minorEastAsia"/>
                <w:color w:val="auto"/>
                <w:szCs w:val="21"/>
              </w:rPr>
            </w:pPr>
            <w:r>
              <w:rPr>
                <w:rFonts w:eastAsiaTheme="minorEastAsia"/>
                <w:color w:val="auto"/>
                <w:szCs w:val="21"/>
              </w:rPr>
              <w:t>CODcr</w:t>
            </w:r>
          </w:p>
        </w:tc>
        <w:tc>
          <w:tcPr>
            <w:tcW w:w="1560"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417"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575"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308" w:type="dxa"/>
            <w:vAlign w:val="center"/>
          </w:tcPr>
          <w:p>
            <w:pPr>
              <w:pStyle w:val="28"/>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rPr>
            </w:pPr>
          </w:p>
        </w:tc>
        <w:tc>
          <w:tcPr>
            <w:tcW w:w="1984" w:type="dxa"/>
            <w:vAlign w:val="center"/>
          </w:tcPr>
          <w:p>
            <w:pPr>
              <w:pStyle w:val="28"/>
              <w:spacing w:line="360" w:lineRule="exact"/>
              <w:rPr>
                <w:rFonts w:eastAsiaTheme="minorEastAsia"/>
                <w:color w:val="auto"/>
                <w:szCs w:val="21"/>
              </w:rPr>
            </w:pPr>
            <w:r>
              <w:rPr>
                <w:rFonts w:eastAsiaTheme="minorEastAsia"/>
                <w:color w:val="auto"/>
                <w:szCs w:val="21"/>
              </w:rPr>
              <w:t>BOD</w:t>
            </w:r>
            <w:r>
              <w:rPr>
                <w:rFonts w:eastAsiaTheme="minorEastAsia"/>
                <w:color w:val="auto"/>
                <w:szCs w:val="21"/>
                <w:vertAlign w:val="subscript"/>
              </w:rPr>
              <w:t>5</w:t>
            </w:r>
          </w:p>
        </w:tc>
        <w:tc>
          <w:tcPr>
            <w:tcW w:w="1560"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417"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575"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308" w:type="dxa"/>
            <w:vAlign w:val="center"/>
          </w:tcPr>
          <w:p>
            <w:pPr>
              <w:pStyle w:val="28"/>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rPr>
            </w:pPr>
          </w:p>
        </w:tc>
        <w:tc>
          <w:tcPr>
            <w:tcW w:w="1984" w:type="dxa"/>
            <w:vAlign w:val="center"/>
          </w:tcPr>
          <w:p>
            <w:pPr>
              <w:pStyle w:val="28"/>
              <w:spacing w:line="360" w:lineRule="exact"/>
              <w:rPr>
                <w:rFonts w:eastAsiaTheme="minorEastAsia"/>
                <w:color w:val="auto"/>
                <w:szCs w:val="21"/>
              </w:rPr>
            </w:pPr>
            <w:r>
              <w:rPr>
                <w:rFonts w:eastAsiaTheme="minorEastAsia"/>
                <w:color w:val="auto"/>
                <w:szCs w:val="21"/>
              </w:rPr>
              <w:t>NH</w:t>
            </w:r>
            <w:r>
              <w:rPr>
                <w:rFonts w:eastAsiaTheme="minorEastAsia"/>
                <w:color w:val="auto"/>
                <w:szCs w:val="21"/>
                <w:vertAlign w:val="subscript"/>
              </w:rPr>
              <w:t>3</w:t>
            </w:r>
            <w:r>
              <w:rPr>
                <w:rFonts w:eastAsiaTheme="minorEastAsia"/>
                <w:color w:val="auto"/>
                <w:szCs w:val="21"/>
              </w:rPr>
              <w:t>-N</w:t>
            </w:r>
          </w:p>
        </w:tc>
        <w:tc>
          <w:tcPr>
            <w:tcW w:w="1560"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417"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575"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308" w:type="dxa"/>
            <w:vAlign w:val="center"/>
          </w:tcPr>
          <w:p>
            <w:pPr>
              <w:pStyle w:val="28"/>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rPr>
            </w:pPr>
          </w:p>
        </w:tc>
        <w:tc>
          <w:tcPr>
            <w:tcW w:w="1984" w:type="dxa"/>
            <w:vAlign w:val="center"/>
          </w:tcPr>
          <w:p>
            <w:pPr>
              <w:pStyle w:val="28"/>
              <w:spacing w:line="360" w:lineRule="exact"/>
              <w:rPr>
                <w:rFonts w:eastAsiaTheme="minorEastAsia"/>
                <w:color w:val="auto"/>
                <w:szCs w:val="21"/>
              </w:rPr>
            </w:pPr>
            <w:r>
              <w:rPr>
                <w:rFonts w:eastAsiaTheme="minorEastAsia"/>
                <w:color w:val="auto"/>
                <w:szCs w:val="21"/>
              </w:rPr>
              <w:t>SS</w:t>
            </w:r>
          </w:p>
        </w:tc>
        <w:tc>
          <w:tcPr>
            <w:tcW w:w="1560"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417"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575"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308" w:type="dxa"/>
            <w:vAlign w:val="center"/>
          </w:tcPr>
          <w:p>
            <w:pPr>
              <w:pStyle w:val="28"/>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rPr>
            </w:pPr>
          </w:p>
        </w:tc>
        <w:tc>
          <w:tcPr>
            <w:tcW w:w="1984" w:type="dxa"/>
            <w:vAlign w:val="center"/>
          </w:tcPr>
          <w:p>
            <w:pPr>
              <w:pStyle w:val="28"/>
              <w:spacing w:line="360" w:lineRule="exact"/>
              <w:rPr>
                <w:rFonts w:eastAsiaTheme="minorEastAsia"/>
                <w:color w:val="auto"/>
                <w:szCs w:val="21"/>
              </w:rPr>
            </w:pPr>
            <w:r>
              <w:rPr>
                <w:rFonts w:eastAsiaTheme="minorEastAsia"/>
                <w:color w:val="auto"/>
                <w:szCs w:val="21"/>
              </w:rPr>
              <w:t>总磷</w:t>
            </w:r>
          </w:p>
        </w:tc>
        <w:tc>
          <w:tcPr>
            <w:tcW w:w="1560"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417"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575"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308" w:type="dxa"/>
            <w:vAlign w:val="center"/>
          </w:tcPr>
          <w:p>
            <w:pPr>
              <w:pStyle w:val="28"/>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rPr>
            </w:pPr>
          </w:p>
        </w:tc>
        <w:tc>
          <w:tcPr>
            <w:tcW w:w="1984" w:type="dxa"/>
            <w:vAlign w:val="center"/>
          </w:tcPr>
          <w:p>
            <w:pPr>
              <w:pStyle w:val="28"/>
              <w:spacing w:line="360" w:lineRule="exact"/>
              <w:rPr>
                <w:rFonts w:eastAsiaTheme="minorEastAsia"/>
                <w:color w:val="auto"/>
                <w:szCs w:val="21"/>
              </w:rPr>
            </w:pPr>
            <w:r>
              <w:rPr>
                <w:rFonts w:eastAsiaTheme="minorEastAsia"/>
                <w:color w:val="auto"/>
                <w:szCs w:val="21"/>
              </w:rPr>
              <w:t>总氮</w:t>
            </w:r>
          </w:p>
        </w:tc>
        <w:tc>
          <w:tcPr>
            <w:tcW w:w="1560"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417"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575"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308" w:type="dxa"/>
            <w:vAlign w:val="center"/>
          </w:tcPr>
          <w:p>
            <w:pPr>
              <w:pStyle w:val="28"/>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rPr>
            </w:pPr>
          </w:p>
        </w:tc>
        <w:tc>
          <w:tcPr>
            <w:tcW w:w="1984" w:type="dxa"/>
            <w:vAlign w:val="center"/>
          </w:tcPr>
          <w:p>
            <w:pPr>
              <w:pStyle w:val="28"/>
              <w:spacing w:line="360" w:lineRule="exact"/>
              <w:rPr>
                <w:rFonts w:eastAsiaTheme="minorEastAsia"/>
                <w:color w:val="auto"/>
                <w:szCs w:val="21"/>
              </w:rPr>
            </w:pPr>
            <w:r>
              <w:rPr>
                <w:rFonts w:eastAsiaTheme="minorEastAsia"/>
                <w:color w:val="auto"/>
                <w:szCs w:val="21"/>
              </w:rPr>
              <w:t>阴离子表面活性剂</w:t>
            </w:r>
          </w:p>
        </w:tc>
        <w:tc>
          <w:tcPr>
            <w:tcW w:w="1560"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417"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575"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308" w:type="dxa"/>
            <w:vAlign w:val="center"/>
          </w:tcPr>
          <w:p>
            <w:pPr>
              <w:pStyle w:val="28"/>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rPr>
            </w:pPr>
          </w:p>
        </w:tc>
        <w:tc>
          <w:tcPr>
            <w:tcW w:w="1984" w:type="dxa"/>
            <w:vAlign w:val="center"/>
          </w:tcPr>
          <w:p>
            <w:pPr>
              <w:pStyle w:val="28"/>
              <w:spacing w:line="360" w:lineRule="exact"/>
              <w:rPr>
                <w:rFonts w:eastAsiaTheme="minorEastAsia"/>
                <w:color w:val="auto"/>
                <w:szCs w:val="21"/>
              </w:rPr>
            </w:pPr>
            <w:r>
              <w:rPr>
                <w:rFonts w:eastAsiaTheme="minorEastAsia"/>
                <w:color w:val="auto"/>
                <w:szCs w:val="21"/>
              </w:rPr>
              <w:t>粪大肠菌群数（MPN/L）</w:t>
            </w:r>
          </w:p>
        </w:tc>
        <w:tc>
          <w:tcPr>
            <w:tcW w:w="1560"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417"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8"/>
              <w:spacing w:line="360" w:lineRule="exact"/>
              <w:rPr>
                <w:rFonts w:eastAsiaTheme="minorEastAsia"/>
                <w:color w:val="auto"/>
                <w:szCs w:val="21"/>
              </w:rPr>
            </w:pPr>
            <w:r>
              <w:rPr>
                <w:rFonts w:eastAsiaTheme="minorEastAsia"/>
                <w:color w:val="auto"/>
                <w:szCs w:val="21"/>
              </w:rPr>
              <w:t>--</w:t>
            </w:r>
          </w:p>
        </w:tc>
        <w:tc>
          <w:tcPr>
            <w:tcW w:w="1575"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8"/>
              <w:spacing w:line="360" w:lineRule="exact"/>
              <w:rPr>
                <w:rFonts w:eastAsiaTheme="minorEastAsia"/>
                <w:color w:val="auto"/>
                <w:szCs w:val="21"/>
              </w:rPr>
            </w:pPr>
            <w:r>
              <w:rPr>
                <w:rFonts w:eastAsiaTheme="minorEastAsia"/>
                <w:color w:val="auto"/>
                <w:szCs w:val="21"/>
              </w:rPr>
              <w:t>--</w:t>
            </w:r>
          </w:p>
        </w:tc>
        <w:tc>
          <w:tcPr>
            <w:tcW w:w="1308" w:type="dxa"/>
            <w:vAlign w:val="center"/>
          </w:tcPr>
          <w:p>
            <w:pPr>
              <w:pStyle w:val="28"/>
              <w:spacing w:line="360" w:lineRule="exact"/>
              <w:rPr>
                <w:rFonts w:eastAsiaTheme="minorEastAsia"/>
                <w:color w:val="auto"/>
                <w:szCs w:val="21"/>
              </w:rPr>
            </w:pPr>
            <w:r>
              <w:rPr>
                <w:rFonts w:eastAsiaTheme="minorEastAsia"/>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restart"/>
            <w:vAlign w:val="center"/>
          </w:tcPr>
          <w:p>
            <w:pPr>
              <w:pStyle w:val="28"/>
              <w:spacing w:line="360" w:lineRule="exact"/>
              <w:rPr>
                <w:rFonts w:eastAsiaTheme="minorEastAsia"/>
                <w:color w:val="auto"/>
                <w:szCs w:val="21"/>
              </w:rPr>
            </w:pPr>
            <w:r>
              <w:rPr>
                <w:rFonts w:eastAsiaTheme="minorEastAsia"/>
                <w:color w:val="auto"/>
                <w:szCs w:val="21"/>
              </w:rPr>
              <w:t>一般工业固废</w:t>
            </w:r>
          </w:p>
        </w:tc>
        <w:tc>
          <w:tcPr>
            <w:tcW w:w="1984" w:type="dxa"/>
            <w:vAlign w:val="center"/>
          </w:tcPr>
          <w:p>
            <w:pPr>
              <w:pStyle w:val="28"/>
              <w:spacing w:line="360" w:lineRule="exact"/>
              <w:rPr>
                <w:rFonts w:eastAsiaTheme="minorEastAsia"/>
                <w:color w:val="auto"/>
                <w:szCs w:val="21"/>
              </w:rPr>
            </w:pPr>
            <w:r>
              <w:rPr>
                <w:rFonts w:eastAsiaTheme="minorEastAsia"/>
                <w:color w:val="auto"/>
                <w:szCs w:val="21"/>
              </w:rPr>
              <w:t>生产废水污泥</w:t>
            </w:r>
          </w:p>
        </w:tc>
        <w:tc>
          <w:tcPr>
            <w:tcW w:w="1560"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417"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8"/>
              <w:spacing w:line="360" w:lineRule="exact"/>
              <w:rPr>
                <w:rFonts w:eastAsiaTheme="minorEastAsia"/>
                <w:color w:val="auto"/>
                <w:szCs w:val="21"/>
              </w:rPr>
            </w:pPr>
            <w:r>
              <w:rPr>
                <w:rFonts w:eastAsiaTheme="minorEastAsia"/>
                <w:color w:val="auto"/>
                <w:szCs w:val="21"/>
                <w:lang w:val="en-US"/>
              </w:rPr>
              <w:t>1024.93</w:t>
            </w:r>
            <w:r>
              <w:rPr>
                <w:rFonts w:eastAsiaTheme="minorEastAsia"/>
                <w:color w:val="auto"/>
                <w:szCs w:val="21"/>
              </w:rPr>
              <w:t>t/a</w:t>
            </w:r>
          </w:p>
        </w:tc>
        <w:tc>
          <w:tcPr>
            <w:tcW w:w="1575"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8"/>
              <w:spacing w:line="360" w:lineRule="exact"/>
              <w:rPr>
                <w:rFonts w:eastAsiaTheme="minorEastAsia"/>
                <w:color w:val="auto"/>
                <w:szCs w:val="21"/>
              </w:rPr>
            </w:pPr>
            <w:r>
              <w:rPr>
                <w:rFonts w:eastAsiaTheme="minorEastAsia"/>
                <w:color w:val="auto"/>
                <w:szCs w:val="21"/>
                <w:lang w:val="en-US"/>
              </w:rPr>
              <w:t>1024.93</w:t>
            </w:r>
            <w:r>
              <w:rPr>
                <w:rFonts w:eastAsiaTheme="minorEastAsia"/>
                <w:color w:val="auto"/>
                <w:szCs w:val="21"/>
              </w:rPr>
              <w:t>t/a</w:t>
            </w:r>
          </w:p>
        </w:tc>
        <w:tc>
          <w:tcPr>
            <w:tcW w:w="1308" w:type="dxa"/>
            <w:vAlign w:val="center"/>
          </w:tcPr>
          <w:p>
            <w:pPr>
              <w:pStyle w:val="28"/>
              <w:spacing w:line="360" w:lineRule="exact"/>
              <w:rPr>
                <w:rFonts w:eastAsiaTheme="minorEastAsia"/>
                <w:color w:val="auto"/>
                <w:szCs w:val="21"/>
              </w:rPr>
            </w:pPr>
            <w:r>
              <w:rPr>
                <w:rFonts w:eastAsiaTheme="minorEastAsia"/>
                <w:color w:val="auto"/>
                <w:szCs w:val="21"/>
                <w:lang w:val="en-US"/>
              </w:rPr>
              <w:t>1024.93</w:t>
            </w:r>
            <w:r>
              <w:rPr>
                <w:rFonts w:eastAsiaTheme="minorEastAsia"/>
                <w:color w:val="auto"/>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pStyle w:val="28"/>
              <w:spacing w:line="360" w:lineRule="exact"/>
              <w:rPr>
                <w:rFonts w:eastAsiaTheme="minorEastAsia"/>
                <w:color w:val="auto"/>
                <w:szCs w:val="21"/>
              </w:rPr>
            </w:pPr>
          </w:p>
        </w:tc>
        <w:tc>
          <w:tcPr>
            <w:tcW w:w="1984" w:type="dxa"/>
            <w:vAlign w:val="center"/>
          </w:tcPr>
          <w:p>
            <w:pPr>
              <w:pStyle w:val="28"/>
              <w:spacing w:line="360" w:lineRule="exact"/>
              <w:rPr>
                <w:rFonts w:eastAsiaTheme="minorEastAsia"/>
                <w:color w:val="auto"/>
                <w:szCs w:val="21"/>
              </w:rPr>
            </w:pPr>
            <w:r>
              <w:rPr>
                <w:rFonts w:eastAsiaTheme="minorEastAsia"/>
                <w:color w:val="auto"/>
                <w:szCs w:val="21"/>
              </w:rPr>
              <w:t>废弃沾油抹布</w:t>
            </w:r>
          </w:p>
        </w:tc>
        <w:tc>
          <w:tcPr>
            <w:tcW w:w="1560"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417"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8"/>
              <w:spacing w:line="360" w:lineRule="exact"/>
              <w:rPr>
                <w:rFonts w:eastAsiaTheme="minorEastAsia"/>
                <w:color w:val="auto"/>
                <w:szCs w:val="21"/>
              </w:rPr>
            </w:pPr>
            <w:r>
              <w:rPr>
                <w:rFonts w:eastAsiaTheme="minorEastAsia"/>
                <w:color w:val="auto"/>
                <w:szCs w:val="21"/>
              </w:rPr>
              <w:t>10kg/a</w:t>
            </w:r>
          </w:p>
        </w:tc>
        <w:tc>
          <w:tcPr>
            <w:tcW w:w="1575"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8"/>
              <w:spacing w:line="360" w:lineRule="exact"/>
              <w:rPr>
                <w:rFonts w:eastAsiaTheme="minorEastAsia"/>
                <w:color w:val="auto"/>
                <w:szCs w:val="21"/>
              </w:rPr>
            </w:pPr>
            <w:r>
              <w:rPr>
                <w:rFonts w:eastAsiaTheme="minorEastAsia"/>
                <w:color w:val="auto"/>
                <w:szCs w:val="21"/>
              </w:rPr>
              <w:t>10kg/a</w:t>
            </w:r>
          </w:p>
        </w:tc>
        <w:tc>
          <w:tcPr>
            <w:tcW w:w="1308" w:type="dxa"/>
            <w:vAlign w:val="center"/>
          </w:tcPr>
          <w:p>
            <w:pPr>
              <w:pStyle w:val="28"/>
              <w:spacing w:line="360" w:lineRule="exact"/>
              <w:rPr>
                <w:rFonts w:eastAsiaTheme="minorEastAsia"/>
                <w:color w:val="auto"/>
                <w:szCs w:val="21"/>
              </w:rPr>
            </w:pPr>
            <w:r>
              <w:rPr>
                <w:rFonts w:eastAsiaTheme="minorEastAsia"/>
                <w:color w:val="auto"/>
                <w:szCs w:val="21"/>
              </w:rPr>
              <w:t>10kg/a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Align w:val="center"/>
          </w:tcPr>
          <w:p>
            <w:pPr>
              <w:pStyle w:val="28"/>
              <w:spacing w:line="360" w:lineRule="exact"/>
              <w:rPr>
                <w:rFonts w:eastAsiaTheme="minorEastAsia"/>
                <w:color w:val="auto"/>
                <w:szCs w:val="21"/>
              </w:rPr>
            </w:pPr>
            <w:r>
              <w:rPr>
                <w:rFonts w:eastAsiaTheme="minorEastAsia"/>
                <w:color w:val="auto"/>
                <w:szCs w:val="21"/>
              </w:rPr>
              <w:t>危险废物</w:t>
            </w:r>
          </w:p>
        </w:tc>
        <w:tc>
          <w:tcPr>
            <w:tcW w:w="1984" w:type="dxa"/>
            <w:vAlign w:val="center"/>
          </w:tcPr>
          <w:p>
            <w:pPr>
              <w:pStyle w:val="28"/>
              <w:spacing w:line="360" w:lineRule="exact"/>
              <w:rPr>
                <w:rFonts w:eastAsiaTheme="minorEastAsia"/>
                <w:color w:val="auto"/>
                <w:szCs w:val="21"/>
              </w:rPr>
            </w:pPr>
            <w:r>
              <w:rPr>
                <w:rFonts w:eastAsiaTheme="minorEastAsia"/>
                <w:color w:val="auto"/>
                <w:szCs w:val="21"/>
              </w:rPr>
              <w:t>废机油</w:t>
            </w:r>
          </w:p>
        </w:tc>
        <w:tc>
          <w:tcPr>
            <w:tcW w:w="1560"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417"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8"/>
              <w:spacing w:line="360" w:lineRule="exact"/>
              <w:rPr>
                <w:rFonts w:eastAsiaTheme="minorEastAsia"/>
                <w:color w:val="auto"/>
                <w:szCs w:val="21"/>
              </w:rPr>
            </w:pPr>
            <w:r>
              <w:rPr>
                <w:rFonts w:eastAsiaTheme="minorEastAsia"/>
                <w:color w:val="auto"/>
                <w:szCs w:val="21"/>
                <w:lang w:val="en-US"/>
              </w:rPr>
              <w:t>5</w:t>
            </w:r>
            <w:r>
              <w:rPr>
                <w:rFonts w:eastAsiaTheme="minorEastAsia"/>
                <w:color w:val="auto"/>
                <w:szCs w:val="21"/>
              </w:rPr>
              <w:t>0kg/a</w:t>
            </w:r>
          </w:p>
        </w:tc>
        <w:tc>
          <w:tcPr>
            <w:tcW w:w="1575" w:type="dxa"/>
            <w:vAlign w:val="center"/>
          </w:tcPr>
          <w:p>
            <w:pPr>
              <w:pStyle w:val="28"/>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8"/>
              <w:spacing w:line="360" w:lineRule="exact"/>
              <w:rPr>
                <w:rFonts w:eastAsiaTheme="minorEastAsia"/>
                <w:color w:val="auto"/>
                <w:szCs w:val="21"/>
              </w:rPr>
            </w:pPr>
            <w:r>
              <w:rPr>
                <w:rFonts w:eastAsiaTheme="minorEastAsia"/>
                <w:color w:val="auto"/>
                <w:szCs w:val="21"/>
                <w:lang w:val="en-US"/>
              </w:rPr>
              <w:t>5</w:t>
            </w:r>
            <w:r>
              <w:rPr>
                <w:rFonts w:eastAsiaTheme="minorEastAsia"/>
                <w:color w:val="auto"/>
                <w:szCs w:val="21"/>
              </w:rPr>
              <w:t>0kg/a</w:t>
            </w:r>
          </w:p>
        </w:tc>
        <w:tc>
          <w:tcPr>
            <w:tcW w:w="1308" w:type="dxa"/>
            <w:vAlign w:val="center"/>
          </w:tcPr>
          <w:p>
            <w:pPr>
              <w:pStyle w:val="28"/>
              <w:spacing w:line="360" w:lineRule="exact"/>
              <w:rPr>
                <w:rFonts w:eastAsiaTheme="minorEastAsia"/>
                <w:color w:val="auto"/>
                <w:szCs w:val="21"/>
              </w:rPr>
            </w:pPr>
            <w:r>
              <w:rPr>
                <w:rFonts w:eastAsiaTheme="minorEastAsia"/>
                <w:color w:val="auto"/>
                <w:szCs w:val="21"/>
                <w:lang w:val="en-US"/>
              </w:rPr>
              <w:t>5</w:t>
            </w:r>
            <w:r>
              <w:rPr>
                <w:rFonts w:eastAsiaTheme="minorEastAsia"/>
                <w:color w:val="auto"/>
                <w:szCs w:val="21"/>
              </w:rPr>
              <w:t>0kg/a</w:t>
            </w:r>
          </w:p>
        </w:tc>
      </w:tr>
    </w:tbl>
    <w:p>
      <w:pPr>
        <w:ind w:firstLine="420" w:firstLineChars="200"/>
        <w:jc w:val="lef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注：</w:t>
      </w:r>
      <w:r>
        <w:rPr>
          <w:rFonts w:ascii="Times New Roman" w:hAnsi="Times New Roman" w:eastAsia="宋体" w:cs="Times New Roman"/>
          <w:b/>
          <w:color w:val="000000" w:themeColor="text1"/>
          <w14:textFill>
            <w14:solidFill>
              <w14:schemeClr w14:val="tx1"/>
            </w14:solidFill>
          </w14:textFill>
        </w:rPr>
        <w:t>⑥</w:t>
      </w:r>
      <w:r>
        <w:rPr>
          <w:rFonts w:ascii="Times New Roman" w:hAnsi="Times New Roman" w:cs="Times New Roman"/>
          <w:b/>
          <w:color w:val="000000" w:themeColor="text1"/>
          <w14:textFill>
            <w14:solidFill>
              <w14:schemeClr w14:val="tx1"/>
            </w14:solidFill>
          </w14:textFill>
        </w:rPr>
        <w:t>=</w:t>
      </w:r>
      <w:r>
        <w:rPr>
          <w:rFonts w:ascii="Times New Roman" w:hAnsi="Times New Roman" w:eastAsia="宋体" w:cs="Times New Roman"/>
          <w:b/>
          <w:color w:val="000000" w:themeColor="text1"/>
          <w14:textFill>
            <w14:solidFill>
              <w14:schemeClr w14:val="tx1"/>
            </w14:solidFill>
          </w14:textFill>
        </w:rPr>
        <w:t>①</w:t>
      </w:r>
      <w:r>
        <w:rPr>
          <w:rFonts w:ascii="Times New Roman" w:hAnsi="Times New Roman" w:cs="Times New Roman"/>
          <w:b/>
          <w:color w:val="000000" w:themeColor="text1"/>
          <w14:textFill>
            <w14:solidFill>
              <w14:schemeClr w14:val="tx1"/>
            </w14:solidFill>
          </w14:textFill>
        </w:rPr>
        <w:t>+</w:t>
      </w:r>
      <w:r>
        <w:rPr>
          <w:rFonts w:ascii="Times New Roman" w:hAnsi="Times New Roman" w:eastAsia="宋体" w:cs="Times New Roman"/>
          <w:b/>
          <w:color w:val="000000" w:themeColor="text1"/>
          <w14:textFill>
            <w14:solidFill>
              <w14:schemeClr w14:val="tx1"/>
            </w14:solidFill>
          </w14:textFill>
        </w:rPr>
        <w:t>③</w:t>
      </w:r>
      <w:r>
        <w:rPr>
          <w:rFonts w:ascii="Times New Roman" w:hAnsi="Times New Roman" w:cs="Times New Roman"/>
          <w:b/>
          <w:color w:val="000000" w:themeColor="text1"/>
          <w14:textFill>
            <w14:solidFill>
              <w14:schemeClr w14:val="tx1"/>
            </w14:solidFill>
          </w14:textFill>
        </w:rPr>
        <w:t>+</w:t>
      </w:r>
      <w:r>
        <w:rPr>
          <w:rFonts w:ascii="Times New Roman" w:hAnsi="Times New Roman" w:eastAsia="宋体" w:cs="Times New Roman"/>
          <w:b/>
          <w:color w:val="000000" w:themeColor="text1"/>
          <w14:textFill>
            <w14:solidFill>
              <w14:schemeClr w14:val="tx1"/>
            </w14:solidFill>
          </w14:textFill>
        </w:rPr>
        <w:t>④</w:t>
      </w:r>
      <w:r>
        <w:rPr>
          <w:rFonts w:ascii="Times New Roman" w:hAnsi="Times New Roman" w:cs="Times New Roman"/>
          <w:b/>
          <w:color w:val="000000" w:themeColor="text1"/>
          <w14:textFill>
            <w14:solidFill>
              <w14:schemeClr w14:val="tx1"/>
            </w14:solidFill>
          </w14:textFill>
        </w:rPr>
        <w:t>-</w:t>
      </w:r>
      <w:r>
        <w:rPr>
          <w:rFonts w:ascii="Times New Roman" w:hAnsi="Times New Roman" w:eastAsia="宋体" w:cs="Times New Roman"/>
          <w:b/>
          <w:color w:val="000000" w:themeColor="text1"/>
          <w14:textFill>
            <w14:solidFill>
              <w14:schemeClr w14:val="tx1"/>
            </w14:solidFill>
          </w14:textFill>
        </w:rPr>
        <w:t>⑤</w:t>
      </w:r>
      <w:r>
        <w:rPr>
          <w:rFonts w:ascii="Times New Roman" w:hAnsi="Times New Roman" w:cs="Times New Roman"/>
          <w:b/>
          <w:color w:val="000000" w:themeColor="text1"/>
          <w14:textFill>
            <w14:solidFill>
              <w14:schemeClr w14:val="tx1"/>
            </w14:solidFill>
          </w14:textFill>
        </w:rPr>
        <w:t>；</w:t>
      </w:r>
      <w:r>
        <w:rPr>
          <w:rFonts w:ascii="Times New Roman" w:hAnsi="Times New Roman" w:eastAsia="宋体" w:cs="Times New Roman"/>
          <w:b/>
          <w:color w:val="000000" w:themeColor="text1"/>
          <w14:textFill>
            <w14:solidFill>
              <w14:schemeClr w14:val="tx1"/>
            </w14:solidFill>
          </w14:textFill>
        </w:rPr>
        <w:t>⑦</w:t>
      </w:r>
      <w:r>
        <w:rPr>
          <w:rFonts w:ascii="Times New Roman" w:hAnsi="Times New Roman" w:cs="Times New Roman"/>
          <w:b/>
          <w:color w:val="000000" w:themeColor="text1"/>
          <w14:textFill>
            <w14:solidFill>
              <w14:schemeClr w14:val="tx1"/>
            </w14:solidFill>
          </w14:textFill>
        </w:rPr>
        <w:t>=</w:t>
      </w:r>
      <w:r>
        <w:rPr>
          <w:rFonts w:ascii="Times New Roman" w:hAnsi="Times New Roman" w:eastAsia="宋体" w:cs="Times New Roman"/>
          <w:b/>
          <w:color w:val="000000" w:themeColor="text1"/>
          <w14:textFill>
            <w14:solidFill>
              <w14:schemeClr w14:val="tx1"/>
            </w14:solidFill>
          </w14:textFill>
        </w:rPr>
        <w:t>⑥</w:t>
      </w:r>
      <w:r>
        <w:rPr>
          <w:rFonts w:ascii="Times New Roman" w:hAnsi="Times New Roman" w:cs="Times New Roman"/>
          <w:b/>
          <w:color w:val="000000" w:themeColor="text1"/>
          <w14:textFill>
            <w14:solidFill>
              <w14:schemeClr w14:val="tx1"/>
            </w14:solidFill>
          </w14:textFill>
        </w:rPr>
        <w:t>-</w:t>
      </w:r>
      <w:r>
        <w:rPr>
          <w:rFonts w:ascii="Times New Roman" w:hAnsi="Times New Roman" w:eastAsia="宋体" w:cs="Times New Roman"/>
          <w:b/>
          <w:color w:val="000000" w:themeColor="text1"/>
          <w14:textFill>
            <w14:solidFill>
              <w14:schemeClr w14:val="tx1"/>
            </w14:solidFill>
          </w14:textFill>
        </w:rPr>
        <w:t>①</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lang w:val="zh-CN"/>
      </w:rPr>
      <w:t>62</w:t>
    </w:r>
    <w:r>
      <w:rPr>
        <w:rFonts w:ascii="Times New Roman" w:hAnsi="Times New Roman" w:cs="Times New Roman"/>
        <w:sz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dit="forms" w:enforcement="1" w:cryptProviderType="rsaFull" w:cryptAlgorithmClass="hash" w:cryptAlgorithmType="typeAny" w:cryptAlgorithmSid="4" w:cryptSpinCount="0" w:hash="tTjC2JL7XonacURqY8UNfFrGtG0=" w:salt="jsDvUK/opnFNAHiGIvZ0CA=="/>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jNDUyNWQ5ZDAyNjZmOWFhNmQzYmVjNTIwNmUyYmYifQ=="/>
  </w:docVars>
  <w:rsids>
    <w:rsidRoot w:val="0062045F"/>
    <w:rsid w:val="0000037C"/>
    <w:rsid w:val="00001460"/>
    <w:rsid w:val="00001C9A"/>
    <w:rsid w:val="00010A49"/>
    <w:rsid w:val="00012C80"/>
    <w:rsid w:val="00013833"/>
    <w:rsid w:val="00021721"/>
    <w:rsid w:val="0002285A"/>
    <w:rsid w:val="00031A59"/>
    <w:rsid w:val="00031E6A"/>
    <w:rsid w:val="00032B08"/>
    <w:rsid w:val="000344EF"/>
    <w:rsid w:val="00034809"/>
    <w:rsid w:val="00035576"/>
    <w:rsid w:val="00040A28"/>
    <w:rsid w:val="00040D99"/>
    <w:rsid w:val="00046D9B"/>
    <w:rsid w:val="00050E55"/>
    <w:rsid w:val="00054F28"/>
    <w:rsid w:val="0005744F"/>
    <w:rsid w:val="00060FF4"/>
    <w:rsid w:val="00062FAD"/>
    <w:rsid w:val="00067BF4"/>
    <w:rsid w:val="00070F66"/>
    <w:rsid w:val="0007395E"/>
    <w:rsid w:val="00075FFD"/>
    <w:rsid w:val="000760FE"/>
    <w:rsid w:val="0008069A"/>
    <w:rsid w:val="00082602"/>
    <w:rsid w:val="0008625A"/>
    <w:rsid w:val="00092548"/>
    <w:rsid w:val="000954A9"/>
    <w:rsid w:val="000B04E4"/>
    <w:rsid w:val="000B35C4"/>
    <w:rsid w:val="000B6EE8"/>
    <w:rsid w:val="000B7547"/>
    <w:rsid w:val="000B7F0F"/>
    <w:rsid w:val="000C1655"/>
    <w:rsid w:val="000D1B94"/>
    <w:rsid w:val="000D4D91"/>
    <w:rsid w:val="000D6A48"/>
    <w:rsid w:val="000E445E"/>
    <w:rsid w:val="000E500A"/>
    <w:rsid w:val="000E6F05"/>
    <w:rsid w:val="000F5DE9"/>
    <w:rsid w:val="0010241D"/>
    <w:rsid w:val="001050AD"/>
    <w:rsid w:val="00111F14"/>
    <w:rsid w:val="00116200"/>
    <w:rsid w:val="00116546"/>
    <w:rsid w:val="00121AAE"/>
    <w:rsid w:val="00122036"/>
    <w:rsid w:val="001250CA"/>
    <w:rsid w:val="00125B5D"/>
    <w:rsid w:val="00126836"/>
    <w:rsid w:val="001307E7"/>
    <w:rsid w:val="0015464F"/>
    <w:rsid w:val="0015799F"/>
    <w:rsid w:val="00162258"/>
    <w:rsid w:val="00166793"/>
    <w:rsid w:val="0017180C"/>
    <w:rsid w:val="001719D1"/>
    <w:rsid w:val="00171AF4"/>
    <w:rsid w:val="00172D3E"/>
    <w:rsid w:val="001731F9"/>
    <w:rsid w:val="001750E1"/>
    <w:rsid w:val="0017574F"/>
    <w:rsid w:val="0018089D"/>
    <w:rsid w:val="00182D5B"/>
    <w:rsid w:val="001864CE"/>
    <w:rsid w:val="00187B44"/>
    <w:rsid w:val="00190097"/>
    <w:rsid w:val="00197070"/>
    <w:rsid w:val="001977B7"/>
    <w:rsid w:val="00197C78"/>
    <w:rsid w:val="001A70EF"/>
    <w:rsid w:val="001B4D27"/>
    <w:rsid w:val="001C0A81"/>
    <w:rsid w:val="001C3FC6"/>
    <w:rsid w:val="001D3CCB"/>
    <w:rsid w:val="001E1D94"/>
    <w:rsid w:val="001F03FE"/>
    <w:rsid w:val="001F0A05"/>
    <w:rsid w:val="001F2DED"/>
    <w:rsid w:val="001F522D"/>
    <w:rsid w:val="00203A93"/>
    <w:rsid w:val="0021020E"/>
    <w:rsid w:val="002171C9"/>
    <w:rsid w:val="002210A0"/>
    <w:rsid w:val="00242934"/>
    <w:rsid w:val="00245CA3"/>
    <w:rsid w:val="00252D41"/>
    <w:rsid w:val="002666BE"/>
    <w:rsid w:val="002735A4"/>
    <w:rsid w:val="00277862"/>
    <w:rsid w:val="00283568"/>
    <w:rsid w:val="002909A1"/>
    <w:rsid w:val="002931E6"/>
    <w:rsid w:val="002963A7"/>
    <w:rsid w:val="00296512"/>
    <w:rsid w:val="002A1028"/>
    <w:rsid w:val="002A1BFA"/>
    <w:rsid w:val="002A1DB1"/>
    <w:rsid w:val="002B2BE4"/>
    <w:rsid w:val="002B40E5"/>
    <w:rsid w:val="002B5B05"/>
    <w:rsid w:val="002C07C0"/>
    <w:rsid w:val="002C3853"/>
    <w:rsid w:val="002E25DE"/>
    <w:rsid w:val="002E3C02"/>
    <w:rsid w:val="002E3E71"/>
    <w:rsid w:val="002E3F5D"/>
    <w:rsid w:val="002E4EE2"/>
    <w:rsid w:val="002F37F6"/>
    <w:rsid w:val="003012BB"/>
    <w:rsid w:val="00317F26"/>
    <w:rsid w:val="00322DCE"/>
    <w:rsid w:val="00323170"/>
    <w:rsid w:val="00332BCA"/>
    <w:rsid w:val="0034317D"/>
    <w:rsid w:val="00353F34"/>
    <w:rsid w:val="00354B52"/>
    <w:rsid w:val="00361CF9"/>
    <w:rsid w:val="003707A9"/>
    <w:rsid w:val="00371986"/>
    <w:rsid w:val="00371B13"/>
    <w:rsid w:val="00372641"/>
    <w:rsid w:val="003852E6"/>
    <w:rsid w:val="00385DE6"/>
    <w:rsid w:val="003879AF"/>
    <w:rsid w:val="00390401"/>
    <w:rsid w:val="00394E91"/>
    <w:rsid w:val="003A1A97"/>
    <w:rsid w:val="003A2C94"/>
    <w:rsid w:val="003A4F39"/>
    <w:rsid w:val="003B149E"/>
    <w:rsid w:val="003B2DB5"/>
    <w:rsid w:val="003B6B9D"/>
    <w:rsid w:val="003C4D0F"/>
    <w:rsid w:val="003D01EE"/>
    <w:rsid w:val="003D03A2"/>
    <w:rsid w:val="003D15BD"/>
    <w:rsid w:val="003D25E7"/>
    <w:rsid w:val="003D4831"/>
    <w:rsid w:val="003E1314"/>
    <w:rsid w:val="003E1A39"/>
    <w:rsid w:val="003E24A1"/>
    <w:rsid w:val="003E2878"/>
    <w:rsid w:val="003E4647"/>
    <w:rsid w:val="003F0CB4"/>
    <w:rsid w:val="003F4B40"/>
    <w:rsid w:val="003F5310"/>
    <w:rsid w:val="00405DB9"/>
    <w:rsid w:val="00411F09"/>
    <w:rsid w:val="00412056"/>
    <w:rsid w:val="0042165D"/>
    <w:rsid w:val="0042483F"/>
    <w:rsid w:val="004329BC"/>
    <w:rsid w:val="004369B4"/>
    <w:rsid w:val="004431BA"/>
    <w:rsid w:val="00444FBC"/>
    <w:rsid w:val="004459AB"/>
    <w:rsid w:val="00445CD5"/>
    <w:rsid w:val="004521CF"/>
    <w:rsid w:val="00452F00"/>
    <w:rsid w:val="00465080"/>
    <w:rsid w:val="00477A89"/>
    <w:rsid w:val="004840C4"/>
    <w:rsid w:val="00484777"/>
    <w:rsid w:val="00490ECA"/>
    <w:rsid w:val="004A0BC4"/>
    <w:rsid w:val="004A0E4C"/>
    <w:rsid w:val="004A1EEA"/>
    <w:rsid w:val="004A2FFF"/>
    <w:rsid w:val="004A37C5"/>
    <w:rsid w:val="004A4E36"/>
    <w:rsid w:val="004A7486"/>
    <w:rsid w:val="004C2E9F"/>
    <w:rsid w:val="004C7D2E"/>
    <w:rsid w:val="004D1330"/>
    <w:rsid w:val="004D3DA8"/>
    <w:rsid w:val="004D5133"/>
    <w:rsid w:val="004D5651"/>
    <w:rsid w:val="004D620C"/>
    <w:rsid w:val="004E0B6A"/>
    <w:rsid w:val="004F046C"/>
    <w:rsid w:val="004F79F0"/>
    <w:rsid w:val="004F7ED7"/>
    <w:rsid w:val="00505002"/>
    <w:rsid w:val="00511B6E"/>
    <w:rsid w:val="00512026"/>
    <w:rsid w:val="005164B3"/>
    <w:rsid w:val="00516F69"/>
    <w:rsid w:val="00531AD8"/>
    <w:rsid w:val="00531E5D"/>
    <w:rsid w:val="00533467"/>
    <w:rsid w:val="005340F1"/>
    <w:rsid w:val="005344D8"/>
    <w:rsid w:val="00542078"/>
    <w:rsid w:val="00543C10"/>
    <w:rsid w:val="00544F28"/>
    <w:rsid w:val="00551B30"/>
    <w:rsid w:val="00551E76"/>
    <w:rsid w:val="005528F5"/>
    <w:rsid w:val="0055331A"/>
    <w:rsid w:val="0055687A"/>
    <w:rsid w:val="005568AC"/>
    <w:rsid w:val="005571AA"/>
    <w:rsid w:val="00570AC5"/>
    <w:rsid w:val="00570B7C"/>
    <w:rsid w:val="00572A09"/>
    <w:rsid w:val="00582AD6"/>
    <w:rsid w:val="00586942"/>
    <w:rsid w:val="00595DFB"/>
    <w:rsid w:val="00595DFF"/>
    <w:rsid w:val="005A040B"/>
    <w:rsid w:val="005A468F"/>
    <w:rsid w:val="005B2471"/>
    <w:rsid w:val="005B5075"/>
    <w:rsid w:val="005B60E2"/>
    <w:rsid w:val="005B6614"/>
    <w:rsid w:val="005C3240"/>
    <w:rsid w:val="005C358A"/>
    <w:rsid w:val="005C38F9"/>
    <w:rsid w:val="005C5209"/>
    <w:rsid w:val="005C568F"/>
    <w:rsid w:val="005C6ECF"/>
    <w:rsid w:val="005D1BB5"/>
    <w:rsid w:val="005D2878"/>
    <w:rsid w:val="005D2DAC"/>
    <w:rsid w:val="005D40A7"/>
    <w:rsid w:val="005D6D94"/>
    <w:rsid w:val="005E43DF"/>
    <w:rsid w:val="005E7578"/>
    <w:rsid w:val="00607B6F"/>
    <w:rsid w:val="00613C50"/>
    <w:rsid w:val="00615657"/>
    <w:rsid w:val="00617A01"/>
    <w:rsid w:val="0062045F"/>
    <w:rsid w:val="006220CE"/>
    <w:rsid w:val="00623A6B"/>
    <w:rsid w:val="0063583F"/>
    <w:rsid w:val="00635E7E"/>
    <w:rsid w:val="00636BF7"/>
    <w:rsid w:val="006379C6"/>
    <w:rsid w:val="006507CC"/>
    <w:rsid w:val="00655AAA"/>
    <w:rsid w:val="00663A36"/>
    <w:rsid w:val="00670600"/>
    <w:rsid w:val="00674BFA"/>
    <w:rsid w:val="006826DF"/>
    <w:rsid w:val="00685451"/>
    <w:rsid w:val="0068738A"/>
    <w:rsid w:val="00687D0A"/>
    <w:rsid w:val="006946BA"/>
    <w:rsid w:val="006952FD"/>
    <w:rsid w:val="006A0148"/>
    <w:rsid w:val="006A310F"/>
    <w:rsid w:val="006A5256"/>
    <w:rsid w:val="006A7586"/>
    <w:rsid w:val="006A78F8"/>
    <w:rsid w:val="006B30E2"/>
    <w:rsid w:val="006B4D33"/>
    <w:rsid w:val="006C0272"/>
    <w:rsid w:val="006C0B93"/>
    <w:rsid w:val="006C1364"/>
    <w:rsid w:val="006C1666"/>
    <w:rsid w:val="006C1D02"/>
    <w:rsid w:val="006C52A7"/>
    <w:rsid w:val="006C58DC"/>
    <w:rsid w:val="006C640B"/>
    <w:rsid w:val="006D1F47"/>
    <w:rsid w:val="006D449A"/>
    <w:rsid w:val="006D469B"/>
    <w:rsid w:val="006E20AC"/>
    <w:rsid w:val="006E2C47"/>
    <w:rsid w:val="006E3BBE"/>
    <w:rsid w:val="006E4148"/>
    <w:rsid w:val="006E69D9"/>
    <w:rsid w:val="006F2742"/>
    <w:rsid w:val="006F31A9"/>
    <w:rsid w:val="006F404F"/>
    <w:rsid w:val="006F6817"/>
    <w:rsid w:val="00702658"/>
    <w:rsid w:val="00702A5D"/>
    <w:rsid w:val="00702CD6"/>
    <w:rsid w:val="00710575"/>
    <w:rsid w:val="00712452"/>
    <w:rsid w:val="00714EBC"/>
    <w:rsid w:val="00715081"/>
    <w:rsid w:val="00715F71"/>
    <w:rsid w:val="007205B9"/>
    <w:rsid w:val="00734F3E"/>
    <w:rsid w:val="00740A4F"/>
    <w:rsid w:val="007431C8"/>
    <w:rsid w:val="00745C1E"/>
    <w:rsid w:val="00751732"/>
    <w:rsid w:val="0075551E"/>
    <w:rsid w:val="00756F3F"/>
    <w:rsid w:val="00760397"/>
    <w:rsid w:val="007620A6"/>
    <w:rsid w:val="00766AE0"/>
    <w:rsid w:val="00766D22"/>
    <w:rsid w:val="0077006B"/>
    <w:rsid w:val="007752A9"/>
    <w:rsid w:val="007809B0"/>
    <w:rsid w:val="00785FBC"/>
    <w:rsid w:val="00786705"/>
    <w:rsid w:val="0079096A"/>
    <w:rsid w:val="007923CD"/>
    <w:rsid w:val="00793033"/>
    <w:rsid w:val="00793C8B"/>
    <w:rsid w:val="00797D3A"/>
    <w:rsid w:val="007A17E9"/>
    <w:rsid w:val="007A1811"/>
    <w:rsid w:val="007A6586"/>
    <w:rsid w:val="007B296B"/>
    <w:rsid w:val="007B60C1"/>
    <w:rsid w:val="007B741C"/>
    <w:rsid w:val="007C0DE2"/>
    <w:rsid w:val="007C48B8"/>
    <w:rsid w:val="007D01C3"/>
    <w:rsid w:val="007D01EC"/>
    <w:rsid w:val="007D440B"/>
    <w:rsid w:val="007D66D8"/>
    <w:rsid w:val="007E68B1"/>
    <w:rsid w:val="007F4217"/>
    <w:rsid w:val="00800713"/>
    <w:rsid w:val="0080313A"/>
    <w:rsid w:val="008037FF"/>
    <w:rsid w:val="00804005"/>
    <w:rsid w:val="008140BC"/>
    <w:rsid w:val="00814387"/>
    <w:rsid w:val="00820EEF"/>
    <w:rsid w:val="008278FC"/>
    <w:rsid w:val="00844558"/>
    <w:rsid w:val="00847A3B"/>
    <w:rsid w:val="00853681"/>
    <w:rsid w:val="0085784B"/>
    <w:rsid w:val="00857DB7"/>
    <w:rsid w:val="00862A78"/>
    <w:rsid w:val="00876278"/>
    <w:rsid w:val="0087758A"/>
    <w:rsid w:val="00877DC6"/>
    <w:rsid w:val="00883F24"/>
    <w:rsid w:val="00884880"/>
    <w:rsid w:val="008902AE"/>
    <w:rsid w:val="008948EB"/>
    <w:rsid w:val="00897E97"/>
    <w:rsid w:val="008A1159"/>
    <w:rsid w:val="008A6FD6"/>
    <w:rsid w:val="008B21E0"/>
    <w:rsid w:val="008B702B"/>
    <w:rsid w:val="008C08AB"/>
    <w:rsid w:val="008C1FB7"/>
    <w:rsid w:val="008C50F0"/>
    <w:rsid w:val="008C537C"/>
    <w:rsid w:val="008C7652"/>
    <w:rsid w:val="008D15CE"/>
    <w:rsid w:val="008D164F"/>
    <w:rsid w:val="008E01DB"/>
    <w:rsid w:val="008E375A"/>
    <w:rsid w:val="008E56A4"/>
    <w:rsid w:val="008F1331"/>
    <w:rsid w:val="008F3815"/>
    <w:rsid w:val="008F4CE6"/>
    <w:rsid w:val="008F5F3E"/>
    <w:rsid w:val="008F74C5"/>
    <w:rsid w:val="008F7AE0"/>
    <w:rsid w:val="00903A8B"/>
    <w:rsid w:val="009050A1"/>
    <w:rsid w:val="00913BBF"/>
    <w:rsid w:val="00920360"/>
    <w:rsid w:val="009206AC"/>
    <w:rsid w:val="009252EF"/>
    <w:rsid w:val="00925E63"/>
    <w:rsid w:val="00927433"/>
    <w:rsid w:val="00927C70"/>
    <w:rsid w:val="00931F67"/>
    <w:rsid w:val="00935E07"/>
    <w:rsid w:val="00936AFA"/>
    <w:rsid w:val="009371D8"/>
    <w:rsid w:val="00954268"/>
    <w:rsid w:val="009545F8"/>
    <w:rsid w:val="0095737E"/>
    <w:rsid w:val="00966221"/>
    <w:rsid w:val="00973DC5"/>
    <w:rsid w:val="00974646"/>
    <w:rsid w:val="009800F5"/>
    <w:rsid w:val="00985B1D"/>
    <w:rsid w:val="00987D4A"/>
    <w:rsid w:val="009937DE"/>
    <w:rsid w:val="0099505A"/>
    <w:rsid w:val="009A28F3"/>
    <w:rsid w:val="009A570D"/>
    <w:rsid w:val="009A6B88"/>
    <w:rsid w:val="009A6C5B"/>
    <w:rsid w:val="009B7740"/>
    <w:rsid w:val="009C091A"/>
    <w:rsid w:val="009C166B"/>
    <w:rsid w:val="009D27CC"/>
    <w:rsid w:val="009D368A"/>
    <w:rsid w:val="009D3A91"/>
    <w:rsid w:val="009D41A3"/>
    <w:rsid w:val="009D6702"/>
    <w:rsid w:val="009E1AE2"/>
    <w:rsid w:val="009E20A5"/>
    <w:rsid w:val="009E33D7"/>
    <w:rsid w:val="009E461F"/>
    <w:rsid w:val="009E4666"/>
    <w:rsid w:val="009F1793"/>
    <w:rsid w:val="009F2273"/>
    <w:rsid w:val="009F2D07"/>
    <w:rsid w:val="00A05164"/>
    <w:rsid w:val="00A05998"/>
    <w:rsid w:val="00A06B38"/>
    <w:rsid w:val="00A158CC"/>
    <w:rsid w:val="00A2271E"/>
    <w:rsid w:val="00A22965"/>
    <w:rsid w:val="00A261F5"/>
    <w:rsid w:val="00A33875"/>
    <w:rsid w:val="00A37D8D"/>
    <w:rsid w:val="00A4202F"/>
    <w:rsid w:val="00A4354F"/>
    <w:rsid w:val="00A4616E"/>
    <w:rsid w:val="00A46859"/>
    <w:rsid w:val="00A46F3A"/>
    <w:rsid w:val="00A475BE"/>
    <w:rsid w:val="00A52AFE"/>
    <w:rsid w:val="00A536B3"/>
    <w:rsid w:val="00A53E67"/>
    <w:rsid w:val="00A707E4"/>
    <w:rsid w:val="00A719DE"/>
    <w:rsid w:val="00A77714"/>
    <w:rsid w:val="00A8003A"/>
    <w:rsid w:val="00A80A3E"/>
    <w:rsid w:val="00A923EE"/>
    <w:rsid w:val="00A92F34"/>
    <w:rsid w:val="00A96334"/>
    <w:rsid w:val="00AA4EA6"/>
    <w:rsid w:val="00AA5A9C"/>
    <w:rsid w:val="00AA7709"/>
    <w:rsid w:val="00AB571D"/>
    <w:rsid w:val="00AB68A8"/>
    <w:rsid w:val="00AB6D1E"/>
    <w:rsid w:val="00AC07DE"/>
    <w:rsid w:val="00AC6D60"/>
    <w:rsid w:val="00AD1B30"/>
    <w:rsid w:val="00AD2BD7"/>
    <w:rsid w:val="00AD5086"/>
    <w:rsid w:val="00AD5A01"/>
    <w:rsid w:val="00AD70C8"/>
    <w:rsid w:val="00AE1FB4"/>
    <w:rsid w:val="00AE2950"/>
    <w:rsid w:val="00AE48A8"/>
    <w:rsid w:val="00AE6373"/>
    <w:rsid w:val="00AF0DF7"/>
    <w:rsid w:val="00AF7020"/>
    <w:rsid w:val="00B0393E"/>
    <w:rsid w:val="00B11487"/>
    <w:rsid w:val="00B12184"/>
    <w:rsid w:val="00B1473D"/>
    <w:rsid w:val="00B1487D"/>
    <w:rsid w:val="00B1596E"/>
    <w:rsid w:val="00B16599"/>
    <w:rsid w:val="00B20232"/>
    <w:rsid w:val="00B21DB0"/>
    <w:rsid w:val="00B26AB9"/>
    <w:rsid w:val="00B31882"/>
    <w:rsid w:val="00B33013"/>
    <w:rsid w:val="00B34787"/>
    <w:rsid w:val="00B4575C"/>
    <w:rsid w:val="00B45987"/>
    <w:rsid w:val="00B45CFC"/>
    <w:rsid w:val="00B46E0F"/>
    <w:rsid w:val="00B5125D"/>
    <w:rsid w:val="00B53D4D"/>
    <w:rsid w:val="00B56333"/>
    <w:rsid w:val="00B620DD"/>
    <w:rsid w:val="00B77F51"/>
    <w:rsid w:val="00B80331"/>
    <w:rsid w:val="00B82AF0"/>
    <w:rsid w:val="00B846BB"/>
    <w:rsid w:val="00B8599C"/>
    <w:rsid w:val="00B87833"/>
    <w:rsid w:val="00B9657F"/>
    <w:rsid w:val="00BA39DB"/>
    <w:rsid w:val="00BA4DC1"/>
    <w:rsid w:val="00BA79D2"/>
    <w:rsid w:val="00BB5F36"/>
    <w:rsid w:val="00BC42B9"/>
    <w:rsid w:val="00BC4C15"/>
    <w:rsid w:val="00BC5093"/>
    <w:rsid w:val="00BD0523"/>
    <w:rsid w:val="00BD0FFC"/>
    <w:rsid w:val="00BD2A4E"/>
    <w:rsid w:val="00BD317E"/>
    <w:rsid w:val="00BE0032"/>
    <w:rsid w:val="00BE4393"/>
    <w:rsid w:val="00BE716A"/>
    <w:rsid w:val="00BF0309"/>
    <w:rsid w:val="00BF0650"/>
    <w:rsid w:val="00BF117C"/>
    <w:rsid w:val="00BF4082"/>
    <w:rsid w:val="00BF5489"/>
    <w:rsid w:val="00BF592F"/>
    <w:rsid w:val="00BF739D"/>
    <w:rsid w:val="00BF7C1F"/>
    <w:rsid w:val="00C023BF"/>
    <w:rsid w:val="00C11EC6"/>
    <w:rsid w:val="00C11F0E"/>
    <w:rsid w:val="00C14CC4"/>
    <w:rsid w:val="00C21282"/>
    <w:rsid w:val="00C23DA0"/>
    <w:rsid w:val="00C2445F"/>
    <w:rsid w:val="00C31F22"/>
    <w:rsid w:val="00C323CA"/>
    <w:rsid w:val="00C337D6"/>
    <w:rsid w:val="00C36564"/>
    <w:rsid w:val="00C37163"/>
    <w:rsid w:val="00C37EB4"/>
    <w:rsid w:val="00C416AA"/>
    <w:rsid w:val="00C458C4"/>
    <w:rsid w:val="00C466EA"/>
    <w:rsid w:val="00C46C54"/>
    <w:rsid w:val="00C47F54"/>
    <w:rsid w:val="00C54650"/>
    <w:rsid w:val="00C5657F"/>
    <w:rsid w:val="00C5703D"/>
    <w:rsid w:val="00C62458"/>
    <w:rsid w:val="00C6321B"/>
    <w:rsid w:val="00C63515"/>
    <w:rsid w:val="00C635BA"/>
    <w:rsid w:val="00C63B71"/>
    <w:rsid w:val="00C64149"/>
    <w:rsid w:val="00C71B72"/>
    <w:rsid w:val="00C72737"/>
    <w:rsid w:val="00C72DAD"/>
    <w:rsid w:val="00C77C13"/>
    <w:rsid w:val="00C85CB3"/>
    <w:rsid w:val="00C90CDE"/>
    <w:rsid w:val="00C91A59"/>
    <w:rsid w:val="00C92CDF"/>
    <w:rsid w:val="00C9314B"/>
    <w:rsid w:val="00CA1213"/>
    <w:rsid w:val="00CA4BB4"/>
    <w:rsid w:val="00CA4DD5"/>
    <w:rsid w:val="00CA6CE9"/>
    <w:rsid w:val="00CB20C7"/>
    <w:rsid w:val="00CB2F29"/>
    <w:rsid w:val="00CB6E12"/>
    <w:rsid w:val="00CC2BD0"/>
    <w:rsid w:val="00CC3974"/>
    <w:rsid w:val="00CC5962"/>
    <w:rsid w:val="00CD10E5"/>
    <w:rsid w:val="00CD34AD"/>
    <w:rsid w:val="00CD485D"/>
    <w:rsid w:val="00CD511C"/>
    <w:rsid w:val="00CE2306"/>
    <w:rsid w:val="00CE3245"/>
    <w:rsid w:val="00CE32C0"/>
    <w:rsid w:val="00CE4D56"/>
    <w:rsid w:val="00CF2AC6"/>
    <w:rsid w:val="00CF31B0"/>
    <w:rsid w:val="00CF51C9"/>
    <w:rsid w:val="00CF64FE"/>
    <w:rsid w:val="00CF7FB1"/>
    <w:rsid w:val="00D02159"/>
    <w:rsid w:val="00D11CB4"/>
    <w:rsid w:val="00D13852"/>
    <w:rsid w:val="00D1449F"/>
    <w:rsid w:val="00D2157C"/>
    <w:rsid w:val="00D21A6D"/>
    <w:rsid w:val="00D23738"/>
    <w:rsid w:val="00D2536F"/>
    <w:rsid w:val="00D33CC5"/>
    <w:rsid w:val="00D33F3C"/>
    <w:rsid w:val="00D426F0"/>
    <w:rsid w:val="00D4522A"/>
    <w:rsid w:val="00D51EA8"/>
    <w:rsid w:val="00D52226"/>
    <w:rsid w:val="00D54364"/>
    <w:rsid w:val="00D554CF"/>
    <w:rsid w:val="00D567D4"/>
    <w:rsid w:val="00D57F96"/>
    <w:rsid w:val="00D62262"/>
    <w:rsid w:val="00D625E0"/>
    <w:rsid w:val="00D647F2"/>
    <w:rsid w:val="00D66B7D"/>
    <w:rsid w:val="00D707F7"/>
    <w:rsid w:val="00D708CF"/>
    <w:rsid w:val="00D71E9C"/>
    <w:rsid w:val="00D72434"/>
    <w:rsid w:val="00D731D2"/>
    <w:rsid w:val="00D73B45"/>
    <w:rsid w:val="00D911B2"/>
    <w:rsid w:val="00D965D5"/>
    <w:rsid w:val="00DA1769"/>
    <w:rsid w:val="00DA2FBA"/>
    <w:rsid w:val="00DA6C99"/>
    <w:rsid w:val="00DA707D"/>
    <w:rsid w:val="00DB6353"/>
    <w:rsid w:val="00DB680A"/>
    <w:rsid w:val="00DC67B5"/>
    <w:rsid w:val="00DD0426"/>
    <w:rsid w:val="00DD7A9F"/>
    <w:rsid w:val="00DE4B23"/>
    <w:rsid w:val="00DF5A36"/>
    <w:rsid w:val="00E06BCD"/>
    <w:rsid w:val="00E1063F"/>
    <w:rsid w:val="00E122AF"/>
    <w:rsid w:val="00E2185D"/>
    <w:rsid w:val="00E27815"/>
    <w:rsid w:val="00E303D4"/>
    <w:rsid w:val="00E42FBC"/>
    <w:rsid w:val="00E519CE"/>
    <w:rsid w:val="00E51BFD"/>
    <w:rsid w:val="00E5203D"/>
    <w:rsid w:val="00E63B58"/>
    <w:rsid w:val="00E64C12"/>
    <w:rsid w:val="00E66D1F"/>
    <w:rsid w:val="00E67620"/>
    <w:rsid w:val="00E7474A"/>
    <w:rsid w:val="00E75E2F"/>
    <w:rsid w:val="00E8453C"/>
    <w:rsid w:val="00E87BC1"/>
    <w:rsid w:val="00E914AF"/>
    <w:rsid w:val="00E9156B"/>
    <w:rsid w:val="00E91797"/>
    <w:rsid w:val="00E964EA"/>
    <w:rsid w:val="00E9735A"/>
    <w:rsid w:val="00EA0CF8"/>
    <w:rsid w:val="00EA3639"/>
    <w:rsid w:val="00EA3913"/>
    <w:rsid w:val="00EA3E90"/>
    <w:rsid w:val="00EA7D37"/>
    <w:rsid w:val="00EB0DD5"/>
    <w:rsid w:val="00EB0E32"/>
    <w:rsid w:val="00EB1CB2"/>
    <w:rsid w:val="00EB297D"/>
    <w:rsid w:val="00EB4C21"/>
    <w:rsid w:val="00EB5E37"/>
    <w:rsid w:val="00EB6CFB"/>
    <w:rsid w:val="00EC0172"/>
    <w:rsid w:val="00EC0446"/>
    <w:rsid w:val="00EC1495"/>
    <w:rsid w:val="00ED2EC4"/>
    <w:rsid w:val="00ED35F4"/>
    <w:rsid w:val="00ED3A56"/>
    <w:rsid w:val="00ED71D0"/>
    <w:rsid w:val="00EE14D0"/>
    <w:rsid w:val="00EF36F5"/>
    <w:rsid w:val="00EF3C0E"/>
    <w:rsid w:val="00EF4749"/>
    <w:rsid w:val="00EF62C3"/>
    <w:rsid w:val="00F003D2"/>
    <w:rsid w:val="00F02D22"/>
    <w:rsid w:val="00F057AE"/>
    <w:rsid w:val="00F12E9C"/>
    <w:rsid w:val="00F1433A"/>
    <w:rsid w:val="00F153FF"/>
    <w:rsid w:val="00F234D9"/>
    <w:rsid w:val="00F249CA"/>
    <w:rsid w:val="00F2526D"/>
    <w:rsid w:val="00F32629"/>
    <w:rsid w:val="00F41EA4"/>
    <w:rsid w:val="00F42462"/>
    <w:rsid w:val="00F440BB"/>
    <w:rsid w:val="00F500E4"/>
    <w:rsid w:val="00F600C0"/>
    <w:rsid w:val="00F60F88"/>
    <w:rsid w:val="00F6192B"/>
    <w:rsid w:val="00F624A7"/>
    <w:rsid w:val="00F63B25"/>
    <w:rsid w:val="00F646F0"/>
    <w:rsid w:val="00F64760"/>
    <w:rsid w:val="00F66966"/>
    <w:rsid w:val="00F772AB"/>
    <w:rsid w:val="00F80C21"/>
    <w:rsid w:val="00F81460"/>
    <w:rsid w:val="00F82262"/>
    <w:rsid w:val="00F827AD"/>
    <w:rsid w:val="00F82C79"/>
    <w:rsid w:val="00F83B32"/>
    <w:rsid w:val="00F83F93"/>
    <w:rsid w:val="00F84044"/>
    <w:rsid w:val="00F879F6"/>
    <w:rsid w:val="00F91ABB"/>
    <w:rsid w:val="00F924C3"/>
    <w:rsid w:val="00F93088"/>
    <w:rsid w:val="00FA0B2F"/>
    <w:rsid w:val="00FA1481"/>
    <w:rsid w:val="00FB01E5"/>
    <w:rsid w:val="00FB1246"/>
    <w:rsid w:val="00FB484A"/>
    <w:rsid w:val="00FB5B45"/>
    <w:rsid w:val="00FC1290"/>
    <w:rsid w:val="00FD2BFA"/>
    <w:rsid w:val="00FD675C"/>
    <w:rsid w:val="00FD7052"/>
    <w:rsid w:val="00FE27FD"/>
    <w:rsid w:val="00FE4015"/>
    <w:rsid w:val="00FE4AB5"/>
    <w:rsid w:val="00FE596E"/>
    <w:rsid w:val="00FF727E"/>
    <w:rsid w:val="0EDE1E39"/>
    <w:rsid w:val="18EA6FD8"/>
    <w:rsid w:val="27033931"/>
    <w:rsid w:val="27BC2DC8"/>
    <w:rsid w:val="33B760E1"/>
    <w:rsid w:val="35B65525"/>
    <w:rsid w:val="36015149"/>
    <w:rsid w:val="3B6A1E01"/>
    <w:rsid w:val="3D7B42B8"/>
    <w:rsid w:val="403C5911"/>
    <w:rsid w:val="5CA67A2E"/>
    <w:rsid w:val="66784942"/>
    <w:rsid w:val="74E76A2F"/>
    <w:rsid w:val="75D53031"/>
    <w:rsid w:val="75ED7C17"/>
    <w:rsid w:val="7BB03D4A"/>
    <w:rsid w:val="7D024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3">
    <w:name w:val="heading 1"/>
    <w:basedOn w:val="1"/>
    <w:next w:val="1"/>
    <w:link w:val="5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1"/>
    <w:qFormat/>
    <w:uiPriority w:val="0"/>
    <w:pPr>
      <w:keepNext/>
      <w:keepLines/>
      <w:tabs>
        <w:tab w:val="left" w:pos="2223"/>
        <w:tab w:val="left" w:pos="2558"/>
      </w:tabs>
      <w:spacing w:before="120" w:after="120" w:line="360" w:lineRule="auto"/>
      <w:outlineLvl w:val="1"/>
    </w:pPr>
    <w:rPr>
      <w:rFonts w:ascii="Times New Roman" w:hAnsi="Times New Roman" w:eastAsia="黑体" w:cs="Times New Roman"/>
      <w:color w:val="000000" w:themeColor="text1"/>
      <w:sz w:val="30"/>
      <w:szCs w:val="24"/>
      <w14:textFill>
        <w14:solidFill>
          <w14:schemeClr w14:val="tx1"/>
        </w14:solidFill>
      </w14:textFill>
    </w:rPr>
  </w:style>
  <w:style w:type="paragraph" w:styleId="5">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6">
    <w:name w:val="heading 8"/>
    <w:basedOn w:val="1"/>
    <w:next w:val="1"/>
    <w:link w:val="44"/>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8">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7"/>
    <w:unhideWhenUsed/>
    <w:qFormat/>
    <w:uiPriority w:val="99"/>
    <w:pPr>
      <w:tabs>
        <w:tab w:val="center" w:pos="4153"/>
        <w:tab w:val="right" w:pos="8306"/>
      </w:tabs>
      <w:snapToGrid w:val="0"/>
      <w:jc w:val="left"/>
    </w:pPr>
    <w:rPr>
      <w:sz w:val="18"/>
      <w:szCs w:val="18"/>
    </w:rPr>
  </w:style>
  <w:style w:type="paragraph" w:styleId="7">
    <w:name w:val="Normal Indent"/>
    <w:basedOn w:val="1"/>
    <w:link w:val="46"/>
    <w:qFormat/>
    <w:uiPriority w:val="99"/>
    <w:pPr>
      <w:widowControl/>
      <w:ind w:firstLine="420" w:firstLineChars="200"/>
      <w:jc w:val="left"/>
    </w:pPr>
    <w:rPr>
      <w:rFonts w:ascii="Calibri" w:hAnsi="Calibri" w:eastAsia="宋体" w:cs="Times New Roman"/>
      <w:sz w:val="28"/>
      <w:szCs w:val="20"/>
    </w:rPr>
  </w:style>
  <w:style w:type="paragraph" w:styleId="8">
    <w:name w:val="Document Map"/>
    <w:basedOn w:val="1"/>
    <w:link w:val="22"/>
    <w:semiHidden/>
    <w:unhideWhenUsed/>
    <w:qFormat/>
    <w:uiPriority w:val="99"/>
    <w:rPr>
      <w:rFonts w:ascii="宋体" w:eastAsia="宋体"/>
      <w:sz w:val="20"/>
      <w:szCs w:val="18"/>
    </w:rPr>
  </w:style>
  <w:style w:type="paragraph" w:styleId="9">
    <w:name w:val="annotation text"/>
    <w:basedOn w:val="1"/>
    <w:link w:val="23"/>
    <w:semiHidden/>
    <w:unhideWhenUsed/>
    <w:qFormat/>
    <w:uiPriority w:val="99"/>
    <w:pPr>
      <w:jc w:val="left"/>
    </w:pPr>
  </w:style>
  <w:style w:type="paragraph" w:styleId="10">
    <w:name w:val="Body Text"/>
    <w:basedOn w:val="1"/>
    <w:link w:val="40"/>
    <w:semiHidden/>
    <w:unhideWhenUsed/>
    <w:qFormat/>
    <w:uiPriority w:val="99"/>
    <w:pPr>
      <w:spacing w:after="120"/>
    </w:pPr>
  </w:style>
  <w:style w:type="paragraph" w:styleId="11">
    <w:name w:val="Balloon Text"/>
    <w:basedOn w:val="1"/>
    <w:link w:val="25"/>
    <w:unhideWhenUsed/>
    <w:qFormat/>
    <w:uiPriority w:val="99"/>
    <w:rPr>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unhideWhenUsed/>
    <w:qFormat/>
    <w:uiPriority w:val="39"/>
  </w:style>
  <w:style w:type="paragraph" w:styleId="14">
    <w:name w:val="Body Text Indent 3"/>
    <w:basedOn w:val="1"/>
    <w:link w:val="29"/>
    <w:qFormat/>
    <w:uiPriority w:val="0"/>
    <w:pPr>
      <w:spacing w:after="120"/>
      <w:ind w:left="420" w:leftChars="200"/>
    </w:pPr>
    <w:rPr>
      <w:rFonts w:ascii="Times New Roman" w:hAnsi="Times New Roman" w:eastAsia="宋体" w:cs="Times New Roman"/>
      <w:sz w:val="16"/>
      <w:szCs w:val="16"/>
    </w:rPr>
  </w:style>
  <w:style w:type="paragraph" w:styleId="15">
    <w:name w:val="annotation subject"/>
    <w:basedOn w:val="9"/>
    <w:next w:val="9"/>
    <w:link w:val="32"/>
    <w:semiHidden/>
    <w:unhideWhenUsed/>
    <w:qFormat/>
    <w:uiPriority w:val="99"/>
    <w:rPr>
      <w:b/>
      <w:bCs/>
    </w:rPr>
  </w:style>
  <w:style w:type="table" w:styleId="17">
    <w:name w:val="Table Grid"/>
    <w:basedOn w:val="1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basedOn w:val="18"/>
    <w:semiHidden/>
    <w:unhideWhenUsed/>
    <w:qFormat/>
    <w:uiPriority w:val="99"/>
    <w:rPr>
      <w:color w:val="0000FF"/>
      <w:u w:val="single"/>
    </w:rPr>
  </w:style>
  <w:style w:type="character" w:styleId="21">
    <w:name w:val="annotation reference"/>
    <w:basedOn w:val="18"/>
    <w:semiHidden/>
    <w:unhideWhenUsed/>
    <w:qFormat/>
    <w:uiPriority w:val="99"/>
    <w:rPr>
      <w:sz w:val="21"/>
      <w:szCs w:val="21"/>
    </w:rPr>
  </w:style>
  <w:style w:type="character" w:customStyle="1" w:styleId="22">
    <w:name w:val="文档结构图 Char"/>
    <w:basedOn w:val="18"/>
    <w:link w:val="8"/>
    <w:semiHidden/>
    <w:qFormat/>
    <w:uiPriority w:val="99"/>
    <w:rPr>
      <w:rFonts w:ascii="宋体" w:eastAsia="宋体"/>
      <w:sz w:val="20"/>
      <w:szCs w:val="18"/>
    </w:rPr>
  </w:style>
  <w:style w:type="character" w:customStyle="1" w:styleId="23">
    <w:name w:val="批注文字 Char"/>
    <w:basedOn w:val="18"/>
    <w:link w:val="9"/>
    <w:semiHidden/>
    <w:qFormat/>
    <w:uiPriority w:val="99"/>
  </w:style>
  <w:style w:type="character" w:customStyle="1" w:styleId="24">
    <w:name w:val="标题 3 Char"/>
    <w:basedOn w:val="18"/>
    <w:link w:val="5"/>
    <w:semiHidden/>
    <w:qFormat/>
    <w:uiPriority w:val="9"/>
    <w:rPr>
      <w:b/>
      <w:bCs/>
      <w:sz w:val="32"/>
      <w:szCs w:val="32"/>
    </w:rPr>
  </w:style>
  <w:style w:type="character" w:customStyle="1" w:styleId="25">
    <w:name w:val="批注框文本 Char"/>
    <w:basedOn w:val="18"/>
    <w:link w:val="11"/>
    <w:qFormat/>
    <w:uiPriority w:val="99"/>
    <w:rPr>
      <w:sz w:val="18"/>
      <w:szCs w:val="18"/>
    </w:rPr>
  </w:style>
  <w:style w:type="character" w:customStyle="1" w:styleId="26">
    <w:name w:val="页眉 Char"/>
    <w:basedOn w:val="18"/>
    <w:link w:val="12"/>
    <w:qFormat/>
    <w:uiPriority w:val="99"/>
    <w:rPr>
      <w:sz w:val="18"/>
      <w:szCs w:val="18"/>
    </w:rPr>
  </w:style>
  <w:style w:type="character" w:customStyle="1" w:styleId="27">
    <w:name w:val="页脚 Char"/>
    <w:basedOn w:val="18"/>
    <w:link w:val="2"/>
    <w:qFormat/>
    <w:uiPriority w:val="99"/>
    <w:rPr>
      <w:sz w:val="18"/>
      <w:szCs w:val="18"/>
    </w:rPr>
  </w:style>
  <w:style w:type="paragraph" w:customStyle="1" w:styleId="28">
    <w:name w:val="表体"/>
    <w:basedOn w:val="1"/>
    <w:link w:val="39"/>
    <w:qFormat/>
    <w:uiPriority w:val="0"/>
    <w:pPr>
      <w:widowControl/>
      <w:tabs>
        <w:tab w:val="left" w:pos="540"/>
        <w:tab w:val="left" w:pos="851"/>
        <w:tab w:val="left" w:pos="994"/>
        <w:tab w:val="left" w:pos="1260"/>
        <w:tab w:val="left" w:pos="3108"/>
        <w:tab w:val="left" w:pos="3150"/>
      </w:tabs>
      <w:overflowPunct w:val="0"/>
      <w:adjustRightInd w:val="0"/>
      <w:spacing w:line="340" w:lineRule="exact"/>
      <w:jc w:val="center"/>
      <w:textAlignment w:val="baseline"/>
    </w:pPr>
    <w:rPr>
      <w:rFonts w:ascii="Times New Roman" w:hAnsi="Times New Roman" w:eastAsia="宋体" w:cs="Times New Roman"/>
      <w:bCs/>
      <w:snapToGrid w:val="0"/>
      <w:color w:val="000000"/>
      <w:kern w:val="32"/>
      <w:szCs w:val="20"/>
      <w:lang w:val="zh-CN"/>
    </w:rPr>
  </w:style>
  <w:style w:type="character" w:customStyle="1" w:styleId="29">
    <w:name w:val="正文文本缩进 3 Char"/>
    <w:basedOn w:val="18"/>
    <w:link w:val="14"/>
    <w:qFormat/>
    <w:uiPriority w:val="0"/>
    <w:rPr>
      <w:rFonts w:ascii="Times New Roman" w:hAnsi="Times New Roman" w:eastAsia="宋体" w:cs="Times New Roman"/>
      <w:sz w:val="16"/>
      <w:szCs w:val="16"/>
    </w:rPr>
  </w:style>
  <w:style w:type="paragraph" w:customStyle="1" w:styleId="30">
    <w:name w:val="表头"/>
    <w:basedOn w:val="1"/>
    <w:link w:val="31"/>
    <w:qFormat/>
    <w:uiPriority w:val="0"/>
    <w:pPr>
      <w:adjustRightInd w:val="0"/>
      <w:snapToGrid w:val="0"/>
      <w:spacing w:beforeLines="25"/>
      <w:jc w:val="center"/>
      <w:textAlignment w:val="baseline"/>
    </w:pPr>
    <w:rPr>
      <w:rFonts w:ascii="Times New Roman" w:hAnsi="宋体" w:eastAsia="仿宋_GB2312" w:cs="Times New Roman"/>
      <w:b/>
      <w:kern w:val="0"/>
      <w:sz w:val="28"/>
      <w:szCs w:val="28"/>
    </w:rPr>
  </w:style>
  <w:style w:type="character" w:customStyle="1" w:styleId="31">
    <w:name w:val="表头 Char Char"/>
    <w:link w:val="30"/>
    <w:qFormat/>
    <w:uiPriority w:val="0"/>
    <w:rPr>
      <w:rFonts w:ascii="Times New Roman" w:hAnsi="宋体" w:eastAsia="仿宋_GB2312" w:cs="Times New Roman"/>
      <w:b/>
      <w:kern w:val="0"/>
      <w:sz w:val="28"/>
      <w:szCs w:val="28"/>
    </w:rPr>
  </w:style>
  <w:style w:type="character" w:customStyle="1" w:styleId="32">
    <w:name w:val="批注主题 Char"/>
    <w:basedOn w:val="23"/>
    <w:link w:val="15"/>
    <w:semiHidden/>
    <w:qFormat/>
    <w:uiPriority w:val="99"/>
    <w:rPr>
      <w:b/>
      <w:bCs/>
    </w:rPr>
  </w:style>
  <w:style w:type="character" w:customStyle="1" w:styleId="33">
    <w:name w:val="题注1 Char"/>
    <w:link w:val="34"/>
    <w:qFormat/>
    <w:uiPriority w:val="0"/>
    <w:rPr>
      <w:rFonts w:cs="宋体"/>
      <w:b/>
      <w:bCs/>
      <w:spacing w:val="10"/>
      <w:szCs w:val="24"/>
    </w:rPr>
  </w:style>
  <w:style w:type="paragraph" w:customStyle="1" w:styleId="34">
    <w:name w:val="题注1"/>
    <w:basedOn w:val="1"/>
    <w:link w:val="33"/>
    <w:qFormat/>
    <w:uiPriority w:val="0"/>
    <w:pPr>
      <w:spacing w:beforeLines="20" w:afterLines="20"/>
      <w:jc w:val="center"/>
    </w:pPr>
    <w:rPr>
      <w:rFonts w:cs="宋体"/>
      <w:b/>
      <w:bCs/>
      <w:spacing w:val="10"/>
      <w:szCs w:val="24"/>
    </w:rPr>
  </w:style>
  <w:style w:type="paragraph" w:customStyle="1" w:styleId="35">
    <w:name w:val="赵"/>
    <w:basedOn w:val="1"/>
    <w:link w:val="36"/>
    <w:qFormat/>
    <w:uiPriority w:val="0"/>
    <w:pPr>
      <w:spacing w:line="360" w:lineRule="auto"/>
      <w:ind w:firstLine="200" w:firstLineChars="200"/>
    </w:pPr>
    <w:rPr>
      <w:rFonts w:ascii="Times New Roman" w:hAnsi="Times New Roman" w:eastAsia="宋体" w:cs="Times New Roman"/>
      <w:sz w:val="24"/>
      <w:szCs w:val="30"/>
    </w:rPr>
  </w:style>
  <w:style w:type="character" w:customStyle="1" w:styleId="36">
    <w:name w:val="赵 Char"/>
    <w:basedOn w:val="18"/>
    <w:link w:val="35"/>
    <w:qFormat/>
    <w:uiPriority w:val="0"/>
    <w:rPr>
      <w:rFonts w:ascii="Times New Roman" w:hAnsi="Times New Roman" w:eastAsia="宋体" w:cs="Times New Roman"/>
      <w:sz w:val="24"/>
      <w:szCs w:val="30"/>
    </w:rPr>
  </w:style>
  <w:style w:type="paragraph" w:customStyle="1" w:styleId="37">
    <w:name w:val="【表头】"/>
    <w:basedOn w:val="1"/>
    <w:link w:val="38"/>
    <w:qFormat/>
    <w:uiPriority w:val="0"/>
    <w:pPr>
      <w:jc w:val="center"/>
    </w:pPr>
    <w:rPr>
      <w:rFonts w:ascii="Times New Roman" w:hAnsi="Times New Roman" w:eastAsia="宋体" w:cs="Times New Roman"/>
      <w:b/>
      <w:szCs w:val="24"/>
    </w:rPr>
  </w:style>
  <w:style w:type="character" w:customStyle="1" w:styleId="38">
    <w:name w:val="【表头】 Char"/>
    <w:link w:val="37"/>
    <w:qFormat/>
    <w:uiPriority w:val="0"/>
    <w:rPr>
      <w:rFonts w:ascii="Times New Roman" w:hAnsi="Times New Roman" w:eastAsia="宋体" w:cs="Times New Roman"/>
      <w:b/>
      <w:szCs w:val="24"/>
    </w:rPr>
  </w:style>
  <w:style w:type="character" w:customStyle="1" w:styleId="39">
    <w:name w:val="表体 Char Char"/>
    <w:link w:val="28"/>
    <w:qFormat/>
    <w:locked/>
    <w:uiPriority w:val="0"/>
    <w:rPr>
      <w:rFonts w:ascii="Times New Roman" w:hAnsi="Times New Roman" w:eastAsia="宋体" w:cs="Times New Roman"/>
      <w:bCs/>
      <w:snapToGrid w:val="0"/>
      <w:color w:val="000000"/>
      <w:kern w:val="32"/>
      <w:szCs w:val="20"/>
      <w:lang w:val="zh-CN"/>
    </w:rPr>
  </w:style>
  <w:style w:type="character" w:customStyle="1" w:styleId="40">
    <w:name w:val="正文文本 Char"/>
    <w:basedOn w:val="18"/>
    <w:link w:val="10"/>
    <w:semiHidden/>
    <w:qFormat/>
    <w:uiPriority w:val="99"/>
  </w:style>
  <w:style w:type="character" w:customStyle="1" w:styleId="41">
    <w:name w:val="标题 2 Char"/>
    <w:basedOn w:val="18"/>
    <w:link w:val="4"/>
    <w:qFormat/>
    <w:uiPriority w:val="0"/>
    <w:rPr>
      <w:rFonts w:ascii="Times New Roman" w:hAnsi="Times New Roman" w:eastAsia="黑体" w:cs="Times New Roman"/>
      <w:color w:val="000000" w:themeColor="text1"/>
      <w:sz w:val="30"/>
      <w:szCs w:val="24"/>
      <w14:textFill>
        <w14:solidFill>
          <w14:schemeClr w14:val="tx1"/>
        </w14:solidFill>
      </w14:textFill>
    </w:rPr>
  </w:style>
  <w:style w:type="character" w:customStyle="1" w:styleId="42">
    <w:name w:val="表头 Char1"/>
    <w:basedOn w:val="18"/>
    <w:qFormat/>
    <w:uiPriority w:val="0"/>
    <w:rPr>
      <w:rFonts w:ascii="Times New Roman" w:hAnsi="Times New Roman" w:eastAsia="宋体" w:cs="Times New Roman"/>
      <w:b/>
      <w:bCs/>
      <w:kern w:val="0"/>
      <w:szCs w:val="28"/>
    </w:rPr>
  </w:style>
  <w:style w:type="table" w:customStyle="1" w:styleId="43">
    <w:name w:val="Table Normal"/>
    <w:semiHidden/>
    <w:unhideWhenUsed/>
    <w:qFormat/>
    <w:uiPriority w:val="2"/>
    <w:pPr>
      <w:widowControl w:val="0"/>
    </w:pPr>
    <w:rPr>
      <w:sz w:val="22"/>
      <w:lang w:eastAsia="en-US"/>
    </w:rPr>
    <w:tblPr>
      <w:tblLayout w:type="fixed"/>
      <w:tblCellMar>
        <w:top w:w="0" w:type="dxa"/>
        <w:left w:w="0" w:type="dxa"/>
        <w:bottom w:w="0" w:type="dxa"/>
        <w:right w:w="0" w:type="dxa"/>
      </w:tblCellMar>
    </w:tblPr>
  </w:style>
  <w:style w:type="character" w:customStyle="1" w:styleId="44">
    <w:name w:val="标题 8 Char"/>
    <w:basedOn w:val="18"/>
    <w:link w:val="6"/>
    <w:qFormat/>
    <w:uiPriority w:val="99"/>
    <w:rPr>
      <w:rFonts w:asciiTheme="majorHAnsi" w:hAnsiTheme="majorHAnsi" w:eastAsiaTheme="majorEastAsia" w:cstheme="majorBidi"/>
      <w:sz w:val="24"/>
      <w:szCs w:val="24"/>
    </w:rPr>
  </w:style>
  <w:style w:type="paragraph" w:customStyle="1" w:styleId="45">
    <w:name w:val="表格正文"/>
    <w:basedOn w:val="1"/>
    <w:qFormat/>
    <w:uiPriority w:val="0"/>
    <w:pPr>
      <w:adjustRightInd w:val="0"/>
      <w:spacing w:line="0" w:lineRule="atLeast"/>
      <w:textAlignment w:val="baseline"/>
    </w:pPr>
    <w:rPr>
      <w:rFonts w:ascii="Times New Roman" w:hAnsi="Times New Roman" w:eastAsia="宋体" w:cs="Times New Roman"/>
      <w:szCs w:val="20"/>
    </w:rPr>
  </w:style>
  <w:style w:type="character" w:customStyle="1" w:styleId="46">
    <w:name w:val="正文缩进 Char"/>
    <w:link w:val="7"/>
    <w:qFormat/>
    <w:uiPriority w:val="99"/>
    <w:rPr>
      <w:rFonts w:ascii="Calibri" w:hAnsi="Calibri" w:eastAsia="宋体" w:cs="Times New Roman"/>
      <w:sz w:val="28"/>
      <w:szCs w:val="20"/>
    </w:rPr>
  </w:style>
  <w:style w:type="paragraph" w:customStyle="1" w:styleId="47">
    <w:name w:val="样式1"/>
    <w:basedOn w:val="1"/>
    <w:link w:val="48"/>
    <w:qFormat/>
    <w:uiPriority w:val="0"/>
    <w:pPr>
      <w:spacing w:line="360" w:lineRule="auto"/>
      <w:ind w:firstLine="510"/>
    </w:pPr>
    <w:rPr>
      <w:rFonts w:ascii="Times New Roman" w:hAnsi="Times New Roman" w:eastAsia="宋体" w:cs="Times New Roman"/>
      <w:sz w:val="24"/>
      <w:szCs w:val="20"/>
    </w:rPr>
  </w:style>
  <w:style w:type="character" w:customStyle="1" w:styleId="48">
    <w:name w:val="样式1 Char"/>
    <w:link w:val="47"/>
    <w:qFormat/>
    <w:locked/>
    <w:uiPriority w:val="0"/>
    <w:rPr>
      <w:rFonts w:ascii="Times New Roman" w:hAnsi="Times New Roman" w:eastAsia="宋体" w:cs="Times New Roman"/>
      <w:sz w:val="24"/>
      <w:szCs w:val="20"/>
    </w:rPr>
  </w:style>
  <w:style w:type="paragraph" w:customStyle="1" w:styleId="4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0">
    <w:name w:val="标题 1 Char"/>
    <w:basedOn w:val="18"/>
    <w:link w:val="3"/>
    <w:qFormat/>
    <w:uiPriority w:val="9"/>
    <w:rPr>
      <w:b/>
      <w:bCs/>
      <w:kern w:val="44"/>
      <w:sz w:val="44"/>
      <w:szCs w:val="44"/>
    </w:rPr>
  </w:style>
  <w:style w:type="character" w:customStyle="1" w:styleId="51">
    <w:name w:val="标题1"/>
    <w:basedOn w:val="18"/>
    <w:qFormat/>
    <w:uiPriority w:val="0"/>
  </w:style>
  <w:style w:type="paragraph" w:customStyle="1" w:styleId="52">
    <w:name w:val="Table Paragraph"/>
    <w:basedOn w:val="1"/>
    <w:qFormat/>
    <w:uiPriority w:val="1"/>
    <w:rPr>
      <w:rFonts w:ascii="宋体" w:hAnsi="宋体" w:eastAsia="宋体" w:cs="宋体"/>
      <w:lang w:val="zh-CN" w:bidi="zh-CN"/>
    </w:rPr>
  </w:style>
  <w:style w:type="paragraph" w:styleId="53">
    <w:name w:val="List Paragraph"/>
    <w:basedOn w:val="1"/>
    <w:qFormat/>
    <w:uiPriority w:val="1"/>
    <w:pPr>
      <w:ind w:left="1581" w:hanging="705"/>
    </w:pPr>
    <w:rPr>
      <w:rFonts w:ascii="宋体" w:hAnsi="宋体" w:eastAsia="宋体" w:cs="宋体"/>
      <w:lang w:val="zh-CN" w:bidi="zh-CN"/>
    </w:rPr>
  </w:style>
  <w:style w:type="character" w:customStyle="1" w:styleId="54">
    <w:name w:val="NormalCharacter"/>
    <w:qFormat/>
    <w:uiPriority w:val="0"/>
  </w:style>
  <w:style w:type="paragraph" w:customStyle="1" w:styleId="55">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2.bin"/><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D29A4B-4698-43CC-8947-CF0E2E1FFD5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65</Pages>
  <Words>36228</Words>
  <Characters>41259</Characters>
  <Lines>322</Lines>
  <Paragraphs>90</Paragraphs>
  <TotalTime>12</TotalTime>
  <ScaleCrop>false</ScaleCrop>
  <LinksUpToDate>false</LinksUpToDate>
  <CharactersWithSpaces>41515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2022-03-13T07:56:00Z</dcterms:created>
  <dc:creator>微软用户</dc:creator>
  <cp:lastModifiedBy>admin</cp:lastModifiedBy>
  <cp:lastPrinted>2022-03-20T08:45:00Z</cp:lastPrinted>
  <dcterms:modified xsi:type="dcterms:W3CDTF">2022-08-29T08:02:22Z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689DD73F5E564276B27CC6F6F8D6289A</vt:lpwstr>
  </property>
</Properties>
</file>