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ind w:firstLine="594" w:firstLineChars="200"/>
        <w:jc w:val="left"/>
        <w:rPr>
          <w:rFonts w:ascii="黑体" w:hAnsi="黑体" w:eastAsia="黑体"/>
          <w:szCs w:val="32"/>
        </w:rPr>
      </w:pPr>
    </w:p>
    <w:p>
      <w:pPr>
        <w:spacing w:line="540" w:lineRule="exact"/>
        <w:ind w:firstLine="594" w:firstLineChars="200"/>
        <w:jc w:val="center"/>
        <w:rPr>
          <w:rFonts w:ascii="方正小标宋_GBK" w:hAnsi="黑体" w:eastAsia="方正小标宋_GBK"/>
          <w:szCs w:val="32"/>
        </w:rPr>
      </w:pPr>
      <w:r>
        <w:rPr>
          <w:rFonts w:hint="eastAsia" w:ascii="方正小标宋_GBK" w:hAnsi="黑体" w:eastAsia="方正小标宋_GBK"/>
          <w:szCs w:val="32"/>
        </w:rPr>
        <w:t>摘要</w:t>
      </w:r>
    </w:p>
    <w:p>
      <w:pPr>
        <w:numPr>
          <w:ilvl w:val="0"/>
          <w:numId w:val="1"/>
        </w:numPr>
        <w:spacing w:line="540" w:lineRule="exact"/>
        <w:ind w:firstLine="594" w:firstLineChars="200"/>
        <w:jc w:val="left"/>
        <w:rPr>
          <w:rFonts w:ascii="仿宋_GB2312" w:hAnsi="黑体"/>
          <w:szCs w:val="32"/>
        </w:rPr>
      </w:pPr>
      <w:r>
        <w:rPr>
          <w:rFonts w:hint="eastAsia" w:ascii="黑体" w:hAnsi="黑体" w:eastAsia="黑体"/>
          <w:szCs w:val="32"/>
        </w:rPr>
        <w:t>项目概况：</w:t>
      </w:r>
    </w:p>
    <w:p>
      <w:pPr>
        <w:spacing w:line="540" w:lineRule="exact"/>
        <w:ind w:firstLine="593"/>
        <w:jc w:val="left"/>
        <w:rPr>
          <w:rFonts w:ascii="仿宋_GB2312" w:hAnsi="黑体"/>
          <w:szCs w:val="32"/>
        </w:rPr>
      </w:pPr>
      <w:r>
        <w:rPr>
          <w:rFonts w:hint="eastAsia" w:ascii="仿宋_GB2312" w:hAnsi="黑体"/>
          <w:szCs w:val="32"/>
        </w:rPr>
        <w:t>为进一步做好我区原矿务局中小学退休教师待遇差补助资金管理工作，确保专项资金及时、足额兑现到退休教师，根据昆明市财政局昆财资〔2019〕25号《昆明市财政局关于预拨2019年第一批国有企业办中小学及职教幼教退休教师生活待遇差补助资金的通知》、昆财资〔2019〕163号《昆明市财政局关于下达预拨2019年第二批国有企业办中小学及职教幼教退休教师生活待遇差补助资金的通知》文件要求，依据2019年清算人数和兑现资金情况，预拨国有企业办中小学退休教师待遇差省级财政补助资金共计1670万元，专项用于兑现2019年度国有企业中小学退休教师待遇差补助。</w:t>
      </w:r>
    </w:p>
    <w:p>
      <w:pPr>
        <w:spacing w:line="540" w:lineRule="exact"/>
        <w:ind w:firstLine="593"/>
        <w:jc w:val="left"/>
        <w:rPr>
          <w:rFonts w:ascii="仿宋_GB2312" w:hAnsi="黑体"/>
          <w:szCs w:val="32"/>
        </w:rPr>
      </w:pPr>
      <w:r>
        <w:rPr>
          <w:rFonts w:hint="eastAsia" w:ascii="仿宋_GB2312" w:hAnsi="黑体"/>
          <w:szCs w:val="32"/>
        </w:rPr>
        <w:t>此项目资金由退管站提供国有企业办中小学退休教师人员名单及发放明细，并报经区财政审批后，对符合条件的而退休教师比照当地政府办中小学同类人员退休金标准，测算其所应享受的待遇标准，由省级财政安排资金及时兑现。2019年报批预拨资金1670万元，支出1355.54万元，结余314.46万元，全部为原矿务局退休教师待遇补助余款，结转下年支付。</w:t>
      </w:r>
    </w:p>
    <w:p>
      <w:pPr>
        <w:numPr>
          <w:ilvl w:val="0"/>
          <w:numId w:val="1"/>
        </w:numPr>
        <w:spacing w:line="540" w:lineRule="exact"/>
        <w:ind w:firstLine="594" w:firstLineChars="200"/>
        <w:jc w:val="left"/>
        <w:rPr>
          <w:rFonts w:ascii="黑体" w:hAnsi="黑体" w:eastAsia="黑体"/>
          <w:szCs w:val="32"/>
        </w:rPr>
      </w:pPr>
      <w:r>
        <w:rPr>
          <w:rFonts w:hint="eastAsia" w:ascii="黑体" w:hAnsi="黑体" w:eastAsia="黑体"/>
          <w:szCs w:val="32"/>
        </w:rPr>
        <w:t>评价结论</w:t>
      </w:r>
    </w:p>
    <w:p>
      <w:pPr>
        <w:topLinePunct/>
        <w:ind w:firstLine="594" w:firstLineChars="200"/>
        <w:rPr>
          <w:rFonts w:ascii="仿宋_GB2312"/>
          <w:szCs w:val="32"/>
        </w:rPr>
      </w:pPr>
      <w:r>
        <w:rPr>
          <w:rFonts w:hint="eastAsia" w:ascii="仿宋_GB2312"/>
          <w:szCs w:val="32"/>
        </w:rPr>
        <w:t>我单位2019年中小学退休教师待遇差补助项目自评得分为98分，评价结果为优。妥善解决了原矿务局中小学退休教师待遇问题，使原矿务局中小学退休教师退休金待遇按照当地政府办中小学同类人员标准执行,按照“公平、公正、公开”原则体现同岗同酬，把国有企业办社会产生的历史遗留问题通过实施财政补贴政策妥善解决，得到了企业退休职工的认可。</w:t>
      </w:r>
    </w:p>
    <w:p>
      <w:pPr>
        <w:spacing w:line="540" w:lineRule="exact"/>
        <w:ind w:firstLine="594"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594"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594" w:firstLineChars="200"/>
        <w:jc w:val="left"/>
        <w:rPr>
          <w:rFonts w:ascii="楷体" w:hAnsi="楷体" w:eastAsia="楷体"/>
          <w:szCs w:val="32"/>
        </w:rPr>
      </w:pPr>
      <w:r>
        <w:rPr>
          <w:rFonts w:hint="eastAsia" w:ascii="宋体" w:hAnsi="宋体"/>
          <w:szCs w:val="32"/>
        </w:rPr>
        <w:t>积极筹措资金，确保补助资金及时到位，将国家对国有企业退休职工的优惠政策落到实处。在项目组织实施过程中，做到早计划、早安排，使项目资金下拨及时到位，项目推进快速有效。</w:t>
      </w:r>
    </w:p>
    <w:p>
      <w:pPr>
        <w:numPr>
          <w:numId w:val="0"/>
        </w:numPr>
        <w:spacing w:line="540" w:lineRule="exact"/>
        <w:ind w:firstLine="594" w:firstLineChars="200"/>
        <w:jc w:val="left"/>
        <w:rPr>
          <w:rFonts w:ascii="楷体" w:hAnsi="楷体" w:eastAsia="楷体"/>
          <w:szCs w:val="32"/>
        </w:rPr>
      </w:pPr>
      <w:r>
        <w:rPr>
          <w:rFonts w:hint="eastAsia" w:ascii="楷体" w:hAnsi="楷体" w:eastAsia="楷体"/>
          <w:szCs w:val="32"/>
          <w:lang w:val="en-US" w:eastAsia="zh-CN"/>
        </w:rPr>
        <w:t>2.</w:t>
      </w:r>
      <w:r>
        <w:rPr>
          <w:rFonts w:hint="eastAsia" w:ascii="楷体" w:hAnsi="楷体" w:eastAsia="楷体"/>
          <w:szCs w:val="32"/>
        </w:rPr>
        <w:t>存在的问题；</w:t>
      </w:r>
    </w:p>
    <w:p>
      <w:pPr>
        <w:spacing w:line="540" w:lineRule="exact"/>
        <w:ind w:firstLine="582" w:firstLineChars="196"/>
        <w:jc w:val="left"/>
        <w:rPr>
          <w:rFonts w:ascii="楷体" w:hAnsi="楷体" w:eastAsia="楷体"/>
          <w:szCs w:val="32"/>
        </w:rPr>
      </w:pPr>
      <w:r>
        <w:rPr>
          <w:rFonts w:hint="eastAsia" w:ascii="仿宋_GB2312" w:hAnsi="仿宋_GB2312" w:cs="仿宋_GB2312"/>
          <w:szCs w:val="32"/>
        </w:rPr>
        <w:t>该项目2019年未纳入区级财政预算，项目绩效参照2019年国有企业办中小学退休教师待遇差补助资金项目绩效目标表。</w:t>
      </w:r>
    </w:p>
    <w:p>
      <w:pPr>
        <w:numPr>
          <w:numId w:val="0"/>
        </w:numPr>
        <w:spacing w:line="540" w:lineRule="exact"/>
        <w:ind w:firstLine="594" w:firstLineChars="200"/>
        <w:jc w:val="left"/>
        <w:rPr>
          <w:rFonts w:ascii="楷体" w:hAnsi="楷体" w:eastAsia="楷体"/>
          <w:szCs w:val="32"/>
        </w:rPr>
      </w:pPr>
      <w:r>
        <w:rPr>
          <w:rFonts w:hint="eastAsia" w:ascii="楷体" w:hAnsi="楷体" w:eastAsia="楷体"/>
          <w:szCs w:val="32"/>
          <w:lang w:val="en-US" w:eastAsia="zh-CN"/>
        </w:rPr>
        <w:t>3.</w:t>
      </w:r>
      <w:r>
        <w:rPr>
          <w:rFonts w:hint="eastAsia" w:ascii="楷体" w:hAnsi="楷体" w:eastAsia="楷体"/>
          <w:szCs w:val="32"/>
        </w:rPr>
        <w:t>改进措施及建议。</w:t>
      </w:r>
      <w:bookmarkStart w:id="0" w:name="_GoBack"/>
      <w:bookmarkEnd w:id="0"/>
    </w:p>
    <w:p>
      <w:pPr>
        <w:spacing w:line="540" w:lineRule="exact"/>
        <w:ind w:firstLine="594" w:firstLineChars="200"/>
        <w:jc w:val="left"/>
        <w:rPr>
          <w:rFonts w:ascii="仿宋_GB2312" w:hAnsi="仿宋_GB2312" w:cs="仿宋_GB2312"/>
          <w:szCs w:val="32"/>
        </w:rPr>
      </w:pPr>
      <w:r>
        <w:rPr>
          <w:rFonts w:hint="eastAsia" w:ascii="仿宋_GB2312" w:hAnsi="仿宋_GB2312" w:cs="仿宋_GB2312"/>
          <w:szCs w:val="32"/>
        </w:rPr>
        <w:t>在今后的工作中，强化绩效支出管理理念，根据项目特性，制定合理科学的绩效目标申报表，同时强化管理，严格实施资金监控，降低资金管理风险，进一步提高服务意识，做好管理服务工作。</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中小学退休教师待遇差补助项目支出</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楷体_GB2312" w:eastAsia="楷体_GB2312"/>
          <w:szCs w:val="32"/>
        </w:rPr>
      </w:pPr>
      <w:r>
        <w:rPr>
          <w:rFonts w:hint="eastAsia" w:ascii="楷体_GB2312" w:eastAsia="楷体_GB2312"/>
          <w:szCs w:val="32"/>
        </w:rPr>
        <w:t>（一）项目概况</w:t>
      </w:r>
    </w:p>
    <w:p>
      <w:pPr>
        <w:topLinePunct/>
        <w:ind w:firstLine="594" w:firstLineChars="200"/>
        <w:rPr>
          <w:rFonts w:ascii="仿宋_GB2312"/>
          <w:szCs w:val="32"/>
        </w:rPr>
      </w:pPr>
      <w:r>
        <w:rPr>
          <w:rFonts w:hint="eastAsia" w:ascii="仿宋_GB2312"/>
          <w:szCs w:val="32"/>
        </w:rPr>
        <w:t>1.立项背景及目的</w:t>
      </w:r>
    </w:p>
    <w:p>
      <w:pPr>
        <w:topLinePunct/>
        <w:ind w:firstLine="594" w:firstLineChars="200"/>
        <w:rPr>
          <w:rFonts w:ascii="仿宋_GB2312"/>
          <w:szCs w:val="32"/>
        </w:rPr>
      </w:pPr>
      <w:r>
        <w:rPr>
          <w:rFonts w:hint="eastAsia" w:ascii="仿宋_GB2312"/>
          <w:szCs w:val="32"/>
        </w:rPr>
        <w:t>根据云财企〔2005〕175号《关于解决我省国有企业办中小学退休教师待遇省财政补助资金管理有关问题的通知》、云企改办〔2007〕20号《关于解决国有企业办中小学退休教师待遇问题的补充通知》、昆明市财政局昆财资〔2019〕25号《昆明市财政局关于预拨2019年第一批国有企业办中小学及职教幼教退休教师生活待遇差补助资金的通知》、昆财资〔2019〕163号《昆明市财政局关于下达预拨2019年第二批国有企业办中小学及职教幼教退休教师生活待遇差补助资金的通知》，为进一步做好国有企业办中小学退休教师待遇差补助资金管理工作，确保专项资金及时、足额兑现到退休教师，将国家优惠政策落到实处。</w:t>
      </w:r>
    </w:p>
    <w:p>
      <w:pPr>
        <w:topLinePunct/>
        <w:ind w:firstLine="594" w:firstLineChars="200"/>
        <w:rPr>
          <w:rFonts w:ascii="仿宋_GB2312"/>
          <w:szCs w:val="32"/>
        </w:rPr>
      </w:pPr>
      <w:r>
        <w:rPr>
          <w:rFonts w:hint="eastAsia" w:ascii="仿宋_GB2312"/>
          <w:szCs w:val="32"/>
        </w:rPr>
        <w:t>2.项目实施情况</w:t>
      </w:r>
    </w:p>
    <w:p>
      <w:pPr>
        <w:topLinePunct/>
        <w:ind w:firstLine="594" w:firstLineChars="200"/>
        <w:rPr>
          <w:rFonts w:ascii="仿宋_GB2312"/>
          <w:szCs w:val="32"/>
        </w:rPr>
      </w:pPr>
      <w:r>
        <w:rPr>
          <w:rFonts w:hint="eastAsia" w:ascii="仿宋_GB2312"/>
          <w:szCs w:val="32"/>
        </w:rPr>
        <w:t>根据云财企〔2005〕175号、云企改办〔2007〕20号、昆财资〔2019〕25号、昆财资〔2019〕163号等文件要求，我单位按照有关文件标准，开展实施中小学退休教师2019年生活待遇差补助项目，对生活待遇差补助进行发放。</w:t>
      </w:r>
    </w:p>
    <w:p>
      <w:pPr>
        <w:topLinePunct/>
        <w:ind w:firstLine="594" w:firstLineChars="200"/>
        <w:rPr>
          <w:rFonts w:ascii="仿宋_GB2312"/>
          <w:szCs w:val="32"/>
        </w:rPr>
      </w:pPr>
      <w:r>
        <w:rPr>
          <w:rFonts w:hint="eastAsia" w:ascii="仿宋_GB2312"/>
          <w:szCs w:val="32"/>
        </w:rPr>
        <w:t>3.资金来源及使用情况</w:t>
      </w:r>
    </w:p>
    <w:p>
      <w:pPr>
        <w:topLinePunct/>
        <w:ind w:firstLine="594" w:firstLineChars="200"/>
        <w:rPr>
          <w:rFonts w:ascii="仿宋_GB2312"/>
          <w:szCs w:val="32"/>
        </w:rPr>
      </w:pPr>
      <w:r>
        <w:rPr>
          <w:rFonts w:hint="eastAsia" w:ascii="仿宋_GB2312"/>
          <w:szCs w:val="32"/>
        </w:rPr>
        <w:t>昆明市财政局根据云南省财政厅相关文件要求，预拨国有企业办中小学退休教师资金1670万元，专项用于兑现2019年度国有企业办中小学退休教师待遇差补助。</w:t>
      </w:r>
    </w:p>
    <w:p>
      <w:pPr>
        <w:topLinePunct/>
        <w:ind w:firstLine="594" w:firstLineChars="200"/>
        <w:rPr>
          <w:rFonts w:ascii="仿宋_GB2312"/>
          <w:szCs w:val="32"/>
        </w:rPr>
      </w:pPr>
      <w:r>
        <w:rPr>
          <w:rFonts w:hint="eastAsia" w:ascii="仿宋_GB2312"/>
          <w:szCs w:val="32"/>
        </w:rPr>
        <w:t>4.组织及管理情况</w:t>
      </w:r>
    </w:p>
    <w:p>
      <w:pPr>
        <w:topLinePunct/>
        <w:ind w:firstLine="594" w:firstLineChars="200"/>
        <w:rPr>
          <w:rFonts w:ascii="仿宋_GB2312"/>
          <w:szCs w:val="32"/>
        </w:rPr>
      </w:pPr>
      <w:r>
        <w:rPr>
          <w:rFonts w:hint="eastAsia" w:ascii="仿宋_GB2312"/>
          <w:szCs w:val="32"/>
        </w:rPr>
        <w:t>我单位根据昆明市财政局相关文件要求，落实中小学退休教师待遇差补助资金，做好对中小学退休教师待遇差补助的管理和服务工作，确保专项资金及时足额兑现到退休教师，将国家的优惠政策落到实处。</w:t>
      </w:r>
      <w:r>
        <w:rPr>
          <w:rFonts w:hint="eastAsia" w:ascii="仿宋_GB2312" w:hAnsi="仿宋_GB2312" w:cs="仿宋_GB2312"/>
          <w:szCs w:val="32"/>
        </w:rPr>
        <w:t>项目管理做到严格、规范、专人负责、责任到位。项目的财务管理依据单位内控制度进行，项目支出安全性好，财务控制和管理情况达到预期目标。</w:t>
      </w:r>
    </w:p>
    <w:p>
      <w:pPr>
        <w:topLinePunct/>
        <w:ind w:firstLine="594" w:firstLineChars="200"/>
        <w:rPr>
          <w:rFonts w:ascii="楷体_GB2312" w:eastAsia="楷体_GB2312"/>
          <w:szCs w:val="32"/>
        </w:rPr>
      </w:pPr>
      <w:r>
        <w:rPr>
          <w:rFonts w:hint="eastAsia" w:ascii="楷体_GB2312" w:eastAsia="楷体_GB2312"/>
          <w:szCs w:val="32"/>
        </w:rPr>
        <w:t>（二）绩效目标</w:t>
      </w:r>
    </w:p>
    <w:p>
      <w:pPr>
        <w:topLinePunct/>
        <w:ind w:firstLine="594" w:firstLineChars="200"/>
        <w:rPr>
          <w:rFonts w:ascii="仿宋_GB2312"/>
          <w:szCs w:val="32"/>
        </w:rPr>
      </w:pPr>
      <w:r>
        <w:rPr>
          <w:rFonts w:hint="eastAsia" w:ascii="仿宋_GB2312"/>
          <w:szCs w:val="32"/>
        </w:rPr>
        <w:t>1.项目总体目标</w:t>
      </w:r>
    </w:p>
    <w:p>
      <w:pPr>
        <w:topLinePunct/>
        <w:ind w:firstLine="594" w:firstLineChars="200"/>
        <w:rPr>
          <w:rFonts w:ascii="仿宋_GB2312"/>
          <w:szCs w:val="32"/>
        </w:rPr>
      </w:pPr>
      <w:r>
        <w:rPr>
          <w:rFonts w:hint="eastAsia" w:ascii="仿宋_GB2312"/>
          <w:szCs w:val="32"/>
        </w:rPr>
        <w:t>（1）妥善解决国有企业办中小学退休教师待遇问题，使国有企业办中小学退休教师退休金待遇按照当地政府办中小学同类人员标准执行，按照“公平、公正、公开”原则体现同岗同酬，把国有企业办社会产生的历史遗留问题通过实施财政补贴政策妥善解决，得到企业退休职工的认可。</w:t>
      </w:r>
    </w:p>
    <w:p>
      <w:pPr>
        <w:topLinePunct/>
        <w:ind w:firstLine="594" w:firstLineChars="200"/>
        <w:rPr>
          <w:rFonts w:ascii="仿宋_GB2312"/>
          <w:szCs w:val="32"/>
        </w:rPr>
      </w:pPr>
      <w:r>
        <w:rPr>
          <w:rFonts w:hint="eastAsia" w:ascii="仿宋_GB2312"/>
          <w:szCs w:val="32"/>
        </w:rPr>
        <w:t>（2）除国有企业自愿保留的中小学外，其他国有企业办中小学，其退休教师月基本养老金低于当地政府办中小学同类人员退休金标准的，差额部分全部由省级财政补足。</w:t>
      </w:r>
    </w:p>
    <w:p>
      <w:pPr>
        <w:topLinePunct/>
        <w:ind w:firstLine="594" w:firstLineChars="200"/>
        <w:rPr>
          <w:rFonts w:ascii="仿宋_GB2312"/>
          <w:szCs w:val="32"/>
        </w:rPr>
      </w:pPr>
      <w:r>
        <w:rPr>
          <w:rFonts w:hint="eastAsia" w:ascii="仿宋_GB2312"/>
          <w:szCs w:val="32"/>
        </w:rPr>
        <w:t>（3）资金使用方向为对退休教师个人的补助，确保当前社会和企业职工稳定，维护企业退休职工合法权益。</w:t>
      </w:r>
    </w:p>
    <w:p>
      <w:pPr>
        <w:topLinePunct/>
        <w:ind w:firstLine="594" w:firstLineChars="200"/>
        <w:rPr>
          <w:rFonts w:ascii="仿宋_GB2312"/>
          <w:szCs w:val="32"/>
        </w:rPr>
      </w:pPr>
      <w:r>
        <w:rPr>
          <w:rFonts w:hint="eastAsia" w:ascii="仿宋_GB2312"/>
          <w:szCs w:val="32"/>
        </w:rPr>
        <w:t>（4）项目符合国家法律法规，符合州（市）、县（市）事权与支出责任划分规定，符合省委省政府制定特定政策解决国有企业办中小学退休教师的待遇问题的工作目标。</w:t>
      </w:r>
    </w:p>
    <w:p>
      <w:pPr>
        <w:topLinePunct/>
        <w:ind w:firstLine="594" w:firstLineChars="200"/>
        <w:rPr>
          <w:rFonts w:ascii="仿宋_GB2312"/>
          <w:szCs w:val="32"/>
        </w:rPr>
      </w:pPr>
      <w:r>
        <w:rPr>
          <w:rFonts w:hint="eastAsia" w:ascii="仿宋_GB2312"/>
          <w:szCs w:val="32"/>
        </w:rPr>
        <w:t>2.年度目标</w:t>
      </w:r>
    </w:p>
    <w:p>
      <w:pPr>
        <w:topLinePunct/>
        <w:ind w:firstLine="594" w:firstLineChars="200"/>
        <w:rPr>
          <w:rFonts w:ascii="仿宋_GB2312"/>
          <w:szCs w:val="32"/>
        </w:rPr>
      </w:pPr>
      <w:r>
        <w:rPr>
          <w:rFonts w:hint="eastAsia" w:ascii="仿宋_GB2312"/>
          <w:szCs w:val="32"/>
        </w:rPr>
        <w:t>（1）积极筹措资金，确保补助资金及时到位，将国家对国有企业退休职工的优惠政策落到实处。</w:t>
      </w:r>
    </w:p>
    <w:p>
      <w:pPr>
        <w:topLinePunct/>
        <w:ind w:firstLine="594" w:firstLineChars="200"/>
        <w:rPr>
          <w:rFonts w:ascii="仿宋_GB2312"/>
          <w:szCs w:val="32"/>
        </w:rPr>
      </w:pPr>
      <w:r>
        <w:rPr>
          <w:rFonts w:hint="eastAsia" w:ascii="仿宋_GB2312"/>
          <w:szCs w:val="32"/>
        </w:rPr>
        <w:t>（2）资金使用方向为对个人的补助，即按照《教师法》等规定，实现同岗同酬，使国有企业办中小学与政府办中小学同等退休教师待遇一致。</w:t>
      </w:r>
    </w:p>
    <w:p>
      <w:pPr>
        <w:topLinePunct/>
        <w:ind w:firstLine="594" w:firstLineChars="200"/>
        <w:rPr>
          <w:rFonts w:ascii="仿宋_GB2312"/>
          <w:szCs w:val="32"/>
        </w:rPr>
      </w:pPr>
      <w:r>
        <w:rPr>
          <w:rFonts w:hint="eastAsia" w:ascii="仿宋_GB2312"/>
          <w:szCs w:val="32"/>
        </w:rPr>
        <w:t>（3）由企业提出国有企业办中小学退休教师人员名单，并经当地同级国有资产、教育、人力资源和社会保障厅审批后，对符合条件的而退休教师比照当地政府办中小学同类人员退休金标准，测算其所应享受的待遇标准，有省级财政部门安排资金及时兑现。</w:t>
      </w:r>
    </w:p>
    <w:p>
      <w:pPr>
        <w:topLinePunct/>
        <w:ind w:firstLine="594" w:firstLineChars="200"/>
        <w:rPr>
          <w:rFonts w:ascii="黑体" w:eastAsia="黑体"/>
          <w:szCs w:val="32"/>
        </w:rPr>
      </w:pPr>
      <w:r>
        <w:rPr>
          <w:rFonts w:hint="eastAsia" w:ascii="黑体" w:eastAsia="黑体"/>
          <w:szCs w:val="32"/>
        </w:rPr>
        <w:t>二、绩效工作评价情况</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（一）绩效评价目的</w:t>
      </w:r>
    </w:p>
    <w:p>
      <w:pPr>
        <w:topLinePunct/>
        <w:spacing w:line="540" w:lineRule="exact"/>
        <w:ind w:firstLine="743" w:firstLineChars="250"/>
        <w:rPr>
          <w:rFonts w:ascii="仿宋_GB2312" w:hAnsi="楷体"/>
          <w:szCs w:val="32"/>
        </w:rPr>
      </w:pP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（二）绩效评价工作方案制定过程</w:t>
      </w:r>
    </w:p>
    <w:p>
      <w:pPr>
        <w:topLinePunct/>
        <w:spacing w:line="540" w:lineRule="exact"/>
        <w:ind w:firstLine="743" w:firstLineChars="250"/>
        <w:rPr>
          <w:rFonts w:ascii="仿宋_GB2312" w:hAnsi="楷体"/>
          <w:szCs w:val="32"/>
        </w:rPr>
      </w:pPr>
      <w:r>
        <w:rPr>
          <w:rFonts w:hint="eastAsia" w:ascii="仿宋_GB2312" w:hAnsi="楷体"/>
          <w:szCs w:val="32"/>
        </w:rPr>
        <w:t>1.前期调研</w:t>
      </w:r>
    </w:p>
    <w:p>
      <w:pPr>
        <w:topLinePunct/>
        <w:spacing w:line="540" w:lineRule="exact"/>
        <w:ind w:firstLine="743" w:firstLineChars="250"/>
        <w:rPr>
          <w:rFonts w:ascii="仿宋_GB2312" w:hAnsi="楷体"/>
          <w:szCs w:val="32"/>
        </w:rPr>
      </w:pPr>
      <w:r>
        <w:rPr>
          <w:rFonts w:hint="eastAsia" w:ascii="仿宋_GB2312" w:hAnsi="楷体"/>
          <w:szCs w:val="32"/>
        </w:rPr>
        <w:t>此项目资金由退管站提供国有企业办中小学退休教师人员名单及发放明细，并报经区财政审批后，对符合条件的而退休教师比照当地政府办中小学同类人员退休金标准，测算其所应享受的待遇标准，由省级财政安排资金及时兑现。</w:t>
      </w:r>
    </w:p>
    <w:p>
      <w:pPr>
        <w:topLinePunct/>
        <w:spacing w:line="540" w:lineRule="exact"/>
        <w:ind w:firstLine="743" w:firstLineChars="250"/>
        <w:rPr>
          <w:rFonts w:ascii="仿宋_GB2312" w:hAnsi="楷体"/>
          <w:szCs w:val="32"/>
        </w:rPr>
      </w:pPr>
      <w:r>
        <w:rPr>
          <w:rFonts w:hint="eastAsia" w:ascii="仿宋_GB2312" w:hAnsi="楷体"/>
          <w:szCs w:val="32"/>
        </w:rPr>
        <w:t>2.研究文件</w:t>
      </w:r>
    </w:p>
    <w:p>
      <w:pPr>
        <w:topLinePunct/>
        <w:spacing w:line="540" w:lineRule="exact"/>
        <w:ind w:firstLine="743" w:firstLineChars="250"/>
        <w:rPr>
          <w:rFonts w:ascii="仿宋_GB2312" w:hAnsi="楷体"/>
          <w:szCs w:val="32"/>
        </w:rPr>
      </w:pPr>
      <w:r>
        <w:rPr>
          <w:rFonts w:ascii="仿宋_GB2312" w:hAnsi="楷体"/>
          <w:szCs w:val="32"/>
        </w:rPr>
        <w:t>根据</w:t>
      </w:r>
      <w:r>
        <w:rPr>
          <w:rFonts w:hint="eastAsia" w:ascii="仿宋_GB2312" w:hAnsi="楷体"/>
          <w:szCs w:val="32"/>
        </w:rPr>
        <w:t>昆明市东川区财政局《关于开展东川区2019年度预算支出绩效自评工作的通知》，对本次项目绩效评价的对象和范围、评价依据、评价内容、组织实施、结果应用及有关要求进行研究学习。</w:t>
      </w:r>
    </w:p>
    <w:p>
      <w:pPr>
        <w:topLinePunct/>
        <w:spacing w:line="540" w:lineRule="exact"/>
        <w:ind w:firstLine="743"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743" w:firstLineChars="250"/>
        <w:rPr>
          <w:rFonts w:ascii="仿宋_GB2312" w:hAnsi="楷体"/>
          <w:szCs w:val="32"/>
        </w:rPr>
      </w:pPr>
      <w:r>
        <w:rPr>
          <w:rFonts w:hint="eastAsia" w:ascii="仿宋_GB2312" w:hAnsi="楷体"/>
          <w:szCs w:val="32"/>
        </w:rPr>
        <w:t>成立绩效评价工作小组，负责绩效评价工作的组织领导和具体实施，做好绩效自评的前期准备，主要包括拟定绩效评价方案、选取合适的绩效评价方式、设计绩效评价指标体系。</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（三）绩效评价原则、评价方法</w:t>
      </w:r>
    </w:p>
    <w:p>
      <w:pPr>
        <w:topLinePunct/>
        <w:spacing w:line="540" w:lineRule="exact"/>
        <w:ind w:firstLine="743" w:firstLineChars="250"/>
        <w:rPr>
          <w:rFonts w:ascii="仿宋_GB2312" w:hAnsi="楷体"/>
          <w:szCs w:val="32"/>
        </w:rPr>
      </w:pPr>
      <w:r>
        <w:rPr>
          <w:rFonts w:hint="eastAsia" w:ascii="仿宋_GB2312" w:hAnsi="楷体"/>
          <w:szCs w:val="32"/>
        </w:rPr>
        <w:t>1.绩效评价原则</w:t>
      </w:r>
    </w:p>
    <w:p>
      <w:pPr>
        <w:topLinePunct/>
        <w:spacing w:line="540" w:lineRule="exact"/>
        <w:ind w:firstLine="743" w:firstLineChars="250"/>
        <w:rPr>
          <w:rFonts w:ascii="仿宋_GB2312" w:hAnsi="楷体"/>
          <w:szCs w:val="32"/>
        </w:rPr>
      </w:pPr>
      <w:r>
        <w:rPr>
          <w:rFonts w:hint="eastAsia" w:ascii="仿宋_GB2312" w:hAnsi="楷体"/>
          <w:szCs w:val="32"/>
        </w:rPr>
        <w:t>包括科学规范、客观公正、实事求是、依法依规、绩效相关等原则。</w:t>
      </w:r>
    </w:p>
    <w:p>
      <w:pPr>
        <w:topLinePunct/>
        <w:spacing w:line="540" w:lineRule="exact"/>
        <w:ind w:firstLine="743" w:firstLineChars="250"/>
        <w:rPr>
          <w:rFonts w:ascii="仿宋_GB2312" w:hAnsi="楷体"/>
          <w:szCs w:val="32"/>
        </w:rPr>
      </w:pPr>
      <w:r>
        <w:rPr>
          <w:rFonts w:hint="eastAsia" w:ascii="仿宋_GB2312" w:hAnsi="楷体"/>
          <w:szCs w:val="32"/>
        </w:rPr>
        <w:t>2.绩效评价方法</w:t>
      </w:r>
    </w:p>
    <w:p>
      <w:pPr>
        <w:topLinePunct/>
        <w:spacing w:line="540" w:lineRule="exact"/>
        <w:ind w:firstLine="743" w:firstLineChars="250"/>
        <w:rPr>
          <w:rFonts w:ascii="仿宋_GB2312" w:hAnsi="楷体"/>
          <w:szCs w:val="32"/>
        </w:rPr>
      </w:pPr>
      <w:r>
        <w:rPr>
          <w:rFonts w:hint="eastAsia" w:ascii="仿宋_GB2312" w:hAnsi="楷体"/>
          <w:szCs w:val="32"/>
        </w:rPr>
        <w:t>目标比较法（通过财政支出产生的实际效果与预定目标的比较，分析完成目标或未完成目标的原因，从而评价支出绩效）；成本效益法（通过一定时期内支出所产生的效益与付出的成本进行分析对比，从而评价支出绩效）；问卷调查法（通过设计不同形式的调查问卷，在一定范围内发放，收集、分析调查问卷，进行评价和判断绩效。）</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（四）绩效评价实施过程</w:t>
      </w:r>
    </w:p>
    <w:p>
      <w:pPr>
        <w:topLinePunct/>
        <w:spacing w:line="540" w:lineRule="exact"/>
        <w:ind w:firstLine="743" w:firstLineChars="250"/>
        <w:rPr>
          <w:rFonts w:ascii="仿宋_GB2312" w:hAnsi="楷体"/>
          <w:szCs w:val="32"/>
        </w:rPr>
      </w:pPr>
      <w:r>
        <w:rPr>
          <w:rFonts w:hint="eastAsia" w:ascii="仿宋_GB2312" w:hAnsi="楷体"/>
          <w:szCs w:val="32"/>
        </w:rPr>
        <w:t>1.数据填报和采集</w:t>
      </w:r>
    </w:p>
    <w:p>
      <w:pPr>
        <w:topLinePunct/>
        <w:spacing w:line="540" w:lineRule="exact"/>
        <w:ind w:firstLine="743" w:firstLineChars="250"/>
        <w:rPr>
          <w:rFonts w:ascii="仿宋_GB2312" w:hAnsi="楷体"/>
          <w:szCs w:val="32"/>
        </w:rPr>
      </w:pPr>
      <w:r>
        <w:rPr>
          <w:rFonts w:ascii="仿宋_GB2312" w:hAnsi="楷体"/>
          <w:szCs w:val="32"/>
        </w:rPr>
        <w:t>数据的填报和采集主要</w:t>
      </w:r>
      <w:r>
        <w:rPr>
          <w:rFonts w:hint="eastAsia" w:ascii="仿宋_GB2312" w:hAnsi="楷体"/>
          <w:szCs w:val="32"/>
        </w:rPr>
        <w:t>依据为退管站绩效目标申报表、补贴发放人员名单及数量、发放标准和依据、项目相关的文件和法律法规、项目收入支出情况等。</w:t>
      </w:r>
    </w:p>
    <w:p>
      <w:pPr>
        <w:topLinePunct/>
        <w:spacing w:line="540" w:lineRule="exact"/>
        <w:ind w:firstLine="743" w:firstLineChars="250"/>
        <w:rPr>
          <w:rFonts w:ascii="仿宋_GB2312" w:hAnsi="楷体"/>
          <w:szCs w:val="32"/>
        </w:rPr>
      </w:pPr>
      <w:r>
        <w:rPr>
          <w:rFonts w:hint="eastAsia" w:ascii="仿宋_GB2312" w:hAnsi="楷体"/>
          <w:szCs w:val="32"/>
        </w:rPr>
        <w:t>2.社会调查</w:t>
      </w:r>
    </w:p>
    <w:p>
      <w:pPr>
        <w:topLinePunct/>
        <w:spacing w:line="540" w:lineRule="exact"/>
        <w:ind w:firstLine="743" w:firstLineChars="250"/>
        <w:rPr>
          <w:rFonts w:ascii="仿宋_GB2312" w:hAnsi="楷体"/>
          <w:szCs w:val="32"/>
        </w:rPr>
      </w:pPr>
      <w:r>
        <w:rPr>
          <w:rFonts w:ascii="仿宋_GB2312" w:hAnsi="楷体"/>
          <w:szCs w:val="32"/>
        </w:rPr>
        <w:t>社会调查的主要调查对象为受益人群</w:t>
      </w:r>
      <w:r>
        <w:rPr>
          <w:rFonts w:hint="eastAsia" w:ascii="仿宋_GB2312" w:hAnsi="楷体"/>
          <w:szCs w:val="32"/>
        </w:rPr>
        <w:t>，</w:t>
      </w:r>
      <w:r>
        <w:rPr>
          <w:rFonts w:ascii="仿宋_GB2312" w:hAnsi="楷体"/>
          <w:szCs w:val="32"/>
        </w:rPr>
        <w:t>通过设计问卷调查</w:t>
      </w:r>
      <w:r>
        <w:rPr>
          <w:rFonts w:hint="eastAsia" w:ascii="仿宋_GB2312" w:hAnsi="楷体"/>
          <w:szCs w:val="32"/>
        </w:rPr>
        <w:t>，对项目实施后产生的影响、效果及收益对象满意度进行抽样调查，并通过统计分析，对绩效目标的实现程度及效果进行评价。</w:t>
      </w:r>
    </w:p>
    <w:p>
      <w:pPr>
        <w:topLinePunct/>
        <w:spacing w:line="540" w:lineRule="exact"/>
        <w:ind w:firstLine="743"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43" w:firstLineChars="250"/>
        <w:rPr>
          <w:rFonts w:ascii="仿宋_GB2312" w:hAnsi="楷体"/>
          <w:szCs w:val="32"/>
        </w:rPr>
      </w:pPr>
      <w:r>
        <w:rPr>
          <w:rFonts w:hint="eastAsia" w:ascii="仿宋_GB2312" w:hAnsi="楷体"/>
          <w:szCs w:val="32"/>
        </w:rPr>
        <w:t>以</w:t>
      </w:r>
      <w:r>
        <w:rPr>
          <w:rFonts w:ascii="仿宋_GB2312" w:hAnsi="楷体"/>
          <w:szCs w:val="32"/>
        </w:rPr>
        <w:t>采集的数据为基础</w:t>
      </w:r>
      <w:r>
        <w:rPr>
          <w:rFonts w:hint="eastAsia" w:ascii="仿宋_GB2312" w:hAnsi="楷体"/>
          <w:szCs w:val="32"/>
        </w:rPr>
        <w:t>，</w:t>
      </w:r>
      <w:r>
        <w:rPr>
          <w:rFonts w:ascii="仿宋_GB2312" w:hAnsi="楷体"/>
          <w:szCs w:val="32"/>
        </w:rPr>
        <w:t>对绩效目标及绩效指标相关数据进行分析</w:t>
      </w:r>
      <w:r>
        <w:rPr>
          <w:rFonts w:hint="eastAsia" w:ascii="仿宋_GB2312" w:hAnsi="楷体"/>
          <w:szCs w:val="32"/>
        </w:rPr>
        <w:t>，将项目支出后的实际情况与申报的绩效目标对比，从项目的经济性、效率性、有效性和可持续性等方面进行量化、具体分析。针对项目单位财政性资金的绩效和预定目标的实现情况进行自评，并按照相关文本格式和要求撰写绩效报告。</w:t>
      </w:r>
    </w:p>
    <w:p>
      <w:pPr>
        <w:topLinePunct/>
        <w:spacing w:line="540" w:lineRule="exact"/>
        <w:ind w:firstLine="743" w:firstLineChars="250"/>
        <w:rPr>
          <w:rFonts w:ascii="楷体_GB2312" w:hAnsi="楷体" w:eastAsia="楷体_GB2312"/>
          <w:szCs w:val="32"/>
        </w:rPr>
      </w:pPr>
      <w:r>
        <w:rPr>
          <w:rFonts w:hint="eastAsia" w:ascii="楷体_GB2312" w:hAnsi="楷体" w:eastAsia="楷体_GB2312"/>
          <w:szCs w:val="32"/>
        </w:rPr>
        <w:t>（五）本次绩效评价的局限性</w:t>
      </w:r>
    </w:p>
    <w:p>
      <w:pPr>
        <w:topLinePunct/>
        <w:ind w:firstLine="594" w:firstLineChars="200"/>
        <w:rPr>
          <w:rFonts w:ascii="仿宋_GB2312" w:hAnsi="仿宋_GB2312" w:cs="仿宋_GB2312"/>
          <w:szCs w:val="32"/>
        </w:rPr>
      </w:pPr>
      <w:r>
        <w:rPr>
          <w:rFonts w:ascii="仿宋_GB2312" w:hAnsi="仿宋_GB2312" w:cs="仿宋_GB2312"/>
          <w:szCs w:val="32"/>
        </w:rPr>
        <w:t>本次绩效评价实施过程中社会调查范围为</w:t>
      </w:r>
      <w:r>
        <w:rPr>
          <w:rFonts w:hint="eastAsia" w:ascii="仿宋_GB2312"/>
          <w:szCs w:val="32"/>
        </w:rPr>
        <w:t>中小学及职教幼教退休教师，并针对此部分人群采取抽样调查，因为采取抽样调查而不是全部调查，满意度调查结果可能存在一定误差。</w:t>
      </w:r>
    </w:p>
    <w:p>
      <w:pPr>
        <w:topLinePunct/>
        <w:ind w:firstLine="594" w:firstLineChars="200"/>
        <w:rPr>
          <w:rFonts w:ascii="黑体" w:eastAsia="黑体"/>
          <w:szCs w:val="32"/>
        </w:rPr>
      </w:pPr>
      <w:r>
        <w:rPr>
          <w:rFonts w:hint="eastAsia" w:ascii="黑体" w:eastAsia="黑体"/>
          <w:szCs w:val="32"/>
        </w:rPr>
        <w:t>三、评价结论和绩效分析</w:t>
      </w:r>
    </w:p>
    <w:p>
      <w:pPr>
        <w:topLinePunct/>
        <w:ind w:firstLine="594" w:firstLineChars="200"/>
        <w:rPr>
          <w:rFonts w:ascii="仿宋_GB2312"/>
          <w:szCs w:val="32"/>
        </w:rPr>
      </w:pPr>
      <w:r>
        <w:rPr>
          <w:rFonts w:hint="eastAsia" w:ascii="仿宋_GB2312"/>
          <w:szCs w:val="32"/>
        </w:rPr>
        <w:t>（一）评价结论</w:t>
      </w:r>
    </w:p>
    <w:p>
      <w:pPr>
        <w:topLinePunct/>
        <w:ind w:firstLine="594" w:firstLineChars="200"/>
        <w:rPr>
          <w:rFonts w:ascii="仿宋_GB2312"/>
          <w:szCs w:val="32"/>
        </w:rPr>
      </w:pPr>
      <w:r>
        <w:rPr>
          <w:rFonts w:hint="eastAsia" w:ascii="仿宋_GB2312"/>
          <w:szCs w:val="32"/>
        </w:rPr>
        <w:t>1.评价结果</w:t>
      </w:r>
    </w:p>
    <w:p>
      <w:pPr>
        <w:topLinePunct/>
        <w:ind w:firstLine="594" w:firstLineChars="200"/>
        <w:rPr>
          <w:rFonts w:ascii="仿宋_GB2312"/>
          <w:szCs w:val="32"/>
        </w:rPr>
      </w:pPr>
      <w:r>
        <w:rPr>
          <w:rFonts w:hint="eastAsia" w:ascii="仿宋_GB2312"/>
          <w:szCs w:val="32"/>
        </w:rPr>
        <w:t>我单位2019年中小学退休教师待遇差补助项目自评得分为98分，评价结果为优。</w:t>
      </w:r>
    </w:p>
    <w:p>
      <w:pPr>
        <w:topLinePunct/>
        <w:ind w:firstLine="594" w:firstLineChars="200"/>
        <w:rPr>
          <w:rFonts w:ascii="仿宋_GB2312"/>
          <w:szCs w:val="32"/>
        </w:rPr>
      </w:pPr>
      <w:r>
        <w:rPr>
          <w:rFonts w:hint="eastAsia" w:ascii="仿宋_GB2312"/>
          <w:szCs w:val="32"/>
        </w:rPr>
        <w:t>2.主要绩效</w:t>
      </w:r>
    </w:p>
    <w:p>
      <w:pPr>
        <w:topLinePunct/>
        <w:ind w:firstLine="594" w:firstLineChars="200"/>
        <w:rPr>
          <w:rFonts w:ascii="仿宋_GB2312"/>
          <w:szCs w:val="32"/>
        </w:rPr>
      </w:pPr>
      <w:r>
        <w:rPr>
          <w:rFonts w:hint="eastAsia" w:ascii="仿宋_GB2312"/>
          <w:szCs w:val="32"/>
        </w:rPr>
        <w:t>我单位围绕2019年国有企业办中小学退休教师待遇差补助项目绩效目标表，资金分配过程符合工作实际需求，资金投入方式合理。并制定</w:t>
      </w:r>
      <w:r>
        <w:rPr>
          <w:rFonts w:hint="eastAsia" w:ascii="仿宋_GB2312" w:hAnsi="宋体"/>
          <w:szCs w:val="32"/>
        </w:rPr>
        <w:t>《</w:t>
      </w:r>
      <w:r>
        <w:rPr>
          <w:rFonts w:hint="eastAsia" w:ascii="仿宋_GB2312"/>
          <w:szCs w:val="32"/>
        </w:rPr>
        <w:t>东川区企业退休人员管理办公室财务科科室岗位设置及岗位职责</w:t>
      </w:r>
      <w:r>
        <w:rPr>
          <w:rFonts w:hint="eastAsia" w:ascii="仿宋_GB2312" w:hAnsi="宋体"/>
          <w:szCs w:val="32"/>
        </w:rPr>
        <w:t>》</w:t>
      </w:r>
      <w:r>
        <w:rPr>
          <w:rFonts w:hint="eastAsia" w:ascii="仿宋_GB2312"/>
          <w:szCs w:val="32"/>
        </w:rPr>
        <w:t>，保证资金使用安全高效。通过按时足额发放中小学退休教师待遇差补助，保障了中小学退休教师基本生活问题，为东川区建设稳定和谐的大环境起到积极的作用。</w:t>
      </w:r>
    </w:p>
    <w:p>
      <w:pPr>
        <w:topLinePunct/>
        <w:ind w:firstLine="594" w:firstLineChars="200"/>
        <w:rPr>
          <w:rFonts w:ascii="仿宋_GB2312"/>
          <w:szCs w:val="32"/>
        </w:rPr>
      </w:pPr>
      <w:r>
        <w:rPr>
          <w:rFonts w:hint="eastAsia" w:ascii="仿宋_GB2312"/>
          <w:szCs w:val="32"/>
        </w:rPr>
        <w:t>（二）具体绩效分析</w:t>
      </w:r>
    </w:p>
    <w:p>
      <w:pPr>
        <w:topLinePunct/>
        <w:ind w:firstLine="594" w:firstLineChars="200"/>
        <w:rPr>
          <w:rFonts w:ascii="仿宋_GB2312"/>
          <w:szCs w:val="32"/>
        </w:rPr>
      </w:pPr>
      <w:r>
        <w:rPr>
          <w:rFonts w:ascii="仿宋_GB2312"/>
          <w:szCs w:val="32"/>
        </w:rPr>
        <w:t>本项目</w:t>
      </w:r>
      <w:r>
        <w:rPr>
          <w:rFonts w:hint="eastAsia" w:ascii="仿宋_GB2312"/>
          <w:szCs w:val="32"/>
        </w:rPr>
        <w:t>设立</w:t>
      </w:r>
      <w:r>
        <w:rPr>
          <w:rFonts w:ascii="仿宋_GB2312"/>
          <w:szCs w:val="32"/>
        </w:rPr>
        <w:t>三个一级指标</w:t>
      </w:r>
      <w:r>
        <w:rPr>
          <w:rFonts w:hint="eastAsia" w:ascii="仿宋_GB2312"/>
          <w:szCs w:val="32"/>
        </w:rPr>
        <w:t>、</w:t>
      </w:r>
      <w:r>
        <w:rPr>
          <w:rFonts w:ascii="仿宋_GB2312"/>
          <w:szCs w:val="32"/>
        </w:rPr>
        <w:t>七个二级指标</w:t>
      </w:r>
      <w:r>
        <w:rPr>
          <w:rFonts w:hint="eastAsia" w:ascii="仿宋_GB2312"/>
          <w:szCs w:val="32"/>
        </w:rPr>
        <w:t>、十九</w:t>
      </w:r>
      <w:r>
        <w:rPr>
          <w:rFonts w:ascii="仿宋_GB2312"/>
          <w:szCs w:val="32"/>
        </w:rPr>
        <w:t>个三级指标</w:t>
      </w:r>
      <w:r>
        <w:rPr>
          <w:rFonts w:hint="eastAsia" w:ascii="仿宋_GB2312"/>
          <w:szCs w:val="32"/>
        </w:rPr>
        <w:t>、二十七个四级指标。其中：</w:t>
      </w:r>
    </w:p>
    <w:p>
      <w:pPr>
        <w:topLinePunct/>
        <w:ind w:firstLine="594" w:firstLineChars="200"/>
        <w:rPr>
          <w:rFonts w:ascii="仿宋_GB2312"/>
          <w:szCs w:val="32"/>
        </w:rPr>
      </w:pPr>
      <w:r>
        <w:rPr>
          <w:rFonts w:hint="eastAsia" w:ascii="仿宋_GB2312"/>
          <w:szCs w:val="32"/>
        </w:rPr>
        <w:t>项目决策满分20分，包含项目立项及项目目标两项，经评分项目决策得分为19分。此部分反映出该项目立项依据充分、项目目标与部门中长期目标及相适应，但存在未制定预算绩效目标申报表的情况。</w:t>
      </w:r>
    </w:p>
    <w:p>
      <w:pPr>
        <w:topLinePunct/>
        <w:ind w:firstLine="594" w:firstLineChars="200"/>
        <w:rPr>
          <w:rFonts w:ascii="仿宋_GB2312"/>
          <w:szCs w:val="32"/>
        </w:rPr>
      </w:pPr>
      <w:r>
        <w:rPr>
          <w:rFonts w:hint="eastAsia" w:ascii="仿宋_GB2312"/>
          <w:szCs w:val="32"/>
        </w:rPr>
        <w:t>项目管理满分20分，包含投入管理、财务管理、项目实施三部分，经评分得分为19分。此部分反映出该项目管理制度健全、资金使用合规，项目管理制度执行有效。</w:t>
      </w:r>
    </w:p>
    <w:p>
      <w:pPr>
        <w:topLinePunct/>
        <w:ind w:firstLine="594" w:firstLineChars="200"/>
        <w:rPr>
          <w:rFonts w:ascii="仿宋_GB2312"/>
          <w:szCs w:val="32"/>
        </w:rPr>
      </w:pPr>
      <w:r>
        <w:rPr>
          <w:rFonts w:ascii="仿宋_GB2312"/>
          <w:szCs w:val="32"/>
        </w:rPr>
        <w:t>项目绩效满分</w:t>
      </w:r>
      <w:r>
        <w:rPr>
          <w:rFonts w:hint="eastAsia" w:ascii="仿宋_GB2312"/>
          <w:szCs w:val="32"/>
        </w:rPr>
        <w:t>60分，包含项目产出和项目效益两部分，经评分得分为60分。此部分反映出该项目补贴发放及时并符合标准，补贴领取对象满意度较好，项目实施对地区建设和维护社会稳定产生积极影响。</w:t>
      </w:r>
    </w:p>
    <w:p>
      <w:pPr>
        <w:topLinePunct/>
        <w:ind w:firstLine="594" w:firstLineChars="200"/>
        <w:rPr>
          <w:rFonts w:ascii="黑体" w:eastAsia="黑体"/>
          <w:szCs w:val="32"/>
        </w:rPr>
      </w:pPr>
      <w:r>
        <w:rPr>
          <w:rFonts w:hint="eastAsia" w:ascii="黑体" w:eastAsia="黑体"/>
          <w:szCs w:val="32"/>
        </w:rPr>
        <w:t>四、成本效益分析</w:t>
      </w:r>
    </w:p>
    <w:p>
      <w:pPr>
        <w:topLinePunct/>
        <w:ind w:firstLine="594" w:firstLineChars="200"/>
        <w:rPr>
          <w:rFonts w:ascii="仿宋_GB2312"/>
          <w:szCs w:val="32"/>
        </w:rPr>
      </w:pPr>
      <w:r>
        <w:rPr>
          <w:rFonts w:hint="eastAsia" w:ascii="仿宋_GB2312"/>
          <w:szCs w:val="32"/>
        </w:rPr>
        <w:t>2019年收入预拨资金1670万元，支出1355.54万元，结余314.46万元，全部为原矿务局退休教师待遇补助余款，结转下年支付。项目资金按照昆明市财政局相关文件要求，严格控制政策执行范围和标准、及时足额兑现专项资金到退休教师，切实做好补贴发放工作，维护地区社会稳定。</w:t>
      </w:r>
    </w:p>
    <w:p>
      <w:pPr>
        <w:topLinePunct/>
        <w:ind w:firstLine="594" w:firstLineChars="200"/>
        <w:jc w:val="left"/>
        <w:rPr>
          <w:rFonts w:ascii="黑体" w:eastAsia="黑体"/>
          <w:szCs w:val="32"/>
        </w:rPr>
      </w:pPr>
      <w:r>
        <w:rPr>
          <w:rFonts w:hint="eastAsia" w:ascii="黑体" w:eastAsia="黑体"/>
          <w:szCs w:val="32"/>
        </w:rPr>
        <w:t>五、主要经验及做法、存在的问题和建议</w:t>
      </w:r>
    </w:p>
    <w:p>
      <w:pPr>
        <w:ind w:firstLine="594" w:firstLineChars="200"/>
        <w:jc w:val="left"/>
        <w:rPr>
          <w:rFonts w:ascii="仿宋_GB2312"/>
        </w:rPr>
      </w:pPr>
      <w:r>
        <w:rPr>
          <w:rFonts w:hint="eastAsia" w:ascii="仿宋_GB2312"/>
        </w:rPr>
        <w:t>（一）主要经验及做法</w:t>
      </w:r>
    </w:p>
    <w:p>
      <w:pPr>
        <w:spacing w:line="560" w:lineRule="exact"/>
        <w:ind w:firstLine="594" w:firstLineChars="200"/>
        <w:rPr>
          <w:rFonts w:ascii="仿宋_GB2312"/>
          <w:szCs w:val="32"/>
        </w:rPr>
      </w:pPr>
      <w:r>
        <w:rPr>
          <w:rFonts w:hint="eastAsia" w:ascii="仿宋_GB2312"/>
          <w:szCs w:val="32"/>
        </w:rPr>
        <w:t>1.积极与上级财政及相关部门沟通，及时申报、审批、拨付各项费用，确保中小学退休教师待遇差补助工作能顺利开展，保证服务对象各项费用按时足额发放。</w:t>
      </w:r>
    </w:p>
    <w:p>
      <w:pPr>
        <w:spacing w:line="560" w:lineRule="exact"/>
        <w:ind w:firstLine="594" w:firstLineChars="200"/>
        <w:rPr>
          <w:rFonts w:ascii="仿宋_GB2312"/>
          <w:szCs w:val="32"/>
        </w:rPr>
      </w:pPr>
      <w:r>
        <w:rPr>
          <w:rFonts w:hint="eastAsia" w:ascii="仿宋_GB2312"/>
          <w:szCs w:val="32"/>
        </w:rPr>
        <w:t>2.严格按照文件要求，严格执行国家和全省统一政策，不擅自扩大或改变政策执行范围或标准。</w:t>
      </w:r>
    </w:p>
    <w:p>
      <w:pPr>
        <w:spacing w:line="560" w:lineRule="exact"/>
        <w:ind w:firstLine="594" w:firstLineChars="200"/>
        <w:rPr>
          <w:rFonts w:ascii="仿宋_GB2312"/>
          <w:szCs w:val="32"/>
        </w:rPr>
      </w:pPr>
      <w:r>
        <w:rPr>
          <w:rFonts w:hint="eastAsia" w:ascii="仿宋_GB2312"/>
          <w:szCs w:val="32"/>
        </w:rPr>
        <w:t>3.针对发放过程中出现的问题，及时沟通协调，做到按时足额，群众满意。</w:t>
      </w:r>
    </w:p>
    <w:p>
      <w:pPr>
        <w:ind w:firstLine="594" w:firstLineChars="200"/>
        <w:jc w:val="left"/>
        <w:rPr>
          <w:rFonts w:ascii="仿宋_GB2312"/>
        </w:rPr>
      </w:pPr>
      <w:r>
        <w:rPr>
          <w:rFonts w:hint="eastAsia" w:ascii="仿宋_GB2312"/>
        </w:rPr>
        <w:t>（二）存在的问题</w:t>
      </w:r>
    </w:p>
    <w:p>
      <w:pPr>
        <w:ind w:firstLine="594" w:firstLineChars="200"/>
        <w:jc w:val="left"/>
        <w:rPr>
          <w:rFonts w:ascii="仿宋_GB2312"/>
        </w:rPr>
      </w:pPr>
      <w:r>
        <w:rPr>
          <w:rFonts w:hint="eastAsia" w:ascii="仿宋_GB2312"/>
        </w:rPr>
        <w:t>该项目2019年未纳入区级财政预算，项目绩效参照2019年国有企业办中小学退休教师待遇差补助资金项目绩效目标表。</w:t>
      </w:r>
    </w:p>
    <w:p>
      <w:pPr>
        <w:ind w:firstLine="594" w:firstLineChars="200"/>
        <w:jc w:val="left"/>
        <w:rPr>
          <w:rFonts w:ascii="仿宋_GB2312"/>
        </w:rPr>
      </w:pPr>
      <w:r>
        <w:rPr>
          <w:rFonts w:hint="eastAsia" w:ascii="仿宋_GB2312"/>
        </w:rPr>
        <w:t>（三）建议和改进措施</w:t>
      </w:r>
    </w:p>
    <w:p>
      <w:pPr>
        <w:spacing w:line="520" w:lineRule="exact"/>
        <w:ind w:firstLine="594" w:firstLineChars="200"/>
        <w:rPr>
          <w:rFonts w:ascii="仿宋_GB2312"/>
          <w:szCs w:val="32"/>
        </w:rPr>
      </w:pPr>
      <w:r>
        <w:rPr>
          <w:rFonts w:hint="eastAsia" w:ascii="仿宋_GB2312"/>
          <w:szCs w:val="32"/>
        </w:rPr>
        <w:t>在今后的工作中，强化绩效支出管理理念，根据项目特性，制定合理科学的绩效目标申报表，同时强化管理，严格实施资金监控，降低资金管理风险，进一步提高服务意识，做好管理服务工作。</w:t>
      </w:r>
    </w:p>
    <w:p>
      <w:pPr>
        <w:spacing w:line="520" w:lineRule="exact"/>
        <w:ind w:firstLine="594" w:firstLineChars="200"/>
        <w:rPr>
          <w:rFonts w:ascii="仿宋_GB2312"/>
          <w:szCs w:val="32"/>
        </w:rPr>
      </w:pPr>
    </w:p>
    <w:p>
      <w:pPr>
        <w:spacing w:line="520" w:lineRule="exact"/>
        <w:ind w:firstLine="594" w:firstLineChars="200"/>
        <w:rPr>
          <w:rFonts w:ascii="仿宋_GB2312"/>
          <w:szCs w:val="32"/>
        </w:rPr>
      </w:pPr>
    </w:p>
    <w:p>
      <w:pPr>
        <w:spacing w:line="520" w:lineRule="exact"/>
        <w:ind w:firstLine="594" w:firstLineChars="200"/>
        <w:jc w:val="right"/>
        <w:rPr>
          <w:rFonts w:ascii="仿宋_GB2312"/>
          <w:szCs w:val="32"/>
        </w:rPr>
      </w:pPr>
      <w:r>
        <w:rPr>
          <w:rFonts w:hint="eastAsia" w:ascii="仿宋_GB2312"/>
          <w:szCs w:val="32"/>
        </w:rPr>
        <w:t>东川区企业退休人员管理办服务站</w:t>
      </w:r>
    </w:p>
    <w:p>
      <w:pPr>
        <w:ind w:firstLine="594" w:firstLineChars="200"/>
        <w:jc w:val="left"/>
        <w:rPr>
          <w:rFonts w:ascii="仿宋_GB2312"/>
        </w:rPr>
      </w:pPr>
      <w:r>
        <w:rPr>
          <w:rFonts w:hint="eastAsia" w:ascii="仿宋_GB2312"/>
        </w:rPr>
        <w:t>　　                         2020年5月23日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2A16A"/>
    <w:multiLevelType w:val="singleLevel"/>
    <w:tmpl w:val="8AD2A1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842"/>
    <w:rsid w:val="00007C35"/>
    <w:rsid w:val="0005559E"/>
    <w:rsid w:val="0006329B"/>
    <w:rsid w:val="00067ECE"/>
    <w:rsid w:val="000947DA"/>
    <w:rsid w:val="000964B2"/>
    <w:rsid w:val="0009659A"/>
    <w:rsid w:val="000A221C"/>
    <w:rsid w:val="000C6EDE"/>
    <w:rsid w:val="000D7F3D"/>
    <w:rsid w:val="000E4291"/>
    <w:rsid w:val="000E42AF"/>
    <w:rsid w:val="000F543B"/>
    <w:rsid w:val="00125CAE"/>
    <w:rsid w:val="00131B93"/>
    <w:rsid w:val="00132DFF"/>
    <w:rsid w:val="0015665D"/>
    <w:rsid w:val="001A2405"/>
    <w:rsid w:val="001D4516"/>
    <w:rsid w:val="001F1217"/>
    <w:rsid w:val="00206182"/>
    <w:rsid w:val="002071DF"/>
    <w:rsid w:val="00213F69"/>
    <w:rsid w:val="002376E1"/>
    <w:rsid w:val="00246774"/>
    <w:rsid w:val="00260453"/>
    <w:rsid w:val="002B7455"/>
    <w:rsid w:val="002B7527"/>
    <w:rsid w:val="002C166F"/>
    <w:rsid w:val="002C61E6"/>
    <w:rsid w:val="002D2EF2"/>
    <w:rsid w:val="002E4510"/>
    <w:rsid w:val="002F25E5"/>
    <w:rsid w:val="003139FF"/>
    <w:rsid w:val="003464D0"/>
    <w:rsid w:val="00346EA9"/>
    <w:rsid w:val="00354E54"/>
    <w:rsid w:val="003705A8"/>
    <w:rsid w:val="003736F8"/>
    <w:rsid w:val="003A1500"/>
    <w:rsid w:val="003D262F"/>
    <w:rsid w:val="003D66A0"/>
    <w:rsid w:val="003E0C5A"/>
    <w:rsid w:val="00407181"/>
    <w:rsid w:val="004172C4"/>
    <w:rsid w:val="00421001"/>
    <w:rsid w:val="00424841"/>
    <w:rsid w:val="00465FE1"/>
    <w:rsid w:val="004C3536"/>
    <w:rsid w:val="004E19EA"/>
    <w:rsid w:val="0052148B"/>
    <w:rsid w:val="00527747"/>
    <w:rsid w:val="0054065D"/>
    <w:rsid w:val="00540F3A"/>
    <w:rsid w:val="005B6842"/>
    <w:rsid w:val="005D7857"/>
    <w:rsid w:val="006254EA"/>
    <w:rsid w:val="00626282"/>
    <w:rsid w:val="006277C5"/>
    <w:rsid w:val="0067425D"/>
    <w:rsid w:val="00680BAD"/>
    <w:rsid w:val="006B3188"/>
    <w:rsid w:val="006B470D"/>
    <w:rsid w:val="006C0958"/>
    <w:rsid w:val="006C66A1"/>
    <w:rsid w:val="006E2D95"/>
    <w:rsid w:val="007139DF"/>
    <w:rsid w:val="00777651"/>
    <w:rsid w:val="007B101D"/>
    <w:rsid w:val="007D7519"/>
    <w:rsid w:val="00841645"/>
    <w:rsid w:val="00872C04"/>
    <w:rsid w:val="008744FE"/>
    <w:rsid w:val="008C2418"/>
    <w:rsid w:val="008C264E"/>
    <w:rsid w:val="0095233E"/>
    <w:rsid w:val="00982279"/>
    <w:rsid w:val="009C565D"/>
    <w:rsid w:val="009C6A81"/>
    <w:rsid w:val="009D775B"/>
    <w:rsid w:val="009E4478"/>
    <w:rsid w:val="009E6E41"/>
    <w:rsid w:val="00A12B50"/>
    <w:rsid w:val="00A36A49"/>
    <w:rsid w:val="00A76C19"/>
    <w:rsid w:val="00AA46DA"/>
    <w:rsid w:val="00AA7067"/>
    <w:rsid w:val="00AF35BE"/>
    <w:rsid w:val="00B20EAF"/>
    <w:rsid w:val="00B23D55"/>
    <w:rsid w:val="00B27379"/>
    <w:rsid w:val="00B43997"/>
    <w:rsid w:val="00B63723"/>
    <w:rsid w:val="00B81C6D"/>
    <w:rsid w:val="00BA2810"/>
    <w:rsid w:val="00BB02C2"/>
    <w:rsid w:val="00BC0B76"/>
    <w:rsid w:val="00BD1C62"/>
    <w:rsid w:val="00BE6160"/>
    <w:rsid w:val="00C26CCF"/>
    <w:rsid w:val="00C4132F"/>
    <w:rsid w:val="00C43FBD"/>
    <w:rsid w:val="00C60A22"/>
    <w:rsid w:val="00C82C30"/>
    <w:rsid w:val="00CB6745"/>
    <w:rsid w:val="00CC4325"/>
    <w:rsid w:val="00CC6DEC"/>
    <w:rsid w:val="00D01062"/>
    <w:rsid w:val="00D1479A"/>
    <w:rsid w:val="00D301BF"/>
    <w:rsid w:val="00D576EB"/>
    <w:rsid w:val="00D87A3A"/>
    <w:rsid w:val="00DA5586"/>
    <w:rsid w:val="00DD2B55"/>
    <w:rsid w:val="00DE75C9"/>
    <w:rsid w:val="00E01985"/>
    <w:rsid w:val="00E01D4F"/>
    <w:rsid w:val="00E10F7E"/>
    <w:rsid w:val="00EA394C"/>
    <w:rsid w:val="00EB2CDF"/>
    <w:rsid w:val="00EB59B9"/>
    <w:rsid w:val="00EE6790"/>
    <w:rsid w:val="00F15145"/>
    <w:rsid w:val="00F4667B"/>
    <w:rsid w:val="00F67ED8"/>
    <w:rsid w:val="00F76F67"/>
    <w:rsid w:val="00F94817"/>
    <w:rsid w:val="00FB0717"/>
    <w:rsid w:val="00FC700C"/>
    <w:rsid w:val="00FD3EA6"/>
    <w:rsid w:val="00FE2181"/>
    <w:rsid w:val="00FF7FFD"/>
    <w:rsid w:val="05AE36CA"/>
    <w:rsid w:val="12C36362"/>
    <w:rsid w:val="26027D04"/>
    <w:rsid w:val="378A5996"/>
    <w:rsid w:val="3C555564"/>
    <w:rsid w:val="582C43A5"/>
    <w:rsid w:val="596D38DD"/>
    <w:rsid w:val="5A3C6978"/>
    <w:rsid w:val="67600811"/>
    <w:rsid w:val="67830D1D"/>
    <w:rsid w:val="6DCC0D69"/>
    <w:rsid w:val="6E5D06E5"/>
    <w:rsid w:val="786D4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656</Words>
  <Characters>3744</Characters>
  <Lines>31</Lines>
  <Paragraphs>8</Paragraphs>
  <TotalTime>13</TotalTime>
  <ScaleCrop>false</ScaleCrop>
  <LinksUpToDate>false</LinksUpToDate>
  <CharactersWithSpaces>4392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hua'wei</cp:lastModifiedBy>
  <dcterms:modified xsi:type="dcterms:W3CDTF">2022-08-19T06:52:48Z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