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5" w:name="_GoBack"/>
      <w:bookmarkEnd w:id="5"/>
      <w:r>
        <w:rPr>
          <w:rFonts w:ascii="Times New Roman" w:hAnsi="Times New Roman" w:cs="Times New Roman"/>
          <w:b/>
          <w:color w:val="000000" w:themeColor="text1"/>
          <w:sz w:val="28"/>
          <w:szCs w:val="20"/>
        </w:rPr>
        <w:t>一、建设项目基本情况</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1134"/>
        <w:gridCol w:w="142"/>
        <w:gridCol w:w="2693"/>
        <w:gridCol w:w="1701"/>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昆明市东川区畜禽屠宰有限公司年屠宰7万头生猪改造项目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昆明市东川区畜禽屠宰有限公司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2205-530113-04-02-723948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835" w:type="dxa"/>
            <w:gridSpan w:val="2"/>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color w:val="000000" w:themeColor="text1"/>
                <w:sz w:val="24"/>
                <w:szCs w:val="24"/>
              </w:rPr>
              <w:t>杨</w:t>
            </w:r>
            <w:r>
              <w:rPr>
                <w:rFonts w:hint="eastAsia" w:ascii="Times New Roman" w:hAnsi="Times New Roman" w:cs="Times New Roman"/>
                <w:color w:val="000000" w:themeColor="text1"/>
                <w:sz w:val="24"/>
                <w:szCs w:val="24"/>
                <w:lang w:val="en-US" w:eastAsia="zh-CN"/>
              </w:rPr>
              <w:t>**</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color w:val="000000" w:themeColor="text1"/>
                <w:sz w:val="24"/>
                <w:szCs w:val="24"/>
              </w:rPr>
              <w:t>135</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昆明市东川区铜都街道办事处龙洞村四组苦刺塘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东经103°09'32.655"，北纬26°03'46.926"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835" w:type="dxa"/>
            <w:gridSpan w:val="2"/>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1351牲畜屠宰</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“十、农副食品加工业</w:t>
            </w:r>
            <w:r>
              <w:rPr>
                <w:rFonts w:ascii="Times New Roman" w:hAnsi="Times New Roman" w:cs="Times New Roman"/>
                <w:color w:val="000000" w:themeColor="text1"/>
                <w:sz w:val="24"/>
                <w:szCs w:val="24"/>
              </w:rPr>
              <w:t>13</w:t>
            </w:r>
            <w:r>
              <w:rPr>
                <w:rFonts w:hint="eastAsia" w:ascii="Times New Roman" w:hAnsi="Times New Roman" w:cs="Times New Roman"/>
                <w:color w:val="000000" w:themeColor="text1"/>
                <w:sz w:val="24"/>
                <w:szCs w:val="24"/>
              </w:rPr>
              <w:t>”中“屠宰及肉类加工</w:t>
            </w:r>
            <w:r>
              <w:rPr>
                <w:rFonts w:ascii="Times New Roman" w:hAnsi="Times New Roman" w:cs="Times New Roman"/>
                <w:color w:val="000000" w:themeColor="text1"/>
                <w:sz w:val="24"/>
                <w:szCs w:val="24"/>
              </w:rPr>
              <w:t>135*</w:t>
            </w:r>
            <w:r>
              <w:rPr>
                <w:rFonts w:hint="eastAsia" w:ascii="Times New Roman" w:hAnsi="Times New Roman" w:cs="Times New Roman"/>
                <w:color w:val="000000" w:themeColor="text1"/>
                <w:sz w:val="24"/>
                <w:szCs w:val="24"/>
              </w:rPr>
              <w:t>”下的“其他屠宰”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835" w:type="dxa"/>
            <w:gridSpan w:val="2"/>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4" w:type="dxa"/>
            <w:tcBorders>
              <w:lef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首次申报项目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83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投资项目备案证（项目代码：2205-530113-04-02-723948）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83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83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28.473%</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83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否</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5"/>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根据《建设项目环境影响报告表编制技术指南》（污染影响类）（试行）“表1 专项评价设置原则表”的要求，该改建项目专项评价设置情况具体如下表所示。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专项评价设置情况分析表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环境影响因素</w:t>
                  </w:r>
                </w:p>
              </w:tc>
              <w:tc>
                <w:tcPr>
                  <w:tcW w:w="337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专项设置原则</w:t>
                  </w:r>
                </w:p>
              </w:tc>
              <w:tc>
                <w:tcPr>
                  <w:tcW w:w="368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该改建项目情况</w:t>
                  </w:r>
                </w:p>
              </w:tc>
              <w:tc>
                <w:tcPr>
                  <w:tcW w:w="7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大气</w:t>
                  </w:r>
                </w:p>
              </w:tc>
              <w:tc>
                <w:tcPr>
                  <w:tcW w:w="3373" w:type="dxa"/>
                  <w:vAlign w:val="center"/>
                </w:tcPr>
                <w:p>
                  <w:pPr>
                    <w:pStyle w:val="31"/>
                    <w:spacing w:line="360" w:lineRule="exact"/>
                    <w:ind w:firstLine="210" w:firstLineChars="100"/>
                    <w:jc w:val="both"/>
                    <w:rPr>
                      <w:color w:val="000000" w:themeColor="text1"/>
                      <w:szCs w:val="21"/>
                    </w:rPr>
                  </w:pPr>
                  <w:r>
                    <w:rPr>
                      <w:color w:val="000000" w:themeColor="text1"/>
                      <w:szCs w:val="21"/>
                    </w:rPr>
                    <w:t>排放废气含有《有毒有害大气污染物名录》的污染物（不包括无排放标准的污染物）、二噁英、苯并[a]芘、氰化物、氯气且厂界外500 米范围内有环境空气保护目标的建设项目。</w:t>
                  </w:r>
                </w:p>
              </w:tc>
              <w:tc>
                <w:tcPr>
                  <w:tcW w:w="3685" w:type="dxa"/>
                  <w:vAlign w:val="center"/>
                </w:tcPr>
                <w:p>
                  <w:pPr>
                    <w:pStyle w:val="31"/>
                    <w:spacing w:line="360" w:lineRule="exact"/>
                    <w:ind w:firstLine="210" w:firstLineChars="100"/>
                    <w:jc w:val="both"/>
                    <w:rPr>
                      <w:color w:val="000000" w:themeColor="text1"/>
                      <w:szCs w:val="21"/>
                    </w:rPr>
                  </w:pPr>
                  <w:r>
                    <w:rPr>
                      <w:color w:val="000000" w:themeColor="text1"/>
                      <w:szCs w:val="21"/>
                    </w:rPr>
                    <w:t>该改建项目排放的大气污染物主要包括</w:t>
                  </w:r>
                  <w:r>
                    <w:rPr>
                      <w:rFonts w:hint="eastAsia"/>
                      <w:color w:val="000000" w:themeColor="text1"/>
                      <w:szCs w:val="21"/>
                    </w:rPr>
                    <w:t>臭气浓度、硫化氢、氨</w:t>
                  </w:r>
                  <w:r>
                    <w:rPr>
                      <w:color w:val="000000" w:themeColor="text1"/>
                      <w:szCs w:val="21"/>
                    </w:rPr>
                    <w:t>；不含上述需设置大气专项评价的排放因子，因此不设置大气专项评价。</w:t>
                  </w:r>
                </w:p>
              </w:tc>
              <w:tc>
                <w:tcPr>
                  <w:tcW w:w="725" w:type="dxa"/>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地表水</w:t>
                  </w:r>
                </w:p>
              </w:tc>
              <w:tc>
                <w:tcPr>
                  <w:tcW w:w="3373" w:type="dxa"/>
                  <w:vAlign w:val="center"/>
                </w:tcPr>
                <w:p>
                  <w:pPr>
                    <w:pStyle w:val="31"/>
                    <w:spacing w:line="360" w:lineRule="exact"/>
                    <w:ind w:firstLine="210" w:firstLineChars="100"/>
                    <w:jc w:val="both"/>
                    <w:rPr>
                      <w:color w:val="000000" w:themeColor="text1"/>
                      <w:szCs w:val="21"/>
                    </w:rPr>
                  </w:pPr>
                  <w:r>
                    <w:rPr>
                      <w:color w:val="000000" w:themeColor="text1"/>
                      <w:szCs w:val="21"/>
                    </w:rPr>
                    <w:t>新增工业废水直排建设项目（槽罐车外送污水处理厂的除外）；新增废水直排的污水集中处理厂。</w:t>
                  </w:r>
                </w:p>
              </w:tc>
              <w:tc>
                <w:tcPr>
                  <w:tcW w:w="3685" w:type="dxa"/>
                  <w:vAlign w:val="center"/>
                </w:tcPr>
                <w:p>
                  <w:pPr>
                    <w:pStyle w:val="31"/>
                    <w:spacing w:line="360" w:lineRule="exact"/>
                    <w:ind w:firstLine="210" w:firstLineChars="100"/>
                    <w:jc w:val="both"/>
                    <w:rPr>
                      <w:color w:val="000000" w:themeColor="text1"/>
                      <w:szCs w:val="21"/>
                    </w:rPr>
                  </w:pPr>
                  <w:r>
                    <w:rPr>
                      <w:color w:val="000000" w:themeColor="text1"/>
                      <w:szCs w:val="21"/>
                    </w:rPr>
                    <w:t>该改建项目产生的废水类型包括生产废水、生活污水和初期雨水</w:t>
                  </w:r>
                  <w:r>
                    <w:rPr>
                      <w:rFonts w:hint="eastAsia"/>
                      <w:color w:val="000000" w:themeColor="text1"/>
                      <w:szCs w:val="21"/>
                    </w:rPr>
                    <w:t>，</w:t>
                  </w:r>
                  <w:r>
                    <w:rPr>
                      <w:color w:val="000000" w:themeColor="text1"/>
                      <w:szCs w:val="21"/>
                    </w:rPr>
                    <w:t>均各经配套的设施处理后回用</w:t>
                  </w:r>
                  <w:r>
                    <w:rPr>
                      <w:rFonts w:hint="eastAsia"/>
                      <w:color w:val="000000" w:themeColor="text1"/>
                      <w:szCs w:val="21"/>
                    </w:rPr>
                    <w:t>于项目区及周围农田灌溉，</w:t>
                  </w:r>
                  <w:r>
                    <w:rPr>
                      <w:color w:val="000000" w:themeColor="text1"/>
                      <w:szCs w:val="21"/>
                    </w:rPr>
                    <w:t>不外排；因此不设置地表水专项评价。</w:t>
                  </w:r>
                </w:p>
              </w:tc>
              <w:tc>
                <w:tcPr>
                  <w:tcW w:w="7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环境风险</w:t>
                  </w:r>
                </w:p>
              </w:tc>
              <w:tc>
                <w:tcPr>
                  <w:tcW w:w="3373" w:type="dxa"/>
                  <w:vAlign w:val="center"/>
                </w:tcPr>
                <w:p>
                  <w:pPr>
                    <w:pStyle w:val="31"/>
                    <w:spacing w:line="360" w:lineRule="exact"/>
                    <w:ind w:firstLine="210" w:firstLineChars="100"/>
                    <w:jc w:val="both"/>
                    <w:rPr>
                      <w:color w:val="000000" w:themeColor="text1"/>
                      <w:szCs w:val="21"/>
                    </w:rPr>
                  </w:pPr>
                  <w:r>
                    <w:rPr>
                      <w:color w:val="000000" w:themeColor="text1"/>
                      <w:szCs w:val="21"/>
                    </w:rPr>
                    <w:t>有毒有害和易燃易爆危险物质存储量超过临界量的建设项目。</w:t>
                  </w:r>
                </w:p>
              </w:tc>
              <w:tc>
                <w:tcPr>
                  <w:tcW w:w="3685" w:type="dxa"/>
                  <w:vAlign w:val="center"/>
                </w:tcPr>
                <w:p>
                  <w:pPr>
                    <w:pStyle w:val="31"/>
                    <w:spacing w:line="360" w:lineRule="exact"/>
                    <w:ind w:firstLine="210" w:firstLineChars="100"/>
                    <w:jc w:val="both"/>
                    <w:rPr>
                      <w:color w:val="000000" w:themeColor="text1"/>
                      <w:szCs w:val="21"/>
                    </w:rPr>
                  </w:pPr>
                  <w:r>
                    <w:rPr>
                      <w:color w:val="000000" w:themeColor="text1"/>
                      <w:szCs w:val="21"/>
                    </w:rPr>
                    <w:t>该改建项目涉及的危险物质包括暂存的次氯酸钠，次氯酸钠最大储存量为0.</w:t>
                  </w:r>
                  <w:r>
                    <w:rPr>
                      <w:rFonts w:hint="eastAsia"/>
                      <w:color w:val="000000" w:themeColor="text1"/>
                      <w:szCs w:val="21"/>
                    </w:rPr>
                    <w:t>1</w:t>
                  </w:r>
                  <w:r>
                    <w:rPr>
                      <w:color w:val="000000" w:themeColor="text1"/>
                      <w:szCs w:val="21"/>
                    </w:rPr>
                    <w:t>5t（临界量为5t）</w:t>
                  </w:r>
                  <w:r>
                    <w:rPr>
                      <w:rFonts w:hint="eastAsia"/>
                      <w:color w:val="000000" w:themeColor="text1"/>
                      <w:szCs w:val="21"/>
                    </w:rPr>
                    <w:t>，</w:t>
                  </w:r>
                  <w:r>
                    <w:rPr>
                      <w:color w:val="000000" w:themeColor="text1"/>
                      <w:szCs w:val="21"/>
                    </w:rPr>
                    <w:t>则未超过临界量，因此不需设置环境风险评价等级。</w:t>
                  </w:r>
                </w:p>
              </w:tc>
              <w:tc>
                <w:tcPr>
                  <w:tcW w:w="7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生态</w:t>
                  </w:r>
                </w:p>
              </w:tc>
              <w:tc>
                <w:tcPr>
                  <w:tcW w:w="3373" w:type="dxa"/>
                  <w:vAlign w:val="center"/>
                </w:tcPr>
                <w:p>
                  <w:pPr>
                    <w:pStyle w:val="31"/>
                    <w:spacing w:line="360" w:lineRule="exact"/>
                    <w:ind w:firstLine="210" w:firstLineChars="100"/>
                    <w:jc w:val="both"/>
                    <w:rPr>
                      <w:color w:val="000000" w:themeColor="text1"/>
                      <w:szCs w:val="21"/>
                    </w:rPr>
                  </w:pPr>
                  <w:r>
                    <w:rPr>
                      <w:color w:val="000000" w:themeColor="text1"/>
                      <w:szCs w:val="21"/>
                    </w:rPr>
                    <w:t>取水口下游500 米范围内有重要水生生物的自然产卵场、索饵场、越冬场和洄游通道的新增河道取水的污染类建设项目。</w:t>
                  </w:r>
                </w:p>
              </w:tc>
              <w:tc>
                <w:tcPr>
                  <w:tcW w:w="3685" w:type="dxa"/>
                  <w:vAlign w:val="center"/>
                </w:tcPr>
                <w:p>
                  <w:pPr>
                    <w:pStyle w:val="31"/>
                    <w:spacing w:line="360" w:lineRule="exact"/>
                    <w:ind w:firstLine="210" w:firstLineChars="100"/>
                    <w:jc w:val="both"/>
                    <w:rPr>
                      <w:color w:val="000000" w:themeColor="text1"/>
                      <w:sz w:val="24"/>
                      <w:szCs w:val="24"/>
                      <w:lang w:val="en-US"/>
                    </w:rPr>
                  </w:pPr>
                  <w:r>
                    <w:rPr>
                      <w:color w:val="000000" w:themeColor="text1"/>
                      <w:szCs w:val="21"/>
                    </w:rPr>
                    <w:t>该改建项目用水使用自来水，不涉及河道取水，因此不设置生态专项评价。</w:t>
                  </w:r>
                </w:p>
              </w:tc>
              <w:tc>
                <w:tcPr>
                  <w:tcW w:w="725" w:type="dxa"/>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海洋</w:t>
                  </w:r>
                </w:p>
              </w:tc>
              <w:tc>
                <w:tcPr>
                  <w:tcW w:w="3373" w:type="dxa"/>
                  <w:vAlign w:val="center"/>
                </w:tcPr>
                <w:p>
                  <w:pPr>
                    <w:pStyle w:val="31"/>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31"/>
                    <w:spacing w:line="360" w:lineRule="exact"/>
                    <w:ind w:firstLine="210" w:firstLineChars="100"/>
                    <w:jc w:val="both"/>
                    <w:rPr>
                      <w:color w:val="000000" w:themeColor="text1"/>
                      <w:szCs w:val="21"/>
                    </w:rPr>
                  </w:pPr>
                  <w:r>
                    <w:rPr>
                      <w:color w:val="000000" w:themeColor="text1"/>
                      <w:szCs w:val="21"/>
                    </w:rPr>
                    <w:t>该改建项目不涉及海洋，因此不设置海洋专项评价。</w:t>
                  </w:r>
                </w:p>
              </w:tc>
              <w:tc>
                <w:tcPr>
                  <w:tcW w:w="725" w:type="dxa"/>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综上，该改建项目不设置专项评价。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98"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7558" w:type="dxa"/>
            <w:gridSpan w:val="3"/>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该改建项目位于昆明市东川区铜都街道办事处龙洞村四组苦刺塘，</w:t>
            </w:r>
            <w:r>
              <w:rPr>
                <w:rFonts w:hint="eastAsia" w:ascii="Times New Roman" w:hAnsi="Times New Roman" w:eastAsia="宋体" w:cs="Times New Roman"/>
                <w:color w:val="000000" w:themeColor="text1"/>
                <w:sz w:val="24"/>
                <w:szCs w:val="24"/>
              </w:rPr>
              <w:t>根据调查，该区域未规划为工业园区</w:t>
            </w:r>
            <w:r>
              <w:rPr>
                <w:rFonts w:ascii="Times New Roman" w:hAnsi="Times New Roman" w:eastAsia="宋体"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98" w:type="dxa"/>
            <w:gridSpan w:val="3"/>
            <w:tcBorders>
              <w:top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7558" w:type="dxa"/>
            <w:gridSpan w:val="3"/>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98"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7558" w:type="dxa"/>
            <w:gridSpan w:val="3"/>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5"/>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昆明市人民政府已发布《昆明市人民政府关于昆明市“三线一单” 生态环境分区管控的实施意见》，该改建项目符合性分析具体如下：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昆明市东川区铜都街道办事处龙洞村四组苦刺塘，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该改建项目位于昆明市东川区铜都街道办事处龙洞村四组苦刺塘，项目所在地属于东川区一般管控单元，因此项目不属于优先保护单元。</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生态环境分区管控的实施意见》对环境质量底线设定了2025年和2035年两个目标，该改建项目位于</w:t>
            </w:r>
            <w:r>
              <w:rPr>
                <w:rFonts w:ascii="Times New Roman" w:hAnsi="Times New Roman" w:cs="Times New Roman"/>
                <w:color w:val="000000" w:themeColor="text1"/>
                <w:sz w:val="24"/>
                <w:szCs w:val="24"/>
              </w:rPr>
              <w:t>昆明市东川区铜都街道办事处龙洞村四组苦刺塘</w:t>
            </w:r>
            <w:r>
              <w:rPr>
                <w:rFonts w:ascii="Times New Roman" w:hAnsi="Times New Roman" w:cs="Times New Roman"/>
                <w:color w:val="000000" w:themeColor="text1"/>
                <w:sz w:val="24"/>
              </w:rPr>
              <w:t>，环境质量底线和该改建项目相关的要求及符合性分析如下：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⑴</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生态环境质量底线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⑵</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环境空气环境质量底线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“实施意见”要求：到2025年，全市环境空气质量总体保持优良，主城建成区空气质量优良天数占比达99%以上，二氧化硫（SO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）和氮氧化物（NOx）排放总量控制在省下达的目标以内，主城区空气中颗粒物（PM</w:t>
            </w:r>
            <w:r>
              <w:rPr>
                <w:rFonts w:ascii="Times New Roman" w:hAnsi="Times New Roman" w:cs="Times New Roman"/>
                <w:color w:val="000000" w:themeColor="text1"/>
                <w:sz w:val="24"/>
                <w:vertAlign w:val="subscript"/>
              </w:rPr>
              <w:t>10</w:t>
            </w:r>
            <w:r>
              <w:rPr>
                <w:rFonts w:ascii="Times New Roman" w:hAnsi="Times New Roman" w:cs="Times New Roman"/>
                <w:color w:val="000000" w:themeColor="text1"/>
                <w:sz w:val="24"/>
              </w:rPr>
              <w:t>、PM</w:t>
            </w:r>
            <w:r>
              <w:rPr>
                <w:rFonts w:ascii="Times New Roman" w:hAnsi="Times New Roman" w:cs="Times New Roman"/>
                <w:color w:val="000000" w:themeColor="text1"/>
                <w:sz w:val="24"/>
                <w:vertAlign w:val="subscript"/>
              </w:rPr>
              <w:t>2.5</w:t>
            </w:r>
            <w:r>
              <w:rPr>
                <w:rFonts w:ascii="Times New Roman" w:hAnsi="Times New Roman" w:cs="Times New Roman"/>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根据调查，现目选址区域空气环境可达到《环境空气质量标准》（GB3095-2012）二级标准，属于空气达标区，且该改建项目的建设不会改变区域环境空气质量功能要求。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地表水环境质量底线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类，滇池外海水质达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类（化学需氧量≤40毫克/升），阳宗海水质达</w:t>
            </w:r>
            <w:r>
              <w:rPr>
                <w:rFonts w:ascii="Times New Roman" w:cs="Times New Roman" w:hAnsiTheme="minorEastAsia"/>
                <w:color w:val="000000" w:themeColor="text1"/>
                <w:sz w:val="24"/>
              </w:rPr>
              <w:t>Ⅲ</w:t>
            </w:r>
            <w:r>
              <w:rPr>
                <w:rFonts w:ascii="Times New Roman" w:hAnsi="Times New Roman" w:cs="Times New Roman"/>
                <w:color w:val="000000" w:themeColor="text1"/>
                <w:sz w:val="24"/>
              </w:rPr>
              <w:t>类，集中式饮用水源水质巩固改善。到2035年，地表水体水质优良率全面提升，各监测断面水质达到水环境功能要求，消除劣V类水体，集中式饮用水水源水质稳定达标。根据调查，</w:t>
            </w:r>
            <w:r>
              <w:rPr>
                <w:rFonts w:hint="eastAsia" w:ascii="Times New Roman" w:hAnsi="Times New Roman" w:cs="Times New Roman"/>
                <w:color w:val="000000" w:themeColor="text1"/>
                <w:sz w:val="24"/>
              </w:rPr>
              <w:t>小江（版河口断面）</w:t>
            </w:r>
            <w:r>
              <w:rPr>
                <w:rFonts w:ascii="Times New Roman" w:hAnsi="Times New Roman" w:cs="Times New Roman"/>
                <w:color w:val="000000" w:themeColor="text1"/>
                <w:sz w:val="24"/>
              </w:rPr>
              <w:t>可达到《地表水环境质量标准》（GB3838-2002）III类标准限值；且项目运行期间无废水外排入环境，不会改变区域地表水环境质量功能要求。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土壤环境质量底线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根据调查，项目主要用水环节为</w:t>
            </w:r>
            <w:r>
              <w:rPr>
                <w:rFonts w:hint="eastAsia" w:ascii="Times New Roman" w:hAnsi="Times New Roman" w:cs="Times New Roman"/>
                <w:color w:val="000000" w:themeColor="text1"/>
                <w:sz w:val="24"/>
              </w:rPr>
              <w:t>生产用水</w:t>
            </w:r>
            <w:r>
              <w:rPr>
                <w:rFonts w:ascii="Times New Roman" w:hAnsi="Times New Roman" w:cs="Times New Roman"/>
                <w:color w:val="000000" w:themeColor="text1"/>
                <w:sz w:val="24"/>
              </w:rPr>
              <w:t>、生活用水，用水量较全市工业用水量占比极小；项目在现有厂</w:t>
            </w:r>
            <w:r>
              <w:rPr>
                <w:rFonts w:hint="eastAsia" w:ascii="Times New Roman" w:hAnsi="Times New Roman" w:cs="Times New Roman"/>
                <w:color w:val="000000" w:themeColor="text1"/>
                <w:sz w:val="24"/>
              </w:rPr>
              <w:t>区</w:t>
            </w:r>
            <w:r>
              <w:rPr>
                <w:rFonts w:ascii="Times New Roman" w:hAnsi="Times New Roman" w:cs="Times New Roman"/>
                <w:color w:val="000000" w:themeColor="text1"/>
                <w:sz w:val="24"/>
              </w:rPr>
              <w:t>内扩建生产线，不涉及耕地、基本农田等土地资源，项目能耗较低；因此项目资源利用符合国家相关要求。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改建项目位于昆明市东川区铜都街道办事处龙洞村四组苦刺塘，项目所在地属于东川区一般管控单元，根据东川区环境管控单元生态环境准入清单的管理要求，该改建项目环境准入负面清单符合性具体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2</w:t>
            </w:r>
            <w:r>
              <w:rPr>
                <w:rFonts w:ascii="Times New Roman" w:hAnsi="Times New Roman" w:cs="Times New Roman"/>
                <w:b/>
                <w:color w:val="000000" w:themeColor="text1"/>
              </w:rPr>
              <w:t xml:space="preserve"> 与东川区环境管控单元生态环境准入清单符合性分析一览表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685"/>
              <w:gridCol w:w="2762"/>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单元名称</w:t>
                  </w:r>
                </w:p>
              </w:tc>
              <w:tc>
                <w:tcPr>
                  <w:tcW w:w="4416"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管控要求</w:t>
                  </w:r>
                </w:p>
              </w:tc>
              <w:tc>
                <w:tcPr>
                  <w:tcW w:w="276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1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rPr>
                    <w:t>一般管控单元</w:t>
                  </w:r>
                </w:p>
              </w:tc>
              <w:tc>
                <w:tcPr>
                  <w:tcW w:w="731" w:type="dxa"/>
                  <w:vAlign w:val="center"/>
                </w:tcPr>
                <w:p>
                  <w:pPr>
                    <w:pStyle w:val="31"/>
                    <w:spacing w:line="360" w:lineRule="exact"/>
                    <w:rPr>
                      <w:rFonts w:eastAsiaTheme="minorEastAsia"/>
                      <w:color w:val="000000" w:themeColor="text1"/>
                    </w:rPr>
                  </w:pPr>
                  <w:r>
                    <w:rPr>
                      <w:rFonts w:eastAsiaTheme="minorEastAsia"/>
                      <w:color w:val="000000" w:themeColor="text1"/>
                    </w:rPr>
                    <w:t>空间布局约束</w:t>
                  </w:r>
                </w:p>
              </w:tc>
              <w:tc>
                <w:tcPr>
                  <w:tcW w:w="3685" w:type="dxa"/>
                  <w:vAlign w:val="center"/>
                </w:tcPr>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1.禁止在林地、河湖管理范围内新建、改建、扩建房地产开发项目。禁止围湖造田和侵占江河滩地。</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2.禁止破坏珍稀野生动植物的重要栖息地，不得阻碍野生动物的重要迁徙通道。</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3.禁止猎捕国家重点保护陆生野生动物，因特殊需要捕猎的，按照国家有关法规办理。</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4.禁止企业向滩涂、沼泽、荒地等未利用地非法排污、倾倒有毒有害物质。</w:t>
                  </w:r>
                </w:p>
              </w:tc>
              <w:tc>
                <w:tcPr>
                  <w:tcW w:w="2762" w:type="dxa"/>
                  <w:vAlign w:val="center"/>
                </w:tcPr>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该改建项目</w:t>
                  </w:r>
                  <w:r>
                    <w:rPr>
                      <w:rFonts w:hint="eastAsia" w:eastAsiaTheme="minorEastAsia"/>
                      <w:color w:val="000000" w:themeColor="text1"/>
                    </w:rPr>
                    <w:t>为牲畜屠宰项目，不属于</w:t>
                  </w:r>
                  <w:r>
                    <w:rPr>
                      <w:rFonts w:eastAsiaTheme="minorEastAsia"/>
                      <w:color w:val="000000" w:themeColor="text1"/>
                    </w:rPr>
                    <w:t>房地产开发项目</w:t>
                  </w:r>
                  <w:r>
                    <w:rPr>
                      <w:rFonts w:hint="eastAsia" w:eastAsiaTheme="minorEastAsia"/>
                      <w:color w:val="000000" w:themeColor="text1"/>
                    </w:rPr>
                    <w:t>。</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2、本次改建是在现有厂区范围内进行，不涉及</w:t>
                  </w:r>
                  <w:r>
                    <w:rPr>
                      <w:rFonts w:eastAsiaTheme="minorEastAsia"/>
                      <w:color w:val="000000" w:themeColor="text1"/>
                    </w:rPr>
                    <w:t>破坏</w:t>
                  </w:r>
                  <w:r>
                    <w:rPr>
                      <w:rFonts w:hint="eastAsia" w:eastAsiaTheme="minorEastAsia"/>
                      <w:color w:val="000000" w:themeColor="text1"/>
                    </w:rPr>
                    <w:t>和</w:t>
                  </w:r>
                  <w:r>
                    <w:rPr>
                      <w:rFonts w:eastAsiaTheme="minorEastAsia"/>
                      <w:color w:val="000000" w:themeColor="text1"/>
                    </w:rPr>
                    <w:t>阻碍野生</w:t>
                  </w:r>
                  <w:r>
                    <w:rPr>
                      <w:rFonts w:hint="eastAsia" w:eastAsiaTheme="minorEastAsia"/>
                      <w:color w:val="000000" w:themeColor="text1"/>
                    </w:rPr>
                    <w:t>动植物。</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3、</w:t>
                  </w:r>
                  <w:r>
                    <w:rPr>
                      <w:rFonts w:eastAsiaTheme="minorEastAsia"/>
                      <w:color w:val="000000" w:themeColor="text1"/>
                    </w:rPr>
                    <w:t>该改建项目</w:t>
                  </w:r>
                  <w:r>
                    <w:rPr>
                      <w:rFonts w:hint="eastAsia" w:eastAsiaTheme="minorEastAsia"/>
                      <w:color w:val="000000" w:themeColor="text1"/>
                    </w:rPr>
                    <w:t>不涉及捕猎。</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4、</w:t>
                  </w:r>
                  <w:r>
                    <w:rPr>
                      <w:rFonts w:eastAsiaTheme="minorEastAsia"/>
                      <w:color w:val="000000" w:themeColor="text1"/>
                    </w:rPr>
                    <w:t>该改建项目</w:t>
                  </w:r>
                  <w:r>
                    <w:rPr>
                      <w:rFonts w:hint="eastAsia" w:eastAsiaTheme="minorEastAsia"/>
                      <w:color w:val="000000" w:themeColor="text1"/>
                    </w:rPr>
                    <w:t>不存在</w:t>
                  </w:r>
                  <w:r>
                    <w:rPr>
                      <w:rFonts w:eastAsiaTheme="minorEastAsia"/>
                      <w:color w:val="000000" w:themeColor="text1"/>
                    </w:rPr>
                    <w:t>非法排污、倾倒有毒有害物质。</w:t>
                  </w:r>
                </w:p>
              </w:tc>
              <w:tc>
                <w:tcPr>
                  <w:tcW w:w="71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rFonts w:eastAsiaTheme="minorEastAsia"/>
                      <w:color w:val="000000" w:themeColor="text1"/>
                      <w:szCs w:val="21"/>
                    </w:rPr>
                  </w:pPr>
                </w:p>
              </w:tc>
              <w:tc>
                <w:tcPr>
                  <w:tcW w:w="731" w:type="dxa"/>
                  <w:vAlign w:val="center"/>
                </w:tcPr>
                <w:p>
                  <w:pPr>
                    <w:pStyle w:val="31"/>
                    <w:spacing w:line="360" w:lineRule="exact"/>
                    <w:rPr>
                      <w:rFonts w:eastAsiaTheme="minorEastAsia"/>
                      <w:color w:val="000000" w:themeColor="text1"/>
                      <w:szCs w:val="21"/>
                    </w:rPr>
                  </w:pPr>
                  <w:r>
                    <w:rPr>
                      <w:rFonts w:eastAsiaTheme="minorEastAsia"/>
                      <w:color w:val="000000" w:themeColor="text1"/>
                    </w:rPr>
                    <w:t>污染物排放管控</w:t>
                  </w:r>
                </w:p>
              </w:tc>
              <w:tc>
                <w:tcPr>
                  <w:tcW w:w="3685" w:type="dxa"/>
                  <w:vAlign w:val="center"/>
                </w:tcPr>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1.严格控制“两高”行业新增产能，新、改、扩建项目要实行产能等量或减量置换。</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2.严格用地准入，工业用地及物流仓储用地供地前，国土部门需对拟供地块进行土壤环境状况调查，评估环境污染风险后方可供地。</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3.受重金属污染物或者其他有毒有害污染的农用场地，达不到国家有关标准的，禁止种植使用农产品。</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4.禁止在禁渔区、禁渔期进行捕捞。禁止使用小于最小网目尺寸的网具进行捕捞，未依法取得捕捞许可证擅自捕捞。</w:t>
                  </w:r>
                </w:p>
              </w:tc>
              <w:tc>
                <w:tcPr>
                  <w:tcW w:w="2762" w:type="dxa"/>
                  <w:vAlign w:val="center"/>
                </w:tcPr>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该改建项目</w:t>
                  </w:r>
                  <w:r>
                    <w:rPr>
                      <w:rFonts w:hint="eastAsia" w:eastAsiaTheme="minorEastAsia"/>
                      <w:color w:val="000000" w:themeColor="text1"/>
                    </w:rPr>
                    <w:t>为牲畜屠宰项目，不属于</w:t>
                  </w:r>
                  <w:r>
                    <w:rPr>
                      <w:rFonts w:eastAsiaTheme="minorEastAsia"/>
                      <w:color w:val="000000" w:themeColor="text1"/>
                    </w:rPr>
                    <w:t>“两高”</w:t>
                  </w:r>
                  <w:r>
                    <w:rPr>
                      <w:rFonts w:hint="eastAsia" w:eastAsiaTheme="minorEastAsia"/>
                      <w:color w:val="000000" w:themeColor="text1"/>
                    </w:rPr>
                    <w:t>项目。</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2、本次改建是在现有厂区范围内进行，不新增用地。</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3、</w:t>
                  </w:r>
                  <w:r>
                    <w:rPr>
                      <w:rFonts w:eastAsiaTheme="minorEastAsia"/>
                      <w:color w:val="000000" w:themeColor="text1"/>
                    </w:rPr>
                    <w:t>该改建项目</w:t>
                  </w:r>
                  <w:r>
                    <w:rPr>
                      <w:rFonts w:hint="eastAsia" w:eastAsiaTheme="minorEastAsia"/>
                      <w:color w:val="000000" w:themeColor="text1"/>
                    </w:rPr>
                    <w:t>不涉及种植。</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4、</w:t>
                  </w:r>
                  <w:r>
                    <w:rPr>
                      <w:rFonts w:eastAsiaTheme="minorEastAsia"/>
                      <w:color w:val="000000" w:themeColor="text1"/>
                    </w:rPr>
                    <w:t>该改建项目</w:t>
                  </w:r>
                  <w:r>
                    <w:rPr>
                      <w:rFonts w:hint="eastAsia" w:eastAsiaTheme="minorEastAsia"/>
                      <w:color w:val="000000" w:themeColor="text1"/>
                    </w:rPr>
                    <w:t>不涉及</w:t>
                  </w:r>
                  <w:r>
                    <w:rPr>
                      <w:rFonts w:eastAsiaTheme="minorEastAsia"/>
                      <w:color w:val="000000" w:themeColor="text1"/>
                    </w:rPr>
                    <w:t>捕捞</w:t>
                  </w:r>
                  <w:r>
                    <w:rPr>
                      <w:rFonts w:hint="eastAsia" w:eastAsiaTheme="minorEastAsia"/>
                      <w:color w:val="000000" w:themeColor="text1"/>
                    </w:rPr>
                    <w:t>。</w:t>
                  </w:r>
                </w:p>
              </w:tc>
              <w:tc>
                <w:tcPr>
                  <w:tcW w:w="71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rFonts w:eastAsiaTheme="minorEastAsia"/>
                      <w:color w:val="000000" w:themeColor="text1"/>
                      <w:szCs w:val="21"/>
                    </w:rPr>
                  </w:pPr>
                </w:p>
              </w:tc>
              <w:tc>
                <w:tcPr>
                  <w:tcW w:w="731" w:type="dxa"/>
                  <w:vAlign w:val="center"/>
                </w:tcPr>
                <w:p>
                  <w:pPr>
                    <w:pStyle w:val="31"/>
                    <w:spacing w:line="360" w:lineRule="exact"/>
                    <w:rPr>
                      <w:rFonts w:eastAsiaTheme="minorEastAsia"/>
                      <w:color w:val="000000" w:themeColor="text1"/>
                    </w:rPr>
                  </w:pPr>
                  <w:r>
                    <w:rPr>
                      <w:rFonts w:eastAsiaTheme="minorEastAsia"/>
                      <w:color w:val="000000" w:themeColor="text1"/>
                    </w:rPr>
                    <w:t>环境风险防控</w:t>
                  </w:r>
                </w:p>
              </w:tc>
              <w:tc>
                <w:tcPr>
                  <w:tcW w:w="3685" w:type="dxa"/>
                  <w:vAlign w:val="center"/>
                </w:tcPr>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1.严格限制《环境保护综合名录》（2017年版）中“高污染、高环境风险”产品与工艺装备。</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2.禁止使用剧毒、高残留以及可能二次中毒的农药。</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3.严格污染场地开发利用和流转审批，在影响健康地块修复达标之前，禁止建设居民区、学校、医疗和养老机构。</w:t>
                  </w:r>
                </w:p>
              </w:tc>
              <w:tc>
                <w:tcPr>
                  <w:tcW w:w="2762" w:type="dxa"/>
                  <w:vAlign w:val="center"/>
                </w:tcPr>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该改建项目</w:t>
                  </w:r>
                  <w:r>
                    <w:rPr>
                      <w:rFonts w:hint="eastAsia" w:eastAsiaTheme="minorEastAsia"/>
                      <w:color w:val="000000" w:themeColor="text1"/>
                    </w:rPr>
                    <w:t>使用设备均不属于</w:t>
                  </w:r>
                  <w:r>
                    <w:rPr>
                      <w:rFonts w:eastAsiaTheme="minorEastAsia"/>
                      <w:color w:val="000000" w:themeColor="text1"/>
                    </w:rPr>
                    <w:t>《环境保护综合名录》（2017年版）中“高污染、高环境风险”产品与工艺装备。</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2、</w:t>
                  </w:r>
                  <w:r>
                    <w:rPr>
                      <w:rFonts w:eastAsiaTheme="minorEastAsia"/>
                      <w:color w:val="000000" w:themeColor="text1"/>
                    </w:rPr>
                    <w:t>该改建项目</w:t>
                  </w:r>
                  <w:r>
                    <w:rPr>
                      <w:rFonts w:hint="eastAsia" w:eastAsiaTheme="minorEastAsia"/>
                      <w:color w:val="000000" w:themeColor="text1"/>
                    </w:rPr>
                    <w:t>不涉及使用农药。</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3、本次改建是在现有厂区范围内进行，不新增用地。</w:t>
                  </w:r>
                </w:p>
              </w:tc>
              <w:tc>
                <w:tcPr>
                  <w:tcW w:w="71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rFonts w:eastAsiaTheme="minorEastAsia"/>
                      <w:color w:val="000000" w:themeColor="text1"/>
                      <w:szCs w:val="21"/>
                    </w:rPr>
                  </w:pPr>
                </w:p>
              </w:tc>
              <w:tc>
                <w:tcPr>
                  <w:tcW w:w="731" w:type="dxa"/>
                  <w:vAlign w:val="center"/>
                </w:tcPr>
                <w:p>
                  <w:pPr>
                    <w:pStyle w:val="31"/>
                    <w:spacing w:line="360" w:lineRule="exact"/>
                    <w:rPr>
                      <w:rFonts w:eastAsiaTheme="minorEastAsia"/>
                      <w:color w:val="000000" w:themeColor="text1"/>
                    </w:rPr>
                  </w:pPr>
                  <w:r>
                    <w:rPr>
                      <w:rFonts w:eastAsiaTheme="minorEastAsia"/>
                      <w:color w:val="000000" w:themeColor="text1"/>
                    </w:rPr>
                    <w:t>资源开发效率要求</w:t>
                  </w:r>
                </w:p>
              </w:tc>
              <w:tc>
                <w:tcPr>
                  <w:tcW w:w="3685" w:type="dxa"/>
                  <w:vAlign w:val="center"/>
                </w:tcPr>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1.禁止新建、改扩建《高耗水工艺、技术和装备淘汰目录》中项目，现有企业应限期关停退出。禁止建设不符合《云南省用水定额》标准的项目。</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2.新建、改建和扩建《产业结构调整指导目录（2019年本）》（发改委发〔2019〕29号）明令淘汰的落后工艺技术，装备或者生产明令淘汰产品的建设项目，国土资源管理部门和投资管理部门一律不得办理相关手续。</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3.新建、扩建和改建《限制用地项目目录（2012年本）》（国土资发〔2012〕）中建设项目，必须符合目录规定条件，国土资源管理部门和投资管理部门方可办理相关手续。</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4.新建、改建、扩建工业项目投资强度、容积率、建筑系数、行政办公及生活服务设施用地所占比重应符合《工业项目建设用地控制指标》（国土资发〔2008〕24号）。</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5.禁止生产高耗能落后设备产品，现有工业企业应限期关停退出。</w:t>
                  </w:r>
                </w:p>
              </w:tc>
              <w:tc>
                <w:tcPr>
                  <w:tcW w:w="2762" w:type="dxa"/>
                  <w:vAlign w:val="center"/>
                </w:tcPr>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该改建项目</w:t>
                  </w:r>
                  <w:r>
                    <w:rPr>
                      <w:rFonts w:hint="eastAsia" w:eastAsiaTheme="minorEastAsia"/>
                      <w:color w:val="000000" w:themeColor="text1"/>
                    </w:rPr>
                    <w:t>为牲畜屠宰项目，不属于</w:t>
                  </w:r>
                  <w:r>
                    <w:rPr>
                      <w:rFonts w:eastAsiaTheme="minorEastAsia"/>
                      <w:color w:val="000000" w:themeColor="text1"/>
                    </w:rPr>
                    <w:t>《高耗水工艺、技术和装备淘汰目录》中项目</w:t>
                  </w:r>
                  <w:r>
                    <w:rPr>
                      <w:rFonts w:hint="eastAsia" w:eastAsiaTheme="minorEastAsia"/>
                      <w:color w:val="000000" w:themeColor="text1"/>
                    </w:rPr>
                    <w:t>；根据对原有项目的调查，项目实际用水量满足</w:t>
                  </w:r>
                  <w:r>
                    <w:rPr>
                      <w:rFonts w:eastAsiaTheme="minorEastAsia"/>
                      <w:color w:val="000000" w:themeColor="text1"/>
                    </w:rPr>
                    <w:t>《云南省用水定额》</w:t>
                  </w:r>
                  <w:r>
                    <w:rPr>
                      <w:rFonts w:hint="eastAsia" w:eastAsiaTheme="minorEastAsia"/>
                      <w:color w:val="000000" w:themeColor="text1"/>
                    </w:rPr>
                    <w:t>。</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2、</w:t>
                  </w:r>
                  <w:r>
                    <w:rPr>
                      <w:rFonts w:eastAsiaTheme="minorEastAsia"/>
                      <w:color w:val="000000" w:themeColor="text1"/>
                    </w:rPr>
                    <w:t>该改建项目于202</w:t>
                  </w:r>
                  <w:r>
                    <w:rPr>
                      <w:rFonts w:hint="eastAsia" w:eastAsiaTheme="minorEastAsia"/>
                      <w:color w:val="000000" w:themeColor="text1"/>
                    </w:rPr>
                    <w:t>2</w:t>
                  </w:r>
                  <w:r>
                    <w:rPr>
                      <w:rFonts w:eastAsiaTheme="minorEastAsia"/>
                      <w:color w:val="000000" w:themeColor="text1"/>
                    </w:rPr>
                    <w:t>年</w:t>
                  </w:r>
                  <w:r>
                    <w:rPr>
                      <w:rFonts w:hint="eastAsia" w:eastAsiaTheme="minorEastAsia"/>
                      <w:color w:val="000000" w:themeColor="text1"/>
                    </w:rPr>
                    <w:t>5</w:t>
                  </w:r>
                  <w:r>
                    <w:rPr>
                      <w:rFonts w:eastAsiaTheme="minorEastAsia"/>
                      <w:color w:val="000000" w:themeColor="text1"/>
                    </w:rPr>
                    <w:t>月</w:t>
                  </w:r>
                  <w:r>
                    <w:rPr>
                      <w:rFonts w:hint="eastAsia" w:eastAsiaTheme="minorEastAsia"/>
                      <w:color w:val="000000" w:themeColor="text1"/>
                    </w:rPr>
                    <w:t>18</w:t>
                  </w:r>
                  <w:r>
                    <w:rPr>
                      <w:rFonts w:eastAsiaTheme="minorEastAsia"/>
                      <w:color w:val="000000" w:themeColor="text1"/>
                    </w:rPr>
                    <w:t>日取得昆明市东川区发展和改革局下发的《投资项目备案证》（项目代码为：2205-530113-04-02-723948）；因此项目建设符合国家的产业政策。</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3、</w:t>
                  </w:r>
                  <w:r>
                    <w:rPr>
                      <w:rFonts w:eastAsiaTheme="minorEastAsia"/>
                      <w:color w:val="000000" w:themeColor="text1"/>
                    </w:rPr>
                    <w:t>该改建项目</w:t>
                  </w:r>
                  <w:r>
                    <w:rPr>
                      <w:rFonts w:hint="eastAsia" w:eastAsiaTheme="minorEastAsia"/>
                      <w:color w:val="000000" w:themeColor="text1"/>
                    </w:rPr>
                    <w:t>满足</w:t>
                  </w:r>
                  <w:r>
                    <w:rPr>
                      <w:rFonts w:eastAsiaTheme="minorEastAsia"/>
                      <w:color w:val="000000" w:themeColor="text1"/>
                    </w:rPr>
                    <w:t>《工业项目建设用地控制指标》（国土资发〔2008〕24号）</w:t>
                  </w:r>
                  <w:r>
                    <w:rPr>
                      <w:rFonts w:hint="eastAsia" w:eastAsiaTheme="minorEastAsia"/>
                      <w:color w:val="000000" w:themeColor="text1"/>
                    </w:rPr>
                    <w:t>的相关要求。</w:t>
                  </w:r>
                </w:p>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4、项目不涉及</w:t>
                  </w:r>
                  <w:r>
                    <w:rPr>
                      <w:rFonts w:eastAsiaTheme="minorEastAsia"/>
                      <w:color w:val="000000" w:themeColor="text1"/>
                    </w:rPr>
                    <w:t>高耗能落后设备产品</w:t>
                  </w:r>
                  <w:r>
                    <w:rPr>
                      <w:rFonts w:hint="eastAsia" w:eastAsiaTheme="minorEastAsia"/>
                      <w:color w:val="000000" w:themeColor="text1"/>
                    </w:rPr>
                    <w:t>生产。</w:t>
                  </w:r>
                </w:p>
              </w:tc>
              <w:tc>
                <w:tcPr>
                  <w:tcW w:w="71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由上表可知，该改建项目建设满足东川区环境管控单元生态环境准入清单的相关要求。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综上分析，该改建项目建设符合“三线一单”要求。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表1-5 </w:t>
            </w:r>
            <w:r>
              <w:rPr>
                <w:rFonts w:hint="eastAsia" w:ascii="Times New Roman" w:hAnsi="Times New Roman" w:cs="Times New Roman"/>
                <w:b/>
                <w:color w:val="000000" w:themeColor="text1"/>
              </w:rPr>
              <w:t xml:space="preserve"> </w:t>
            </w:r>
            <w:r>
              <w:rPr>
                <w:rFonts w:ascii="Times New Roman" w:hAnsi="Times New Roman" w:cs="Times New Roman"/>
                <w:b/>
                <w:color w:val="000000" w:themeColor="text1"/>
              </w:rPr>
              <w:t>与《中华人民共和国长江保护法》符合性分析一览表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color w:val="000000" w:themeColor="text1"/>
                      <w:kern w:val="0"/>
                      <w:szCs w:val="21"/>
                    </w:rPr>
                  </w:pPr>
                  <w:r>
                    <w:rPr>
                      <w:color w:val="000000" w:themeColor="text1"/>
                      <w:kern w:val="0"/>
                      <w:szCs w:val="21"/>
                    </w:rPr>
                    <w:t>序号</w:t>
                  </w:r>
                </w:p>
              </w:tc>
              <w:tc>
                <w:tcPr>
                  <w:tcW w:w="3021" w:type="dxa"/>
                  <w:vAlign w:val="center"/>
                </w:tcPr>
                <w:p>
                  <w:pPr>
                    <w:pStyle w:val="31"/>
                    <w:spacing w:line="360" w:lineRule="exact"/>
                    <w:rPr>
                      <w:color w:val="000000" w:themeColor="text1"/>
                      <w:kern w:val="0"/>
                      <w:szCs w:val="21"/>
                    </w:rPr>
                  </w:pPr>
                  <w:r>
                    <w:rPr>
                      <w:color w:val="000000" w:themeColor="text1"/>
                      <w:kern w:val="0"/>
                      <w:szCs w:val="21"/>
                    </w:rPr>
                    <w:t>中华人民共和国长江保护法要求</w:t>
                  </w:r>
                </w:p>
              </w:tc>
              <w:tc>
                <w:tcPr>
                  <w:tcW w:w="4308" w:type="dxa"/>
                  <w:vAlign w:val="center"/>
                </w:tcPr>
                <w:p>
                  <w:pPr>
                    <w:pStyle w:val="31"/>
                    <w:spacing w:line="360" w:lineRule="exact"/>
                    <w:rPr>
                      <w:color w:val="000000" w:themeColor="text1"/>
                      <w:kern w:val="0"/>
                      <w:szCs w:val="21"/>
                    </w:rPr>
                  </w:pPr>
                  <w:r>
                    <w:rPr>
                      <w:color w:val="000000" w:themeColor="text1"/>
                      <w:kern w:val="0"/>
                      <w:szCs w:val="21"/>
                    </w:rPr>
                    <w:t>该改建项目实际情况</w:t>
                  </w:r>
                </w:p>
              </w:tc>
              <w:tc>
                <w:tcPr>
                  <w:tcW w:w="748" w:type="dxa"/>
                  <w:vAlign w:val="center"/>
                </w:tcPr>
                <w:p>
                  <w:pPr>
                    <w:pStyle w:val="31"/>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color w:val="000000" w:themeColor="text1"/>
                      <w:kern w:val="0"/>
                      <w:szCs w:val="21"/>
                    </w:rPr>
                  </w:pPr>
                  <w:r>
                    <w:rPr>
                      <w:color w:val="000000" w:themeColor="text1"/>
                      <w:kern w:val="0"/>
                      <w:szCs w:val="21"/>
                    </w:rPr>
                    <w:t>1</w:t>
                  </w:r>
                </w:p>
              </w:tc>
              <w:tc>
                <w:tcPr>
                  <w:tcW w:w="3021"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308" w:type="dxa"/>
                  <w:vAlign w:val="center"/>
                </w:tcPr>
                <w:p>
                  <w:pPr>
                    <w:pStyle w:val="31"/>
                    <w:spacing w:line="360" w:lineRule="exact"/>
                    <w:ind w:firstLine="210" w:firstLineChars="100"/>
                    <w:jc w:val="both"/>
                    <w:rPr>
                      <w:color w:val="000000" w:themeColor="text1"/>
                      <w:kern w:val="0"/>
                      <w:szCs w:val="21"/>
                    </w:rPr>
                  </w:pPr>
                  <w:r>
                    <w:rPr>
                      <w:rFonts w:hint="eastAsia"/>
                      <w:color w:val="000000" w:themeColor="text1"/>
                      <w:kern w:val="0"/>
                      <w:szCs w:val="21"/>
                    </w:rPr>
                    <w:t>根据调查，项目</w:t>
                  </w:r>
                  <w:r>
                    <w:rPr>
                      <w:color w:val="000000" w:themeColor="text1"/>
                      <w:kern w:val="0"/>
                      <w:szCs w:val="21"/>
                    </w:rPr>
                    <w:t>所在区域</w:t>
                  </w:r>
                  <w:r>
                    <w:rPr>
                      <w:rFonts w:hint="eastAsia"/>
                      <w:color w:val="000000" w:themeColor="text1"/>
                      <w:kern w:val="0"/>
                      <w:szCs w:val="21"/>
                    </w:rPr>
                    <w:t>属于金沙江水系，项目属于小江</w:t>
                  </w:r>
                  <w:r>
                    <w:rPr>
                      <w:color w:val="000000" w:themeColor="text1"/>
                      <w:kern w:val="0"/>
                      <w:szCs w:val="21"/>
                    </w:rPr>
                    <w:t>的汇水范围，小江为</w:t>
                  </w:r>
                  <w:r>
                    <w:fldChar w:fldCharType="begin"/>
                  </w:r>
                  <w:r>
                    <w:instrText xml:space="preserve"> HYPERLINK "https://baike.baidu.com/item/%E9%87%91%E6%B2%99%E6%B1%9F/461344" \t "_blank" </w:instrText>
                  </w:r>
                  <w:r>
                    <w:fldChar w:fldCharType="separate"/>
                  </w:r>
                  <w:r>
                    <w:rPr>
                      <w:color w:val="000000" w:themeColor="text1"/>
                      <w:kern w:val="0"/>
                      <w:szCs w:val="21"/>
                    </w:rPr>
                    <w:t>金沙江</w:t>
                  </w:r>
                  <w:r>
                    <w:rPr>
                      <w:color w:val="000000" w:themeColor="text1"/>
                      <w:kern w:val="0"/>
                      <w:szCs w:val="21"/>
                    </w:rPr>
                    <w:fldChar w:fldCharType="end"/>
                  </w:r>
                  <w:r>
                    <w:rPr>
                      <w:color w:val="000000" w:themeColor="text1"/>
                      <w:kern w:val="0"/>
                      <w:szCs w:val="21"/>
                    </w:rPr>
                    <w:t>右岸支流，小江</w:t>
                  </w:r>
                  <w:r>
                    <w:fldChar w:fldCharType="begin"/>
                  </w:r>
                  <w:r>
                    <w:instrText xml:space="preserve"> HYPERLINK "https://baike.baidu.com/item/%E5%8C%97%E6%B5%81" \t "_blank" </w:instrText>
                  </w:r>
                  <w:r>
                    <w:fldChar w:fldCharType="separate"/>
                  </w:r>
                  <w:r>
                    <w:rPr>
                      <w:color w:val="000000" w:themeColor="text1"/>
                      <w:kern w:val="0"/>
                      <w:szCs w:val="21"/>
                    </w:rPr>
                    <w:t>北流</w:t>
                  </w:r>
                  <w:r>
                    <w:rPr>
                      <w:color w:val="000000" w:themeColor="text1"/>
                      <w:kern w:val="0"/>
                      <w:szCs w:val="21"/>
                    </w:rPr>
                    <w:fldChar w:fldCharType="end"/>
                  </w:r>
                  <w:r>
                    <w:rPr>
                      <w:color w:val="000000" w:themeColor="text1"/>
                      <w:kern w:val="0"/>
                      <w:szCs w:val="21"/>
                    </w:rPr>
                    <w:t>至</w:t>
                  </w:r>
                  <w:r>
                    <w:fldChar w:fldCharType="begin"/>
                  </w:r>
                  <w:r>
                    <w:instrText xml:space="preserve"> HYPERLINK "https://baike.baidu.com/item/%E5%93%8D%E6%B0%B4" \t "_blank" </w:instrText>
                  </w:r>
                  <w:r>
                    <w:fldChar w:fldCharType="separate"/>
                  </w:r>
                  <w:r>
                    <w:rPr>
                      <w:color w:val="000000" w:themeColor="text1"/>
                      <w:kern w:val="0"/>
                      <w:szCs w:val="21"/>
                    </w:rPr>
                    <w:t>响水</w:t>
                  </w:r>
                  <w:r>
                    <w:rPr>
                      <w:color w:val="000000" w:themeColor="text1"/>
                      <w:kern w:val="0"/>
                      <w:szCs w:val="21"/>
                    </w:rPr>
                    <w:fldChar w:fldCharType="end"/>
                  </w:r>
                  <w:r>
                    <w:rPr>
                      <w:color w:val="000000" w:themeColor="text1"/>
                      <w:kern w:val="0"/>
                      <w:szCs w:val="21"/>
                    </w:rPr>
                    <w:t>入</w:t>
                  </w:r>
                  <w:r>
                    <w:fldChar w:fldCharType="begin"/>
                  </w:r>
                  <w:r>
                    <w:instrText xml:space="preserve"> HYPERLINK "https://baike.baidu.com/item/%E4%B8%9C%E5%B7%9D%E5%B8%82" \t "_blank" </w:instrText>
                  </w:r>
                  <w:r>
                    <w:fldChar w:fldCharType="separate"/>
                  </w:r>
                  <w:r>
                    <w:rPr>
                      <w:color w:val="000000" w:themeColor="text1"/>
                      <w:kern w:val="0"/>
                      <w:szCs w:val="21"/>
                    </w:rPr>
                    <w:t>东川区</w:t>
                  </w:r>
                  <w:r>
                    <w:rPr>
                      <w:color w:val="000000" w:themeColor="text1"/>
                      <w:kern w:val="0"/>
                      <w:szCs w:val="21"/>
                    </w:rPr>
                    <w:fldChar w:fldCharType="end"/>
                  </w:r>
                  <w:r>
                    <w:rPr>
                      <w:color w:val="000000" w:themeColor="text1"/>
                      <w:kern w:val="0"/>
                      <w:szCs w:val="21"/>
                    </w:rPr>
                    <w:t>，至小</w:t>
                  </w:r>
                  <w:r>
                    <w:fldChar w:fldCharType="begin"/>
                  </w:r>
                  <w:r>
                    <w:instrText xml:space="preserve"> HYPERLINK "https://baike.baidu.com/item/%E6%B2%B3%E5%8F%A3" \t "_blank" </w:instrText>
                  </w:r>
                  <w:r>
                    <w:fldChar w:fldCharType="separate"/>
                  </w:r>
                  <w:r>
                    <w:rPr>
                      <w:color w:val="000000" w:themeColor="text1"/>
                      <w:kern w:val="0"/>
                      <w:szCs w:val="21"/>
                    </w:rPr>
                    <w:t>河口</w:t>
                  </w:r>
                  <w:r>
                    <w:rPr>
                      <w:color w:val="000000" w:themeColor="text1"/>
                      <w:kern w:val="0"/>
                      <w:szCs w:val="21"/>
                    </w:rPr>
                    <w:fldChar w:fldCharType="end"/>
                  </w:r>
                  <w:r>
                    <w:rPr>
                      <w:color w:val="000000" w:themeColor="text1"/>
                      <w:kern w:val="0"/>
                      <w:szCs w:val="21"/>
                    </w:rPr>
                    <w:t>注入金沙江。</w:t>
                  </w:r>
                  <w:r>
                    <w:rPr>
                      <w:rFonts w:hint="eastAsia"/>
                      <w:color w:val="000000" w:themeColor="text1"/>
                      <w:kern w:val="0"/>
                      <w:szCs w:val="21"/>
                    </w:rPr>
                    <w:t>项目区距</w:t>
                  </w:r>
                  <w:r>
                    <w:rPr>
                      <w:color w:val="000000" w:themeColor="text1"/>
                      <w:kern w:val="0"/>
                      <w:szCs w:val="21"/>
                    </w:rPr>
                    <w:t>长江支流</w:t>
                  </w:r>
                  <w:r>
                    <w:rPr>
                      <w:rFonts w:hint="eastAsia"/>
                      <w:color w:val="000000" w:themeColor="text1"/>
                      <w:kern w:val="0"/>
                      <w:szCs w:val="21"/>
                    </w:rPr>
                    <w:t>小江的距离为</w:t>
                  </w:r>
                  <w:r>
                    <w:rPr>
                      <w:color w:val="000000" w:themeColor="text1"/>
                      <w:kern w:val="0"/>
                      <w:szCs w:val="21"/>
                    </w:rPr>
                    <w:t>116m</w:t>
                  </w:r>
                  <w:r>
                    <w:rPr>
                      <w:rFonts w:hint="eastAsia"/>
                      <w:color w:val="000000" w:themeColor="text1"/>
                      <w:kern w:val="0"/>
                      <w:szCs w:val="21"/>
                    </w:rPr>
                    <w:t>，但</w:t>
                  </w:r>
                  <w:r>
                    <w:rPr>
                      <w:color w:val="000000" w:themeColor="text1"/>
                      <w:kern w:val="0"/>
                      <w:szCs w:val="21"/>
                    </w:rPr>
                    <w:t>该改建项目</w:t>
                  </w:r>
                  <w:r>
                    <w:rPr>
                      <w:rFonts w:hint="eastAsia"/>
                      <w:color w:val="000000" w:themeColor="text1"/>
                      <w:kern w:val="0"/>
                      <w:szCs w:val="21"/>
                    </w:rPr>
                    <w:t>为牲畜屠宰项目，不属于</w:t>
                  </w:r>
                  <w:r>
                    <w:rPr>
                      <w:color w:val="000000" w:themeColor="text1"/>
                      <w:kern w:val="0"/>
                      <w:szCs w:val="21"/>
                    </w:rPr>
                    <w:t>化工项目。</w:t>
                  </w:r>
                </w:p>
              </w:tc>
              <w:tc>
                <w:tcPr>
                  <w:tcW w:w="748" w:type="dxa"/>
                  <w:vAlign w:val="center"/>
                </w:tcPr>
                <w:p>
                  <w:pPr>
                    <w:pStyle w:val="31"/>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color w:val="000000" w:themeColor="text1"/>
                      <w:kern w:val="0"/>
                      <w:szCs w:val="21"/>
                    </w:rPr>
                  </w:pPr>
                  <w:r>
                    <w:rPr>
                      <w:color w:val="000000" w:themeColor="text1"/>
                      <w:kern w:val="0"/>
                      <w:szCs w:val="21"/>
                    </w:rPr>
                    <w:t>2</w:t>
                  </w:r>
                </w:p>
              </w:tc>
              <w:tc>
                <w:tcPr>
                  <w:tcW w:w="3021"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308" w:type="dxa"/>
                  <w:vAlign w:val="center"/>
                </w:tcPr>
                <w:p>
                  <w:pPr>
                    <w:pStyle w:val="31"/>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w:t>
                  </w:r>
                  <w:r>
                    <w:rPr>
                      <w:rFonts w:hint="eastAsia"/>
                      <w:color w:val="000000" w:themeColor="text1"/>
                      <w:kern w:val="0"/>
                      <w:szCs w:val="21"/>
                    </w:rPr>
                    <w:t>2019年</w:t>
                  </w:r>
                  <w:r>
                    <w:rPr>
                      <w:color w:val="000000" w:themeColor="text1"/>
                      <w:kern w:val="0"/>
                      <w:szCs w:val="21"/>
                    </w:rPr>
                    <w:t>发布</w:t>
                  </w:r>
                  <w:r>
                    <w:rPr>
                      <w:rFonts w:hint="eastAsia"/>
                      <w:color w:val="000000" w:themeColor="text1"/>
                      <w:kern w:val="0"/>
                      <w:szCs w:val="21"/>
                    </w:rPr>
                    <w:t>《关于印发钢铁等十八项工业用水定额的通知》，</w:t>
                  </w:r>
                  <w:r>
                    <w:rPr>
                      <w:color w:val="000000" w:themeColor="text1"/>
                      <w:kern w:val="0"/>
                      <w:szCs w:val="21"/>
                    </w:rPr>
                    <w:t>18项传统高耗水行业包括：钢铁、火力发电、石油炼制、选煤、罐头食品、食糖、毛皮、皮革、核电、氨纶、锦纶、聚酯涤纶、维纶、再生涤纶、多晶硅、离子型稀土矿冶炼分离、对二甲苯、精对二甲苯。</w:t>
                  </w:r>
                </w:p>
                <w:p>
                  <w:pPr>
                    <w:pStyle w:val="31"/>
                    <w:pBdr>
                      <w:bottom w:val="single" w:color="DDDDDD" w:sz="6" w:space="7"/>
                    </w:pBdr>
                    <w:spacing w:line="360" w:lineRule="exact"/>
                    <w:ind w:firstLine="200" w:firstLineChars="100"/>
                    <w:jc w:val="both"/>
                    <w:rPr>
                      <w:color w:val="000000" w:themeColor="text1"/>
                      <w:kern w:val="0"/>
                      <w:szCs w:val="21"/>
                    </w:rPr>
                  </w:pPr>
                  <w:r>
                    <w:rPr>
                      <w:rFonts w:eastAsiaTheme="minorEastAsia"/>
                      <w:color w:val="000000" w:themeColor="text1"/>
                      <w:sz w:val="20"/>
                    </w:rPr>
                    <w:t>该改建项目为牲畜屠宰项目</w:t>
                  </w:r>
                  <w:r>
                    <w:rPr>
                      <w:color w:val="000000" w:themeColor="text1"/>
                      <w:kern w:val="0"/>
                      <w:szCs w:val="21"/>
                    </w:rPr>
                    <w:t>，不属于水利部发布18项传统高耗水行业。</w:t>
                  </w:r>
                </w:p>
              </w:tc>
              <w:tc>
                <w:tcPr>
                  <w:tcW w:w="748" w:type="dxa"/>
                  <w:vAlign w:val="center"/>
                </w:tcPr>
                <w:p>
                  <w:pPr>
                    <w:pStyle w:val="31"/>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color w:val="000000" w:themeColor="text1"/>
                      <w:kern w:val="0"/>
                      <w:szCs w:val="21"/>
                    </w:rPr>
                  </w:pPr>
                  <w:r>
                    <w:rPr>
                      <w:color w:val="000000" w:themeColor="text1"/>
                      <w:kern w:val="0"/>
                      <w:szCs w:val="21"/>
                    </w:rPr>
                    <w:t>3</w:t>
                  </w:r>
                </w:p>
              </w:tc>
              <w:tc>
                <w:tcPr>
                  <w:tcW w:w="3021"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308" w:type="dxa"/>
                  <w:vAlign w:val="center"/>
                </w:tcPr>
                <w:p>
                  <w:pPr>
                    <w:pStyle w:val="31"/>
                    <w:spacing w:line="360" w:lineRule="exact"/>
                    <w:ind w:firstLine="200" w:firstLineChars="100"/>
                    <w:jc w:val="both"/>
                    <w:rPr>
                      <w:color w:val="000000" w:themeColor="text1"/>
                      <w:kern w:val="0"/>
                      <w:szCs w:val="21"/>
                    </w:rPr>
                  </w:pPr>
                  <w:r>
                    <w:rPr>
                      <w:rFonts w:eastAsiaTheme="minorEastAsia"/>
                      <w:color w:val="000000" w:themeColor="text1"/>
                      <w:sz w:val="20"/>
                    </w:rPr>
                    <w:t>该改建项目</w:t>
                  </w:r>
                  <w:r>
                    <w:rPr>
                      <w:color w:val="000000" w:themeColor="text1"/>
                      <w:kern w:val="0"/>
                      <w:szCs w:val="21"/>
                    </w:rPr>
                    <w:t>位于昆明市东川区铜都街道办事处龙洞村四组苦刺塘，该区域不属于长江流域河湖管理范围。</w:t>
                  </w:r>
                </w:p>
              </w:tc>
              <w:tc>
                <w:tcPr>
                  <w:tcW w:w="748" w:type="dxa"/>
                  <w:vAlign w:val="center"/>
                </w:tcPr>
                <w:p>
                  <w:pPr>
                    <w:pStyle w:val="31"/>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由上表可知，项目的建设符合《中华人民共和国长江保护法》的相关要求。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该改建项目位于昆明市东川区铜都街道办事处龙洞村四组苦刺塘，项目所在地的纳污水体为小江（清水海-入金沙江口段），小江属于长江的上游主要支流。因此，本环评须分析该改建项目与《长江经济带发展负面清单指南（试行）》的符合性。具体分析如下表所示。</w:t>
            </w:r>
          </w:p>
          <w:p>
            <w:pPr>
              <w:pStyle w:val="16"/>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表1-6 与《长江经济带发展负面清单指南（试行）》符合性分析一览表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59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665"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该改建项目实际情况</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该改建项目位于</w:t>
                  </w:r>
                  <w:r>
                    <w:rPr>
                      <w:color w:val="000000" w:themeColor="text1"/>
                      <w:kern w:val="0"/>
                      <w:szCs w:val="21"/>
                    </w:rPr>
                    <w:t>昆明市东川区铜都街道办事处龙洞村四组苦刺塘</w:t>
                  </w:r>
                  <w:r>
                    <w:rPr>
                      <w:rFonts w:eastAsiaTheme="minorEastAsia"/>
                      <w:color w:val="000000" w:themeColor="text1"/>
                      <w:kern w:val="0"/>
                      <w:szCs w:val="21"/>
                    </w:rPr>
                    <w:t>，不涉及码头及过江通道。</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该改建项目位于</w:t>
                  </w:r>
                  <w:r>
                    <w:rPr>
                      <w:color w:val="000000" w:themeColor="text1"/>
                      <w:kern w:val="0"/>
                      <w:szCs w:val="21"/>
                    </w:rPr>
                    <w:t>昆明市东川区铜都街道办事处龙洞村四组苦刺塘</w:t>
                  </w:r>
                  <w:r>
                    <w:rPr>
                      <w:rFonts w:eastAsiaTheme="minorEastAsia"/>
                      <w:color w:val="000000" w:themeColor="text1"/>
                      <w:kern w:val="0"/>
                      <w:szCs w:val="21"/>
                    </w:rPr>
                    <w:t>，不涉及自然保护区核心区、风景名胜区等特殊敏感区。</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该改建项目位于</w:t>
                  </w:r>
                  <w:r>
                    <w:rPr>
                      <w:color w:val="000000" w:themeColor="text1"/>
                      <w:kern w:val="0"/>
                      <w:szCs w:val="21"/>
                    </w:rPr>
                    <w:t>昆明市东川区铜都街道办事处龙洞村四组苦刺塘</w:t>
                  </w:r>
                  <w:r>
                    <w:rPr>
                      <w:rFonts w:eastAsiaTheme="minorEastAsia"/>
                      <w:color w:val="000000" w:themeColor="text1"/>
                      <w:kern w:val="0"/>
                      <w:szCs w:val="21"/>
                    </w:rPr>
                    <w:t>，</w:t>
                  </w:r>
                  <w:r>
                    <w:rPr>
                      <w:color w:val="000000" w:themeColor="text1"/>
                      <w:kern w:val="0"/>
                      <w:szCs w:val="21"/>
                    </w:rPr>
                    <w:t>不涉及到饮用水水源地的一级保护区或二级保护区。</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31"/>
                    <w:spacing w:line="360" w:lineRule="exact"/>
                    <w:ind w:firstLine="210" w:firstLineChars="100"/>
                    <w:jc w:val="both"/>
                    <w:rPr>
                      <w:color w:val="000000" w:themeColor="text1"/>
                      <w:kern w:val="0"/>
                      <w:szCs w:val="21"/>
                    </w:rPr>
                  </w:pPr>
                  <w:r>
                    <w:rPr>
                      <w:rFonts w:eastAsiaTheme="minorEastAsia"/>
                      <w:color w:val="000000" w:themeColor="text1"/>
                      <w:kern w:val="0"/>
                      <w:szCs w:val="21"/>
                    </w:rPr>
                    <w:t>该改建项目为牲畜屠宰项目</w:t>
                  </w:r>
                  <w:r>
                    <w:rPr>
                      <w:color w:val="000000" w:themeColor="text1"/>
                      <w:kern w:val="0"/>
                      <w:szCs w:val="21"/>
                    </w:rPr>
                    <w:t>，项目建设符合主体功能定位，项目所在地的纳污水体为小江（清水海-入金沙江口段），不属于水产种植资源保护区的岸线和河段范围。</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该改建项目位于</w:t>
                  </w:r>
                  <w:r>
                    <w:rPr>
                      <w:color w:val="000000" w:themeColor="text1"/>
                      <w:kern w:val="0"/>
                      <w:szCs w:val="21"/>
                    </w:rPr>
                    <w:t>昆明市东川区铜都街道办事处龙洞村四组苦刺塘</w:t>
                  </w:r>
                  <w:r>
                    <w:rPr>
                      <w:rFonts w:eastAsiaTheme="minorEastAsia"/>
                      <w:color w:val="000000" w:themeColor="text1"/>
                      <w:kern w:val="0"/>
                      <w:szCs w:val="21"/>
                    </w:rPr>
                    <w:t>，项目所在地的纳污水体为</w:t>
                  </w:r>
                  <w:r>
                    <w:rPr>
                      <w:rFonts w:hint="eastAsia" w:eastAsiaTheme="minorEastAsia"/>
                      <w:color w:val="000000" w:themeColor="text1"/>
                      <w:kern w:val="0"/>
                      <w:szCs w:val="21"/>
                    </w:rPr>
                    <w:t>小江</w:t>
                  </w:r>
                  <w:r>
                    <w:rPr>
                      <w:rFonts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w:t>
                  </w:r>
                  <w:r>
                    <w:rPr>
                      <w:rFonts w:eastAsiaTheme="minorEastAsia"/>
                      <w:color w:val="000000" w:themeColor="text1"/>
                      <w:szCs w:val="21"/>
                    </w:rPr>
                    <w:t>位于</w:t>
                  </w:r>
                  <w:r>
                    <w:rPr>
                      <w:color w:val="000000" w:themeColor="text1"/>
                      <w:kern w:val="0"/>
                      <w:szCs w:val="21"/>
                    </w:rPr>
                    <w:t>昆明市东川区铜都街道办事处龙洞村四组苦刺塘</w:t>
                  </w:r>
                  <w:r>
                    <w:rPr>
                      <w:rFonts w:eastAsiaTheme="minorEastAsia"/>
                      <w:color w:val="000000" w:themeColor="text1"/>
                      <w:kern w:val="0"/>
                      <w:szCs w:val="21"/>
                    </w:rPr>
                    <w:t>，</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w:t>
                  </w:r>
                  <w:r>
                    <w:rPr>
                      <w:rFonts w:hint="eastAsia" w:eastAsiaTheme="minorEastAsia"/>
                      <w:color w:val="000000" w:themeColor="text1"/>
                      <w:kern w:val="0"/>
                      <w:szCs w:val="21"/>
                    </w:rPr>
                    <w:t>属于牲畜屠宰项目，不属于</w:t>
                  </w:r>
                  <w:r>
                    <w:rPr>
                      <w:rFonts w:eastAsiaTheme="minorEastAsia"/>
                      <w:color w:val="000000" w:themeColor="text1"/>
                      <w:kern w:val="0"/>
                      <w:szCs w:val="21"/>
                    </w:rPr>
                    <w:t>钢铁、石化、化工、焦化、建材、有色等高污染项目。</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该改建项目为牲畜屠宰项目</w:t>
                  </w:r>
                  <w:r>
                    <w:rPr>
                      <w:color w:val="000000" w:themeColor="text1"/>
                      <w:kern w:val="0"/>
                      <w:szCs w:val="21"/>
                    </w:rPr>
                    <w:t>，</w:t>
                  </w:r>
                  <w:r>
                    <w:rPr>
                      <w:rFonts w:eastAsiaTheme="minorEastAsia"/>
                      <w:color w:val="000000" w:themeColor="text1"/>
                      <w:kern w:val="0"/>
                      <w:szCs w:val="21"/>
                    </w:rPr>
                    <w:t>不属于不符合国家石化、现代煤化工等产业布局规划的项目。</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该改建项目于202</w:t>
                  </w:r>
                  <w:r>
                    <w:rPr>
                      <w:rFonts w:hint="eastAsia" w:eastAsiaTheme="minorEastAsia"/>
                      <w:color w:val="000000" w:themeColor="text1"/>
                      <w:kern w:val="0"/>
                      <w:szCs w:val="21"/>
                    </w:rPr>
                    <w:t>2</w:t>
                  </w:r>
                  <w:r>
                    <w:rPr>
                      <w:rFonts w:eastAsiaTheme="minorEastAsia"/>
                      <w:color w:val="000000" w:themeColor="text1"/>
                      <w:kern w:val="0"/>
                      <w:szCs w:val="21"/>
                    </w:rPr>
                    <w:t>年</w:t>
                  </w:r>
                  <w:r>
                    <w:rPr>
                      <w:rFonts w:hint="eastAsia" w:eastAsiaTheme="minorEastAsia"/>
                      <w:color w:val="000000" w:themeColor="text1"/>
                      <w:kern w:val="0"/>
                      <w:szCs w:val="21"/>
                    </w:rPr>
                    <w:t>5</w:t>
                  </w:r>
                  <w:r>
                    <w:rPr>
                      <w:rFonts w:eastAsiaTheme="minorEastAsia"/>
                      <w:color w:val="000000" w:themeColor="text1"/>
                      <w:kern w:val="0"/>
                      <w:szCs w:val="21"/>
                    </w:rPr>
                    <w:t>月</w:t>
                  </w:r>
                  <w:r>
                    <w:rPr>
                      <w:rFonts w:hint="eastAsia" w:eastAsiaTheme="minorEastAsia"/>
                      <w:color w:val="000000" w:themeColor="text1"/>
                      <w:kern w:val="0"/>
                      <w:szCs w:val="21"/>
                    </w:rPr>
                    <w:t>18</w:t>
                  </w:r>
                  <w:r>
                    <w:rPr>
                      <w:rFonts w:eastAsiaTheme="minorEastAsia"/>
                      <w:color w:val="000000" w:themeColor="text1"/>
                      <w:kern w:val="0"/>
                      <w:szCs w:val="21"/>
                    </w:rPr>
                    <w:t>日取得昆明市东川区发展和改革局下发的《投资项目备案证》（项目代码为：2205-530113-04-02-723948）</w:t>
                  </w:r>
                  <w:r>
                    <w:rPr>
                      <w:rFonts w:hint="eastAsia" w:eastAsiaTheme="minorEastAsia"/>
                      <w:color w:val="000000" w:themeColor="text1"/>
                      <w:kern w:val="0"/>
                      <w:szCs w:val="21"/>
                    </w:rPr>
                    <w:t>；</w:t>
                  </w:r>
                  <w:r>
                    <w:rPr>
                      <w:rFonts w:eastAsiaTheme="minorEastAsia"/>
                      <w:color w:val="000000" w:themeColor="text1"/>
                      <w:kern w:val="0"/>
                      <w:szCs w:val="21"/>
                    </w:rPr>
                    <w:t>不属于《产业结构调整指导目录（2019年本）》中淘汰类或限制类项目，不属于法律法规和相关政策明令禁止的落后产能项目。</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该改建项目为牲畜屠宰项目，不属于国家产能置换要求的严重过剩产能行业的项目。</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由上表可知，该改建项目的建设符合《长江经济带发展负面清单指南（试行）》的要求。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该改建项目为牲畜屠宰项目，该改建项目的建设与《长江经济带生态环境保护规划》的相关要求不相冲突。</w:t>
            </w: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昆明市东川区畜禽屠宰有限公司于201</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年在</w:t>
            </w:r>
            <w:r>
              <w:rPr>
                <w:rFonts w:hint="eastAsia" w:ascii="Times New Roman" w:hAnsi="Times New Roman" w:cs="Times New Roman"/>
                <w:color w:val="000000" w:themeColor="text1"/>
                <w:sz w:val="24"/>
                <w:szCs w:val="24"/>
              </w:rPr>
              <w:t>昆明市东川区铜都街道办事处龙洞村四组苦刺塘</w:t>
            </w:r>
            <w:r>
              <w:rPr>
                <w:rFonts w:ascii="Times New Roman" w:hAnsi="Times New Roman" w:cs="Times New Roman"/>
                <w:color w:val="000000" w:themeColor="text1"/>
                <w:sz w:val="24"/>
                <w:szCs w:val="24"/>
              </w:rPr>
              <w:t>建设“昆明市东川区畜禽屠宰有限公司异地技术改造项目”，该项目已委托编制完成《昆明市东川区畜禽屠宰有限公司异地技术改造项目环境影响报告表》，并于2013年10月24日取得昆明市东川区环境保护局（现昆明市生态环境局东川分局）下发的《关于昆明市东川区畜禽屠宰有限公司异地技术改造项目环境影响报告表的批复》（东环保复【2013】76号），该项目取得环评批复后开工建设，</w:t>
            </w:r>
            <w:r>
              <w:rPr>
                <w:rFonts w:hint="eastAsia" w:ascii="Times New Roman" w:hAnsi="Times New Roman" w:cs="Times New Roman"/>
                <w:color w:val="000000" w:themeColor="text1"/>
                <w:sz w:val="24"/>
                <w:szCs w:val="24"/>
              </w:rPr>
              <w:t>建成后于2014年11月25日取得</w:t>
            </w:r>
            <w:r>
              <w:rPr>
                <w:rFonts w:ascii="Times New Roman" w:hAnsi="Times New Roman" w:cs="Times New Roman"/>
                <w:color w:val="000000" w:themeColor="text1"/>
                <w:sz w:val="24"/>
                <w:szCs w:val="24"/>
              </w:rPr>
              <w:t>昆明市东川区环境保护局（现昆明市生态环境局东川分局）下发的《关于</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昆明市东川区畜禽屠宰有限公司异地技术改造项目</w:t>
            </w:r>
            <w:r>
              <w:rPr>
                <w:rFonts w:hint="eastAsia" w:ascii="Times New Roman" w:hAnsi="Times New Roman" w:cs="Times New Roman"/>
                <w:color w:val="000000" w:themeColor="text1"/>
                <w:sz w:val="24"/>
                <w:szCs w:val="24"/>
              </w:rPr>
              <w:t>竣工环境保护验收申请</w:t>
            </w:r>
            <w:r>
              <w:rPr>
                <w:rFonts w:ascii="Times New Roman" w:hAnsi="Times New Roman" w:cs="Times New Roman"/>
                <w:color w:val="000000" w:themeColor="text1"/>
                <w:sz w:val="24"/>
                <w:szCs w:val="24"/>
              </w:rPr>
              <w:t>的批复》</w:t>
            </w:r>
            <w:r>
              <w:rPr>
                <w:rFonts w:hint="eastAsia" w:ascii="Times New Roman" w:hAnsi="Times New Roman" w:cs="Times New Roman"/>
                <w:color w:val="000000" w:themeColor="text1"/>
                <w:sz w:val="24"/>
                <w:szCs w:val="24"/>
              </w:rPr>
              <w:t>（东环保复【2014】88号）。</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根据2019年8月26日东川区畜禽屠宰管理工作领导小组办公室《关于下达</w:t>
            </w:r>
            <w:r>
              <w:rPr>
                <w:rFonts w:ascii="Times New Roman" w:hAnsi="Times New Roman" w:cs="Times New Roman"/>
                <w:color w:val="000000" w:themeColor="text1"/>
                <w:sz w:val="24"/>
                <w:szCs w:val="24"/>
              </w:rPr>
              <w:t>东川区畜禽屠宰有限公司</w:t>
            </w:r>
            <w:r>
              <w:rPr>
                <w:rFonts w:hint="eastAsia" w:ascii="Times New Roman" w:hAnsi="Times New Roman" w:cs="Times New Roman"/>
                <w:color w:val="000000" w:themeColor="text1"/>
                <w:sz w:val="24"/>
                <w:szCs w:val="24"/>
              </w:rPr>
              <w:t>整改要求的通知》（东屠宰办发【2019】1号），要求建设单位对项目区按照《动物防疫法》、《生猪屠宰管理条例》、《生猪屠宰操作规程》等相关法律法规的要求进行整改；针对整改要求，建设单位已委托设计单位进行了整改方案设计，拟定项目新建非洲猪瘟检测室200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、改造待宰车间800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、提升改造现有污水处理设施、新建发酵池、雨水收集池等设施；项目整改方案已于2022年4月28日取得东川区畜禽屠宰管理工作领导小组办公室下发的《关于</w:t>
            </w:r>
            <w:r>
              <w:rPr>
                <w:rFonts w:ascii="Times New Roman" w:hAnsi="Times New Roman" w:cs="Times New Roman"/>
                <w:color w:val="000000" w:themeColor="text1"/>
                <w:sz w:val="24"/>
                <w:szCs w:val="24"/>
              </w:rPr>
              <w:t>东川区畜禽屠宰有限公司</w:t>
            </w:r>
            <w:r>
              <w:rPr>
                <w:rFonts w:hint="eastAsia" w:ascii="Times New Roman" w:hAnsi="Times New Roman" w:cs="Times New Roman"/>
                <w:color w:val="000000" w:themeColor="text1"/>
                <w:sz w:val="24"/>
                <w:szCs w:val="24"/>
              </w:rPr>
              <w:t>技改升级扩建生产场地设备设施建设的批复》（东屠宰办发【2022】1号）；同时该改建项目</w:t>
            </w:r>
            <w:r>
              <w:rPr>
                <w:rFonts w:ascii="Times New Roman" w:hAnsi="Times New Roman" w:cs="Times New Roman"/>
                <w:color w:val="000000" w:themeColor="text1"/>
                <w:sz w:val="24"/>
                <w:szCs w:val="24"/>
              </w:rPr>
              <w:t>于202</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年</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月</w:t>
            </w:r>
            <w:r>
              <w:rPr>
                <w:rFonts w:hint="eastAsia"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日取得昆明市东川区发展和改革局下发的《投资项目备案证》（项目代码为：2205-530113-04-02-723948）</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现按照《中华人民共和国环境保护法》和《中华人民共和国环境影响评价法》等相关法律法规的规定，办理该项目的环境影响评价手续。</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该改建项目建成后，</w:t>
            </w:r>
            <w:r>
              <w:rPr>
                <w:rFonts w:hint="eastAsia" w:ascii="Times New Roman" w:hAnsi="Times New Roman" w:cs="Times New Roman"/>
                <w:color w:val="000000" w:themeColor="text1"/>
                <w:sz w:val="24"/>
                <w:szCs w:val="24"/>
              </w:rPr>
              <w:t>年屠宰规模较原有项目屠宰规模不变，均为屠宰生猪70000头/a。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该改建项目厂区占地面积为3360m²，</w:t>
            </w:r>
            <w:r>
              <w:rPr>
                <w:rFonts w:hint="eastAsia" w:ascii="Times New Roman" w:hAnsi="Times New Roman" w:cs="Times New Roman"/>
                <w:color w:val="000000" w:themeColor="text1"/>
                <w:sz w:val="24"/>
                <w:szCs w:val="24"/>
              </w:rPr>
              <w:t>本次改建内容主要为新建非洲猪瘟检测室200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、改造待宰车间800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、提升改造现有污水处理设施、新建发酵池、雨水收集池等设施。改建完成后，</w:t>
            </w:r>
            <w:r>
              <w:rPr>
                <w:rFonts w:ascii="Times New Roman" w:hAnsi="Times New Roman" w:cs="Times New Roman"/>
                <w:color w:val="000000" w:themeColor="text1"/>
                <w:sz w:val="24"/>
                <w:szCs w:val="24"/>
              </w:rPr>
              <w:t>项目主要工程内容如下表所示。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0"/>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4"/>
              <w:gridCol w:w="102"/>
              <w:gridCol w:w="1045"/>
              <w:gridCol w:w="511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center"/>
                </w:tcPr>
                <w:p>
                  <w:pPr>
                    <w:pStyle w:val="31"/>
                    <w:spacing w:line="360" w:lineRule="exact"/>
                    <w:rPr>
                      <w:color w:val="000000" w:themeColor="text1"/>
                      <w:szCs w:val="21"/>
                    </w:rPr>
                  </w:pPr>
                  <w:r>
                    <w:rPr>
                      <w:color w:val="000000" w:themeColor="text1"/>
                      <w:szCs w:val="21"/>
                    </w:rPr>
                    <w:t>类别</w:t>
                  </w:r>
                </w:p>
              </w:tc>
              <w:tc>
                <w:tcPr>
                  <w:tcW w:w="1851" w:type="dxa"/>
                  <w:gridSpan w:val="3"/>
                  <w:vAlign w:val="center"/>
                </w:tcPr>
                <w:p>
                  <w:pPr>
                    <w:pStyle w:val="31"/>
                    <w:spacing w:line="360" w:lineRule="exact"/>
                    <w:rPr>
                      <w:color w:val="000000" w:themeColor="text1"/>
                      <w:szCs w:val="21"/>
                    </w:rPr>
                  </w:pPr>
                  <w:r>
                    <w:rPr>
                      <w:color w:val="000000" w:themeColor="text1"/>
                      <w:szCs w:val="21"/>
                    </w:rPr>
                    <w:t>工程内容</w:t>
                  </w:r>
                </w:p>
              </w:tc>
              <w:tc>
                <w:tcPr>
                  <w:tcW w:w="5117" w:type="dxa"/>
                  <w:vAlign w:val="center"/>
                </w:tcPr>
                <w:p>
                  <w:pPr>
                    <w:pStyle w:val="31"/>
                    <w:spacing w:line="360" w:lineRule="exact"/>
                    <w:rPr>
                      <w:color w:val="000000" w:themeColor="text1"/>
                      <w:szCs w:val="21"/>
                    </w:rPr>
                  </w:pPr>
                  <w:r>
                    <w:rPr>
                      <w:color w:val="000000" w:themeColor="text1"/>
                      <w:szCs w:val="21"/>
                    </w:rPr>
                    <w:t>建筑内容及规模</w:t>
                  </w:r>
                </w:p>
              </w:tc>
              <w:tc>
                <w:tcPr>
                  <w:tcW w:w="924" w:type="dxa"/>
                  <w:vAlign w:val="center"/>
                </w:tcPr>
                <w:p>
                  <w:pPr>
                    <w:pStyle w:val="31"/>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16" w:type="dxa"/>
                  <w:vMerge w:val="restart"/>
                  <w:vAlign w:val="center"/>
                </w:tcPr>
                <w:p>
                  <w:pPr>
                    <w:pStyle w:val="31"/>
                    <w:spacing w:line="360" w:lineRule="exact"/>
                    <w:rPr>
                      <w:color w:val="000000" w:themeColor="text1"/>
                      <w:szCs w:val="21"/>
                    </w:rPr>
                  </w:pPr>
                  <w:r>
                    <w:rPr>
                      <w:color w:val="000000" w:themeColor="text1"/>
                      <w:szCs w:val="21"/>
                    </w:rPr>
                    <w:t>主体工程</w:t>
                  </w:r>
                </w:p>
              </w:tc>
              <w:tc>
                <w:tcPr>
                  <w:tcW w:w="806" w:type="dxa"/>
                  <w:gridSpan w:val="2"/>
                  <w:vMerge w:val="restart"/>
                  <w:vAlign w:val="center"/>
                </w:tcPr>
                <w:p>
                  <w:pPr>
                    <w:pStyle w:val="31"/>
                    <w:spacing w:line="360" w:lineRule="exact"/>
                    <w:rPr>
                      <w:color w:val="000000" w:themeColor="text1"/>
                      <w:szCs w:val="21"/>
                    </w:rPr>
                  </w:pPr>
                  <w:r>
                    <w:rPr>
                      <w:rFonts w:hint="eastAsia"/>
                      <w:color w:val="000000" w:themeColor="text1"/>
                      <w:szCs w:val="21"/>
                    </w:rPr>
                    <w:t>猪瘟检疫区</w:t>
                  </w:r>
                </w:p>
              </w:tc>
              <w:tc>
                <w:tcPr>
                  <w:tcW w:w="1045" w:type="dxa"/>
                  <w:vAlign w:val="center"/>
                </w:tcPr>
                <w:p>
                  <w:pPr>
                    <w:pStyle w:val="31"/>
                    <w:spacing w:line="360" w:lineRule="exact"/>
                    <w:rPr>
                      <w:color w:val="000000" w:themeColor="text1"/>
                      <w:szCs w:val="21"/>
                    </w:rPr>
                  </w:pPr>
                  <w:r>
                    <w:rPr>
                      <w:rFonts w:hint="eastAsia"/>
                      <w:color w:val="000000" w:themeColor="text1"/>
                      <w:szCs w:val="21"/>
                    </w:rPr>
                    <w:t>待检区</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根据调查，项目区在进厂大门外已设置了建筑面积约为498</w:t>
                  </w:r>
                  <w:r>
                    <w:rPr>
                      <w:color w:val="000000" w:themeColor="text1"/>
                      <w:szCs w:val="21"/>
                    </w:rPr>
                    <w:t>m²</w:t>
                  </w:r>
                  <w:r>
                    <w:rPr>
                      <w:rFonts w:hint="eastAsia"/>
                      <w:color w:val="000000" w:themeColor="text1"/>
                      <w:szCs w:val="21"/>
                    </w:rPr>
                    <w:t>的待检区，对拟进入厂区的生猪运输车辆进行停放，生猪待检。</w:t>
                  </w:r>
                </w:p>
              </w:tc>
              <w:tc>
                <w:tcPr>
                  <w:tcW w:w="924" w:type="dxa"/>
                  <w:vAlign w:val="center"/>
                </w:tcPr>
                <w:p>
                  <w:pPr>
                    <w:pStyle w:val="31"/>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1"/>
                    <w:spacing w:line="360" w:lineRule="exact"/>
                    <w:rPr>
                      <w:color w:val="000000" w:themeColor="text1"/>
                      <w:szCs w:val="21"/>
                    </w:rPr>
                  </w:pPr>
                </w:p>
              </w:tc>
              <w:tc>
                <w:tcPr>
                  <w:tcW w:w="806" w:type="dxa"/>
                  <w:gridSpan w:val="2"/>
                  <w:vMerge w:val="continue"/>
                  <w:vAlign w:val="center"/>
                </w:tcPr>
                <w:p>
                  <w:pPr>
                    <w:pStyle w:val="31"/>
                    <w:spacing w:line="360" w:lineRule="exact"/>
                    <w:rPr>
                      <w:color w:val="000000" w:themeColor="text1"/>
                      <w:szCs w:val="21"/>
                    </w:rPr>
                  </w:pPr>
                </w:p>
              </w:tc>
              <w:tc>
                <w:tcPr>
                  <w:tcW w:w="1045" w:type="dxa"/>
                  <w:vAlign w:val="center"/>
                </w:tcPr>
                <w:p>
                  <w:pPr>
                    <w:pStyle w:val="31"/>
                    <w:spacing w:line="360" w:lineRule="exact"/>
                    <w:rPr>
                      <w:color w:val="000000" w:themeColor="text1"/>
                      <w:szCs w:val="21"/>
                    </w:rPr>
                  </w:pPr>
                  <w:r>
                    <w:rPr>
                      <w:rFonts w:hint="eastAsia"/>
                      <w:color w:val="000000" w:themeColor="text1"/>
                      <w:szCs w:val="21"/>
                    </w:rPr>
                    <w:t>非洲猪瘟检测室</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根据设计，项目拟在大门外1栋建筑面积约为200</w:t>
                  </w:r>
                  <w:r>
                    <w:rPr>
                      <w:color w:val="000000" w:themeColor="text1"/>
                      <w:szCs w:val="21"/>
                    </w:rPr>
                    <w:t>m²</w:t>
                  </w:r>
                  <w:r>
                    <w:rPr>
                      <w:rFonts w:hint="eastAsia"/>
                      <w:color w:val="000000" w:themeColor="text1"/>
                      <w:szCs w:val="21"/>
                    </w:rPr>
                    <w:t>的非洲猪瘟检测室；</w:t>
                  </w:r>
                  <w:r>
                    <w:rPr>
                      <w:color w:val="000000" w:themeColor="text1"/>
                      <w:szCs w:val="21"/>
                    </w:rPr>
                    <w:t>对进入厂区拟屠宰的生猪进行检疫，</w:t>
                  </w:r>
                  <w:r>
                    <w:rPr>
                      <w:rFonts w:hint="eastAsia"/>
                      <w:color w:val="000000" w:themeColor="text1"/>
                      <w:szCs w:val="21"/>
                    </w:rPr>
                    <w:t>检疫合格后方可进厂。</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1"/>
                    <w:spacing w:line="360" w:lineRule="exact"/>
                    <w:rPr>
                      <w:color w:val="000000" w:themeColor="text1"/>
                      <w:szCs w:val="21"/>
                    </w:rPr>
                  </w:pPr>
                </w:p>
              </w:tc>
              <w:tc>
                <w:tcPr>
                  <w:tcW w:w="1851" w:type="dxa"/>
                  <w:gridSpan w:val="3"/>
                  <w:vAlign w:val="center"/>
                </w:tcPr>
                <w:p>
                  <w:pPr>
                    <w:pStyle w:val="31"/>
                    <w:spacing w:line="360" w:lineRule="exact"/>
                    <w:rPr>
                      <w:color w:val="000000" w:themeColor="text1"/>
                      <w:szCs w:val="21"/>
                    </w:rPr>
                  </w:pPr>
                  <w:r>
                    <w:rPr>
                      <w:rFonts w:hint="eastAsia"/>
                      <w:color w:val="000000" w:themeColor="text1"/>
                      <w:szCs w:val="21"/>
                    </w:rPr>
                    <w:t>入场消毒区</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根据设计，项目进场大门分两门设计，一门为运猪车辆出入，另一门为其他车辆出入，分别在进门处采用低洼设计，低洼处放入清水并加入药剂对车辆进行清洗消毒。</w:t>
                  </w:r>
                </w:p>
              </w:tc>
              <w:tc>
                <w:tcPr>
                  <w:tcW w:w="924" w:type="dxa"/>
                  <w:vAlign w:val="center"/>
                </w:tcPr>
                <w:p>
                  <w:pPr>
                    <w:pStyle w:val="31"/>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1"/>
                    <w:spacing w:line="360" w:lineRule="exact"/>
                    <w:rPr>
                      <w:color w:val="000000" w:themeColor="text1"/>
                      <w:szCs w:val="21"/>
                    </w:rPr>
                  </w:pPr>
                </w:p>
              </w:tc>
              <w:tc>
                <w:tcPr>
                  <w:tcW w:w="1851" w:type="dxa"/>
                  <w:gridSpan w:val="3"/>
                  <w:vAlign w:val="center"/>
                </w:tcPr>
                <w:p>
                  <w:pPr>
                    <w:pStyle w:val="31"/>
                    <w:spacing w:line="360" w:lineRule="exact"/>
                    <w:rPr>
                      <w:color w:val="000000" w:themeColor="text1"/>
                      <w:szCs w:val="21"/>
                    </w:rPr>
                  </w:pPr>
                  <w:r>
                    <w:rPr>
                      <w:rFonts w:hint="eastAsia"/>
                      <w:color w:val="000000" w:themeColor="text1"/>
                      <w:szCs w:val="21"/>
                    </w:rPr>
                    <w:t>待宰间</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根据设计，拟对原有待宰间进行改造，改造后待宰间共设置</w:t>
                  </w:r>
                  <w:r>
                    <w:rPr>
                      <w:color w:val="000000" w:themeColor="text1"/>
                      <w:szCs w:val="21"/>
                    </w:rPr>
                    <w:t>1套卸猪平台</w:t>
                  </w:r>
                  <w:r>
                    <w:rPr>
                      <w:rFonts w:hint="eastAsia"/>
                      <w:color w:val="000000" w:themeColor="text1"/>
                      <w:szCs w:val="21"/>
                    </w:rPr>
                    <w:t>、29间</w:t>
                  </w:r>
                  <w:r>
                    <w:rPr>
                      <w:color w:val="000000" w:themeColor="text1"/>
                      <w:szCs w:val="21"/>
                    </w:rPr>
                    <w:t>待宰圈</w:t>
                  </w:r>
                  <w:r>
                    <w:rPr>
                      <w:rFonts w:hint="eastAsia"/>
                      <w:color w:val="000000" w:themeColor="text1"/>
                      <w:szCs w:val="21"/>
                    </w:rPr>
                    <w:t>和</w:t>
                  </w:r>
                  <w:r>
                    <w:rPr>
                      <w:color w:val="000000" w:themeColor="text1"/>
                      <w:szCs w:val="21"/>
                    </w:rPr>
                    <w:t>190m手推线</w:t>
                  </w:r>
                  <w:r>
                    <w:rPr>
                      <w:rFonts w:hint="eastAsia"/>
                      <w:color w:val="000000" w:themeColor="text1"/>
                      <w:szCs w:val="21"/>
                    </w:rPr>
                    <w:t>等，总建筑面积约为800</w:t>
                  </w:r>
                  <w:r>
                    <w:rPr>
                      <w:color w:val="000000" w:themeColor="text1"/>
                      <w:szCs w:val="21"/>
                    </w:rPr>
                    <w:t>m²</w:t>
                  </w:r>
                  <w:r>
                    <w:rPr>
                      <w:rFonts w:hint="eastAsia"/>
                      <w:color w:val="000000" w:themeColor="text1"/>
                      <w:szCs w:val="21"/>
                    </w:rPr>
                    <w:t>；进入厂区的生猪，通过</w:t>
                  </w:r>
                  <w:r>
                    <w:rPr>
                      <w:color w:val="000000" w:themeColor="text1"/>
                      <w:szCs w:val="21"/>
                    </w:rPr>
                    <w:t>1套液压式卸猪平台</w:t>
                  </w:r>
                  <w:r>
                    <w:rPr>
                      <w:rFonts w:hint="eastAsia"/>
                      <w:color w:val="000000" w:themeColor="text1"/>
                      <w:szCs w:val="21"/>
                    </w:rPr>
                    <w:t>卸后，进入</w:t>
                  </w:r>
                  <w:r>
                    <w:rPr>
                      <w:color w:val="000000" w:themeColor="text1"/>
                      <w:szCs w:val="21"/>
                    </w:rPr>
                    <w:t>待宰圈</w:t>
                  </w:r>
                  <w:r>
                    <w:rPr>
                      <w:rFonts w:hint="eastAsia"/>
                      <w:color w:val="000000" w:themeColor="text1"/>
                      <w:szCs w:val="21"/>
                    </w:rPr>
                    <w:t>内静养、待宰。</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1"/>
                    <w:spacing w:line="360" w:lineRule="exact"/>
                    <w:rPr>
                      <w:color w:val="000000" w:themeColor="text1"/>
                      <w:szCs w:val="21"/>
                    </w:rPr>
                  </w:pPr>
                </w:p>
              </w:tc>
              <w:tc>
                <w:tcPr>
                  <w:tcW w:w="806" w:type="dxa"/>
                  <w:gridSpan w:val="2"/>
                  <w:vMerge w:val="restart"/>
                  <w:vAlign w:val="center"/>
                </w:tcPr>
                <w:p>
                  <w:pPr>
                    <w:pStyle w:val="31"/>
                    <w:spacing w:line="360" w:lineRule="exact"/>
                    <w:rPr>
                      <w:color w:val="000000" w:themeColor="text1"/>
                      <w:szCs w:val="21"/>
                    </w:rPr>
                  </w:pPr>
                  <w:r>
                    <w:rPr>
                      <w:rFonts w:hint="eastAsia"/>
                      <w:color w:val="000000" w:themeColor="text1"/>
                      <w:szCs w:val="21"/>
                    </w:rPr>
                    <w:t>屠宰间</w:t>
                  </w:r>
                </w:p>
              </w:tc>
              <w:tc>
                <w:tcPr>
                  <w:tcW w:w="1045" w:type="dxa"/>
                  <w:vAlign w:val="center"/>
                </w:tcPr>
                <w:p>
                  <w:pPr>
                    <w:pStyle w:val="31"/>
                    <w:spacing w:line="360" w:lineRule="exact"/>
                    <w:rPr>
                      <w:color w:val="000000" w:themeColor="text1"/>
                      <w:szCs w:val="21"/>
                    </w:rPr>
                  </w:pPr>
                  <w:r>
                    <w:rPr>
                      <w:rFonts w:hint="eastAsia"/>
                      <w:color w:val="000000" w:themeColor="text1"/>
                      <w:szCs w:val="21"/>
                    </w:rPr>
                    <w:t>刺杀</w:t>
                  </w:r>
                  <w:r>
                    <w:rPr>
                      <w:color w:val="000000" w:themeColor="text1"/>
                      <w:szCs w:val="21"/>
                    </w:rPr>
                    <w:t>放血</w:t>
                  </w:r>
                  <w:r>
                    <w:rPr>
                      <w:rFonts w:hint="eastAsia"/>
                      <w:color w:val="000000" w:themeColor="text1"/>
                      <w:szCs w:val="21"/>
                    </w:rPr>
                    <w:t>区</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根据设计，项目屠宰间建筑面积约为300</w:t>
                  </w:r>
                  <w:r>
                    <w:rPr>
                      <w:color w:val="000000" w:themeColor="text1"/>
                      <w:szCs w:val="21"/>
                    </w:rPr>
                    <w:t>m²</w:t>
                  </w:r>
                  <w:r>
                    <w:rPr>
                      <w:rFonts w:hint="eastAsia"/>
                      <w:color w:val="000000" w:themeColor="text1"/>
                      <w:szCs w:val="21"/>
                    </w:rPr>
                    <w:t>，屠宰间主要分为刺杀</w:t>
                  </w:r>
                  <w:r>
                    <w:rPr>
                      <w:color w:val="000000" w:themeColor="text1"/>
                      <w:szCs w:val="21"/>
                    </w:rPr>
                    <w:t>放血</w:t>
                  </w:r>
                  <w:r>
                    <w:rPr>
                      <w:rFonts w:hint="eastAsia"/>
                      <w:color w:val="000000" w:themeColor="text1"/>
                      <w:szCs w:val="21"/>
                    </w:rPr>
                    <w:t>区、</w:t>
                  </w:r>
                  <w:r>
                    <w:rPr>
                      <w:color w:val="000000" w:themeColor="text1"/>
                      <w:szCs w:val="21"/>
                    </w:rPr>
                    <w:t>褪毛清洗</w:t>
                  </w:r>
                  <w:r>
                    <w:rPr>
                      <w:rFonts w:hint="eastAsia"/>
                      <w:color w:val="000000" w:themeColor="text1"/>
                      <w:szCs w:val="21"/>
                    </w:rPr>
                    <w:t>区和</w:t>
                  </w:r>
                  <w:r>
                    <w:rPr>
                      <w:color w:val="000000" w:themeColor="text1"/>
                      <w:szCs w:val="21"/>
                    </w:rPr>
                    <w:t>开膛分割</w:t>
                  </w:r>
                  <w:r>
                    <w:rPr>
                      <w:rFonts w:hint="eastAsia"/>
                      <w:color w:val="000000" w:themeColor="text1"/>
                      <w:szCs w:val="21"/>
                    </w:rPr>
                    <w:t>及同步检疫区；其中刺杀</w:t>
                  </w:r>
                  <w:r>
                    <w:rPr>
                      <w:color w:val="000000" w:themeColor="text1"/>
                      <w:szCs w:val="21"/>
                    </w:rPr>
                    <w:t>放血</w:t>
                  </w:r>
                  <w:r>
                    <w:rPr>
                      <w:rFonts w:hint="eastAsia"/>
                      <w:color w:val="000000" w:themeColor="text1"/>
                      <w:szCs w:val="21"/>
                    </w:rPr>
                    <w:t>区的建筑面积约为80</w:t>
                  </w:r>
                  <w:r>
                    <w:rPr>
                      <w:color w:val="000000" w:themeColor="text1"/>
                      <w:szCs w:val="21"/>
                    </w:rPr>
                    <w:t>m²</w:t>
                  </w:r>
                  <w:r>
                    <w:rPr>
                      <w:rFonts w:hint="eastAsia"/>
                      <w:color w:val="000000" w:themeColor="text1"/>
                      <w:szCs w:val="21"/>
                    </w:rPr>
                    <w:t>，该区域设置</w:t>
                  </w:r>
                  <w:r>
                    <w:rPr>
                      <w:color w:val="000000" w:themeColor="text1"/>
                      <w:szCs w:val="21"/>
                    </w:rPr>
                    <w:t>升降机</w:t>
                  </w:r>
                  <w:r>
                    <w:rPr>
                      <w:rFonts w:hint="eastAsia"/>
                      <w:color w:val="000000" w:themeColor="text1"/>
                      <w:szCs w:val="21"/>
                    </w:rPr>
                    <w:t>、</w:t>
                  </w:r>
                  <w:r>
                    <w:rPr>
                      <w:color w:val="000000" w:themeColor="text1"/>
                      <w:szCs w:val="21"/>
                    </w:rPr>
                    <w:t>喂入装置</w:t>
                  </w:r>
                  <w:r>
                    <w:rPr>
                      <w:rFonts w:hint="eastAsia"/>
                      <w:color w:val="000000" w:themeColor="text1"/>
                      <w:szCs w:val="21"/>
                    </w:rPr>
                    <w:t>、</w:t>
                  </w:r>
                  <w:r>
                    <w:rPr>
                      <w:color w:val="000000" w:themeColor="text1"/>
                      <w:szCs w:val="21"/>
                    </w:rPr>
                    <w:t>推板式放血自动线</w:t>
                  </w:r>
                  <w:r>
                    <w:rPr>
                      <w:rFonts w:hint="eastAsia"/>
                      <w:color w:val="000000" w:themeColor="text1"/>
                      <w:szCs w:val="21"/>
                    </w:rPr>
                    <w:t>和</w:t>
                  </w:r>
                  <w:r>
                    <w:rPr>
                      <w:color w:val="000000" w:themeColor="text1"/>
                      <w:szCs w:val="21"/>
                    </w:rPr>
                    <w:t>沥血池</w:t>
                  </w:r>
                  <w:r>
                    <w:rPr>
                      <w:rFonts w:hint="eastAsia"/>
                      <w:color w:val="000000" w:themeColor="text1"/>
                      <w:szCs w:val="21"/>
                    </w:rPr>
                    <w:t>等设施将生猪进行剌颈法刺杀放血。</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1"/>
                    <w:spacing w:line="360" w:lineRule="exact"/>
                    <w:rPr>
                      <w:color w:val="000000" w:themeColor="text1"/>
                      <w:szCs w:val="21"/>
                    </w:rPr>
                  </w:pPr>
                </w:p>
              </w:tc>
              <w:tc>
                <w:tcPr>
                  <w:tcW w:w="806" w:type="dxa"/>
                  <w:gridSpan w:val="2"/>
                  <w:vMerge w:val="continue"/>
                  <w:vAlign w:val="center"/>
                </w:tcPr>
                <w:p>
                  <w:pPr>
                    <w:pStyle w:val="31"/>
                    <w:spacing w:line="360" w:lineRule="exact"/>
                    <w:rPr>
                      <w:color w:val="000000" w:themeColor="text1"/>
                      <w:szCs w:val="21"/>
                    </w:rPr>
                  </w:pPr>
                </w:p>
              </w:tc>
              <w:tc>
                <w:tcPr>
                  <w:tcW w:w="1045" w:type="dxa"/>
                  <w:vAlign w:val="center"/>
                </w:tcPr>
                <w:p>
                  <w:pPr>
                    <w:pStyle w:val="31"/>
                    <w:spacing w:line="360" w:lineRule="exact"/>
                    <w:rPr>
                      <w:color w:val="000000" w:themeColor="text1"/>
                      <w:szCs w:val="21"/>
                    </w:rPr>
                  </w:pPr>
                  <w:r>
                    <w:rPr>
                      <w:color w:val="000000" w:themeColor="text1"/>
                      <w:szCs w:val="21"/>
                    </w:rPr>
                    <w:t>褪毛清洗</w:t>
                  </w:r>
                  <w:r>
                    <w:rPr>
                      <w:rFonts w:hint="eastAsia"/>
                      <w:color w:val="000000" w:themeColor="text1"/>
                      <w:szCs w:val="21"/>
                    </w:rPr>
                    <w:t>区</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根据设计，屠宰间内</w:t>
                  </w:r>
                  <w:r>
                    <w:rPr>
                      <w:color w:val="000000" w:themeColor="text1"/>
                      <w:szCs w:val="21"/>
                    </w:rPr>
                    <w:t>褪毛清洗</w:t>
                  </w:r>
                  <w:r>
                    <w:rPr>
                      <w:rFonts w:hint="eastAsia"/>
                      <w:color w:val="000000" w:themeColor="text1"/>
                      <w:szCs w:val="21"/>
                    </w:rPr>
                    <w:t>区建筑面积约为60</w:t>
                  </w:r>
                  <w:r>
                    <w:rPr>
                      <w:color w:val="000000" w:themeColor="text1"/>
                      <w:szCs w:val="21"/>
                    </w:rPr>
                    <w:t>m²</w:t>
                  </w:r>
                  <w:r>
                    <w:rPr>
                      <w:rFonts w:hint="eastAsia"/>
                      <w:color w:val="000000" w:themeColor="text1"/>
                      <w:szCs w:val="21"/>
                    </w:rPr>
                    <w:t>，该区域设置</w:t>
                  </w:r>
                  <w:r>
                    <w:rPr>
                      <w:color w:val="000000" w:themeColor="text1"/>
                      <w:szCs w:val="21"/>
                    </w:rPr>
                    <w:t>落猪器</w:t>
                  </w:r>
                  <w:r>
                    <w:rPr>
                      <w:rFonts w:hint="eastAsia"/>
                      <w:color w:val="000000" w:themeColor="text1"/>
                      <w:szCs w:val="21"/>
                    </w:rPr>
                    <w:t>、</w:t>
                  </w:r>
                  <w:r>
                    <w:rPr>
                      <w:color w:val="000000" w:themeColor="text1"/>
                      <w:szCs w:val="21"/>
                    </w:rPr>
                    <w:t>烫池</w:t>
                  </w:r>
                  <w:r>
                    <w:rPr>
                      <w:rFonts w:hint="eastAsia"/>
                      <w:color w:val="000000" w:themeColor="text1"/>
                      <w:szCs w:val="21"/>
                    </w:rPr>
                    <w:t>、</w:t>
                  </w:r>
                  <w:r>
                    <w:rPr>
                      <w:color w:val="000000" w:themeColor="text1"/>
                      <w:szCs w:val="21"/>
                    </w:rPr>
                    <w:t>刨毛机</w:t>
                  </w:r>
                  <w:r>
                    <w:rPr>
                      <w:rFonts w:hint="eastAsia"/>
                      <w:color w:val="000000" w:themeColor="text1"/>
                      <w:szCs w:val="21"/>
                    </w:rPr>
                    <w:t>、</w:t>
                  </w:r>
                  <w:r>
                    <w:rPr>
                      <w:color w:val="000000" w:themeColor="text1"/>
                      <w:szCs w:val="21"/>
                    </w:rPr>
                    <w:t>清水池</w:t>
                  </w:r>
                  <w:r>
                    <w:rPr>
                      <w:rFonts w:hint="eastAsia"/>
                      <w:color w:val="000000" w:themeColor="text1"/>
                      <w:szCs w:val="21"/>
                    </w:rPr>
                    <w:t>；将经刺杀放血后的猪通过</w:t>
                  </w:r>
                  <w:r>
                    <w:rPr>
                      <w:color w:val="000000" w:themeColor="text1"/>
                      <w:szCs w:val="21"/>
                    </w:rPr>
                    <w:t>落猪器</w:t>
                  </w:r>
                  <w:r>
                    <w:rPr>
                      <w:rFonts w:hint="eastAsia"/>
                      <w:color w:val="000000" w:themeColor="text1"/>
                      <w:szCs w:val="21"/>
                    </w:rPr>
                    <w:t>下房到</w:t>
                  </w:r>
                  <w:r>
                    <w:rPr>
                      <w:color w:val="000000" w:themeColor="text1"/>
                      <w:szCs w:val="21"/>
                    </w:rPr>
                    <w:t>烫池</w:t>
                  </w:r>
                  <w:r>
                    <w:rPr>
                      <w:rFonts w:hint="eastAsia"/>
                      <w:color w:val="000000" w:themeColor="text1"/>
                      <w:szCs w:val="21"/>
                    </w:rPr>
                    <w:t>内进行烫毛、褪毛和清洗。</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1"/>
                    <w:spacing w:line="360" w:lineRule="exact"/>
                    <w:rPr>
                      <w:color w:val="000000" w:themeColor="text1"/>
                      <w:szCs w:val="21"/>
                    </w:rPr>
                  </w:pPr>
                </w:p>
              </w:tc>
              <w:tc>
                <w:tcPr>
                  <w:tcW w:w="806" w:type="dxa"/>
                  <w:gridSpan w:val="2"/>
                  <w:vMerge w:val="continue"/>
                  <w:vAlign w:val="center"/>
                </w:tcPr>
                <w:p>
                  <w:pPr>
                    <w:pStyle w:val="31"/>
                    <w:spacing w:line="360" w:lineRule="exact"/>
                    <w:rPr>
                      <w:color w:val="000000" w:themeColor="text1"/>
                      <w:szCs w:val="21"/>
                    </w:rPr>
                  </w:pPr>
                </w:p>
              </w:tc>
              <w:tc>
                <w:tcPr>
                  <w:tcW w:w="1045" w:type="dxa"/>
                  <w:vAlign w:val="center"/>
                </w:tcPr>
                <w:p>
                  <w:pPr>
                    <w:pStyle w:val="31"/>
                    <w:spacing w:line="360" w:lineRule="exact"/>
                    <w:rPr>
                      <w:color w:val="000000" w:themeColor="text1"/>
                      <w:szCs w:val="21"/>
                    </w:rPr>
                  </w:pPr>
                  <w:r>
                    <w:rPr>
                      <w:color w:val="000000" w:themeColor="text1"/>
                      <w:szCs w:val="21"/>
                    </w:rPr>
                    <w:t>开膛分割</w:t>
                  </w:r>
                  <w:r>
                    <w:rPr>
                      <w:rFonts w:hint="eastAsia"/>
                      <w:color w:val="000000" w:themeColor="text1"/>
                      <w:szCs w:val="21"/>
                    </w:rPr>
                    <w:t>及同步检疫区</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根据设计，屠宰间内</w:t>
                  </w:r>
                  <w:r>
                    <w:rPr>
                      <w:color w:val="000000" w:themeColor="text1"/>
                      <w:szCs w:val="21"/>
                    </w:rPr>
                    <w:t>开膛分割</w:t>
                  </w:r>
                  <w:r>
                    <w:rPr>
                      <w:rFonts w:hint="eastAsia"/>
                      <w:color w:val="000000" w:themeColor="text1"/>
                      <w:szCs w:val="21"/>
                    </w:rPr>
                    <w:t>及同步检疫区筑面积约为160</w:t>
                  </w:r>
                  <w:r>
                    <w:rPr>
                      <w:color w:val="000000" w:themeColor="text1"/>
                      <w:szCs w:val="21"/>
                    </w:rPr>
                    <w:t>m²</w:t>
                  </w:r>
                  <w:r>
                    <w:rPr>
                      <w:rFonts w:hint="eastAsia"/>
                      <w:color w:val="000000" w:themeColor="text1"/>
                      <w:szCs w:val="21"/>
                    </w:rPr>
                    <w:t>，该区域设置</w:t>
                  </w:r>
                  <w:r>
                    <w:rPr>
                      <w:color w:val="000000" w:themeColor="text1"/>
                      <w:szCs w:val="21"/>
                    </w:rPr>
                    <w:t>白条提升机</w:t>
                  </w:r>
                  <w:r>
                    <w:rPr>
                      <w:rFonts w:hint="eastAsia"/>
                      <w:color w:val="000000" w:themeColor="text1"/>
                      <w:szCs w:val="21"/>
                    </w:rPr>
                    <w:t>、</w:t>
                  </w:r>
                  <w:r>
                    <w:rPr>
                      <w:color w:val="000000" w:themeColor="text1"/>
                      <w:szCs w:val="21"/>
                    </w:rPr>
                    <w:t>白条自动切割线</w:t>
                  </w:r>
                  <w:r>
                    <w:rPr>
                      <w:rFonts w:hint="eastAsia"/>
                      <w:color w:val="000000" w:themeColor="text1"/>
                      <w:szCs w:val="21"/>
                    </w:rPr>
                    <w:t>、</w:t>
                  </w:r>
                  <w:r>
                    <w:rPr>
                      <w:color w:val="000000" w:themeColor="text1"/>
                      <w:szCs w:val="21"/>
                    </w:rPr>
                    <w:t>快速转送机</w:t>
                  </w:r>
                  <w:r>
                    <w:rPr>
                      <w:rFonts w:hint="eastAsia"/>
                      <w:color w:val="000000" w:themeColor="text1"/>
                      <w:szCs w:val="21"/>
                    </w:rPr>
                    <w:t>、</w:t>
                  </w:r>
                  <w:r>
                    <w:rPr>
                      <w:color w:val="000000" w:themeColor="text1"/>
                      <w:szCs w:val="21"/>
                    </w:rPr>
                    <w:t>桥式劈半锯</w:t>
                  </w:r>
                  <w:r>
                    <w:rPr>
                      <w:rFonts w:hint="eastAsia"/>
                      <w:color w:val="000000" w:themeColor="text1"/>
                      <w:szCs w:val="21"/>
                    </w:rPr>
                    <w:t>、</w:t>
                  </w:r>
                  <w:r>
                    <w:rPr>
                      <w:color w:val="000000" w:themeColor="text1"/>
                      <w:szCs w:val="21"/>
                    </w:rPr>
                    <w:t>手推线</w:t>
                  </w:r>
                  <w:r>
                    <w:rPr>
                      <w:rFonts w:hint="eastAsia"/>
                      <w:color w:val="000000" w:themeColor="text1"/>
                      <w:szCs w:val="21"/>
                    </w:rPr>
                    <w:t>和</w:t>
                  </w:r>
                  <w:r>
                    <w:rPr>
                      <w:color w:val="000000" w:themeColor="text1"/>
                      <w:szCs w:val="21"/>
                    </w:rPr>
                    <w:t>卫检设施</w:t>
                  </w:r>
                  <w:r>
                    <w:rPr>
                      <w:rFonts w:hint="eastAsia"/>
                      <w:color w:val="000000" w:themeColor="text1"/>
                      <w:szCs w:val="21"/>
                    </w:rPr>
                    <w:t>等设施；将猪内脏各组成部分和猪肉分开并进行检疫。</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Align w:val="center"/>
                </w:tcPr>
                <w:p>
                  <w:pPr>
                    <w:pStyle w:val="31"/>
                    <w:spacing w:line="360" w:lineRule="exact"/>
                    <w:rPr>
                      <w:color w:val="000000" w:themeColor="text1"/>
                      <w:szCs w:val="21"/>
                    </w:rPr>
                  </w:pPr>
                  <w:r>
                    <w:rPr>
                      <w:color w:val="000000" w:themeColor="text1"/>
                      <w:szCs w:val="21"/>
                    </w:rPr>
                    <w:t>储运工程</w:t>
                  </w:r>
                </w:p>
              </w:tc>
              <w:tc>
                <w:tcPr>
                  <w:tcW w:w="1851" w:type="dxa"/>
                  <w:gridSpan w:val="3"/>
                  <w:vAlign w:val="center"/>
                </w:tcPr>
                <w:p>
                  <w:pPr>
                    <w:pStyle w:val="31"/>
                    <w:spacing w:line="360" w:lineRule="exact"/>
                    <w:rPr>
                      <w:color w:val="000000" w:themeColor="text1"/>
                      <w:szCs w:val="21"/>
                    </w:rPr>
                  </w:pPr>
                  <w:r>
                    <w:rPr>
                      <w:rFonts w:hint="eastAsia"/>
                      <w:color w:val="000000" w:themeColor="text1"/>
                      <w:szCs w:val="21"/>
                    </w:rPr>
                    <w:t>鲜销区</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根据设计，项目拟在屠宰间南侧区域设置建筑面积约为400</w:t>
                  </w:r>
                  <w:r>
                    <w:rPr>
                      <w:color w:val="000000" w:themeColor="text1"/>
                      <w:szCs w:val="21"/>
                    </w:rPr>
                    <w:t>m²</w:t>
                  </w:r>
                  <w:r>
                    <w:rPr>
                      <w:rFonts w:hint="eastAsia"/>
                      <w:color w:val="000000" w:themeColor="text1"/>
                      <w:szCs w:val="21"/>
                    </w:rPr>
                    <w:t>的鲜销区，将屠宰后的猪肉和内脏进行装车外运销售。</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shd w:val="clear" w:color="auto" w:fill="auto"/>
                  <w:vAlign w:val="center"/>
                </w:tcPr>
                <w:p>
                  <w:pPr>
                    <w:pStyle w:val="31"/>
                    <w:spacing w:line="360" w:lineRule="exact"/>
                    <w:rPr>
                      <w:color w:val="000000" w:themeColor="text1"/>
                      <w:szCs w:val="21"/>
                    </w:rPr>
                  </w:pPr>
                  <w:r>
                    <w:rPr>
                      <w:color w:val="000000" w:themeColor="text1"/>
                      <w:szCs w:val="21"/>
                    </w:rPr>
                    <w:t>辅助工程</w:t>
                  </w:r>
                </w:p>
              </w:tc>
              <w:tc>
                <w:tcPr>
                  <w:tcW w:w="1851" w:type="dxa"/>
                  <w:gridSpan w:val="3"/>
                  <w:vAlign w:val="center"/>
                </w:tcPr>
                <w:p>
                  <w:pPr>
                    <w:pStyle w:val="31"/>
                    <w:spacing w:line="360" w:lineRule="exact"/>
                    <w:rPr>
                      <w:color w:val="000000" w:themeColor="text1"/>
                      <w:szCs w:val="21"/>
                    </w:rPr>
                  </w:pPr>
                  <w:r>
                    <w:rPr>
                      <w:color w:val="000000" w:themeColor="text1"/>
                      <w:szCs w:val="21"/>
                    </w:rPr>
                    <w:t>办公楼</w:t>
                  </w:r>
                </w:p>
              </w:tc>
              <w:tc>
                <w:tcPr>
                  <w:tcW w:w="5117" w:type="dxa"/>
                  <w:shd w:val="clear" w:color="auto" w:fill="auto"/>
                  <w:vAlign w:val="center"/>
                </w:tcPr>
                <w:p>
                  <w:pPr>
                    <w:pStyle w:val="31"/>
                    <w:spacing w:line="360" w:lineRule="exact"/>
                    <w:ind w:firstLine="210" w:firstLineChars="100"/>
                    <w:jc w:val="both"/>
                    <w:rPr>
                      <w:bCs w:val="0"/>
                      <w:color w:val="000000" w:themeColor="text1"/>
                    </w:rPr>
                  </w:pPr>
                  <w:r>
                    <w:rPr>
                      <w:bCs w:val="0"/>
                      <w:color w:val="000000" w:themeColor="text1"/>
                    </w:rPr>
                    <w:t>根据调查，项目已设置了一栋</w:t>
                  </w:r>
                  <w:r>
                    <w:rPr>
                      <w:rFonts w:hint="eastAsia"/>
                      <w:bCs w:val="0"/>
                      <w:color w:val="000000" w:themeColor="text1"/>
                    </w:rPr>
                    <w:t>4</w:t>
                  </w:r>
                  <w:r>
                    <w:rPr>
                      <w:bCs w:val="0"/>
                      <w:color w:val="000000" w:themeColor="text1"/>
                    </w:rPr>
                    <w:t>层合计约1600m²的办公楼，该办公楼配套办公室、档案室等。</w:t>
                  </w:r>
                </w:p>
                <w:p>
                  <w:pPr>
                    <w:pStyle w:val="31"/>
                    <w:spacing w:line="360" w:lineRule="exact"/>
                    <w:ind w:firstLine="210" w:firstLineChars="100"/>
                    <w:jc w:val="both"/>
                    <w:rPr>
                      <w:bCs w:val="0"/>
                      <w:color w:val="000000" w:themeColor="text1"/>
                    </w:rPr>
                  </w:pPr>
                  <w:r>
                    <w:rPr>
                      <w:rFonts w:hint="eastAsia"/>
                      <w:bCs w:val="0"/>
                      <w:color w:val="000000" w:themeColor="text1"/>
                    </w:rPr>
                    <w:t>项目不设置生活区。</w:t>
                  </w:r>
                </w:p>
              </w:tc>
              <w:tc>
                <w:tcPr>
                  <w:tcW w:w="924" w:type="dxa"/>
                  <w:vAlign w:val="center"/>
                </w:tcPr>
                <w:p>
                  <w:pPr>
                    <w:pStyle w:val="31"/>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1"/>
                    <w:spacing w:line="360" w:lineRule="exact"/>
                    <w:rPr>
                      <w:color w:val="000000" w:themeColor="text1"/>
                      <w:szCs w:val="21"/>
                    </w:rPr>
                  </w:pPr>
                </w:p>
              </w:tc>
              <w:tc>
                <w:tcPr>
                  <w:tcW w:w="1851" w:type="dxa"/>
                  <w:gridSpan w:val="3"/>
                  <w:vAlign w:val="center"/>
                </w:tcPr>
                <w:p>
                  <w:pPr>
                    <w:pStyle w:val="31"/>
                    <w:spacing w:line="360" w:lineRule="exact"/>
                    <w:rPr>
                      <w:color w:val="000000" w:themeColor="text1"/>
                      <w:szCs w:val="21"/>
                    </w:rPr>
                  </w:pPr>
                  <w:r>
                    <w:rPr>
                      <w:rFonts w:hint="eastAsia"/>
                      <w:color w:val="000000" w:themeColor="text1"/>
                      <w:szCs w:val="21"/>
                    </w:rPr>
                    <w:t>蒸气供应室</w:t>
                  </w:r>
                </w:p>
              </w:tc>
              <w:tc>
                <w:tcPr>
                  <w:tcW w:w="5117" w:type="dxa"/>
                  <w:shd w:val="clear" w:color="auto" w:fill="auto"/>
                  <w:vAlign w:val="center"/>
                </w:tcPr>
                <w:p>
                  <w:pPr>
                    <w:pStyle w:val="31"/>
                    <w:spacing w:line="360" w:lineRule="exact"/>
                    <w:ind w:firstLine="210" w:firstLineChars="100"/>
                    <w:jc w:val="both"/>
                    <w:rPr>
                      <w:bCs w:val="0"/>
                      <w:color w:val="000000" w:themeColor="text1"/>
                    </w:rPr>
                  </w:pPr>
                  <w:r>
                    <w:rPr>
                      <w:rFonts w:hint="eastAsia"/>
                      <w:bCs w:val="0"/>
                      <w:color w:val="000000" w:themeColor="text1"/>
                    </w:rPr>
                    <w:t>根据设计，项目拟设置1间10</w:t>
                  </w:r>
                  <w:r>
                    <w:rPr>
                      <w:bCs w:val="0"/>
                      <w:color w:val="000000" w:themeColor="text1"/>
                    </w:rPr>
                    <w:t>m²</w:t>
                  </w:r>
                  <w:r>
                    <w:rPr>
                      <w:rFonts w:hint="eastAsia"/>
                      <w:bCs w:val="0"/>
                      <w:color w:val="000000" w:themeColor="text1"/>
                    </w:rPr>
                    <w:t>蒸气供应室，内配套设置1</w:t>
                  </w:r>
                  <w:r>
                    <w:rPr>
                      <w:bCs w:val="0"/>
                      <w:color w:val="000000" w:themeColor="text1"/>
                    </w:rPr>
                    <w:t>台</w:t>
                  </w:r>
                  <w:r>
                    <w:rPr>
                      <w:rFonts w:hint="eastAsia"/>
                      <w:bCs w:val="0"/>
                      <w:color w:val="000000" w:themeColor="text1"/>
                    </w:rPr>
                    <w:t>型号为LDR60，蒸气量为85kg/h的电蒸气发生器对</w:t>
                  </w:r>
                  <w:r>
                    <w:rPr>
                      <w:bCs w:val="0"/>
                      <w:color w:val="000000" w:themeColor="text1"/>
                    </w:rPr>
                    <w:t>褪毛</w:t>
                  </w:r>
                  <w:r>
                    <w:rPr>
                      <w:rFonts w:hint="eastAsia"/>
                      <w:bCs w:val="0"/>
                      <w:color w:val="000000" w:themeColor="text1"/>
                    </w:rPr>
                    <w:t>工序提供蒸气。</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1"/>
                    <w:spacing w:line="360" w:lineRule="exact"/>
                    <w:rPr>
                      <w:color w:val="000000" w:themeColor="text1"/>
                      <w:szCs w:val="21"/>
                    </w:rPr>
                  </w:pPr>
                </w:p>
              </w:tc>
              <w:tc>
                <w:tcPr>
                  <w:tcW w:w="1851" w:type="dxa"/>
                  <w:gridSpan w:val="3"/>
                  <w:vAlign w:val="center"/>
                </w:tcPr>
                <w:p>
                  <w:pPr>
                    <w:pStyle w:val="31"/>
                    <w:spacing w:line="360" w:lineRule="exact"/>
                    <w:rPr>
                      <w:color w:val="000000" w:themeColor="text1"/>
                      <w:szCs w:val="21"/>
                    </w:rPr>
                  </w:pPr>
                  <w:r>
                    <w:rPr>
                      <w:rFonts w:hint="eastAsia"/>
                      <w:color w:val="000000" w:themeColor="text1"/>
                      <w:szCs w:val="21"/>
                    </w:rPr>
                    <w:t>卫检室</w:t>
                  </w:r>
                </w:p>
              </w:tc>
              <w:tc>
                <w:tcPr>
                  <w:tcW w:w="5117" w:type="dxa"/>
                  <w:shd w:val="clear" w:color="auto" w:fill="auto"/>
                  <w:vAlign w:val="center"/>
                </w:tcPr>
                <w:p>
                  <w:pPr>
                    <w:pStyle w:val="31"/>
                    <w:spacing w:line="360" w:lineRule="exact"/>
                    <w:ind w:firstLine="210" w:firstLineChars="100"/>
                    <w:jc w:val="both"/>
                    <w:rPr>
                      <w:bCs w:val="0"/>
                      <w:color w:val="000000" w:themeColor="text1"/>
                    </w:rPr>
                  </w:pPr>
                  <w:r>
                    <w:rPr>
                      <w:rFonts w:hint="eastAsia"/>
                      <w:bCs w:val="0"/>
                      <w:color w:val="000000" w:themeColor="text1"/>
                    </w:rPr>
                    <w:t>根据设计，项目按照防疫部门的要求拟设置1间10</w:t>
                  </w:r>
                  <w:r>
                    <w:rPr>
                      <w:bCs w:val="0"/>
                      <w:color w:val="000000" w:themeColor="text1"/>
                    </w:rPr>
                    <w:t>m²的</w:t>
                  </w:r>
                  <w:r>
                    <w:rPr>
                      <w:rFonts w:hint="eastAsia"/>
                      <w:bCs w:val="0"/>
                      <w:color w:val="000000" w:themeColor="text1"/>
                    </w:rPr>
                    <w:t>卫检室，不定期对猪体内旋毛虫进行检测。</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1"/>
                    <w:spacing w:line="360" w:lineRule="exact"/>
                    <w:rPr>
                      <w:color w:val="000000" w:themeColor="text1"/>
                      <w:szCs w:val="21"/>
                    </w:rPr>
                  </w:pPr>
                </w:p>
              </w:tc>
              <w:tc>
                <w:tcPr>
                  <w:tcW w:w="1851" w:type="dxa"/>
                  <w:gridSpan w:val="3"/>
                  <w:vAlign w:val="center"/>
                </w:tcPr>
                <w:p>
                  <w:pPr>
                    <w:pStyle w:val="31"/>
                    <w:spacing w:line="360" w:lineRule="exact"/>
                    <w:rPr>
                      <w:color w:val="000000" w:themeColor="text1"/>
                      <w:szCs w:val="21"/>
                    </w:rPr>
                  </w:pPr>
                  <w:r>
                    <w:rPr>
                      <w:rFonts w:hint="eastAsia"/>
                      <w:color w:val="000000" w:themeColor="text1"/>
                      <w:szCs w:val="21"/>
                    </w:rPr>
                    <w:t>更衣消毒室</w:t>
                  </w:r>
                </w:p>
              </w:tc>
              <w:tc>
                <w:tcPr>
                  <w:tcW w:w="5117" w:type="dxa"/>
                  <w:shd w:val="clear" w:color="auto" w:fill="auto"/>
                  <w:vAlign w:val="center"/>
                </w:tcPr>
                <w:p>
                  <w:pPr>
                    <w:pStyle w:val="31"/>
                    <w:spacing w:line="360" w:lineRule="exact"/>
                    <w:ind w:firstLine="210" w:firstLineChars="100"/>
                    <w:jc w:val="both"/>
                    <w:rPr>
                      <w:bCs w:val="0"/>
                      <w:color w:val="000000" w:themeColor="text1"/>
                    </w:rPr>
                  </w:pPr>
                  <w:r>
                    <w:rPr>
                      <w:rFonts w:hint="eastAsia"/>
                      <w:bCs w:val="0"/>
                      <w:color w:val="000000" w:themeColor="text1"/>
                    </w:rPr>
                    <w:t>根据设计，项目拟设置30</w:t>
                  </w:r>
                  <w:r>
                    <w:rPr>
                      <w:bCs w:val="0"/>
                      <w:color w:val="000000" w:themeColor="text1"/>
                    </w:rPr>
                    <w:t>m²的</w:t>
                  </w:r>
                  <w:r>
                    <w:rPr>
                      <w:rFonts w:hint="eastAsia"/>
                      <w:bCs w:val="0"/>
                      <w:color w:val="000000" w:themeColor="text1"/>
                    </w:rPr>
                    <w:t>更衣消毒室，对拟进入屠宰车间的员工进行沐浴、更衣和消毒。</w:t>
                  </w:r>
                </w:p>
              </w:tc>
              <w:tc>
                <w:tcPr>
                  <w:tcW w:w="924" w:type="dxa"/>
                  <w:vAlign w:val="center"/>
                </w:tcPr>
                <w:p>
                  <w:pPr>
                    <w:pStyle w:val="31"/>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vAlign w:val="center"/>
                </w:tcPr>
                <w:p>
                  <w:pPr>
                    <w:pStyle w:val="31"/>
                    <w:spacing w:line="360" w:lineRule="exact"/>
                    <w:rPr>
                      <w:color w:val="000000" w:themeColor="text1"/>
                      <w:szCs w:val="21"/>
                    </w:rPr>
                  </w:pPr>
                  <w:r>
                    <w:rPr>
                      <w:color w:val="000000" w:themeColor="text1"/>
                      <w:szCs w:val="21"/>
                    </w:rPr>
                    <w:t>公用工程</w:t>
                  </w:r>
                </w:p>
              </w:tc>
              <w:tc>
                <w:tcPr>
                  <w:tcW w:w="1851" w:type="dxa"/>
                  <w:gridSpan w:val="3"/>
                  <w:vAlign w:val="center"/>
                </w:tcPr>
                <w:p>
                  <w:pPr>
                    <w:pStyle w:val="31"/>
                    <w:spacing w:line="360" w:lineRule="exact"/>
                    <w:rPr>
                      <w:color w:val="000000" w:themeColor="text1"/>
                      <w:szCs w:val="21"/>
                    </w:rPr>
                  </w:pPr>
                  <w:r>
                    <w:rPr>
                      <w:color w:val="000000" w:themeColor="text1"/>
                      <w:szCs w:val="21"/>
                    </w:rPr>
                    <w:t>供电</w:t>
                  </w:r>
                </w:p>
              </w:tc>
              <w:tc>
                <w:tcPr>
                  <w:tcW w:w="5117" w:type="dxa"/>
                  <w:vAlign w:val="center"/>
                </w:tcPr>
                <w:p>
                  <w:pPr>
                    <w:pStyle w:val="31"/>
                    <w:spacing w:line="360" w:lineRule="exact"/>
                    <w:ind w:firstLine="210" w:firstLineChars="100"/>
                    <w:jc w:val="both"/>
                    <w:rPr>
                      <w:bCs w:val="0"/>
                      <w:color w:val="000000" w:themeColor="text1"/>
                    </w:rPr>
                  </w:pPr>
                  <w:r>
                    <w:rPr>
                      <w:bCs w:val="0"/>
                      <w:color w:val="000000" w:themeColor="text1"/>
                    </w:rPr>
                    <w:t>项目各系统均采用电能，供电由电力公司供给。</w:t>
                  </w:r>
                  <w:r>
                    <w:rPr>
                      <w:rFonts w:hint="eastAsia"/>
                      <w:bCs w:val="0"/>
                      <w:color w:val="000000" w:themeColor="text1"/>
                    </w:rPr>
                    <w:t>项目区内设置1个配电室。</w:t>
                  </w:r>
                </w:p>
              </w:tc>
              <w:tc>
                <w:tcPr>
                  <w:tcW w:w="924"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1851" w:type="dxa"/>
                  <w:gridSpan w:val="3"/>
                  <w:vAlign w:val="center"/>
                </w:tcPr>
                <w:p>
                  <w:pPr>
                    <w:pStyle w:val="31"/>
                    <w:spacing w:line="360" w:lineRule="exact"/>
                    <w:rPr>
                      <w:color w:val="000000" w:themeColor="text1"/>
                      <w:szCs w:val="21"/>
                    </w:rPr>
                  </w:pPr>
                  <w:r>
                    <w:rPr>
                      <w:color w:val="000000" w:themeColor="text1"/>
                      <w:szCs w:val="21"/>
                    </w:rPr>
                    <w:t>给水</w:t>
                  </w:r>
                </w:p>
              </w:tc>
              <w:tc>
                <w:tcPr>
                  <w:tcW w:w="5117" w:type="dxa"/>
                  <w:vAlign w:val="center"/>
                </w:tcPr>
                <w:p>
                  <w:pPr>
                    <w:pStyle w:val="31"/>
                    <w:spacing w:line="360" w:lineRule="exact"/>
                    <w:ind w:firstLine="210" w:firstLineChars="100"/>
                    <w:jc w:val="both"/>
                    <w:rPr>
                      <w:bCs w:val="0"/>
                      <w:color w:val="000000" w:themeColor="text1"/>
                    </w:rPr>
                  </w:pPr>
                  <w:r>
                    <w:rPr>
                      <w:bCs w:val="0"/>
                      <w:color w:val="000000" w:themeColor="text1"/>
                    </w:rPr>
                    <w:t>项目生活及生产用水均来源于</w:t>
                  </w:r>
                  <w:r>
                    <w:rPr>
                      <w:rFonts w:hint="eastAsia"/>
                      <w:bCs w:val="0"/>
                      <w:color w:val="000000" w:themeColor="text1"/>
                    </w:rPr>
                    <w:t>自来水</w:t>
                  </w:r>
                  <w:r>
                    <w:rPr>
                      <w:bCs w:val="0"/>
                      <w:color w:val="000000" w:themeColor="text1"/>
                    </w:rPr>
                    <w:t>，可满足需要。</w:t>
                  </w:r>
                </w:p>
              </w:tc>
              <w:tc>
                <w:tcPr>
                  <w:tcW w:w="924"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1851" w:type="dxa"/>
                  <w:gridSpan w:val="3"/>
                  <w:vAlign w:val="center"/>
                </w:tcPr>
                <w:p>
                  <w:pPr>
                    <w:pStyle w:val="31"/>
                    <w:spacing w:line="360" w:lineRule="exact"/>
                    <w:rPr>
                      <w:color w:val="000000" w:themeColor="text1"/>
                      <w:szCs w:val="21"/>
                    </w:rPr>
                  </w:pPr>
                  <w:r>
                    <w:rPr>
                      <w:color w:val="000000" w:themeColor="text1"/>
                      <w:szCs w:val="21"/>
                    </w:rPr>
                    <w:t>排水</w:t>
                  </w:r>
                </w:p>
              </w:tc>
              <w:tc>
                <w:tcPr>
                  <w:tcW w:w="5117" w:type="dxa"/>
                  <w:vAlign w:val="center"/>
                </w:tcPr>
                <w:p>
                  <w:pPr>
                    <w:pStyle w:val="31"/>
                    <w:spacing w:line="360" w:lineRule="exact"/>
                    <w:ind w:firstLine="210" w:firstLineChars="100"/>
                    <w:jc w:val="both"/>
                    <w:rPr>
                      <w:bCs w:val="0"/>
                      <w:color w:val="000000" w:themeColor="text1"/>
                    </w:rPr>
                  </w:pPr>
                  <w:r>
                    <w:rPr>
                      <w:bCs w:val="0"/>
                      <w:color w:val="000000" w:themeColor="text1"/>
                    </w:rPr>
                    <w:t>排水采用雨污分流制。</w:t>
                  </w:r>
                  <w:r>
                    <w:rPr>
                      <w:rFonts w:hint="eastAsia"/>
                      <w:bCs w:val="0"/>
                      <w:color w:val="000000" w:themeColor="text1"/>
                    </w:rPr>
                    <w:t>项目产生的综合废水（生产废水、消毒废水、生活污水和初期雨水）经厂区污水处理站处理达到《农田灌溉水质标准》（GB5084-2021）后用于项目区周围农田（旱地作物）灌溉，不直接排入环境。</w:t>
                  </w:r>
                </w:p>
              </w:tc>
              <w:tc>
                <w:tcPr>
                  <w:tcW w:w="924"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vAlign w:val="center"/>
                </w:tcPr>
                <w:p>
                  <w:pPr>
                    <w:pStyle w:val="31"/>
                    <w:spacing w:line="360" w:lineRule="exact"/>
                    <w:rPr>
                      <w:color w:val="000000" w:themeColor="text1"/>
                      <w:szCs w:val="21"/>
                    </w:rPr>
                  </w:pPr>
                  <w:r>
                    <w:rPr>
                      <w:color w:val="000000" w:themeColor="text1"/>
                      <w:szCs w:val="21"/>
                    </w:rPr>
                    <w:t>环保工程</w:t>
                  </w:r>
                </w:p>
              </w:tc>
              <w:tc>
                <w:tcPr>
                  <w:tcW w:w="1851" w:type="dxa"/>
                  <w:gridSpan w:val="3"/>
                  <w:vAlign w:val="center"/>
                </w:tcPr>
                <w:p>
                  <w:pPr>
                    <w:pStyle w:val="31"/>
                    <w:spacing w:line="360" w:lineRule="exact"/>
                    <w:rPr>
                      <w:color w:val="000000" w:themeColor="text1"/>
                      <w:szCs w:val="21"/>
                    </w:rPr>
                  </w:pPr>
                  <w:r>
                    <w:rPr>
                      <w:color w:val="000000" w:themeColor="text1"/>
                      <w:szCs w:val="21"/>
                    </w:rPr>
                    <w:t>雨污分流</w:t>
                  </w:r>
                </w:p>
              </w:tc>
              <w:tc>
                <w:tcPr>
                  <w:tcW w:w="5117" w:type="dxa"/>
                  <w:vAlign w:val="center"/>
                </w:tcPr>
                <w:p>
                  <w:pPr>
                    <w:pStyle w:val="31"/>
                    <w:spacing w:line="360" w:lineRule="exact"/>
                    <w:ind w:firstLine="210" w:firstLineChars="100"/>
                    <w:jc w:val="both"/>
                    <w:rPr>
                      <w:bCs w:val="0"/>
                      <w:color w:val="000000" w:themeColor="text1"/>
                    </w:rPr>
                  </w:pPr>
                  <w:r>
                    <w:rPr>
                      <w:bCs w:val="0"/>
                      <w:color w:val="000000" w:themeColor="text1"/>
                    </w:rPr>
                    <w:t>根据调查，项目区已设置了雨污分流设施。</w:t>
                  </w:r>
                </w:p>
              </w:tc>
              <w:tc>
                <w:tcPr>
                  <w:tcW w:w="924" w:type="dxa"/>
                  <w:vAlign w:val="center"/>
                </w:tcPr>
                <w:p>
                  <w:pPr>
                    <w:pStyle w:val="31"/>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restart"/>
                  <w:vAlign w:val="center"/>
                </w:tcPr>
                <w:p>
                  <w:pPr>
                    <w:pStyle w:val="31"/>
                    <w:spacing w:line="360" w:lineRule="exact"/>
                    <w:rPr>
                      <w:color w:val="000000" w:themeColor="text1"/>
                      <w:szCs w:val="21"/>
                    </w:rPr>
                  </w:pPr>
                  <w:r>
                    <w:rPr>
                      <w:color w:val="000000" w:themeColor="text1"/>
                      <w:szCs w:val="21"/>
                    </w:rPr>
                    <w:t>废水</w:t>
                  </w:r>
                </w:p>
              </w:tc>
              <w:tc>
                <w:tcPr>
                  <w:tcW w:w="1147"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初期雨水收集池</w:t>
                  </w:r>
                </w:p>
              </w:tc>
              <w:tc>
                <w:tcPr>
                  <w:tcW w:w="5117" w:type="dxa"/>
                  <w:vAlign w:val="center"/>
                </w:tcPr>
                <w:p>
                  <w:pPr>
                    <w:pStyle w:val="31"/>
                    <w:spacing w:line="360" w:lineRule="exact"/>
                    <w:ind w:firstLine="210" w:firstLineChars="100"/>
                    <w:jc w:val="both"/>
                    <w:rPr>
                      <w:bCs w:val="0"/>
                      <w:color w:val="000000" w:themeColor="text1"/>
                    </w:rPr>
                  </w:pPr>
                  <w:r>
                    <w:rPr>
                      <w:bCs w:val="0"/>
                      <w:color w:val="000000" w:themeColor="text1"/>
                    </w:rPr>
                    <w:t>根据设计，该改建项目拟配套设置了1个160m³的初期雨水收集池，</w:t>
                  </w:r>
                  <w:r>
                    <w:rPr>
                      <w:rFonts w:hint="eastAsia"/>
                      <w:bCs w:val="0"/>
                      <w:color w:val="000000" w:themeColor="text1"/>
                    </w:rPr>
                    <w:t>该</w:t>
                  </w:r>
                  <w:r>
                    <w:rPr>
                      <w:bCs w:val="0"/>
                      <w:color w:val="000000" w:themeColor="text1"/>
                    </w:rPr>
                    <w:t>初期雨水收集池</w:t>
                  </w:r>
                  <w:r>
                    <w:rPr>
                      <w:rFonts w:hint="eastAsia"/>
                      <w:bCs w:val="0"/>
                      <w:color w:val="000000" w:themeColor="text1"/>
                    </w:rPr>
                    <w:t>位于项目区北侧地势较低处，</w:t>
                  </w:r>
                  <w:r>
                    <w:rPr>
                      <w:bCs w:val="0"/>
                      <w:color w:val="000000" w:themeColor="text1"/>
                    </w:rPr>
                    <w:t>对</w:t>
                  </w:r>
                  <w:r>
                    <w:rPr>
                      <w:rFonts w:hint="eastAsia"/>
                      <w:bCs w:val="0"/>
                      <w:color w:val="000000" w:themeColor="text1"/>
                    </w:rPr>
                    <w:t>整个</w:t>
                  </w:r>
                  <w:r>
                    <w:rPr>
                      <w:bCs w:val="0"/>
                      <w:color w:val="000000" w:themeColor="text1"/>
                    </w:rPr>
                    <w:t>厂区的初期雨水收集后进入污水处理站处理，处理后用于项目区周围农田（旱地作物）灌溉，不直接排入环境。</w:t>
                  </w:r>
                </w:p>
              </w:tc>
              <w:tc>
                <w:tcPr>
                  <w:tcW w:w="924" w:type="dxa"/>
                  <w:vAlign w:val="center"/>
                </w:tcPr>
                <w:p>
                  <w:pPr>
                    <w:pStyle w:val="31"/>
                    <w:spacing w:line="360" w:lineRule="exact"/>
                    <w:rPr>
                      <w:color w:val="000000" w:themeColor="text1"/>
                      <w:szCs w:val="21"/>
                    </w:rPr>
                  </w:pPr>
                  <w:r>
                    <w:rPr>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continue"/>
                  <w:vAlign w:val="center"/>
                </w:tcPr>
                <w:p>
                  <w:pPr>
                    <w:pStyle w:val="31"/>
                    <w:spacing w:line="360" w:lineRule="exact"/>
                    <w:rPr>
                      <w:color w:val="000000" w:themeColor="text1"/>
                      <w:szCs w:val="21"/>
                    </w:rPr>
                  </w:pPr>
                </w:p>
              </w:tc>
              <w:tc>
                <w:tcPr>
                  <w:tcW w:w="1147" w:type="dxa"/>
                  <w:gridSpan w:val="2"/>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化粪池</w:t>
                  </w:r>
                </w:p>
              </w:tc>
              <w:tc>
                <w:tcPr>
                  <w:tcW w:w="5117" w:type="dxa"/>
                  <w:vAlign w:val="center"/>
                </w:tcPr>
                <w:p>
                  <w:pPr>
                    <w:pStyle w:val="31"/>
                    <w:spacing w:line="360" w:lineRule="exact"/>
                    <w:ind w:firstLine="210" w:firstLineChars="100"/>
                    <w:jc w:val="both"/>
                    <w:rPr>
                      <w:bCs w:val="0"/>
                      <w:color w:val="000000" w:themeColor="text1"/>
                    </w:rPr>
                  </w:pPr>
                  <w:r>
                    <w:rPr>
                      <w:bCs w:val="0"/>
                      <w:color w:val="000000" w:themeColor="text1"/>
                    </w:rPr>
                    <w:t>根据调查，项目</w:t>
                  </w:r>
                  <w:r>
                    <w:rPr>
                      <w:rFonts w:hint="eastAsia"/>
                      <w:bCs w:val="0"/>
                      <w:color w:val="000000" w:themeColor="text1"/>
                    </w:rPr>
                    <w:t>针对办公楼</w:t>
                  </w:r>
                  <w:r>
                    <w:rPr>
                      <w:bCs w:val="0"/>
                      <w:color w:val="000000" w:themeColor="text1"/>
                    </w:rPr>
                    <w:t>已设置了1</w:t>
                  </w:r>
                  <w:r>
                    <w:rPr>
                      <w:rFonts w:hint="eastAsia"/>
                      <w:bCs w:val="0"/>
                      <w:color w:val="000000" w:themeColor="text1"/>
                    </w:rPr>
                    <w:t>个</w:t>
                  </w:r>
                  <w:r>
                    <w:rPr>
                      <w:bCs w:val="0"/>
                      <w:color w:val="000000" w:themeColor="text1"/>
                    </w:rPr>
                    <w:t>有效容积均为</w:t>
                  </w:r>
                  <w:r>
                    <w:rPr>
                      <w:rFonts w:hint="eastAsia"/>
                      <w:bCs w:val="0"/>
                      <w:color w:val="000000" w:themeColor="text1"/>
                    </w:rPr>
                    <w:t>6</w:t>
                  </w:r>
                  <w:r>
                    <w:rPr>
                      <w:bCs w:val="0"/>
                      <w:color w:val="000000" w:themeColor="text1"/>
                    </w:rPr>
                    <w:t>m³的化粪池对生活污水进行</w:t>
                  </w:r>
                  <w:r>
                    <w:rPr>
                      <w:rFonts w:hint="eastAsia"/>
                      <w:bCs w:val="0"/>
                      <w:color w:val="000000" w:themeColor="text1"/>
                    </w:rPr>
                    <w:t>预</w:t>
                  </w:r>
                  <w:r>
                    <w:rPr>
                      <w:bCs w:val="0"/>
                      <w:color w:val="000000" w:themeColor="text1"/>
                    </w:rPr>
                    <w:t>处理</w:t>
                  </w:r>
                  <w:r>
                    <w:rPr>
                      <w:rFonts w:hint="eastAsia"/>
                      <w:bCs w:val="0"/>
                      <w:color w:val="000000" w:themeColor="text1"/>
                    </w:rPr>
                    <w:t>。</w:t>
                  </w:r>
                </w:p>
              </w:tc>
              <w:tc>
                <w:tcPr>
                  <w:tcW w:w="924" w:type="dxa"/>
                  <w:vAlign w:val="center"/>
                </w:tcPr>
                <w:p>
                  <w:pPr>
                    <w:pStyle w:val="31"/>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continue"/>
                  <w:vAlign w:val="center"/>
                </w:tcPr>
                <w:p>
                  <w:pPr>
                    <w:pStyle w:val="31"/>
                    <w:spacing w:line="360" w:lineRule="exact"/>
                    <w:rPr>
                      <w:color w:val="000000" w:themeColor="text1"/>
                      <w:szCs w:val="21"/>
                    </w:rPr>
                  </w:pPr>
                </w:p>
              </w:tc>
              <w:tc>
                <w:tcPr>
                  <w:tcW w:w="1147" w:type="dxa"/>
                  <w:gridSpan w:val="2"/>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污水处理站</w:t>
                  </w:r>
                </w:p>
              </w:tc>
              <w:tc>
                <w:tcPr>
                  <w:tcW w:w="5117" w:type="dxa"/>
                  <w:vAlign w:val="center"/>
                </w:tcPr>
                <w:p>
                  <w:pPr>
                    <w:pStyle w:val="31"/>
                    <w:spacing w:line="360" w:lineRule="exact"/>
                    <w:ind w:firstLine="210" w:firstLineChars="100"/>
                    <w:jc w:val="both"/>
                    <w:rPr>
                      <w:bCs w:val="0"/>
                      <w:color w:val="000000" w:themeColor="text1"/>
                    </w:rPr>
                  </w:pPr>
                  <w:r>
                    <w:rPr>
                      <w:bCs w:val="0"/>
                      <w:color w:val="000000" w:themeColor="text1"/>
                    </w:rPr>
                    <w:t>根据设计，</w:t>
                  </w:r>
                  <w:r>
                    <w:rPr>
                      <w:rFonts w:hint="eastAsia"/>
                      <w:bCs w:val="0"/>
                      <w:color w:val="000000" w:themeColor="text1"/>
                    </w:rPr>
                    <w:t>由于现有污水处理站设施老化，其处理效率不高，因此项目拟对现有污水处理站的处理设施进行改造，改造后污水处理站的处理能力达到150</w:t>
                  </w:r>
                  <w:r>
                    <w:rPr>
                      <w:bCs w:val="0"/>
                      <w:color w:val="000000" w:themeColor="text1"/>
                    </w:rPr>
                    <w:t>m³/d</w:t>
                  </w:r>
                  <w:r>
                    <w:rPr>
                      <w:rFonts w:hint="eastAsia"/>
                      <w:bCs w:val="0"/>
                      <w:color w:val="000000" w:themeColor="text1"/>
                    </w:rPr>
                    <w:t>，其处理工艺采用“格栅+曝气调节+气浮+厌氧池+缺氧池+一级接触氧化+水解酸化+二级接触氧化+二沉池+清水池”。处理后的综合污水可达到《农田灌溉水质标准》（GB5084-2021）标准限值要求。</w:t>
                  </w:r>
                </w:p>
              </w:tc>
              <w:tc>
                <w:tcPr>
                  <w:tcW w:w="924" w:type="dxa"/>
                  <w:vAlign w:val="center"/>
                </w:tcPr>
                <w:p>
                  <w:pPr>
                    <w:pStyle w:val="31"/>
                    <w:spacing w:line="360" w:lineRule="exact"/>
                    <w:rPr>
                      <w:color w:val="000000" w:themeColor="text1"/>
                      <w:szCs w:val="21"/>
                    </w:rPr>
                  </w:pPr>
                  <w:r>
                    <w:rPr>
                      <w:rFonts w:hint="eastAsia"/>
                      <w:color w:val="000000" w:themeColor="text1"/>
                      <w:szCs w:val="21"/>
                    </w:rPr>
                    <w:t>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地下水防渗</w:t>
                  </w:r>
                </w:p>
              </w:tc>
              <w:tc>
                <w:tcPr>
                  <w:tcW w:w="1147"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重点防渗区</w:t>
                  </w:r>
                </w:p>
              </w:tc>
              <w:tc>
                <w:tcPr>
                  <w:tcW w:w="5117" w:type="dxa"/>
                  <w:vAlign w:val="center"/>
                </w:tcPr>
                <w:p>
                  <w:pPr>
                    <w:pStyle w:val="31"/>
                    <w:spacing w:line="360" w:lineRule="exact"/>
                    <w:ind w:firstLine="210" w:firstLineChars="100"/>
                    <w:jc w:val="both"/>
                    <w:rPr>
                      <w:color w:val="000000" w:themeColor="text1"/>
                      <w:szCs w:val="21"/>
                    </w:rPr>
                  </w:pPr>
                  <w:r>
                    <w:rPr>
                      <w:color w:val="000000" w:themeColor="text1"/>
                      <w:szCs w:val="21"/>
                    </w:rPr>
                    <w:t>项目重点防渗区为医疗废物暂存间和发酵池：医疗废物暂存间地面</w:t>
                  </w:r>
                  <w:r>
                    <w:rPr>
                      <w:rFonts w:hint="eastAsia"/>
                      <w:color w:val="000000" w:themeColor="text1"/>
                      <w:szCs w:val="21"/>
                    </w:rPr>
                    <w:t>、</w:t>
                  </w:r>
                  <w:r>
                    <w:rPr>
                      <w:color w:val="000000" w:themeColor="text1"/>
                      <w:szCs w:val="21"/>
                    </w:rPr>
                    <w:t>裙墙</w:t>
                  </w:r>
                  <w:r>
                    <w:rPr>
                      <w:rFonts w:hint="eastAsia"/>
                      <w:color w:val="000000" w:themeColor="text1"/>
                      <w:szCs w:val="21"/>
                    </w:rPr>
                    <w:t>以及发酵池内部</w:t>
                  </w:r>
                  <w:r>
                    <w:rPr>
                      <w:color w:val="000000" w:themeColor="text1"/>
                      <w:szCs w:val="21"/>
                    </w:rPr>
                    <w:t>应采用2mm厚的HDPE膜或其他材料进行防渗，其渗透系数≤10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tc>
              <w:tc>
                <w:tcPr>
                  <w:tcW w:w="924" w:type="dxa"/>
                  <w:vAlign w:val="center"/>
                </w:tcPr>
                <w:p>
                  <w:pPr>
                    <w:pStyle w:val="31"/>
                    <w:spacing w:line="360" w:lineRule="exact"/>
                    <w:rPr>
                      <w:color w:val="000000" w:themeColor="text1"/>
                      <w:szCs w:val="21"/>
                    </w:rPr>
                  </w:pPr>
                  <w:r>
                    <w:rPr>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continue"/>
                  <w:vAlign w:val="center"/>
                </w:tcPr>
                <w:p>
                  <w:pPr>
                    <w:pStyle w:val="31"/>
                    <w:spacing w:line="360" w:lineRule="exact"/>
                    <w:rPr>
                      <w:rFonts w:eastAsiaTheme="minorEastAsia"/>
                      <w:color w:val="000000" w:themeColor="text1"/>
                      <w:szCs w:val="21"/>
                    </w:rPr>
                  </w:pPr>
                </w:p>
              </w:tc>
              <w:tc>
                <w:tcPr>
                  <w:tcW w:w="1147"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一般防渗区</w:t>
                  </w:r>
                </w:p>
              </w:tc>
              <w:tc>
                <w:tcPr>
                  <w:tcW w:w="5117" w:type="dxa"/>
                  <w:vAlign w:val="center"/>
                </w:tcPr>
                <w:p>
                  <w:pPr>
                    <w:pStyle w:val="31"/>
                    <w:spacing w:line="360" w:lineRule="exact"/>
                    <w:ind w:firstLine="210" w:firstLineChars="100"/>
                    <w:jc w:val="both"/>
                    <w:rPr>
                      <w:color w:val="000000" w:themeColor="text1"/>
                      <w:szCs w:val="21"/>
                    </w:rPr>
                  </w:pPr>
                  <w:r>
                    <w:rPr>
                      <w:color w:val="000000" w:themeColor="text1"/>
                      <w:szCs w:val="21"/>
                    </w:rPr>
                    <w:t>根据分区防渗规范要求，项目屠宰车间、污水处理站、初期雨水收集池区域划定为一般防渗区，</w:t>
                  </w:r>
                  <w:r>
                    <w:rPr>
                      <w:rFonts w:hint="eastAsia"/>
                      <w:color w:val="000000" w:themeColor="text1"/>
                      <w:szCs w:val="21"/>
                    </w:rPr>
                    <w:t>一般防渗区中</w:t>
                  </w:r>
                  <w:r>
                    <w:rPr>
                      <w:color w:val="000000" w:themeColor="text1"/>
                      <w:szCs w:val="21"/>
                    </w:rPr>
                    <w:t>屠宰车间地面采取粘土铺底，并在上层铺30cm的混凝土进行硬化，其渗透系数≤1.0×10</w:t>
                  </w:r>
                  <w:r>
                    <w:rPr>
                      <w:color w:val="000000" w:themeColor="text1"/>
                      <w:szCs w:val="21"/>
                      <w:vertAlign w:val="superscript"/>
                    </w:rPr>
                    <w:t>-7</w:t>
                  </w:r>
                  <w:r>
                    <w:rPr>
                      <w:color w:val="000000" w:themeColor="text1"/>
                      <w:szCs w:val="21"/>
                    </w:rPr>
                    <w:t>cm/s</w:t>
                  </w:r>
                  <w:r>
                    <w:rPr>
                      <w:rFonts w:hint="eastAsia"/>
                      <w:color w:val="000000" w:themeColor="text1"/>
                      <w:szCs w:val="21"/>
                    </w:rPr>
                    <w:t>，而</w:t>
                  </w:r>
                  <w:r>
                    <w:rPr>
                      <w:color w:val="000000" w:themeColor="text1"/>
                      <w:szCs w:val="21"/>
                    </w:rPr>
                    <w:t>污水处理站、初期雨水收集池</w:t>
                  </w:r>
                  <w:r>
                    <w:rPr>
                      <w:rFonts w:hint="eastAsia"/>
                      <w:color w:val="000000" w:themeColor="text1"/>
                      <w:szCs w:val="21"/>
                    </w:rPr>
                    <w:t>应采用</w:t>
                  </w:r>
                  <w:r>
                    <w:rPr>
                      <w:color w:val="000000" w:themeColor="text1"/>
                      <w:szCs w:val="21"/>
                    </w:rPr>
                    <w:t>HDPE膜</w:t>
                  </w:r>
                  <w:r>
                    <w:rPr>
                      <w:rFonts w:hint="eastAsia"/>
                      <w:color w:val="000000" w:themeColor="text1"/>
                      <w:szCs w:val="21"/>
                    </w:rPr>
                    <w:t>或其他材料防渗，确保其</w:t>
                  </w:r>
                  <w:r>
                    <w:rPr>
                      <w:color w:val="000000" w:themeColor="text1"/>
                      <w:szCs w:val="21"/>
                    </w:rPr>
                    <w:t>渗透系数≤1.0×10</w:t>
                  </w:r>
                  <w:r>
                    <w:rPr>
                      <w:color w:val="000000" w:themeColor="text1"/>
                      <w:szCs w:val="21"/>
                      <w:vertAlign w:val="superscript"/>
                    </w:rPr>
                    <w:t>-7</w:t>
                  </w:r>
                  <w:r>
                    <w:rPr>
                      <w:color w:val="000000" w:themeColor="text1"/>
                      <w:szCs w:val="21"/>
                    </w:rPr>
                    <w:t>cm/s。</w:t>
                  </w:r>
                </w:p>
              </w:tc>
              <w:tc>
                <w:tcPr>
                  <w:tcW w:w="924" w:type="dxa"/>
                  <w:vAlign w:val="center"/>
                </w:tcPr>
                <w:p>
                  <w:pPr>
                    <w:pStyle w:val="31"/>
                    <w:spacing w:line="360" w:lineRule="exact"/>
                    <w:rPr>
                      <w:color w:val="000000" w:themeColor="text1"/>
                      <w:szCs w:val="21"/>
                    </w:rPr>
                  </w:pPr>
                  <w:r>
                    <w:rPr>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Align w:val="center"/>
                </w:tcPr>
                <w:p>
                  <w:pPr>
                    <w:pStyle w:val="31"/>
                    <w:spacing w:line="360" w:lineRule="exact"/>
                    <w:rPr>
                      <w:color w:val="000000" w:themeColor="text1"/>
                      <w:szCs w:val="21"/>
                    </w:rPr>
                  </w:pPr>
                  <w:r>
                    <w:rPr>
                      <w:color w:val="000000" w:themeColor="text1"/>
                      <w:szCs w:val="21"/>
                    </w:rPr>
                    <w:t>噪声</w:t>
                  </w:r>
                </w:p>
              </w:tc>
              <w:tc>
                <w:tcPr>
                  <w:tcW w:w="1147" w:type="dxa"/>
                  <w:gridSpan w:val="2"/>
                  <w:vAlign w:val="center"/>
                </w:tcPr>
                <w:p>
                  <w:pPr>
                    <w:pStyle w:val="31"/>
                    <w:spacing w:line="360" w:lineRule="exact"/>
                    <w:rPr>
                      <w:color w:val="000000" w:themeColor="text1"/>
                      <w:szCs w:val="21"/>
                    </w:rPr>
                  </w:pPr>
                  <w:r>
                    <w:rPr>
                      <w:color w:val="000000" w:themeColor="text1"/>
                      <w:szCs w:val="21"/>
                    </w:rPr>
                    <w:t>设备噪声</w:t>
                  </w:r>
                </w:p>
              </w:tc>
              <w:tc>
                <w:tcPr>
                  <w:tcW w:w="5117" w:type="dxa"/>
                  <w:vAlign w:val="center"/>
                </w:tcPr>
                <w:p>
                  <w:pPr>
                    <w:pStyle w:val="31"/>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924" w:type="dxa"/>
                  <w:vAlign w:val="center"/>
                </w:tcPr>
                <w:p>
                  <w:pPr>
                    <w:pStyle w:val="31"/>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restart"/>
                  <w:vAlign w:val="center"/>
                </w:tcPr>
                <w:p>
                  <w:pPr>
                    <w:pStyle w:val="31"/>
                    <w:spacing w:line="360" w:lineRule="exact"/>
                    <w:rPr>
                      <w:color w:val="000000" w:themeColor="text1"/>
                      <w:szCs w:val="21"/>
                    </w:rPr>
                  </w:pPr>
                  <w:r>
                    <w:rPr>
                      <w:color w:val="000000" w:themeColor="text1"/>
                      <w:szCs w:val="21"/>
                    </w:rPr>
                    <w:t>固废</w:t>
                  </w:r>
                </w:p>
              </w:tc>
              <w:tc>
                <w:tcPr>
                  <w:tcW w:w="1147" w:type="dxa"/>
                  <w:gridSpan w:val="2"/>
                  <w:vAlign w:val="center"/>
                </w:tcPr>
                <w:p>
                  <w:pPr>
                    <w:pStyle w:val="31"/>
                    <w:spacing w:line="360" w:lineRule="exact"/>
                    <w:rPr>
                      <w:color w:val="000000" w:themeColor="text1"/>
                      <w:szCs w:val="21"/>
                    </w:rPr>
                  </w:pPr>
                  <w:r>
                    <w:rPr>
                      <w:color w:val="000000" w:themeColor="text1"/>
                      <w:szCs w:val="21"/>
                    </w:rPr>
                    <w:t>医疗废物暂存间</w:t>
                  </w:r>
                </w:p>
              </w:tc>
              <w:tc>
                <w:tcPr>
                  <w:tcW w:w="5117" w:type="dxa"/>
                  <w:vAlign w:val="center"/>
                </w:tcPr>
                <w:p>
                  <w:pPr>
                    <w:pStyle w:val="31"/>
                    <w:spacing w:line="360" w:lineRule="exact"/>
                    <w:ind w:firstLine="210" w:firstLineChars="100"/>
                    <w:jc w:val="both"/>
                    <w:rPr>
                      <w:color w:val="000000" w:themeColor="text1"/>
                      <w:szCs w:val="21"/>
                    </w:rPr>
                  </w:pPr>
                  <w:r>
                    <w:rPr>
                      <w:color w:val="000000" w:themeColor="text1"/>
                      <w:szCs w:val="21"/>
                    </w:rPr>
                    <w:t>根据调查，项目拟设置一个5m²的医疗废物暂存间对检验产生的医疗废物进行暂存，并委托云南正晓环保投资有限公司处理。</w:t>
                  </w:r>
                </w:p>
              </w:tc>
              <w:tc>
                <w:tcPr>
                  <w:tcW w:w="924" w:type="dxa"/>
                  <w:vAlign w:val="center"/>
                </w:tcPr>
                <w:p>
                  <w:pPr>
                    <w:pStyle w:val="31"/>
                    <w:spacing w:line="360" w:lineRule="exact"/>
                    <w:rPr>
                      <w:color w:val="000000" w:themeColor="text1"/>
                      <w:szCs w:val="21"/>
                    </w:rPr>
                  </w:pPr>
                  <w:r>
                    <w:rPr>
                      <w:rFonts w:hint="eastAsia"/>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continue"/>
                  <w:vAlign w:val="center"/>
                </w:tcPr>
                <w:p>
                  <w:pPr>
                    <w:pStyle w:val="31"/>
                    <w:spacing w:line="360" w:lineRule="exact"/>
                    <w:rPr>
                      <w:color w:val="000000" w:themeColor="text1"/>
                      <w:szCs w:val="21"/>
                    </w:rPr>
                  </w:pPr>
                </w:p>
              </w:tc>
              <w:tc>
                <w:tcPr>
                  <w:tcW w:w="1147" w:type="dxa"/>
                  <w:gridSpan w:val="2"/>
                  <w:vAlign w:val="center"/>
                </w:tcPr>
                <w:p>
                  <w:pPr>
                    <w:pStyle w:val="31"/>
                    <w:spacing w:line="360" w:lineRule="exact"/>
                    <w:rPr>
                      <w:color w:val="000000" w:themeColor="text1"/>
                      <w:szCs w:val="21"/>
                    </w:rPr>
                  </w:pPr>
                  <w:r>
                    <w:rPr>
                      <w:rFonts w:hint="eastAsia"/>
                      <w:color w:val="000000" w:themeColor="text1"/>
                      <w:szCs w:val="21"/>
                    </w:rPr>
                    <w:t>发酵池</w:t>
                  </w:r>
                </w:p>
              </w:tc>
              <w:tc>
                <w:tcPr>
                  <w:tcW w:w="5117" w:type="dxa"/>
                  <w:vAlign w:val="center"/>
                </w:tcPr>
                <w:p>
                  <w:pPr>
                    <w:pStyle w:val="31"/>
                    <w:spacing w:line="360" w:lineRule="exact"/>
                    <w:ind w:firstLine="210" w:firstLineChars="100"/>
                    <w:jc w:val="both"/>
                    <w:rPr>
                      <w:color w:val="000000" w:themeColor="text1"/>
                      <w:szCs w:val="21"/>
                    </w:rPr>
                  </w:pPr>
                  <w:r>
                    <w:rPr>
                      <w:bCs w:val="0"/>
                      <w:color w:val="000000" w:themeColor="text1"/>
                    </w:rPr>
                    <w:t>根据设计，</w:t>
                  </w:r>
                  <w:r>
                    <w:rPr>
                      <w:rFonts w:hint="eastAsia"/>
                      <w:bCs w:val="0"/>
                      <w:color w:val="000000" w:themeColor="text1"/>
                    </w:rPr>
                    <w:t>项目拟设置1个170m³的发酵池对病死猪进行无害化处理</w:t>
                  </w:r>
                  <w:r>
                    <w:rPr>
                      <w:rFonts w:hint="eastAsia"/>
                      <w:color w:val="000000" w:themeColor="text1"/>
                      <w:szCs w:val="21"/>
                    </w:rPr>
                    <w:t>。</w:t>
                  </w:r>
                </w:p>
              </w:tc>
              <w:tc>
                <w:tcPr>
                  <w:tcW w:w="924" w:type="dxa"/>
                  <w:vAlign w:val="center"/>
                </w:tcPr>
                <w:p>
                  <w:pPr>
                    <w:pStyle w:val="31"/>
                    <w:spacing w:line="360" w:lineRule="exact"/>
                    <w:rPr>
                      <w:color w:val="000000" w:themeColor="text1"/>
                      <w:szCs w:val="21"/>
                    </w:rPr>
                  </w:pPr>
                  <w:r>
                    <w:rPr>
                      <w:rFonts w:hint="eastAsia"/>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continue"/>
                  <w:vAlign w:val="center"/>
                </w:tcPr>
                <w:p>
                  <w:pPr>
                    <w:pStyle w:val="31"/>
                    <w:spacing w:line="360" w:lineRule="exact"/>
                    <w:rPr>
                      <w:color w:val="000000" w:themeColor="text1"/>
                      <w:szCs w:val="21"/>
                    </w:rPr>
                  </w:pPr>
                </w:p>
              </w:tc>
              <w:tc>
                <w:tcPr>
                  <w:tcW w:w="1147" w:type="dxa"/>
                  <w:gridSpan w:val="2"/>
                  <w:vAlign w:val="center"/>
                </w:tcPr>
                <w:p>
                  <w:pPr>
                    <w:pStyle w:val="31"/>
                    <w:spacing w:line="360" w:lineRule="exact"/>
                    <w:rPr>
                      <w:color w:val="000000" w:themeColor="text1"/>
                      <w:szCs w:val="21"/>
                    </w:rPr>
                  </w:pPr>
                  <w:r>
                    <w:rPr>
                      <w:color w:val="000000" w:themeColor="text1"/>
                      <w:szCs w:val="21"/>
                    </w:rPr>
                    <w:t>生活垃圾桶</w:t>
                  </w:r>
                </w:p>
              </w:tc>
              <w:tc>
                <w:tcPr>
                  <w:tcW w:w="5117" w:type="dxa"/>
                  <w:vAlign w:val="center"/>
                </w:tcPr>
                <w:p>
                  <w:pPr>
                    <w:pStyle w:val="31"/>
                    <w:spacing w:line="360" w:lineRule="exact"/>
                    <w:ind w:firstLine="210" w:firstLineChars="100"/>
                    <w:jc w:val="both"/>
                    <w:rPr>
                      <w:color w:val="000000" w:themeColor="text1"/>
                      <w:szCs w:val="21"/>
                    </w:rPr>
                  </w:pPr>
                  <w:r>
                    <w:rPr>
                      <w:color w:val="000000" w:themeColor="text1"/>
                      <w:szCs w:val="21"/>
                    </w:rPr>
                    <w:t>项目拟设置生活垃圾桶，对生活垃圾收集后委托环卫部门进行处理。</w:t>
                  </w:r>
                </w:p>
              </w:tc>
              <w:tc>
                <w:tcPr>
                  <w:tcW w:w="924" w:type="dxa"/>
                  <w:vAlign w:val="center"/>
                </w:tcPr>
                <w:p>
                  <w:pPr>
                    <w:pStyle w:val="31"/>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Align w:val="center"/>
                </w:tcPr>
                <w:p>
                  <w:pPr>
                    <w:pStyle w:val="31"/>
                    <w:spacing w:line="360" w:lineRule="exact"/>
                    <w:rPr>
                      <w:color w:val="000000" w:themeColor="text1"/>
                      <w:szCs w:val="21"/>
                    </w:rPr>
                  </w:pPr>
                  <w:r>
                    <w:rPr>
                      <w:color w:val="000000" w:themeColor="text1"/>
                      <w:szCs w:val="21"/>
                    </w:rPr>
                    <w:t>环境风险</w:t>
                  </w:r>
                </w:p>
              </w:tc>
              <w:tc>
                <w:tcPr>
                  <w:tcW w:w="1147" w:type="dxa"/>
                  <w:gridSpan w:val="2"/>
                  <w:vAlign w:val="center"/>
                </w:tcPr>
                <w:p>
                  <w:pPr>
                    <w:pStyle w:val="31"/>
                    <w:spacing w:line="360" w:lineRule="exact"/>
                    <w:rPr>
                      <w:color w:val="000000" w:themeColor="text1"/>
                      <w:szCs w:val="21"/>
                    </w:rPr>
                  </w:pPr>
                  <w:r>
                    <w:rPr>
                      <w:color w:val="000000" w:themeColor="text1"/>
                      <w:szCs w:val="21"/>
                    </w:rPr>
                    <w:t>应急池</w:t>
                  </w:r>
                </w:p>
              </w:tc>
              <w:tc>
                <w:tcPr>
                  <w:tcW w:w="5117" w:type="dxa"/>
                  <w:vAlign w:val="center"/>
                </w:tcPr>
                <w:p>
                  <w:pPr>
                    <w:pStyle w:val="31"/>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已</w:t>
                  </w:r>
                  <w:r>
                    <w:rPr>
                      <w:color w:val="000000" w:themeColor="text1"/>
                      <w:szCs w:val="21"/>
                    </w:rPr>
                    <w:t>设置</w:t>
                  </w:r>
                  <w:r>
                    <w:rPr>
                      <w:rFonts w:hint="eastAsia"/>
                      <w:color w:val="000000" w:themeColor="text1"/>
                      <w:szCs w:val="21"/>
                    </w:rPr>
                    <w:t>了</w:t>
                  </w:r>
                  <w:r>
                    <w:rPr>
                      <w:color w:val="000000" w:themeColor="text1"/>
                      <w:szCs w:val="21"/>
                    </w:rPr>
                    <w:t>1个有效容积</w:t>
                  </w:r>
                  <w:r>
                    <w:rPr>
                      <w:rFonts w:hint="eastAsia"/>
                      <w:color w:val="000000" w:themeColor="text1"/>
                      <w:szCs w:val="21"/>
                    </w:rPr>
                    <w:t>为20</w:t>
                  </w:r>
                  <w:r>
                    <w:rPr>
                      <w:color w:val="000000" w:themeColor="text1"/>
                      <w:szCs w:val="21"/>
                    </w:rPr>
                    <w:t>m³的应急池，对风险事故废水进行收集，以满足事故状态下收集泄漏物料、污染消防水、污染雨水及生活污水的需要。</w:t>
                  </w:r>
                </w:p>
              </w:tc>
              <w:tc>
                <w:tcPr>
                  <w:tcW w:w="924" w:type="dxa"/>
                  <w:vAlign w:val="center"/>
                </w:tcPr>
                <w:p>
                  <w:pPr>
                    <w:pStyle w:val="31"/>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restart"/>
                  <w:vAlign w:val="center"/>
                </w:tcPr>
                <w:p>
                  <w:pPr>
                    <w:pStyle w:val="31"/>
                    <w:spacing w:line="360" w:lineRule="exact"/>
                    <w:rPr>
                      <w:color w:val="000000" w:themeColor="text1"/>
                      <w:szCs w:val="21"/>
                    </w:rPr>
                  </w:pPr>
                  <w:r>
                    <w:rPr>
                      <w:color w:val="000000" w:themeColor="text1"/>
                      <w:szCs w:val="21"/>
                    </w:rPr>
                    <w:t>其他</w:t>
                  </w:r>
                </w:p>
              </w:tc>
              <w:tc>
                <w:tcPr>
                  <w:tcW w:w="1147" w:type="dxa"/>
                  <w:gridSpan w:val="2"/>
                  <w:vAlign w:val="center"/>
                </w:tcPr>
                <w:p>
                  <w:pPr>
                    <w:pStyle w:val="31"/>
                    <w:spacing w:line="360" w:lineRule="exact"/>
                    <w:rPr>
                      <w:color w:val="000000" w:themeColor="text1"/>
                      <w:szCs w:val="21"/>
                    </w:rPr>
                  </w:pPr>
                  <w:r>
                    <w:rPr>
                      <w:color w:val="000000" w:themeColor="text1"/>
                      <w:szCs w:val="21"/>
                    </w:rPr>
                    <w:t>标识牌</w:t>
                  </w:r>
                </w:p>
              </w:tc>
              <w:tc>
                <w:tcPr>
                  <w:tcW w:w="5117" w:type="dxa"/>
                  <w:vAlign w:val="center"/>
                </w:tcPr>
                <w:p>
                  <w:pPr>
                    <w:pStyle w:val="31"/>
                    <w:spacing w:line="360" w:lineRule="exact"/>
                    <w:ind w:firstLine="210" w:firstLineChars="100"/>
                    <w:jc w:val="both"/>
                    <w:rPr>
                      <w:color w:val="000000" w:themeColor="text1"/>
                      <w:szCs w:val="21"/>
                    </w:rPr>
                  </w:pPr>
                  <w:r>
                    <w:rPr>
                      <w:color w:val="000000" w:themeColor="text1"/>
                      <w:szCs w:val="21"/>
                    </w:rPr>
                    <w:t>建设单位按照</w:t>
                  </w:r>
                  <w:r>
                    <w:rPr>
                      <w:rFonts w:hint="eastAsia"/>
                      <w:color w:val="000000" w:themeColor="text1"/>
                      <w:szCs w:val="21"/>
                    </w:rPr>
                    <w:t>医疗废物</w:t>
                  </w:r>
                  <w:r>
                    <w:rPr>
                      <w:color w:val="000000" w:themeColor="text1"/>
                      <w:szCs w:val="21"/>
                    </w:rPr>
                    <w:t>管理的规范要求，设置</w:t>
                  </w:r>
                  <w:r>
                    <w:rPr>
                      <w:rFonts w:hint="eastAsia"/>
                      <w:color w:val="000000" w:themeColor="text1"/>
                      <w:szCs w:val="21"/>
                    </w:rPr>
                    <w:t>医疗废物</w:t>
                  </w:r>
                  <w:r>
                    <w:rPr>
                      <w:color w:val="000000" w:themeColor="text1"/>
                      <w:szCs w:val="21"/>
                    </w:rPr>
                    <w:t>识别标志、环境保护图形标志。</w:t>
                  </w:r>
                </w:p>
              </w:tc>
              <w:tc>
                <w:tcPr>
                  <w:tcW w:w="924" w:type="dxa"/>
                  <w:vAlign w:val="center"/>
                </w:tcPr>
                <w:p>
                  <w:pPr>
                    <w:pStyle w:val="31"/>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color w:val="000000" w:themeColor="text1"/>
                      <w:szCs w:val="21"/>
                    </w:rPr>
                  </w:pPr>
                </w:p>
              </w:tc>
              <w:tc>
                <w:tcPr>
                  <w:tcW w:w="704" w:type="dxa"/>
                  <w:vMerge w:val="continue"/>
                  <w:vAlign w:val="center"/>
                </w:tcPr>
                <w:p>
                  <w:pPr>
                    <w:pStyle w:val="31"/>
                    <w:spacing w:line="360" w:lineRule="exact"/>
                    <w:rPr>
                      <w:color w:val="000000" w:themeColor="text1"/>
                      <w:szCs w:val="21"/>
                    </w:rPr>
                  </w:pPr>
                </w:p>
              </w:tc>
              <w:tc>
                <w:tcPr>
                  <w:tcW w:w="1147" w:type="dxa"/>
                  <w:gridSpan w:val="2"/>
                  <w:vAlign w:val="center"/>
                </w:tcPr>
                <w:p>
                  <w:pPr>
                    <w:pStyle w:val="31"/>
                    <w:spacing w:line="360" w:lineRule="exact"/>
                    <w:rPr>
                      <w:color w:val="000000" w:themeColor="text1"/>
                      <w:szCs w:val="21"/>
                    </w:rPr>
                  </w:pPr>
                  <w:r>
                    <w:rPr>
                      <w:color w:val="000000" w:themeColor="text1"/>
                      <w:szCs w:val="21"/>
                    </w:rPr>
                    <w:t>绿化</w:t>
                  </w:r>
                </w:p>
              </w:tc>
              <w:tc>
                <w:tcPr>
                  <w:tcW w:w="5117"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根据调查，</w:t>
                  </w:r>
                  <w:r>
                    <w:rPr>
                      <w:color w:val="000000" w:themeColor="text1"/>
                      <w:szCs w:val="21"/>
                    </w:rPr>
                    <w:t>项目区</w:t>
                  </w:r>
                  <w:r>
                    <w:rPr>
                      <w:rFonts w:hint="eastAsia"/>
                      <w:color w:val="000000" w:themeColor="text1"/>
                      <w:szCs w:val="21"/>
                    </w:rPr>
                    <w:t>已建设的</w:t>
                  </w:r>
                  <w:r>
                    <w:rPr>
                      <w:color w:val="000000" w:themeColor="text1"/>
                      <w:szCs w:val="21"/>
                    </w:rPr>
                    <w:t>绿化面积</w:t>
                  </w:r>
                  <w:r>
                    <w:rPr>
                      <w:rFonts w:hint="eastAsia"/>
                      <w:color w:val="000000" w:themeColor="text1"/>
                      <w:szCs w:val="21"/>
                    </w:rPr>
                    <w:t>约</w:t>
                  </w:r>
                  <w:r>
                    <w:rPr>
                      <w:color w:val="000000" w:themeColor="text1"/>
                      <w:szCs w:val="21"/>
                    </w:rPr>
                    <w:t>为</w:t>
                  </w:r>
                  <w:r>
                    <w:rPr>
                      <w:rFonts w:hint="eastAsia"/>
                      <w:color w:val="000000" w:themeColor="text1"/>
                      <w:szCs w:val="21"/>
                    </w:rPr>
                    <w:t>50</w:t>
                  </w:r>
                  <w:r>
                    <w:rPr>
                      <w:color w:val="000000" w:themeColor="text1"/>
                      <w:szCs w:val="21"/>
                    </w:rPr>
                    <w:t>0m²的绿化区域。</w:t>
                  </w:r>
                </w:p>
              </w:tc>
              <w:tc>
                <w:tcPr>
                  <w:tcW w:w="924" w:type="dxa"/>
                  <w:vAlign w:val="center"/>
                </w:tcPr>
                <w:p>
                  <w:pPr>
                    <w:pStyle w:val="31"/>
                    <w:spacing w:line="360" w:lineRule="exact"/>
                    <w:rPr>
                      <w:color w:val="000000" w:themeColor="text1"/>
                      <w:szCs w:val="21"/>
                    </w:rPr>
                  </w:pPr>
                  <w:r>
                    <w:rPr>
                      <w:color w:val="000000" w:themeColor="text1"/>
                      <w:szCs w:val="21"/>
                    </w:rPr>
                    <w:t>已建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根据设计，项目占地面积约为3360m²，</w:t>
            </w:r>
            <w:r>
              <w:rPr>
                <w:rFonts w:hint="eastAsia" w:ascii="Times New Roman" w:hAnsi="Times New Roman" w:cs="Times New Roman"/>
                <w:bCs/>
                <w:color w:val="000000" w:themeColor="text1"/>
                <w:sz w:val="24"/>
                <w:szCs w:val="24"/>
              </w:rPr>
              <w:t>项目严格按照生猪屠宰的相关规范要求进行设计，项目猪瘟检疫区设置于厂区大门外，屠宰间、待宰间和鲜销区位于中部靠北侧区域，</w:t>
            </w:r>
            <w:r>
              <w:rPr>
                <w:rFonts w:ascii="Times New Roman" w:hAnsi="Times New Roman" w:cs="Times New Roman"/>
                <w:bCs/>
                <w:color w:val="000000" w:themeColor="text1"/>
                <w:sz w:val="24"/>
                <w:szCs w:val="24"/>
              </w:rPr>
              <w:t>办公楼</w:t>
            </w:r>
            <w:r>
              <w:rPr>
                <w:rFonts w:hint="eastAsia" w:ascii="Times New Roman" w:hAnsi="Times New Roman" w:cs="Times New Roman"/>
                <w:bCs/>
                <w:color w:val="000000" w:themeColor="text1"/>
                <w:sz w:val="24"/>
                <w:szCs w:val="24"/>
              </w:rPr>
              <w:t>位于项目区中部，蒸气供应室、卫检室和更衣消毒室等辅助工程均位于屠宰间内；项目环评设施化粪池位于办公楼旁、污水处理站位于屠宰间旁、初期雨水收集池和应急池位于项目区北侧区域，医疗废物贮存间位于项目区西南侧区域，发酵池位于项目区东侧区域。</w:t>
            </w:r>
            <w:r>
              <w:rPr>
                <w:rFonts w:ascii="Times New Roman" w:hAnsi="Times New Roman" w:cs="Times New Roman"/>
                <w:bCs/>
                <w:color w:val="000000" w:themeColor="text1"/>
                <w:sz w:val="24"/>
                <w:szCs w:val="24"/>
              </w:rPr>
              <w:t>根据项目特点，该改建项目各功能分区从生产工艺及合理用地角度设置合理。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项目平面布置详见附图2</w:t>
            </w:r>
            <w:r>
              <w:rPr>
                <w:rFonts w:hint="eastAsia"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2.3.1主要产品及产能</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w:t>
            </w:r>
            <w:r>
              <w:rPr>
                <w:rFonts w:ascii="Times New Roman" w:hAnsi="Times New Roman" w:cs="Times New Roman"/>
                <w:bCs/>
                <w:color w:val="000000" w:themeColor="text1"/>
                <w:sz w:val="24"/>
                <w:szCs w:val="24"/>
              </w:rPr>
              <w:t>该改建项目</w:t>
            </w:r>
            <w:r>
              <w:rPr>
                <w:rFonts w:hint="eastAsia" w:ascii="Times New Roman" w:hAnsi="Times New Roman" w:cs="Times New Roman"/>
                <w:bCs/>
                <w:color w:val="000000" w:themeColor="text1"/>
                <w:sz w:val="24"/>
                <w:szCs w:val="24"/>
              </w:rPr>
              <w:t>为生猪屠宰项目，其主要产品为猪肉及其内脏等，猪的活屠重按</w:t>
            </w:r>
            <w:r>
              <w:rPr>
                <w:rFonts w:ascii="Times New Roman" w:hAnsi="Times New Roman" w:cs="Times New Roman"/>
                <w:bCs/>
                <w:color w:val="000000" w:themeColor="text1"/>
                <w:sz w:val="24"/>
                <w:szCs w:val="24"/>
              </w:rPr>
              <w:t>110kg/</w:t>
            </w:r>
            <w:r>
              <w:rPr>
                <w:rFonts w:hint="eastAsia" w:ascii="Times New Roman" w:hAnsi="Times New Roman" w:cs="Times New Roman"/>
                <w:bCs/>
                <w:color w:val="000000" w:themeColor="text1"/>
                <w:sz w:val="24"/>
                <w:szCs w:val="24"/>
              </w:rPr>
              <w:t>头计，项目屠宰量为70000头，而猪肉及其内脏等净重约为活屠重的95%，则猪肉及其内脏产量约为7315t/a。</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2.3.2 产品的变化情况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根据调查，该改建项目</w:t>
            </w:r>
            <w:r>
              <w:rPr>
                <w:rFonts w:hint="eastAsia" w:ascii="Times New Roman" w:hAnsi="Times New Roman" w:cs="Times New Roman"/>
                <w:bCs/>
                <w:color w:val="000000" w:themeColor="text1"/>
                <w:sz w:val="24"/>
                <w:szCs w:val="24"/>
              </w:rPr>
              <w:t>仅按照东川区畜禽屠宰管理工作领导小组办公室《关于下达</w:t>
            </w:r>
            <w:r>
              <w:rPr>
                <w:rFonts w:ascii="Times New Roman" w:hAnsi="Times New Roman" w:cs="Times New Roman"/>
                <w:bCs/>
                <w:color w:val="000000" w:themeColor="text1"/>
                <w:sz w:val="24"/>
                <w:szCs w:val="24"/>
              </w:rPr>
              <w:t>东川区畜禽屠宰有限公司</w:t>
            </w:r>
            <w:r>
              <w:rPr>
                <w:rFonts w:hint="eastAsia" w:ascii="Times New Roman" w:hAnsi="Times New Roman" w:cs="Times New Roman"/>
                <w:bCs/>
                <w:color w:val="000000" w:themeColor="text1"/>
                <w:sz w:val="24"/>
                <w:szCs w:val="24"/>
              </w:rPr>
              <w:t>整改要求的通知》（东屠宰办发【2019】1号）的要求进行整改，其屠宰量不变，因此其产品不变。</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2"/>
              <w:gridCol w:w="704"/>
              <w:gridCol w:w="1985"/>
              <w:gridCol w:w="1985"/>
              <w:gridCol w:w="1565"/>
              <w:gridCol w:w="860"/>
              <w:gridCol w:w="7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主要生产单元</w:t>
                  </w:r>
                </w:p>
              </w:tc>
              <w:tc>
                <w:tcPr>
                  <w:tcW w:w="70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主要工艺</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生产设施</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规格型号</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设施参数</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数量</w:t>
                  </w:r>
                </w:p>
              </w:tc>
              <w:tc>
                <w:tcPr>
                  <w:tcW w:w="767"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主体工程</w:t>
                  </w: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卸猪待宰</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待宰圈</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800m²</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29间</w:t>
                  </w:r>
                </w:p>
              </w:tc>
              <w:tc>
                <w:tcPr>
                  <w:tcW w:w="767"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新增设备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卸猪平台</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液压式</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手推线</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190m</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刺杀</w:t>
                  </w:r>
                  <w:r>
                    <w:rPr>
                      <w:rFonts w:ascii="Times New Roman" w:hAnsi="Times New Roman" w:cs="Times New Roman"/>
                      <w:bCs/>
                      <w:snapToGrid w:val="0"/>
                      <w:color w:val="000000" w:themeColor="text1"/>
                      <w:kern w:val="32"/>
                      <w:lang w:val="zh-CN"/>
                    </w:rPr>
                    <w:t>放血</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升降机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喂入装置</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推板式放血自动线</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42m</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沥血池</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12m长不锈钢结构</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褪毛清洗</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落猪器</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电蒸气发生器</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LDR60</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85kg/h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1</w:t>
                  </w:r>
                  <w:r>
                    <w:rPr>
                      <w:rFonts w:ascii="Times New Roman" w:hAnsi="Times New Roman" w:cs="Times New Roman"/>
                      <w:bCs/>
                      <w:snapToGrid w:val="0"/>
                      <w:color w:val="000000" w:themeColor="text1"/>
                      <w:kern w:val="32"/>
                      <w:lang w:val="zh-CN"/>
                    </w:rPr>
                    <w:t>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烫池</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4500mm×1800mm×800mm</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6.5m³</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烫池</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6000mm×2000mm×800mm</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9.6m³</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300型</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10头/h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400型</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清水池</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4000mm×1800mm×700mm</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5.04m³</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清水池</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4500mm×1800mm×700mm</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5.67m³</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开膛分割</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白条提升机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N=2.2kw</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桥式劈半锯</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N=11kw</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白条自动切割线</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40m</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快速转送机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1.5kw</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手推线</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280m</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检疫</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卫检设施</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5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环保工程</w:t>
                  </w:r>
                </w:p>
              </w:tc>
              <w:tc>
                <w:tcPr>
                  <w:tcW w:w="2689" w:type="dxa"/>
                  <w:gridSpan w:val="2"/>
                  <w:tcBorders>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污水处理站</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处理规模为150m³/d</w:t>
                  </w:r>
                </w:p>
              </w:tc>
              <w:tc>
                <w:tcPr>
                  <w:tcW w:w="1565" w:type="dxa"/>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860" w:type="dxa"/>
                  <w:tcBorders>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767" w:type="dxa"/>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改造</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该改建项目</w:t>
            </w:r>
            <w:r>
              <w:rPr>
                <w:rFonts w:hint="eastAsia" w:ascii="Times New Roman" w:hAnsi="Times New Roman" w:cs="Times New Roman"/>
                <w:bCs/>
                <w:color w:val="000000" w:themeColor="text1"/>
                <w:sz w:val="24"/>
                <w:szCs w:val="24"/>
              </w:rPr>
              <w:t>为生猪屠宰项目，其主要原辅料为生猪，项目年屠宰生猪70000头。</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 污水处理站消毒剂用量及性质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根据污水处理站的设计及其参数，使用次氯酸钠作为消毒剂，年使用量为</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0kg；由于其遇碱会发生反应，且用量极少，因此单独暂存于办公楼内。其性质如下表所示。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表2.5.2-1 次氯酸钠物质特性一览表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705"/>
              <w:gridCol w:w="1091"/>
              <w:gridCol w:w="1599"/>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0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59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19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0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599"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19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2.5.3 发酵池发酵料</w:t>
            </w:r>
            <w:r>
              <w:rPr>
                <w:rFonts w:ascii="Times New Roman" w:hAnsi="Times New Roman" w:cs="Times New Roman"/>
                <w:b/>
                <w:color w:val="000000" w:themeColor="text1"/>
                <w:sz w:val="24"/>
                <w:szCs w:val="24"/>
              </w:rPr>
              <w:t>用量及性质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根据设计，原有项目采用焚烧炉对病死猪进行焚烧处置，但该出来工艺会产生颗粒物、SO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等环境污染物；而2018年山东省质量技术监督局发布了地方标准《规模猪场病死猪生物发酵无害化出来技术规范》（DB37/T3229-2018），该规范中采用的发酵池对病死猪进行发酵无害化处理技术可靠，且发酵后的产物可作为有机肥使用，有利用环境保护，在经东川区畜禽屠宰管理工作领导小组办公室审批同意后，项目拟建设发酵池对病死猪进行处理，该处理工艺采用的发酵料</w:t>
            </w:r>
            <w:r>
              <w:rPr>
                <w:rFonts w:ascii="Times New Roman" w:hAnsi="Times New Roman" w:cs="Times New Roman"/>
                <w:color w:val="000000" w:themeColor="text1"/>
                <w:sz w:val="24"/>
                <w:szCs w:val="24"/>
              </w:rPr>
              <w:t>用量及性质</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表2.5.3-1 原辅料的变化情况一览表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5"/>
              <w:gridCol w:w="1276"/>
              <w:gridCol w:w="1276"/>
              <w:gridCol w:w="267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80"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种类</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原辅料种类</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使用量</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最大存储量</w:t>
                  </w:r>
                </w:p>
              </w:tc>
              <w:tc>
                <w:tcPr>
                  <w:tcW w:w="267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性质</w:t>
                  </w:r>
                </w:p>
              </w:tc>
              <w:tc>
                <w:tcPr>
                  <w:tcW w:w="1228"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0"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菌剂</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微生物</w:t>
                  </w:r>
                  <w:r>
                    <w:rPr>
                      <w:rFonts w:ascii="Times New Roman" w:hAnsi="Times New Roman" w:eastAsia="宋体" w:cs="Times New Roman"/>
                      <w:bCs/>
                      <w:snapToGrid w:val="0"/>
                      <w:color w:val="000000" w:themeColor="text1"/>
                      <w:kern w:val="32"/>
                      <w:szCs w:val="20"/>
                    </w:rPr>
                    <w:t>菌剂</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170kg/a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100kg/a</w:t>
                  </w:r>
                </w:p>
              </w:tc>
              <w:tc>
                <w:tcPr>
                  <w:tcW w:w="2673" w:type="dxa"/>
                  <w:vAlign w:val="center"/>
                </w:tcPr>
                <w:p>
                  <w:pPr>
                    <w:widowControl/>
                    <w:spacing w:line="360" w:lineRule="exact"/>
                    <w:ind w:firstLine="210" w:firstLineChars="100"/>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微生物</w:t>
                  </w:r>
                  <w:r>
                    <w:rPr>
                      <w:rFonts w:ascii="Times New Roman" w:hAnsi="Times New Roman" w:eastAsia="宋体" w:cs="Times New Roman"/>
                      <w:bCs/>
                      <w:snapToGrid w:val="0"/>
                      <w:color w:val="000000" w:themeColor="text1"/>
                      <w:kern w:val="32"/>
                      <w:szCs w:val="20"/>
                    </w:rPr>
                    <w:t>菌剂是由有益微生物制成的活菌制剂，广泛应用于饲料添加、有机物料腐熟、土壤改良和修复处理、污水净化处理等。</w:t>
                  </w:r>
                </w:p>
              </w:tc>
              <w:tc>
                <w:tcPr>
                  <w:tcW w:w="1228"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restart"/>
                  <w:vAlign w:val="center"/>
                </w:tcPr>
                <w:p>
                  <w:pPr>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垫料</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稻壳</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297.5kg/a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150kg/a</w:t>
                  </w:r>
                </w:p>
              </w:tc>
              <w:tc>
                <w:tcPr>
                  <w:tcW w:w="2673"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w:t>
                  </w:r>
                </w:p>
              </w:tc>
              <w:tc>
                <w:tcPr>
                  <w:tcW w:w="1228"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bCs/>
                      <w:snapToGrid w:val="0"/>
                      <w:color w:val="000000" w:themeColor="text1"/>
                      <w:kern w:val="32"/>
                      <w:szCs w:val="20"/>
                    </w:rPr>
                  </w:pP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锯末</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127.5kg/a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c>
                <w:tcPr>
                  <w:tcW w:w="2673"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w:t>
                  </w:r>
                </w:p>
              </w:tc>
              <w:tc>
                <w:tcPr>
                  <w:tcW w:w="1228"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米糠</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30kg/a</w:t>
                  </w:r>
                </w:p>
              </w:tc>
              <w:tc>
                <w:tcPr>
                  <w:tcW w:w="2673"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w:t>
                  </w:r>
                </w:p>
              </w:tc>
              <w:tc>
                <w:tcPr>
                  <w:tcW w:w="1228"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消毒剂</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石灰</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100kg/a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100kg</w:t>
                  </w:r>
                </w:p>
              </w:tc>
              <w:tc>
                <w:tcPr>
                  <w:tcW w:w="2673" w:type="dxa"/>
                  <w:vAlign w:val="center"/>
                </w:tcPr>
                <w:p>
                  <w:pPr>
                    <w:widowControl/>
                    <w:spacing w:line="360" w:lineRule="exact"/>
                    <w:ind w:firstLine="210" w:firstLineChars="100"/>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石灰的主要成分是氧化钙。石灰是一种以氧化钙为主要成分的气硬性无机胶凝材料。石灰是用石灰石、白云石、白垩、贝壳等碳酸钙含量高的产物，经900</w:t>
                  </w:r>
                  <w:r>
                    <w:rPr>
                      <w:rFonts w:hint="eastAsia" w:ascii="Times New Roman" w:hAnsi="Times New Roman" w:eastAsia="宋体" w:cs="Times New Roman"/>
                      <w:bCs/>
                      <w:snapToGrid w:val="0"/>
                      <w:color w:val="000000" w:themeColor="text1"/>
                      <w:kern w:val="32"/>
                      <w:szCs w:val="20"/>
                    </w:rPr>
                    <w:t>-</w:t>
                  </w:r>
                  <w:r>
                    <w:rPr>
                      <w:rFonts w:ascii="Times New Roman" w:hAnsi="Times New Roman" w:eastAsia="宋体" w:cs="Times New Roman"/>
                      <w:bCs/>
                      <w:snapToGrid w:val="0"/>
                      <w:color w:val="000000" w:themeColor="text1"/>
                      <w:kern w:val="32"/>
                      <w:szCs w:val="20"/>
                    </w:rPr>
                    <w:t>1100</w:t>
                  </w:r>
                  <w:r>
                    <w:rPr>
                      <w:rFonts w:hint="eastAsia" w:ascii="Times New Roman" w:hAnsi="Times New Roman" w:eastAsia="宋体" w:cs="Times New Roman"/>
                      <w:bCs/>
                      <w:snapToGrid w:val="0"/>
                      <w:color w:val="000000" w:themeColor="text1"/>
                      <w:kern w:val="32"/>
                      <w:szCs w:val="20"/>
                    </w:rPr>
                    <w:t>℃</w:t>
                  </w:r>
                  <w:r>
                    <w:rPr>
                      <w:rFonts w:ascii="Times New Roman" w:hAnsi="Times New Roman" w:eastAsia="宋体" w:cs="Times New Roman"/>
                      <w:bCs/>
                      <w:snapToGrid w:val="0"/>
                      <w:color w:val="000000" w:themeColor="text1"/>
                      <w:kern w:val="32"/>
                      <w:szCs w:val="20"/>
                    </w:rPr>
                    <w:t>煅烧而成。石灰是人类最早应用的胶凝材料。</w:t>
                  </w:r>
                </w:p>
              </w:tc>
              <w:tc>
                <w:tcPr>
                  <w:tcW w:w="1228"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原辅料的变化情况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根据调查，该改建项目</w:t>
            </w:r>
            <w:r>
              <w:rPr>
                <w:rFonts w:hint="eastAsia" w:ascii="Times New Roman" w:hAnsi="Times New Roman" w:cs="Times New Roman"/>
                <w:color w:val="000000" w:themeColor="text1"/>
                <w:sz w:val="24"/>
                <w:szCs w:val="24"/>
              </w:rPr>
              <w:t>生猪屠宰量、污水处理站使用药剂等较原有项目未发生变化，但针对病死猪，原有项目采用燃油锅炉进行焚烧，使用柴油，而</w:t>
            </w:r>
            <w:r>
              <w:rPr>
                <w:rFonts w:ascii="Times New Roman" w:hAnsi="Times New Roman" w:cs="Times New Roman"/>
                <w:color w:val="000000" w:themeColor="text1"/>
                <w:sz w:val="24"/>
                <w:szCs w:val="24"/>
              </w:rPr>
              <w:t>改建项目</w:t>
            </w:r>
            <w:r>
              <w:rPr>
                <w:rFonts w:hint="eastAsia" w:ascii="Times New Roman" w:hAnsi="Times New Roman" w:cs="Times New Roman"/>
                <w:color w:val="000000" w:themeColor="text1"/>
                <w:sz w:val="24"/>
                <w:szCs w:val="24"/>
              </w:rPr>
              <w:t>采用发酵池发酵无害化处理，因此病死猪处理原辅料发生变化。</w:t>
            </w:r>
            <w:r>
              <w:rPr>
                <w:rFonts w:ascii="Times New Roman" w:hAnsi="Times New Roman" w:cs="Times New Roman"/>
                <w:color w:val="000000" w:themeColor="text1"/>
                <w:sz w:val="24"/>
                <w:szCs w:val="24"/>
              </w:rPr>
              <w:t>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表2.5.3-1 原辅料的变化情况一览表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76"/>
              <w:gridCol w:w="1134"/>
              <w:gridCol w:w="1276"/>
              <w:gridCol w:w="1275"/>
              <w:gridCol w:w="12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序号</w:t>
                  </w:r>
                </w:p>
              </w:tc>
              <w:tc>
                <w:tcPr>
                  <w:tcW w:w="127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原辅料种类</w:t>
                  </w:r>
                </w:p>
              </w:tc>
              <w:tc>
                <w:tcPr>
                  <w:tcW w:w="2410" w:type="dxa"/>
                  <w:gridSpan w:val="2"/>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原辅料使用量</w:t>
                  </w:r>
                </w:p>
              </w:tc>
              <w:tc>
                <w:tcPr>
                  <w:tcW w:w="1275"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改建项目最大存储量</w:t>
                  </w:r>
                </w:p>
              </w:tc>
              <w:tc>
                <w:tcPr>
                  <w:tcW w:w="127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来源</w:t>
                  </w:r>
                </w:p>
              </w:tc>
              <w:tc>
                <w:tcPr>
                  <w:tcW w:w="1775"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27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原有项目</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该改建项目</w:t>
                  </w:r>
                </w:p>
              </w:tc>
              <w:tc>
                <w:tcPr>
                  <w:tcW w:w="1275"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27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775"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1</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柴油</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0.5t/a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市场购买</w:t>
                  </w: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菌剂</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170kg/a</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100kg/a</w:t>
                  </w:r>
                </w:p>
              </w:tc>
              <w:tc>
                <w:tcPr>
                  <w:tcW w:w="1276" w:type="dxa"/>
                  <w:vMerge w:val="continue"/>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szCs w:val="20"/>
                    </w:rPr>
                  </w:pP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+170kg/a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稻壳</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297.5kg/a</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150kg/a</w:t>
                  </w:r>
                </w:p>
              </w:tc>
              <w:tc>
                <w:tcPr>
                  <w:tcW w:w="1276" w:type="dxa"/>
                  <w:vMerge w:val="continue"/>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szCs w:val="20"/>
                    </w:rPr>
                  </w:pP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+297.5kg/a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4</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锯末</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127.5kg/a</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c>
                <w:tcPr>
                  <w:tcW w:w="1276" w:type="dxa"/>
                  <w:vMerge w:val="continue"/>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szCs w:val="20"/>
                    </w:rPr>
                  </w:pP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+127.5kg/a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5</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米糠</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30kg/a</w:t>
                  </w:r>
                </w:p>
              </w:tc>
              <w:tc>
                <w:tcPr>
                  <w:tcW w:w="1276" w:type="dxa"/>
                  <w:vMerge w:val="continue"/>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2.5.4 能源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项目使用能源主要电能。根据可研报告，项目用电量为</w:t>
            </w:r>
            <w:r>
              <w:rPr>
                <w:rFonts w:hint="eastAsia" w:ascii="Times New Roman" w:hAnsi="Times New Roman" w:cs="Times New Roman"/>
                <w:color w:val="000000" w:themeColor="text1"/>
                <w:sz w:val="24"/>
                <w:szCs w:val="24"/>
              </w:rPr>
              <w:t>5.6</w:t>
            </w:r>
            <w:r>
              <w:rPr>
                <w:rFonts w:ascii="Times New Roman" w:hAnsi="Times New Roman" w:cs="Times New Roman"/>
                <w:color w:val="000000" w:themeColor="text1"/>
                <w:sz w:val="24"/>
                <w:szCs w:val="24"/>
              </w:rPr>
              <w:t>万kW.h/a。</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项目用水环节主要包括屠生产用水、生活用水、消毒用水和绿化用水，而废水产生类型包括生产废水、生活污水、消毒废水和初期雨水。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w:t>
            </w:r>
            <w:r>
              <w:rPr>
                <w:rFonts w:ascii="Times New Roman" w:hAnsi="Times New Roman" w:cs="Times New Roman"/>
                <w:color w:val="000000" w:themeColor="text1"/>
                <w:sz w:val="24"/>
                <w:szCs w:val="24"/>
              </w:rPr>
              <w:t>生产废水即屠宰废水，屠宰废水包括待宰间及屠宰间地面冲洗、宰前冲洗水、粪便水等一切待宰间及屠宰间产生的废水；根据《云南省地方标准用水定额》（DB53/T168-2019）</w:t>
            </w:r>
            <w:r>
              <w:rPr>
                <w:rFonts w:hint="eastAsia" w:ascii="Times New Roman" w:hAnsi="Times New Roman" w:cs="Times New Roman"/>
                <w:color w:val="000000" w:themeColor="text1"/>
                <w:sz w:val="24"/>
                <w:szCs w:val="24"/>
              </w:rPr>
              <w:t>，屠宰猪的用水量为0.7</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头，</w:t>
            </w:r>
            <w:r>
              <w:rPr>
                <w:rFonts w:ascii="Times New Roman" w:hAnsi="Times New Roman" w:cs="Times New Roman"/>
                <w:color w:val="000000" w:themeColor="text1"/>
                <w:sz w:val="24"/>
                <w:szCs w:val="24"/>
              </w:rPr>
              <w:t>该改建项目年屠宰生猪70000头（约195头/d），则生产废水产生量约为</w:t>
            </w:r>
            <w:r>
              <w:rPr>
                <w:rFonts w:hint="eastAsia" w:ascii="Times New Roman" w:hAnsi="Times New Roman" w:cs="Times New Roman"/>
                <w:color w:val="000000" w:themeColor="text1"/>
                <w:sz w:val="24"/>
                <w:szCs w:val="24"/>
              </w:rPr>
              <w:t>136.11</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49000</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项目产生的生产废水经厂区污水处理站处理后用于项目区周围农田（旱地作物）灌溉，不直接排入环境。根据《</w:t>
            </w:r>
            <w:r>
              <w:rPr>
                <w:rFonts w:ascii="Times New Roman" w:hAnsi="Times New Roman" w:cs="Times New Roman"/>
                <w:color w:val="000000" w:themeColor="text1"/>
                <w:sz w:val="24"/>
                <w:szCs w:val="24"/>
              </w:rPr>
              <w:t>昆明市东川区畜禽屠宰有限公司</w:t>
            </w:r>
            <w:r>
              <w:rPr>
                <w:rFonts w:hint="eastAsia" w:ascii="Times New Roman" w:hAnsi="Times New Roman" w:cs="Times New Roman"/>
                <w:color w:val="000000" w:themeColor="text1"/>
                <w:sz w:val="24"/>
                <w:szCs w:val="24"/>
              </w:rPr>
              <w:t>污水处理站提升改造设计方案》的分析，该项目生产废水的水质</w:t>
            </w:r>
            <w:r>
              <w:rPr>
                <w:rFonts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表2.6-</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生产废水水质指标一览表 mg/L</w:t>
            </w:r>
          </w:p>
          <w:tbl>
            <w:tblPr>
              <w:tblStyle w:val="20"/>
              <w:tblW w:w="8603" w:type="dxa"/>
              <w:jc w:val="center"/>
              <w:tblInd w:w="0" w:type="dxa"/>
              <w:tblLayout w:type="fixed"/>
              <w:tblCellMar>
                <w:top w:w="0" w:type="dxa"/>
                <w:left w:w="108" w:type="dxa"/>
                <w:bottom w:w="0" w:type="dxa"/>
                <w:right w:w="108" w:type="dxa"/>
              </w:tblCellMar>
            </w:tblPr>
            <w:tblGrid>
              <w:gridCol w:w="736"/>
              <w:gridCol w:w="567"/>
              <w:gridCol w:w="850"/>
              <w:gridCol w:w="851"/>
              <w:gridCol w:w="709"/>
              <w:gridCol w:w="850"/>
              <w:gridCol w:w="709"/>
              <w:gridCol w:w="567"/>
              <w:gridCol w:w="709"/>
              <w:gridCol w:w="850"/>
              <w:gridCol w:w="1205"/>
            </w:tblGrid>
            <w:tr>
              <w:tblPrEx>
                <w:tblLayout w:type="fixed"/>
                <w:tblCellMar>
                  <w:top w:w="0" w:type="dxa"/>
                  <w:left w:w="108" w:type="dxa"/>
                  <w:bottom w:w="0" w:type="dxa"/>
                  <w:right w:w="108" w:type="dxa"/>
                </w:tblCellMar>
              </w:tblPrEx>
              <w:trPr>
                <w:trHeight w:val="149" w:hRule="atLeast"/>
                <w:jc w:val="center"/>
              </w:trPr>
              <w:tc>
                <w:tcPr>
                  <w:tcW w:w="73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w:t>
                  </w:r>
                </w:p>
              </w:tc>
              <w:tc>
                <w:tcPr>
                  <w:tcW w:w="7867" w:type="dxa"/>
                  <w:gridSpan w:val="10"/>
                  <w:tcBorders>
                    <w:top w:val="single" w:color="auto" w:sz="8" w:space="0"/>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污染物（mg/L）</w:t>
                  </w:r>
                </w:p>
              </w:tc>
            </w:tr>
            <w:tr>
              <w:tblPrEx>
                <w:tblLayout w:type="fixed"/>
                <w:tblCellMar>
                  <w:top w:w="0" w:type="dxa"/>
                  <w:left w:w="108" w:type="dxa"/>
                  <w:bottom w:w="0" w:type="dxa"/>
                  <w:right w:w="108" w:type="dxa"/>
                </w:tblCellMar>
              </w:tblPrEx>
              <w:trPr>
                <w:trHeight w:val="285" w:hRule="atLeast"/>
                <w:jc w:val="center"/>
              </w:trPr>
              <w:tc>
                <w:tcPr>
                  <w:tcW w:w="7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567"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pH</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CODcr</w:t>
                  </w:r>
                </w:p>
              </w:tc>
              <w:tc>
                <w:tcPr>
                  <w:tcW w:w="85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BOD</w:t>
                  </w:r>
                  <w:r>
                    <w:rPr>
                      <w:rFonts w:ascii="Times New Roman" w:hAnsi="Times New Roman" w:eastAsia="宋体" w:cs="Times New Roman"/>
                      <w:bCs/>
                      <w:snapToGrid w:val="0"/>
                      <w:color w:val="000000" w:themeColor="text1"/>
                      <w:kern w:val="32"/>
                      <w:szCs w:val="20"/>
                      <w:vertAlign w:val="subscript"/>
                    </w:rPr>
                    <w:t>5</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SS</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NH</w:t>
                  </w:r>
                  <w:r>
                    <w:rPr>
                      <w:rFonts w:ascii="Times New Roman" w:hAnsi="Times New Roman" w:eastAsia="宋体" w:cs="Times New Roman"/>
                      <w:bCs/>
                      <w:snapToGrid w:val="0"/>
                      <w:color w:val="000000" w:themeColor="text1"/>
                      <w:kern w:val="32"/>
                      <w:szCs w:val="20"/>
                      <w:vertAlign w:val="subscript"/>
                    </w:rPr>
                    <w:t>3</w:t>
                  </w:r>
                  <w:r>
                    <w:rPr>
                      <w:rFonts w:ascii="Times New Roman" w:hAnsi="Times New Roman" w:eastAsia="宋体" w:cs="Times New Roman"/>
                      <w:bCs/>
                      <w:snapToGrid w:val="0"/>
                      <w:color w:val="000000" w:themeColor="text1"/>
                      <w:kern w:val="32"/>
                      <w:szCs w:val="20"/>
                    </w:rPr>
                    <w:t>-N</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TN</w:t>
                  </w:r>
                </w:p>
              </w:tc>
              <w:tc>
                <w:tcPr>
                  <w:tcW w:w="567"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TP</w:t>
                  </w:r>
                </w:p>
              </w:tc>
              <w:tc>
                <w:tcPr>
                  <w:tcW w:w="709"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动植物油</w:t>
                  </w:r>
                </w:p>
              </w:tc>
              <w:tc>
                <w:tcPr>
                  <w:tcW w:w="850"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阴离子表面活性剂</w:t>
                  </w:r>
                </w:p>
              </w:tc>
              <w:tc>
                <w:tcPr>
                  <w:tcW w:w="1205"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粪大肠菌群数（MPN/L）</w:t>
                  </w:r>
                </w:p>
              </w:tc>
            </w:tr>
            <w:tr>
              <w:tblPrEx>
                <w:tblLayout w:type="fixed"/>
                <w:tblCellMar>
                  <w:top w:w="0" w:type="dxa"/>
                  <w:left w:w="108" w:type="dxa"/>
                  <w:bottom w:w="0" w:type="dxa"/>
                  <w:right w:w="108" w:type="dxa"/>
                </w:tblCellMar>
              </w:tblPrEx>
              <w:trPr>
                <w:trHeight w:val="300" w:hRule="atLeast"/>
                <w:jc w:val="center"/>
              </w:trPr>
              <w:tc>
                <w:tcPr>
                  <w:tcW w:w="736" w:type="dxa"/>
                  <w:tcBorders>
                    <w:top w:val="nil"/>
                    <w:left w:val="single" w:color="auto" w:sz="8" w:space="0"/>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生产废水</w:t>
                  </w:r>
                </w:p>
              </w:tc>
              <w:tc>
                <w:tcPr>
                  <w:tcW w:w="567"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6-9</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2200</w:t>
                  </w:r>
                </w:p>
              </w:tc>
              <w:tc>
                <w:tcPr>
                  <w:tcW w:w="85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1600</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1200</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600</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80</w:t>
                  </w:r>
                </w:p>
              </w:tc>
              <w:tc>
                <w:tcPr>
                  <w:tcW w:w="567"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73</w:t>
                  </w:r>
                </w:p>
              </w:tc>
              <w:tc>
                <w:tcPr>
                  <w:tcW w:w="709"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30</w:t>
                  </w:r>
                </w:p>
              </w:tc>
              <w:tc>
                <w:tcPr>
                  <w:tcW w:w="850"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8</w:t>
                  </w:r>
                </w:p>
              </w:tc>
              <w:tc>
                <w:tcPr>
                  <w:tcW w:w="1205"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1×10</w:t>
                  </w:r>
                  <w:r>
                    <w:rPr>
                      <w:rFonts w:hint="eastAsia" w:ascii="Times New Roman" w:hAnsi="Times New Roman" w:eastAsia="宋体" w:cs="Times New Roman"/>
                      <w:bCs/>
                      <w:snapToGrid w:val="0"/>
                      <w:color w:val="000000" w:themeColor="text1"/>
                      <w:kern w:val="32"/>
                      <w:szCs w:val="20"/>
                      <w:vertAlign w:val="superscript"/>
                    </w:rPr>
                    <w:t>8</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根据项目特点，该改建项目设置员工30人，不在项目区食宿。根据《云南省地方标准用水定额》（DB53/T168-2019），员工用水量取</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0L/d·人，则生活用水量</w:t>
            </w:r>
            <w:r>
              <w:rPr>
                <w:rFonts w:hint="eastAsia"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m³/d，合计为</w:t>
            </w:r>
            <w:r>
              <w:rPr>
                <w:rFonts w:hint="eastAsia" w:ascii="Times New Roman" w:hAnsi="Times New Roman" w:cs="Times New Roman"/>
                <w:color w:val="000000" w:themeColor="text1"/>
                <w:sz w:val="24"/>
                <w:szCs w:val="24"/>
              </w:rPr>
              <w:t>432</w:t>
            </w:r>
            <w:r>
              <w:rPr>
                <w:rFonts w:ascii="Times New Roman" w:hAnsi="Times New Roman" w:cs="Times New Roman"/>
                <w:color w:val="000000" w:themeColor="text1"/>
                <w:sz w:val="24"/>
                <w:szCs w:val="24"/>
              </w:rPr>
              <w:t>m³/a；废水率按80%计，则废水量为</w:t>
            </w:r>
            <w:r>
              <w:rPr>
                <w:rFonts w:hint="eastAsia" w:ascii="Times New Roman" w:hAnsi="Times New Roman" w:cs="Times New Roman"/>
                <w:color w:val="000000" w:themeColor="text1"/>
                <w:sz w:val="24"/>
                <w:szCs w:val="24"/>
              </w:rPr>
              <w:t>0.96</w:t>
            </w:r>
            <w:r>
              <w:rPr>
                <w:rFonts w:ascii="Times New Roman" w:hAnsi="Times New Roman" w:cs="Times New Roman"/>
                <w:color w:val="000000" w:themeColor="text1"/>
                <w:sz w:val="24"/>
                <w:szCs w:val="24"/>
              </w:rPr>
              <w:t>m³/d，合计为</w:t>
            </w:r>
            <w:r>
              <w:rPr>
                <w:rFonts w:hint="eastAsia" w:ascii="Times New Roman" w:hAnsi="Times New Roman" w:cs="Times New Roman"/>
                <w:color w:val="000000" w:themeColor="text1"/>
                <w:sz w:val="24"/>
                <w:szCs w:val="24"/>
              </w:rPr>
              <w:t>345.6</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类比</w:t>
            </w:r>
            <w:r>
              <w:rPr>
                <w:rFonts w:hint="eastAsia" w:ascii="Times New Roman" w:hAnsi="Times New Roman" w:cs="Times New Roman"/>
                <w:color w:val="000000" w:themeColor="text1"/>
                <w:sz w:val="24"/>
                <w:szCs w:val="24"/>
              </w:rPr>
              <w:t>原有项目生活污水核算数据</w:t>
            </w:r>
            <w:r>
              <w:rPr>
                <w:rFonts w:ascii="Times New Roman" w:hAnsi="Times New Roman" w:cs="Times New Roman"/>
                <w:color w:val="000000" w:themeColor="text1"/>
                <w:sz w:val="24"/>
                <w:szCs w:val="24"/>
              </w:rPr>
              <w:t>，生活污水水质如下表所示。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表2.6-</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生活污水水质指标一览表 mg/L</w:t>
            </w:r>
          </w:p>
          <w:tbl>
            <w:tblPr>
              <w:tblStyle w:val="20"/>
              <w:tblW w:w="8603" w:type="dxa"/>
              <w:jc w:val="center"/>
              <w:tblInd w:w="0" w:type="dxa"/>
              <w:tblLayout w:type="fixed"/>
              <w:tblCellMar>
                <w:top w:w="0" w:type="dxa"/>
                <w:left w:w="108" w:type="dxa"/>
                <w:bottom w:w="0" w:type="dxa"/>
                <w:right w:w="108" w:type="dxa"/>
              </w:tblCellMar>
            </w:tblPr>
            <w:tblGrid>
              <w:gridCol w:w="736"/>
              <w:gridCol w:w="709"/>
              <w:gridCol w:w="992"/>
              <w:gridCol w:w="850"/>
              <w:gridCol w:w="709"/>
              <w:gridCol w:w="851"/>
              <w:gridCol w:w="708"/>
              <w:gridCol w:w="709"/>
              <w:gridCol w:w="1061"/>
              <w:gridCol w:w="1278"/>
            </w:tblGrid>
            <w:tr>
              <w:tblPrEx>
                <w:tblLayout w:type="fixed"/>
                <w:tblCellMar>
                  <w:top w:w="0" w:type="dxa"/>
                  <w:left w:w="108" w:type="dxa"/>
                  <w:bottom w:w="0" w:type="dxa"/>
                  <w:right w:w="108" w:type="dxa"/>
                </w:tblCellMar>
              </w:tblPrEx>
              <w:trPr>
                <w:trHeight w:val="149" w:hRule="atLeast"/>
                <w:jc w:val="center"/>
              </w:trPr>
              <w:tc>
                <w:tcPr>
                  <w:tcW w:w="73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w:t>
                  </w:r>
                </w:p>
              </w:tc>
              <w:tc>
                <w:tcPr>
                  <w:tcW w:w="7867" w:type="dxa"/>
                  <w:gridSpan w:val="9"/>
                  <w:tcBorders>
                    <w:top w:val="single" w:color="auto" w:sz="8" w:space="0"/>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污染物（mg/L）</w:t>
                  </w:r>
                </w:p>
              </w:tc>
            </w:tr>
            <w:tr>
              <w:tblPrEx>
                <w:tblLayout w:type="fixed"/>
                <w:tblCellMar>
                  <w:top w:w="0" w:type="dxa"/>
                  <w:left w:w="108" w:type="dxa"/>
                  <w:bottom w:w="0" w:type="dxa"/>
                  <w:right w:w="108" w:type="dxa"/>
                </w:tblCellMar>
              </w:tblPrEx>
              <w:trPr>
                <w:trHeight w:val="285" w:hRule="atLeast"/>
                <w:jc w:val="center"/>
              </w:trPr>
              <w:tc>
                <w:tcPr>
                  <w:tcW w:w="7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pH</w:t>
                  </w:r>
                </w:p>
              </w:tc>
              <w:tc>
                <w:tcPr>
                  <w:tcW w:w="992"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CODcr</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BOD</w:t>
                  </w:r>
                  <w:r>
                    <w:rPr>
                      <w:rFonts w:ascii="Times New Roman" w:hAnsi="Times New Roman" w:eastAsia="宋体" w:cs="Times New Roman"/>
                      <w:bCs/>
                      <w:snapToGrid w:val="0"/>
                      <w:color w:val="000000" w:themeColor="text1"/>
                      <w:kern w:val="32"/>
                      <w:szCs w:val="20"/>
                      <w:vertAlign w:val="subscript"/>
                    </w:rPr>
                    <w:t>5</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SS</w:t>
                  </w:r>
                </w:p>
              </w:tc>
              <w:tc>
                <w:tcPr>
                  <w:tcW w:w="85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NH</w:t>
                  </w:r>
                  <w:r>
                    <w:rPr>
                      <w:rFonts w:ascii="Times New Roman" w:hAnsi="Times New Roman" w:eastAsia="宋体" w:cs="Times New Roman"/>
                      <w:bCs/>
                      <w:snapToGrid w:val="0"/>
                      <w:color w:val="000000" w:themeColor="text1"/>
                      <w:kern w:val="32"/>
                      <w:szCs w:val="20"/>
                      <w:vertAlign w:val="subscript"/>
                    </w:rPr>
                    <w:t>3</w:t>
                  </w:r>
                  <w:r>
                    <w:rPr>
                      <w:rFonts w:ascii="Times New Roman" w:hAnsi="Times New Roman" w:eastAsia="宋体" w:cs="Times New Roman"/>
                      <w:bCs/>
                      <w:snapToGrid w:val="0"/>
                      <w:color w:val="000000" w:themeColor="text1"/>
                      <w:kern w:val="32"/>
                      <w:szCs w:val="20"/>
                    </w:rPr>
                    <w:t>-N</w:t>
                  </w:r>
                </w:p>
              </w:tc>
              <w:tc>
                <w:tcPr>
                  <w:tcW w:w="708"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TN</w:t>
                  </w:r>
                </w:p>
              </w:tc>
              <w:tc>
                <w:tcPr>
                  <w:tcW w:w="709"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TP</w:t>
                  </w:r>
                </w:p>
              </w:tc>
              <w:tc>
                <w:tcPr>
                  <w:tcW w:w="1061"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阴离子表面活性剂</w:t>
                  </w:r>
                </w:p>
              </w:tc>
              <w:tc>
                <w:tcPr>
                  <w:tcW w:w="1278"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粪大肠菌群数（MPN/L）</w:t>
                  </w:r>
                </w:p>
              </w:tc>
            </w:tr>
            <w:tr>
              <w:tblPrEx>
                <w:tblLayout w:type="fixed"/>
                <w:tblCellMar>
                  <w:top w:w="0" w:type="dxa"/>
                  <w:left w:w="108" w:type="dxa"/>
                  <w:bottom w:w="0" w:type="dxa"/>
                  <w:right w:w="108" w:type="dxa"/>
                </w:tblCellMar>
              </w:tblPrEx>
              <w:trPr>
                <w:trHeight w:val="300" w:hRule="atLeast"/>
                <w:jc w:val="center"/>
              </w:trPr>
              <w:tc>
                <w:tcPr>
                  <w:tcW w:w="736" w:type="dxa"/>
                  <w:tcBorders>
                    <w:top w:val="nil"/>
                    <w:left w:val="single" w:color="auto" w:sz="8" w:space="0"/>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生活污水</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6-9</w:t>
                  </w:r>
                </w:p>
              </w:tc>
              <w:tc>
                <w:tcPr>
                  <w:tcW w:w="992"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350</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220</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300</w:t>
                  </w:r>
                </w:p>
              </w:tc>
              <w:tc>
                <w:tcPr>
                  <w:tcW w:w="85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38</w:t>
                  </w:r>
                </w:p>
              </w:tc>
              <w:tc>
                <w:tcPr>
                  <w:tcW w:w="708"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45</w:t>
                  </w:r>
                </w:p>
              </w:tc>
              <w:tc>
                <w:tcPr>
                  <w:tcW w:w="709"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8</w:t>
                  </w:r>
                </w:p>
              </w:tc>
              <w:tc>
                <w:tcPr>
                  <w:tcW w:w="1061"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16</w:t>
                  </w:r>
                </w:p>
              </w:tc>
              <w:tc>
                <w:tcPr>
                  <w:tcW w:w="1278"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16000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项目产生的生活污水先经化粪池预处理后，再经厂区污水处理站处理后用于项目区周围农田（旱地作物）灌溉，不直接排入环境。</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③消毒废水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在进厂大门处设置了消毒区，经检疫合格的生猪运输车辆，在大门处进行消毒后，方可进入厂区内，该消毒方式主要采用药剂加入水中对车辆进行清洗消毒，根据项目实际运行情况，每天消毒用水量约为3</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，消毒废水约60%被消毒车辆带走蒸发，废水产生量约为1.2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（432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a）。项目产生的消毒废水经厂区污水处理站处理后用于项目区周围农田（旱地作物）灌溉，不直接排入环境。</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根据类比原有项目，消毒废水</w:t>
            </w:r>
            <w:r>
              <w:rPr>
                <w:rFonts w:ascii="Times New Roman" w:hAnsi="Times New Roman" w:cs="Times New Roman"/>
                <w:color w:val="000000" w:themeColor="text1"/>
                <w:sz w:val="24"/>
                <w:szCs w:val="24"/>
              </w:rPr>
              <w:t>水质如下表所示。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表2.6-</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消毒废水水质指标一览表 mg/L</w:t>
            </w:r>
          </w:p>
          <w:tbl>
            <w:tblPr>
              <w:tblStyle w:val="20"/>
              <w:tblW w:w="8603" w:type="dxa"/>
              <w:jc w:val="center"/>
              <w:tblInd w:w="0" w:type="dxa"/>
              <w:tblLayout w:type="fixed"/>
              <w:tblCellMar>
                <w:top w:w="0" w:type="dxa"/>
                <w:left w:w="108" w:type="dxa"/>
                <w:bottom w:w="0" w:type="dxa"/>
                <w:right w:w="108" w:type="dxa"/>
              </w:tblCellMar>
            </w:tblPr>
            <w:tblGrid>
              <w:gridCol w:w="1586"/>
              <w:gridCol w:w="1985"/>
              <w:gridCol w:w="1701"/>
              <w:gridCol w:w="1559"/>
              <w:gridCol w:w="1772"/>
            </w:tblGrid>
            <w:tr>
              <w:tblPrEx>
                <w:tblLayout w:type="fixed"/>
                <w:tblCellMar>
                  <w:top w:w="0" w:type="dxa"/>
                  <w:left w:w="108" w:type="dxa"/>
                  <w:bottom w:w="0" w:type="dxa"/>
                  <w:right w:w="108" w:type="dxa"/>
                </w:tblCellMar>
              </w:tblPrEx>
              <w:trPr>
                <w:trHeight w:val="149" w:hRule="atLeast"/>
                <w:jc w:val="center"/>
              </w:trPr>
              <w:tc>
                <w:tcPr>
                  <w:tcW w:w="158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w:t>
                  </w:r>
                </w:p>
              </w:tc>
              <w:tc>
                <w:tcPr>
                  <w:tcW w:w="7017" w:type="dxa"/>
                  <w:gridSpan w:val="4"/>
                  <w:tcBorders>
                    <w:top w:val="single" w:color="auto" w:sz="8" w:space="0"/>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污染物（mg/L）</w:t>
                  </w:r>
                </w:p>
              </w:tc>
            </w:tr>
            <w:tr>
              <w:tblPrEx>
                <w:tblLayout w:type="fixed"/>
                <w:tblCellMar>
                  <w:top w:w="0" w:type="dxa"/>
                  <w:left w:w="108" w:type="dxa"/>
                  <w:bottom w:w="0" w:type="dxa"/>
                  <w:right w:w="108" w:type="dxa"/>
                </w:tblCellMar>
              </w:tblPrEx>
              <w:trPr>
                <w:trHeight w:val="285" w:hRule="atLeast"/>
                <w:jc w:val="center"/>
              </w:trPr>
              <w:tc>
                <w:tcPr>
                  <w:tcW w:w="158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985"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CODcr</w:t>
                  </w:r>
                </w:p>
              </w:tc>
              <w:tc>
                <w:tcPr>
                  <w:tcW w:w="170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SS</w:t>
                  </w:r>
                </w:p>
              </w:tc>
              <w:tc>
                <w:tcPr>
                  <w:tcW w:w="155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NH</w:t>
                  </w:r>
                  <w:r>
                    <w:rPr>
                      <w:rFonts w:ascii="Times New Roman" w:hAnsi="Times New Roman" w:eastAsia="宋体" w:cs="Times New Roman"/>
                      <w:bCs/>
                      <w:snapToGrid w:val="0"/>
                      <w:color w:val="000000" w:themeColor="text1"/>
                      <w:kern w:val="32"/>
                      <w:szCs w:val="20"/>
                      <w:vertAlign w:val="subscript"/>
                    </w:rPr>
                    <w:t>3</w:t>
                  </w:r>
                  <w:r>
                    <w:rPr>
                      <w:rFonts w:ascii="Times New Roman" w:hAnsi="Times New Roman" w:eastAsia="宋体" w:cs="Times New Roman"/>
                      <w:bCs/>
                      <w:snapToGrid w:val="0"/>
                      <w:color w:val="000000" w:themeColor="text1"/>
                      <w:kern w:val="32"/>
                      <w:szCs w:val="20"/>
                    </w:rPr>
                    <w:t>-N</w:t>
                  </w:r>
                </w:p>
              </w:tc>
              <w:tc>
                <w:tcPr>
                  <w:tcW w:w="1772"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TP</w:t>
                  </w:r>
                </w:p>
              </w:tc>
            </w:tr>
            <w:tr>
              <w:tblPrEx>
                <w:tblLayout w:type="fixed"/>
                <w:tblCellMar>
                  <w:top w:w="0" w:type="dxa"/>
                  <w:left w:w="108" w:type="dxa"/>
                  <w:bottom w:w="0" w:type="dxa"/>
                  <w:right w:w="108" w:type="dxa"/>
                </w:tblCellMar>
              </w:tblPrEx>
              <w:trPr>
                <w:trHeight w:val="300" w:hRule="atLeast"/>
                <w:jc w:val="center"/>
              </w:trPr>
              <w:tc>
                <w:tcPr>
                  <w:tcW w:w="1586" w:type="dxa"/>
                  <w:tcBorders>
                    <w:top w:val="nil"/>
                    <w:left w:val="single" w:color="auto" w:sz="8" w:space="0"/>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消毒废水</w:t>
                  </w:r>
                </w:p>
              </w:tc>
              <w:tc>
                <w:tcPr>
                  <w:tcW w:w="1985"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cs="Times New Roman"/>
                      <w:color w:val="000000" w:themeColor="text1"/>
                      <w:sz w:val="24"/>
                    </w:rPr>
                    <w:t>160</w:t>
                  </w:r>
                </w:p>
              </w:tc>
              <w:tc>
                <w:tcPr>
                  <w:tcW w:w="170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300</w:t>
                  </w:r>
                </w:p>
              </w:tc>
              <w:tc>
                <w:tcPr>
                  <w:tcW w:w="155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8</w:t>
                  </w:r>
                </w:p>
              </w:tc>
              <w:tc>
                <w:tcPr>
                  <w:tcW w:w="1772"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0.6</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w:t>
            </w:r>
            <w:r>
              <w:rPr>
                <w:rFonts w:ascii="Times New Roman" w:hAnsi="Times New Roman" w:cs="Times New Roman"/>
                <w:b/>
                <w:color w:val="000000" w:themeColor="text1"/>
                <w:sz w:val="24"/>
                <w:szCs w:val="24"/>
              </w:rPr>
              <w:t>绿化用水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内容可知，项目区绿化面积为500m²的绿化区域；根据《云南省地方标准用水定额》（DB53/T168-2019），绿化用水定额约为3L/（m²·次），则绿化用水量约为1.5m³/次，其中雨天不浇灌，非雨天1天1次，项目区域非雨天以255d计，则绿化用水量为382.5m³/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⑤</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项目区初期雨水产生量按下述公式进行计算：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原有项目厂区占地面积为3360m²，考虑到原有项目区场地的硬化程度，径流系数取0.6。该区30年一遇最大日降雨量153.3mm，经计算原有项目区最大日雨水量为309.05m³，初期雨水主要产生于暴雨前</w:t>
            </w:r>
            <w:r>
              <w:rPr>
                <w:rFonts w:hint="eastAsia" w:ascii="Times New Roman" w:hAnsi="Times New Roman" w:cs="Times New Roman"/>
                <w:color w:val="000000" w:themeColor="text1"/>
                <w:sz w:val="24"/>
              </w:rPr>
              <w:t>30min</w:t>
            </w:r>
            <w:r>
              <w:rPr>
                <w:rFonts w:ascii="Times New Roman" w:hAnsi="Times New Roman" w:cs="Times New Roman"/>
                <w:color w:val="000000" w:themeColor="text1"/>
                <w:sz w:val="24"/>
              </w:rPr>
              <w:t>，经计算，原有项目初期雨水产生量约为6.5m³/次。初期雨水的主要污染物为SS、CODcr、NH</w:t>
            </w:r>
            <w:r>
              <w:rPr>
                <w:rFonts w:ascii="Times New Roman" w:hAnsi="Times New Roman" w:cs="Times New Roman"/>
                <w:color w:val="000000" w:themeColor="text1"/>
                <w:sz w:val="24"/>
                <w:vertAlign w:val="subscript"/>
              </w:rPr>
              <w:t>3</w:t>
            </w:r>
            <w:r>
              <w:rPr>
                <w:rFonts w:ascii="Times New Roman" w:hAnsi="Times New Roman" w:cs="Times New Roman"/>
                <w:color w:val="000000" w:themeColor="text1"/>
                <w:sz w:val="24"/>
              </w:rPr>
              <w:t>-N和总磷，根据中国污水处理工程网发布的《路面雨水水质特性》的分析，路面雨水径流水质随降雨历时变化明显，随着降雨的进行，污染物质量浓度逐渐降低。初期雨水污染物随降雨历时浓度迅速下降。</w:t>
            </w:r>
            <w:r>
              <w:rPr>
                <w:rFonts w:hint="eastAsia" w:ascii="Times New Roman" w:hAnsi="Times New Roman" w:cs="Times New Roman"/>
                <w:color w:val="000000" w:themeColor="text1"/>
                <w:sz w:val="24"/>
              </w:rPr>
              <w:t>项目产生的</w:t>
            </w:r>
            <w:r>
              <w:rPr>
                <w:rFonts w:ascii="Times New Roman" w:hAnsi="Times New Roman" w:cs="Times New Roman"/>
                <w:color w:val="000000" w:themeColor="text1"/>
                <w:sz w:val="24"/>
              </w:rPr>
              <w:t>初期雨水</w:t>
            </w:r>
            <w:r>
              <w:rPr>
                <w:rFonts w:hint="eastAsia" w:ascii="Times New Roman" w:hAnsi="Times New Roman" w:cs="Times New Roman"/>
                <w:color w:val="000000" w:themeColor="text1"/>
                <w:sz w:val="24"/>
              </w:rPr>
              <w:t>经厂区污水处理站处理后用于项目区周围农田（旱地作物）灌溉，不直接排入环境。</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综上，该改建项目用排水情况详见下表。</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w:t>
            </w:r>
            <w:r>
              <w:rPr>
                <w:rFonts w:hint="eastAsia" w:ascii="Times New Roman" w:hAnsi="Times New Roman" w:cs="Times New Roman"/>
                <w:b/>
                <w:bCs/>
                <w:color w:val="000000" w:themeColor="text1"/>
                <w:kern w:val="0"/>
              </w:rPr>
              <w:t>3</w:t>
            </w:r>
            <w:r>
              <w:rPr>
                <w:rFonts w:ascii="Times New Roman" w:hAnsi="Times New Roman" w:cs="Times New Roman"/>
                <w:b/>
                <w:bCs/>
                <w:color w:val="000000" w:themeColor="text1"/>
                <w:kern w:val="0"/>
              </w:rPr>
              <w:t xml:space="preserve">  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300"/>
              <w:gridCol w:w="1134"/>
              <w:gridCol w:w="283"/>
              <w:gridCol w:w="1134"/>
              <w:gridCol w:w="1134"/>
              <w:gridCol w:w="1276"/>
              <w:gridCol w:w="1418"/>
              <w:gridCol w:w="919"/>
            </w:tblGrid>
            <w:tr>
              <w:tblPrEx>
                <w:tblLayout w:type="fixed"/>
                <w:tblCellMar>
                  <w:top w:w="0" w:type="dxa"/>
                  <w:left w:w="108" w:type="dxa"/>
                  <w:bottom w:w="0" w:type="dxa"/>
                  <w:right w:w="108" w:type="dxa"/>
                </w:tblCellMar>
              </w:tblPrEx>
              <w:trPr>
                <w:trHeight w:val="67" w:hRule="atLeast"/>
                <w:jc w:val="center"/>
              </w:trPr>
              <w:tc>
                <w:tcPr>
                  <w:tcW w:w="130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用水单元</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规模</w:t>
                  </w:r>
                </w:p>
              </w:tc>
              <w:tc>
                <w:tcPr>
                  <w:tcW w:w="141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用水定额</w:t>
                  </w:r>
                </w:p>
              </w:tc>
              <w:tc>
                <w:tcPr>
                  <w:tcW w:w="2410"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用水量</w:t>
                  </w:r>
                </w:p>
              </w:tc>
              <w:tc>
                <w:tcPr>
                  <w:tcW w:w="2337"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300" w:type="dxa"/>
                  <w:vMerge w:val="continue"/>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p>
              </w:tc>
              <w:tc>
                <w:tcPr>
                  <w:tcW w:w="1417"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m³/d</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m³/a</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m³/d</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生产废水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195头/d</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0.535吨/头</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hint="eastAsia" w:eastAsiaTheme="minorEastAsia"/>
                      <w:color w:val="000000" w:themeColor="text1"/>
                    </w:rPr>
                    <w:t>136.11</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hint="eastAsia" w:eastAsiaTheme="minorEastAsia"/>
                      <w:color w:val="000000" w:themeColor="text1"/>
                    </w:rPr>
                    <w:t>49000</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hint="eastAsia" w:eastAsiaTheme="minorEastAsia"/>
                      <w:color w:val="000000" w:themeColor="text1"/>
                    </w:rPr>
                    <w:t>136.11</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hint="eastAsia" w:eastAsiaTheme="minorEastAsia"/>
                      <w:color w:val="000000" w:themeColor="text1"/>
                    </w:rPr>
                    <w:t>49000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生活用水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30人</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40L/d·人</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432</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0.96</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345.6</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消毒用水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3m³/d</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1080</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432</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绿化用水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500m²</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3L/（m²·次）</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1.5</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382.5</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初期雨水</w:t>
                  </w:r>
                </w:p>
              </w:tc>
              <w:tc>
                <w:tcPr>
                  <w:tcW w:w="2551" w:type="dxa"/>
                  <w:gridSpan w:val="3"/>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3360m²</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418"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6.5m³/次</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30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合计</w:t>
                  </w:r>
                </w:p>
              </w:tc>
              <w:tc>
                <w:tcPr>
                  <w:tcW w:w="1417" w:type="dxa"/>
                  <w:gridSpan w:val="2"/>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141.81</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50894.5</w:t>
                  </w:r>
                </w:p>
              </w:tc>
              <w:tc>
                <w:tcPr>
                  <w:tcW w:w="1418" w:type="dxa"/>
                  <w:tcBorders>
                    <w:top w:val="single" w:color="auto" w:sz="8" w:space="0"/>
                    <w:left w:val="nil"/>
                    <w:bottom w:val="single" w:color="auto" w:sz="8" w:space="0"/>
                    <w:right w:val="single" w:color="auto" w:sz="4"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138.27</w:t>
                  </w:r>
                </w:p>
              </w:tc>
              <w:tc>
                <w:tcPr>
                  <w:tcW w:w="919"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49777.6</w:t>
                  </w:r>
                </w:p>
              </w:tc>
            </w:tr>
          </w:tbl>
          <w:p>
            <w:pPr>
              <w:pStyle w:val="39"/>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GB2 </w:instrText>
            </w:r>
            <w:r>
              <w:rPr>
                <w:rFonts w:eastAsiaTheme="minorEastAsia"/>
                <w:color w:val="000000" w:themeColor="text1"/>
                <w:szCs w:val="24"/>
              </w:rPr>
              <w:fldChar w:fldCharType="separate"/>
            </w:r>
            <w:r>
              <w:rPr>
                <w:rFonts w:hint="eastAsia" w:ascii="宋体" w:hAnsi="宋体" w:cs="宋体"/>
                <w:color w:val="000000" w:themeColor="text1"/>
                <w:szCs w:val="24"/>
              </w:rPr>
              <w:t>⑴</w:t>
            </w:r>
            <w:r>
              <w:rPr>
                <w:rFonts w:eastAsiaTheme="minorEastAsia"/>
                <w:color w:val="000000" w:themeColor="text1"/>
                <w:szCs w:val="24"/>
              </w:rPr>
              <w:fldChar w:fldCharType="end"/>
            </w:r>
            <w:r>
              <w:rPr>
                <w:rFonts w:eastAsiaTheme="minorEastAsia"/>
                <w:color w:val="000000" w:themeColor="text1"/>
                <w:szCs w:val="24"/>
              </w:rPr>
              <w:t>非雨天水平衡如下图所示。</w:t>
            </w:r>
          </w:p>
          <w:p>
            <w:pPr>
              <w:jc w:val="center"/>
              <w:rPr>
                <w:rFonts w:ascii="Times New Roman" w:hAnsi="Times New Roman" w:cs="Times New Roman"/>
                <w:b/>
                <w:bCs/>
                <w:color w:val="000000" w:themeColor="text1"/>
                <w:kern w:val="0"/>
              </w:rPr>
            </w:pPr>
            <w:r>
              <w:rPr>
                <w:color w:val="000000" w:themeColor="text1"/>
              </w:rPr>
              <w:object>
                <v:shape id="_x0000_i1025" o:spt="75" type="#_x0000_t75" style="height:324.6pt;width:395.4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图2.6-1 项目非雨天水平衡水平衡图 m³/d</w:t>
            </w:r>
          </w:p>
          <w:p>
            <w:pPr>
              <w:pStyle w:val="39"/>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GB2 </w:instrText>
            </w:r>
            <w:r>
              <w:rPr>
                <w:rFonts w:eastAsiaTheme="minorEastAsia"/>
                <w:color w:val="000000" w:themeColor="text1"/>
                <w:szCs w:val="24"/>
              </w:rPr>
              <w:fldChar w:fldCharType="separate"/>
            </w:r>
            <w:r>
              <w:rPr>
                <w:rFonts w:hint="eastAsia" w:ascii="宋体" w:hAnsi="宋体" w:cs="宋体"/>
                <w:color w:val="000000" w:themeColor="text1"/>
                <w:szCs w:val="24"/>
              </w:rPr>
              <w:t>⑵</w:t>
            </w:r>
            <w:r>
              <w:rPr>
                <w:rFonts w:eastAsiaTheme="minorEastAsia"/>
                <w:color w:val="000000" w:themeColor="text1"/>
                <w:szCs w:val="24"/>
              </w:rPr>
              <w:fldChar w:fldCharType="end"/>
            </w:r>
            <w:r>
              <w:rPr>
                <w:rFonts w:eastAsiaTheme="minorEastAsia"/>
                <w:color w:val="000000" w:themeColor="text1"/>
                <w:szCs w:val="24"/>
              </w:rPr>
              <w:t>雨天水平衡如下图所示。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object>
                <v:shape id="_x0000_i1026" o:spt="75" type="#_x0000_t75" style="height:372pt;width:430.8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r>
              <w:rPr>
                <w:rFonts w:ascii="Times New Roman" w:hAnsi="Times New Roman" w:cs="Times New Roman"/>
                <w:b/>
                <w:bCs/>
                <w:color w:val="000000" w:themeColor="text1"/>
                <w:kern w:val="0"/>
              </w:rPr>
              <w:t>图2.6-2 项目雨天水平衡图 m³/d</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劳动定员及工作制度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根据设计，该改建项目</w:t>
            </w:r>
            <w:r>
              <w:rPr>
                <w:rFonts w:hint="eastAsia" w:ascii="Times New Roman" w:hAnsi="Times New Roman" w:cs="Times New Roman"/>
                <w:bCs/>
                <w:color w:val="000000" w:themeColor="text1"/>
                <w:sz w:val="24"/>
                <w:szCs w:val="24"/>
              </w:rPr>
              <w:t>改</w:t>
            </w:r>
            <w:r>
              <w:rPr>
                <w:rFonts w:ascii="Times New Roman" w:hAnsi="Times New Roman" w:cs="Times New Roman"/>
                <w:bCs/>
                <w:color w:val="000000" w:themeColor="text1"/>
                <w:sz w:val="24"/>
                <w:szCs w:val="24"/>
              </w:rPr>
              <w:t>建后劳动定员为30人，</w:t>
            </w:r>
            <w:r>
              <w:rPr>
                <w:rFonts w:hint="eastAsia" w:ascii="Times New Roman" w:hAnsi="Times New Roman" w:cs="Times New Roman"/>
                <w:bCs/>
                <w:color w:val="000000" w:themeColor="text1"/>
                <w:sz w:val="24"/>
                <w:szCs w:val="24"/>
              </w:rPr>
              <w:t>由于屠宰场需保证猪肉的新鲜度，其屠宰主要在夜间进行，</w:t>
            </w:r>
            <w:r>
              <w:rPr>
                <w:rFonts w:ascii="Times New Roman" w:hAnsi="Times New Roman" w:cs="Times New Roman"/>
                <w:bCs/>
                <w:color w:val="000000" w:themeColor="text1"/>
                <w:sz w:val="24"/>
                <w:szCs w:val="24"/>
              </w:rPr>
              <w:t>每天</w:t>
            </w:r>
            <w:r>
              <w:rPr>
                <w:rFonts w:hint="eastAsia" w:ascii="Times New Roman" w:hAnsi="Times New Roman" w:cs="Times New Roman"/>
                <w:bCs/>
                <w:color w:val="000000" w:themeColor="text1"/>
                <w:sz w:val="24"/>
                <w:szCs w:val="24"/>
              </w:rPr>
              <w:t>屠宰8</w:t>
            </w:r>
            <w:r>
              <w:rPr>
                <w:rFonts w:ascii="Times New Roman" w:hAnsi="Times New Roman" w:cs="Times New Roman"/>
                <w:bCs/>
                <w:color w:val="000000" w:themeColor="text1"/>
                <w:sz w:val="24"/>
                <w:szCs w:val="24"/>
              </w:rPr>
              <w:t>h；年生产3</w:t>
            </w:r>
            <w:r>
              <w:rPr>
                <w:rFonts w:hint="eastAsia"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0d；员工</w:t>
            </w:r>
            <w:r>
              <w:rPr>
                <w:rFonts w:hint="eastAsia" w:ascii="Times New Roman" w:hAnsi="Times New Roman" w:cs="Times New Roman"/>
                <w:bCs/>
                <w:color w:val="000000" w:themeColor="text1"/>
                <w:sz w:val="24"/>
                <w:szCs w:val="24"/>
              </w:rPr>
              <w:t>不</w:t>
            </w:r>
            <w:r>
              <w:rPr>
                <w:rFonts w:ascii="Times New Roman" w:hAnsi="Times New Roman" w:cs="Times New Roman"/>
                <w:bCs/>
                <w:color w:val="000000" w:themeColor="text1"/>
                <w:sz w:val="24"/>
                <w:szCs w:val="24"/>
              </w:rPr>
              <w:t>在项目区食宿。</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项目建设进度</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根据项目手续办理的实际情况，拟定建设时间为2022年</w:t>
            </w: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月-2022年</w:t>
            </w:r>
            <w:r>
              <w:rPr>
                <w:rFonts w:hint="eastAsia"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月，建设期为</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个月。</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施工期主要污染物为施工废气、施工噪声、施工固废等。</w:t>
            </w:r>
            <w:r>
              <w:rPr>
                <w:rFonts w:hint="eastAsia" w:ascii="Times New Roman" w:hAnsi="Times New Roman" w:cs="Times New Roman"/>
                <w:color w:val="000000" w:themeColor="text1"/>
                <w:sz w:val="24"/>
                <w:szCs w:val="24"/>
              </w:rPr>
              <w:t>本次改建内容主要为新建非洲猪瘟检测室200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、改造待宰车间800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、提升改造现有污水处理设施、新建发酵池、雨水收集池等设施。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根据设计，生猪屠宰工艺流程如下图所示。</w:t>
            </w:r>
          </w:p>
          <w:p>
            <w:pPr>
              <w:jc w:val="center"/>
              <w:rPr>
                <w:rFonts w:ascii="Times New Roman" w:hAnsi="Times New Roman" w:cs="Times New Roman"/>
                <w:b/>
                <w:bCs/>
                <w:color w:val="000000" w:themeColor="text1"/>
                <w:kern w:val="0"/>
              </w:rPr>
            </w:pPr>
            <w:r>
              <w:rPr>
                <w:color w:val="000000" w:themeColor="text1"/>
              </w:rPr>
              <w:object>
                <v:shape id="_x0000_i1027" o:spt="75" type="#_x0000_t75" style="height:432pt;width:425.4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图2.9.2-1  生猪屠宰生产工艺及产污流程示意图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生猪屠宰生产工艺简述：</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（1）猪瘟检疫</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根据动物防疫等相关法律法规的要求，进入屠宰厂前的生猪必须进行非洲猪瘟检疫，项目在厂区大门外设置了1个待检区和1栋非洲猪瘟检测室对进入厂区拟屠宰的生猪进行检疫，</w:t>
            </w:r>
            <w:r>
              <w:rPr>
                <w:rFonts w:hint="eastAsia" w:ascii="Times New Roman" w:hAnsi="Times New Roman" w:cs="Times New Roman"/>
                <w:color w:val="000000" w:themeColor="text1"/>
                <w:sz w:val="24"/>
                <w:szCs w:val="24"/>
              </w:rPr>
              <w:t>按照检疫要求，每批次猪超过5头则随机抽检5头，不超过5头，则对每头猪进行检疫；检疫合格后方可进厂，若检疫出非洲猪瘟病毒，则该批次猪由运输单位按照相关管理部门要求对该批次猪进行处置，不得进入本项目区内屠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该检疫过程主要污染物为检疫产生的医疗废物，项目委托云南正晓环保投资有限公司处置。</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（2）消毒进厂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根据设计，项目在进厂大门处设置了消毒区，经检疫合格的生猪运输车辆，在大门处进行消毒后，方可进入厂区内，该消毒方式主要采用药剂加入水中对车辆进行清洗消毒。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该过程主要产生的污染物为消毒清洗废水。</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（3）卸猪待宰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进入厂区的生猪，通过</w:t>
            </w:r>
            <w:r>
              <w:rPr>
                <w:rFonts w:ascii="Times New Roman" w:hAnsi="Times New Roman" w:cs="Times New Roman"/>
                <w:color w:val="000000" w:themeColor="text1"/>
                <w:sz w:val="24"/>
                <w:szCs w:val="24"/>
              </w:rPr>
              <w:t>1套液压式卸猪平台</w:t>
            </w:r>
            <w:r>
              <w:rPr>
                <w:rFonts w:hint="eastAsia" w:ascii="Times New Roman" w:hAnsi="Times New Roman" w:cs="Times New Roman"/>
                <w:color w:val="000000" w:themeColor="text1"/>
                <w:sz w:val="24"/>
                <w:szCs w:val="24"/>
              </w:rPr>
              <w:t>卸后，进入</w:t>
            </w:r>
            <w:r>
              <w:rPr>
                <w:rFonts w:ascii="Times New Roman" w:hAnsi="Times New Roman" w:cs="Times New Roman"/>
                <w:color w:val="000000" w:themeColor="text1"/>
                <w:sz w:val="24"/>
                <w:szCs w:val="24"/>
              </w:rPr>
              <w:t>待宰圈</w:t>
            </w:r>
            <w:r>
              <w:rPr>
                <w:rFonts w:hint="eastAsia" w:ascii="Times New Roman" w:hAnsi="Times New Roman" w:cs="Times New Roman"/>
                <w:color w:val="000000" w:themeColor="text1"/>
                <w:sz w:val="24"/>
                <w:szCs w:val="24"/>
              </w:rPr>
              <w:t>内静养、待宰。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该过程主要产生的污染物为地面清洗废水；同时在静养、待宰可能存在病死猪，该病死猪全部进入发酵池无害化处理。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发酵池处理简介：发酵池处理病死猪工艺技术成熟稳定，且已大规模运用，根据设计，项目发酵池严格参照《规模猪场病死猪生物发酵无害化处理技术规范》（</w:t>
            </w:r>
            <w:r>
              <w:rPr>
                <w:rFonts w:ascii="Times New Roman" w:hAnsi="Times New Roman" w:cs="Times New Roman"/>
                <w:color w:val="000000" w:themeColor="text1"/>
                <w:sz w:val="24"/>
                <w:szCs w:val="24"/>
              </w:rPr>
              <w:t>DB37/T3229</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2018</w:t>
            </w:r>
            <w:r>
              <w:rPr>
                <w:rFonts w:hint="eastAsia" w:ascii="Times New Roman" w:hAnsi="Times New Roman" w:cs="Times New Roman"/>
                <w:color w:val="000000" w:themeColor="text1"/>
                <w:sz w:val="24"/>
                <w:szCs w:val="24"/>
              </w:rPr>
              <w:t>）的要求进行设计和建设，项目拟设置1个170m³的发酵池对病死猪进行无害化处理；发酵池选用安全、高效的微生物菌剂，有效活菌数含量≥</w:t>
            </w: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vertAlign w:val="superscript"/>
              </w:rPr>
              <w:t>9</w:t>
            </w:r>
            <w:r>
              <w:rPr>
                <w:rFonts w:ascii="Times New Roman" w:hAnsi="Times New Roman" w:cs="Times New Roman"/>
                <w:color w:val="000000" w:themeColor="text1"/>
                <w:sz w:val="24"/>
                <w:szCs w:val="24"/>
              </w:rPr>
              <w:t>/g</w:t>
            </w:r>
            <w:r>
              <w:rPr>
                <w:rFonts w:hint="eastAsia" w:ascii="Times New Roman" w:hAnsi="Times New Roman" w:cs="Times New Roman"/>
                <w:color w:val="000000" w:themeColor="text1"/>
                <w:sz w:val="24"/>
                <w:szCs w:val="24"/>
              </w:rPr>
              <w:t>；使用前按要求将菌剂与适量米糠等充分混合均匀进行活化与扩培。在病死猪处理规范为：在发酵池垫料中开沟，开沟间距不低于</w:t>
            </w:r>
            <w:r>
              <w:rPr>
                <w:rFonts w:ascii="Times New Roman" w:hAnsi="Times New Roman" w:cs="Times New Roman"/>
                <w:color w:val="000000" w:themeColor="text1"/>
                <w:sz w:val="24"/>
                <w:szCs w:val="24"/>
              </w:rPr>
              <w:t>0.5m</w:t>
            </w:r>
            <w:r>
              <w:rPr>
                <w:rFonts w:hint="eastAsia" w:ascii="Times New Roman" w:hAnsi="Times New Roman" w:cs="Times New Roman"/>
                <w:color w:val="000000" w:themeColor="text1"/>
                <w:sz w:val="24"/>
                <w:szCs w:val="24"/>
              </w:rPr>
              <w:t>；将猪尸体均匀平铺于沟内，尸体层不高于</w:t>
            </w:r>
            <w:r>
              <w:rPr>
                <w:rFonts w:ascii="Times New Roman" w:hAnsi="Times New Roman" w:cs="Times New Roman"/>
                <w:color w:val="000000" w:themeColor="text1"/>
                <w:sz w:val="24"/>
                <w:szCs w:val="24"/>
              </w:rPr>
              <w:t>30cm</w:t>
            </w:r>
            <w:r>
              <w:rPr>
                <w:rFonts w:hint="eastAsia" w:ascii="Times New Roman" w:hAnsi="Times New Roman" w:cs="Times New Roman"/>
                <w:color w:val="000000" w:themeColor="text1"/>
                <w:sz w:val="24"/>
                <w:szCs w:val="24"/>
              </w:rPr>
              <w:t>、尸体上下垫料层厚度均应不低于</w:t>
            </w:r>
            <w:r>
              <w:rPr>
                <w:rFonts w:ascii="Times New Roman" w:hAnsi="Times New Roman" w:cs="Times New Roman"/>
                <w:color w:val="000000" w:themeColor="text1"/>
                <w:sz w:val="24"/>
                <w:szCs w:val="24"/>
              </w:rPr>
              <w:t>30cm</w:t>
            </w:r>
            <w:r>
              <w:rPr>
                <w:rFonts w:hint="eastAsia" w:ascii="Times New Roman" w:hAnsi="Times New Roman" w:cs="Times New Roman"/>
                <w:color w:val="000000" w:themeColor="text1"/>
                <w:sz w:val="24"/>
                <w:szCs w:val="24"/>
              </w:rPr>
              <w:t>。堆体厚度一般不超过</w:t>
            </w:r>
            <w:r>
              <w:rPr>
                <w:rFonts w:ascii="Times New Roman" w:hAnsi="Times New Roman" w:cs="Times New Roman"/>
                <w:color w:val="000000" w:themeColor="text1"/>
                <w:sz w:val="24"/>
                <w:szCs w:val="24"/>
              </w:rPr>
              <w:t>2m</w:t>
            </w:r>
            <w:r>
              <w:rPr>
                <w:rFonts w:hint="eastAsia" w:ascii="Times New Roman" w:hAnsi="Times New Roman" w:cs="Times New Roman"/>
                <w:color w:val="000000" w:themeColor="text1"/>
                <w:sz w:val="24"/>
                <w:szCs w:val="24"/>
              </w:rPr>
              <w:t>。低于</w:t>
            </w:r>
            <w:r>
              <w:rPr>
                <w:rFonts w:ascii="Times New Roman" w:hAnsi="Times New Roman" w:cs="Times New Roman"/>
                <w:color w:val="000000" w:themeColor="text1"/>
                <w:sz w:val="24"/>
                <w:szCs w:val="24"/>
              </w:rPr>
              <w:t>30kg</w:t>
            </w:r>
            <w:r>
              <w:rPr>
                <w:rFonts w:hint="eastAsia" w:ascii="Times New Roman" w:hAnsi="Times New Roman" w:cs="Times New Roman"/>
                <w:color w:val="000000" w:themeColor="text1"/>
                <w:sz w:val="24"/>
                <w:szCs w:val="24"/>
              </w:rPr>
              <w:t>的猪尸体可直接埋入，超过</w:t>
            </w:r>
            <w:r>
              <w:rPr>
                <w:rFonts w:ascii="Times New Roman" w:hAnsi="Times New Roman" w:cs="Times New Roman"/>
                <w:color w:val="000000" w:themeColor="text1"/>
                <w:sz w:val="24"/>
                <w:szCs w:val="24"/>
              </w:rPr>
              <w:t>30kg</w:t>
            </w:r>
            <w:r>
              <w:rPr>
                <w:rFonts w:hint="eastAsia" w:ascii="Times New Roman" w:hAnsi="Times New Roman" w:cs="Times New Roman"/>
                <w:color w:val="000000" w:themeColor="text1"/>
                <w:sz w:val="24"/>
                <w:szCs w:val="24"/>
              </w:rPr>
              <w:t>的宜发酵池内进行切割后埋入，所用工具及时消毒。发酵池管理做好定期监测发酵堆温度，发酵堆中部温度应≥</w:t>
            </w:r>
            <w:r>
              <w:rPr>
                <w:rFonts w:ascii="Times New Roman" w:hAnsi="Times New Roman" w:cs="Times New Roman"/>
                <w:color w:val="000000" w:themeColor="text1"/>
                <w:sz w:val="24"/>
                <w:szCs w:val="24"/>
              </w:rPr>
              <w:t>50</w:t>
            </w:r>
            <w:r>
              <w:rPr>
                <w:rFonts w:hint="eastAsia" w:ascii="Times New Roman" w:hAnsi="Times New Roman" w:cs="Times New Roman"/>
                <w:color w:val="000000" w:themeColor="text1"/>
                <w:sz w:val="24"/>
                <w:szCs w:val="24"/>
              </w:rPr>
              <w:t>℃；定期翻堆，一般夏季每</w:t>
            </w:r>
            <w:r>
              <w:rPr>
                <w:rFonts w:ascii="Times New Roman" w:hAnsi="Times New Roman" w:cs="Times New Roman"/>
                <w:color w:val="000000" w:themeColor="text1"/>
                <w:sz w:val="24"/>
                <w:szCs w:val="24"/>
              </w:rPr>
              <w:t>6d</w:t>
            </w:r>
            <w:r>
              <w:rPr>
                <w:rFonts w:hint="eastAsia" w:ascii="Times New Roman" w:hAnsi="Times New Roman" w:cs="Times New Roman"/>
                <w:color w:val="000000" w:themeColor="text1"/>
                <w:sz w:val="24"/>
                <w:szCs w:val="24"/>
              </w:rPr>
              <w:t>、冬天每</w:t>
            </w:r>
            <w:r>
              <w:rPr>
                <w:rFonts w:ascii="Times New Roman" w:hAnsi="Times New Roman" w:cs="Times New Roman"/>
                <w:color w:val="000000" w:themeColor="text1"/>
                <w:sz w:val="24"/>
                <w:szCs w:val="24"/>
              </w:rPr>
              <w:t>10d</w:t>
            </w:r>
            <w:r>
              <w:rPr>
                <w:rFonts w:hint="eastAsia" w:ascii="Times New Roman" w:hAnsi="Times New Roman" w:cs="Times New Roman"/>
                <w:color w:val="000000" w:themeColor="text1"/>
                <w:sz w:val="24"/>
                <w:szCs w:val="24"/>
              </w:rPr>
              <w:t>翻堆</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次；定期监测垫料含水率，并定期添加水分使含水率保持在</w:t>
            </w:r>
            <w:r>
              <w:rPr>
                <w:rFonts w:ascii="Times New Roman" w:hAnsi="Times New Roman" w:cs="Times New Roman"/>
                <w:color w:val="000000" w:themeColor="text1"/>
                <w:sz w:val="24"/>
                <w:szCs w:val="24"/>
              </w:rPr>
              <w:t>50%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55%</w:t>
            </w:r>
            <w:r>
              <w:rPr>
                <w:rFonts w:hint="eastAsia" w:ascii="Times New Roman" w:hAnsi="Times New Roman" w:cs="Times New Roman"/>
                <w:color w:val="000000" w:themeColor="text1"/>
                <w:sz w:val="24"/>
                <w:szCs w:val="24"/>
              </w:rPr>
              <w:t>；应定期对发酵池周边环境进行消毒。发酵后的产物可作为有机肥原料使用。</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（4）刺杀放血</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待宰圈</w:t>
            </w:r>
            <w:r>
              <w:rPr>
                <w:rFonts w:hint="eastAsia" w:ascii="Times New Roman" w:hAnsi="Times New Roman" w:cs="Times New Roman"/>
                <w:color w:val="000000" w:themeColor="text1"/>
                <w:sz w:val="24"/>
                <w:szCs w:val="24"/>
              </w:rPr>
              <w:t>内的生猪通过</w:t>
            </w:r>
            <w:r>
              <w:rPr>
                <w:rFonts w:ascii="Times New Roman" w:hAnsi="Times New Roman" w:cs="Times New Roman"/>
                <w:color w:val="000000" w:themeColor="text1"/>
                <w:sz w:val="24"/>
                <w:szCs w:val="24"/>
              </w:rPr>
              <w:t>升降机</w:t>
            </w:r>
            <w:r>
              <w:rPr>
                <w:rFonts w:hint="eastAsia" w:ascii="Times New Roman" w:hAnsi="Times New Roman" w:cs="Times New Roman"/>
                <w:color w:val="000000" w:themeColor="text1"/>
                <w:sz w:val="24"/>
                <w:szCs w:val="24"/>
              </w:rPr>
              <w:t>及</w:t>
            </w:r>
            <w:r>
              <w:rPr>
                <w:rFonts w:ascii="Times New Roman" w:hAnsi="Times New Roman" w:cs="Times New Roman"/>
                <w:color w:val="000000" w:themeColor="text1"/>
                <w:sz w:val="24"/>
                <w:szCs w:val="24"/>
              </w:rPr>
              <w:t>喂入装置喂入推板式放血自动线</w:t>
            </w:r>
            <w:r>
              <w:rPr>
                <w:rFonts w:hint="eastAsia" w:ascii="Times New Roman" w:hAnsi="Times New Roman" w:cs="Times New Roman"/>
                <w:color w:val="000000" w:themeColor="text1"/>
                <w:sz w:val="24"/>
                <w:szCs w:val="24"/>
              </w:rPr>
              <w:t>进行剌颈法刺杀放血，该过程产生的猪血通过</w:t>
            </w:r>
            <w:r>
              <w:rPr>
                <w:rFonts w:ascii="Times New Roman" w:hAnsi="Times New Roman" w:cs="Times New Roman"/>
                <w:color w:val="000000" w:themeColor="text1"/>
                <w:sz w:val="24"/>
                <w:szCs w:val="24"/>
              </w:rPr>
              <w:t>沥血池</w:t>
            </w:r>
            <w:r>
              <w:rPr>
                <w:rFonts w:hint="eastAsia" w:ascii="Times New Roman" w:hAnsi="Times New Roman" w:cs="Times New Roman"/>
                <w:color w:val="000000" w:themeColor="text1"/>
                <w:sz w:val="24"/>
                <w:szCs w:val="24"/>
              </w:rPr>
              <w:t>收集后外售。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该过程主要产生的污染物为地面清洗废水。</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（5）褪毛、清洗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经刺杀放血后的猪通过</w:t>
            </w:r>
            <w:r>
              <w:rPr>
                <w:rFonts w:ascii="Times New Roman" w:hAnsi="Times New Roman" w:cs="Times New Roman"/>
                <w:color w:val="000000" w:themeColor="text1"/>
                <w:sz w:val="24"/>
                <w:szCs w:val="24"/>
              </w:rPr>
              <w:t>落猪器</w:t>
            </w:r>
            <w:r>
              <w:rPr>
                <w:rFonts w:hint="eastAsia" w:ascii="Times New Roman" w:hAnsi="Times New Roman" w:cs="Times New Roman"/>
                <w:color w:val="000000" w:themeColor="text1"/>
                <w:sz w:val="24"/>
                <w:szCs w:val="24"/>
              </w:rPr>
              <w:t>下房到</w:t>
            </w:r>
            <w:r>
              <w:rPr>
                <w:rFonts w:ascii="Times New Roman" w:hAnsi="Times New Roman" w:cs="Times New Roman"/>
                <w:color w:val="000000" w:themeColor="text1"/>
                <w:sz w:val="24"/>
                <w:szCs w:val="24"/>
              </w:rPr>
              <w:t>烫池</w:t>
            </w:r>
            <w:r>
              <w:rPr>
                <w:rFonts w:hint="eastAsia" w:ascii="Times New Roman" w:hAnsi="Times New Roman" w:cs="Times New Roman"/>
                <w:color w:val="000000" w:themeColor="text1"/>
                <w:sz w:val="24"/>
                <w:szCs w:val="24"/>
              </w:rPr>
              <w:t>内进行烫毛，</w:t>
            </w:r>
            <w:r>
              <w:rPr>
                <w:rFonts w:ascii="Times New Roman" w:hAnsi="Times New Roman" w:cs="Times New Roman"/>
                <w:color w:val="000000" w:themeColor="text1"/>
                <w:sz w:val="24"/>
                <w:szCs w:val="24"/>
              </w:rPr>
              <w:t>烫池</w:t>
            </w:r>
            <w:r>
              <w:rPr>
                <w:rFonts w:hint="eastAsia" w:ascii="Times New Roman" w:hAnsi="Times New Roman" w:cs="Times New Roman"/>
                <w:color w:val="000000" w:themeColor="text1"/>
                <w:sz w:val="24"/>
                <w:szCs w:val="24"/>
              </w:rPr>
              <w:t>所用的热水由1</w:t>
            </w:r>
            <w:r>
              <w:rPr>
                <w:rFonts w:ascii="Times New Roman" w:hAnsi="Times New Roman" w:cs="Times New Roman"/>
                <w:color w:val="000000" w:themeColor="text1"/>
                <w:sz w:val="24"/>
                <w:szCs w:val="24"/>
              </w:rPr>
              <w:t>台</w:t>
            </w:r>
            <w:r>
              <w:rPr>
                <w:rFonts w:hint="eastAsia" w:ascii="Times New Roman" w:hAnsi="Times New Roman" w:cs="Times New Roman"/>
                <w:color w:val="000000" w:themeColor="text1"/>
                <w:sz w:val="24"/>
                <w:szCs w:val="24"/>
              </w:rPr>
              <w:t>85kg/h的电蒸气发生器提供；烫毛后通过两台</w:t>
            </w:r>
            <w:r>
              <w:rPr>
                <w:rFonts w:ascii="Times New Roman" w:hAnsi="Times New Roman" w:cs="Times New Roman"/>
                <w:color w:val="000000" w:themeColor="text1"/>
                <w:sz w:val="24"/>
                <w:szCs w:val="24"/>
              </w:rPr>
              <w:t>刨毛机</w:t>
            </w:r>
            <w:r>
              <w:rPr>
                <w:rFonts w:hint="eastAsia" w:ascii="Times New Roman" w:hAnsi="Times New Roman" w:cs="Times New Roman"/>
                <w:color w:val="000000" w:themeColor="text1"/>
                <w:sz w:val="24"/>
                <w:szCs w:val="24"/>
              </w:rPr>
              <w:t>进行褪毛，褪毛后再进入</w:t>
            </w:r>
            <w:r>
              <w:rPr>
                <w:rFonts w:ascii="Times New Roman" w:hAnsi="Times New Roman" w:cs="Times New Roman"/>
                <w:color w:val="000000" w:themeColor="text1"/>
                <w:sz w:val="24"/>
                <w:szCs w:val="24"/>
              </w:rPr>
              <w:t>清水池</w:t>
            </w:r>
            <w:r>
              <w:rPr>
                <w:rFonts w:hint="eastAsia" w:ascii="Times New Roman" w:hAnsi="Times New Roman" w:cs="Times New Roman"/>
                <w:color w:val="000000" w:themeColor="text1"/>
                <w:sz w:val="24"/>
                <w:szCs w:val="24"/>
              </w:rPr>
              <w:t>进行清洗。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该过程产生的主要污染物为猪毛和烫猪及清洗废水，猪毛统一收集后由收购单位统一收集外卖相关厂家作为生产原料使用。</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（6）开膛分割</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经褪毛、清洗后的猪通过</w:t>
            </w:r>
            <w:r>
              <w:rPr>
                <w:rFonts w:ascii="Times New Roman" w:hAnsi="Times New Roman" w:cs="Times New Roman"/>
                <w:color w:val="000000" w:themeColor="text1"/>
                <w:sz w:val="24"/>
                <w:szCs w:val="24"/>
              </w:rPr>
              <w:t>白条提升机</w:t>
            </w:r>
            <w:r>
              <w:rPr>
                <w:rFonts w:hint="eastAsia" w:ascii="Times New Roman" w:hAnsi="Times New Roman" w:cs="Times New Roman"/>
                <w:color w:val="000000" w:themeColor="text1"/>
                <w:sz w:val="24"/>
                <w:szCs w:val="24"/>
              </w:rPr>
              <w:t>提升至</w:t>
            </w:r>
            <w:r>
              <w:rPr>
                <w:rFonts w:ascii="Times New Roman" w:hAnsi="Times New Roman" w:cs="Times New Roman"/>
                <w:color w:val="000000" w:themeColor="text1"/>
                <w:sz w:val="24"/>
                <w:szCs w:val="24"/>
              </w:rPr>
              <w:t>白条自动切割线</w:t>
            </w:r>
            <w:r>
              <w:rPr>
                <w:rFonts w:hint="eastAsia" w:ascii="Times New Roman" w:hAnsi="Times New Roman" w:cs="Times New Roman"/>
                <w:color w:val="000000" w:themeColor="text1"/>
                <w:sz w:val="24"/>
                <w:szCs w:val="24"/>
              </w:rPr>
              <w:t>进行解体、分割等工作将内脏和猪肉分开，分割后并才</w:t>
            </w:r>
            <w:r>
              <w:rPr>
                <w:rFonts w:ascii="Times New Roman" w:hAnsi="Times New Roman" w:cs="Times New Roman"/>
                <w:color w:val="000000" w:themeColor="text1"/>
                <w:sz w:val="24"/>
                <w:szCs w:val="24"/>
              </w:rPr>
              <w:t>桥式劈半锯</w:t>
            </w:r>
            <w:r>
              <w:rPr>
                <w:rFonts w:hint="eastAsia" w:ascii="Times New Roman" w:hAnsi="Times New Roman" w:cs="Times New Roman"/>
                <w:color w:val="000000" w:themeColor="text1"/>
                <w:sz w:val="24"/>
                <w:szCs w:val="24"/>
              </w:rPr>
              <w:t>对猪体分为两半；该工作主要将猪内脏各组成部分和猪肉分开。</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该过程产生的主要污染物为猪体及地面清洗废水。</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（7）检疫</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经开膛分割的内脏及猪肉通过人眼观察检疫，合格的即为屠宰的产品，进行外售。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该检疫过程主要污染物为不合格的猪肉全部进入发酵池发酵处理。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根据项目特点，项目各环节均存在地面清洗等各项废水产生，项目设置1套</w:t>
            </w:r>
            <w:r>
              <w:rPr>
                <w:rFonts w:ascii="Times New Roman" w:hAnsi="Times New Roman" w:cs="Times New Roman"/>
                <w:color w:val="000000" w:themeColor="text1"/>
                <w:sz w:val="24"/>
                <w:szCs w:val="24"/>
              </w:rPr>
              <w:t>处理规模为150m³/d</w:t>
            </w:r>
            <w:r>
              <w:rPr>
                <w:rFonts w:hint="eastAsia" w:ascii="Times New Roman" w:hAnsi="Times New Roman" w:cs="Times New Roman"/>
                <w:color w:val="000000" w:themeColor="text1"/>
                <w:sz w:val="24"/>
                <w:szCs w:val="24"/>
              </w:rPr>
              <w:t>的污水处理站对其处理后用于建设单位项目区周围农田（旱地作物）灌溉，不外排。</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w:t>
            </w:r>
            <w:r>
              <w:rPr>
                <w:rFonts w:hint="eastAsia" w:ascii="Times New Roman" w:hAnsi="Times New Roman" w:cs="Times New Roman"/>
                <w:color w:val="000000" w:themeColor="text1"/>
                <w:sz w:val="24"/>
                <w:szCs w:val="24"/>
              </w:rPr>
              <w:t>本次改建内容主要为新建非洲猪瘟检测室200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、改造待宰车间800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、提升改造现有污水处理设施、新建发酵池、雨水收集池等设施。</w:t>
            </w:r>
            <w:r>
              <w:rPr>
                <w:rFonts w:ascii="Times New Roman" w:hAnsi="Times New Roman" w:cs="Times New Roman"/>
                <w:color w:val="000000" w:themeColor="text1"/>
                <w:sz w:val="24"/>
                <w:szCs w:val="24"/>
              </w:rPr>
              <w:t>施工期主要污染物为施工废气、施工噪声、施工固废等。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根据项目工艺流程可知，该改建项目运营期产污环节具体如下。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项目主要废气为无组织排放恶臭气体。</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项目用水环节主要包括屠生产用水、生活用水、消毒用水和绿化用水，而废水产生类型包括生产废水、生活污水、消毒废水和初期雨水。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r>
              <w:rPr>
                <w:rFonts w:hint="eastAsia" w:ascii="Times New Roman" w:hAnsi="Times New Roman" w:cs="Times New Roman"/>
                <w:color w:val="000000" w:themeColor="text1"/>
                <w:sz w:val="24"/>
              </w:rPr>
              <w:t>和猪叫声</w:t>
            </w:r>
            <w:r>
              <w:rPr>
                <w:rFonts w:ascii="Times New Roman" w:hAnsi="Times New Roman" w:cs="Times New Roman"/>
                <w:color w:val="000000" w:themeColor="text1"/>
                <w:sz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根据项目工程内容及生产工艺，项目主要固体废物包括：</w:t>
            </w:r>
            <w:r>
              <w:rPr>
                <w:rFonts w:hint="eastAsia" w:ascii="Times New Roman" w:hAnsi="Times New Roman" w:cs="Times New Roman"/>
                <w:color w:val="000000" w:themeColor="text1"/>
                <w:sz w:val="24"/>
              </w:rPr>
              <w:t>格渣及污水处理污泥、猪毛、医疗废物、生活垃圾、病死猪和发酵池产物。</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 原有项目环保手续办理情况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原有项目即“昆明市东川区畜禽屠宰有限公司异地技术改造项目”，该项目已委托编制完成《昆明市东川区畜禽屠宰有限公司异地技术改造项目环境影响报告表》，并于2013年10月24日取得昆明市东川区环境保护局（现昆明市生态环境局东川分局）下发的《关于昆明市东川区畜禽屠宰有限公司异地技术改造项目环境影响报告表的批复》（东环保复【2013】76号）</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该项目取得环评批复后开工建设，</w:t>
            </w:r>
            <w:r>
              <w:rPr>
                <w:rFonts w:hint="eastAsia" w:ascii="Times New Roman" w:hAnsi="Times New Roman" w:cs="Times New Roman"/>
                <w:color w:val="000000" w:themeColor="text1"/>
                <w:sz w:val="24"/>
                <w:szCs w:val="24"/>
              </w:rPr>
              <w:t>建成后于2014年11月25日取得</w:t>
            </w:r>
            <w:r>
              <w:rPr>
                <w:rFonts w:ascii="Times New Roman" w:hAnsi="Times New Roman" w:cs="Times New Roman"/>
                <w:color w:val="000000" w:themeColor="text1"/>
                <w:sz w:val="24"/>
                <w:szCs w:val="24"/>
              </w:rPr>
              <w:t>昆明市东川区环境保护局（现昆明市生态环境局东川分局）下发的《关于</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昆明市东川区畜禽屠宰有限公司异地技术改造项目</w:t>
            </w:r>
            <w:r>
              <w:rPr>
                <w:rFonts w:hint="eastAsia" w:ascii="Times New Roman" w:hAnsi="Times New Roman" w:cs="Times New Roman"/>
                <w:color w:val="000000" w:themeColor="text1"/>
                <w:sz w:val="24"/>
                <w:szCs w:val="24"/>
              </w:rPr>
              <w:t>竣工环境保护验收申请</w:t>
            </w:r>
            <w:r>
              <w:rPr>
                <w:rFonts w:ascii="Times New Roman" w:hAnsi="Times New Roman" w:cs="Times New Roman"/>
                <w:color w:val="000000" w:themeColor="text1"/>
                <w:sz w:val="24"/>
                <w:szCs w:val="24"/>
              </w:rPr>
              <w:t>的批复》</w:t>
            </w:r>
            <w:r>
              <w:rPr>
                <w:rFonts w:hint="eastAsia" w:ascii="Times New Roman" w:hAnsi="Times New Roman" w:cs="Times New Roman"/>
                <w:color w:val="000000" w:themeColor="text1"/>
                <w:sz w:val="24"/>
                <w:szCs w:val="24"/>
              </w:rPr>
              <w:t>（东环保复【2014】88号）；</w:t>
            </w:r>
            <w:r>
              <w:rPr>
                <w:rFonts w:ascii="Times New Roman" w:hAnsi="Times New Roman" w:cs="Times New Roman"/>
                <w:color w:val="000000" w:themeColor="text1"/>
                <w:sz w:val="24"/>
                <w:szCs w:val="24"/>
              </w:rPr>
              <w:t>2018年11月12日取得昆明市东川区环境保护局（现昆明市生态环境局东川分局）核发的《排污许可证》（证书编号：91530113</w:t>
            </w:r>
            <w:r>
              <w:rPr>
                <w:rFonts w:hint="eastAsia" w:ascii="Times New Roman" w:hAnsi="Times New Roman" w:cs="Times New Roman"/>
                <w:color w:val="000000" w:themeColor="text1"/>
                <w:sz w:val="24"/>
                <w:szCs w:val="24"/>
              </w:rPr>
              <w:t>770454762H001V</w:t>
            </w:r>
            <w:r>
              <w:rPr>
                <w:rFonts w:ascii="Times New Roman" w:hAnsi="Times New Roman" w:cs="Times New Roman"/>
                <w:color w:val="000000" w:themeColor="text1"/>
                <w:sz w:val="24"/>
                <w:szCs w:val="24"/>
              </w:rPr>
              <w:t>）。原有项目环保手续齐全。</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 原有项目建设内容及规模</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根据原有项目环评及竣工验收报告，原有项目</w:t>
            </w:r>
            <w:r>
              <w:rPr>
                <w:rFonts w:ascii="Times New Roman" w:hAnsi="Times New Roman" w:cs="Times New Roman"/>
                <w:color w:val="000000" w:themeColor="text1"/>
                <w:sz w:val="24"/>
                <w:szCs w:val="24"/>
              </w:rPr>
              <w:t>厂区占地面积为3360m²，</w:t>
            </w:r>
            <w:r>
              <w:rPr>
                <w:rFonts w:hint="eastAsia" w:ascii="Times New Roman" w:hAnsi="Times New Roman" w:cs="Times New Roman"/>
                <w:color w:val="000000" w:themeColor="text1"/>
                <w:sz w:val="24"/>
                <w:szCs w:val="24"/>
              </w:rPr>
              <w:t>建设内容包括待宰间、屠宰间和办公楼等，年屠宰生猪70000头/a。</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 原有项目生产工艺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根据调查，原有项目</w:t>
            </w:r>
            <w:r>
              <w:rPr>
                <w:rFonts w:hint="eastAsia" w:ascii="Times New Roman" w:hAnsi="Times New Roman" w:cs="Times New Roman"/>
                <w:color w:val="000000" w:themeColor="text1"/>
                <w:sz w:val="24"/>
                <w:szCs w:val="24"/>
              </w:rPr>
              <w:t>屠宰工艺和改建项目工艺基本未发生变化；详见“</w:t>
            </w:r>
            <w:r>
              <w:rPr>
                <w:rFonts w:ascii="Times New Roman" w:hAnsi="Times New Roman" w:cs="Times New Roman"/>
                <w:color w:val="000000" w:themeColor="text1"/>
                <w:sz w:val="24"/>
                <w:szCs w:val="24"/>
              </w:rPr>
              <w:t>图2.9.2-1  生猪屠宰生产工艺及产污流程示意图</w:t>
            </w:r>
            <w:r>
              <w:rPr>
                <w:rFonts w:hint="eastAsia" w:ascii="Times New Roman" w:hAnsi="Times New Roman" w:cs="Times New Roman"/>
                <w:color w:val="000000" w:themeColor="text1"/>
                <w:sz w:val="24"/>
                <w:szCs w:val="24"/>
              </w:rPr>
              <w:t>”。</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原有项目污染物排放总量</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2.14.1 原有项目废气排放情况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根据调查，原有项目的废气主要包括恶臭、锅炉废气和厨房油烟。具体产排情况如下。</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（1）恶臭</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w:t>
            </w:r>
            <w:r>
              <w:rPr>
                <w:rFonts w:ascii="Times New Roman" w:hAnsi="Times New Roman" w:cs="Times New Roman"/>
                <w:color w:val="000000" w:themeColor="text1"/>
                <w:sz w:val="24"/>
                <w:szCs w:val="24"/>
              </w:rPr>
              <w:t>，原有项目主要废气为无组织排放恶臭气体。项目通过加强对屠宰间、待宰间进行清洗，及时及时清运粪便，喷洒除臭剂等方式进行除臭；根据《昆明市东川区畜禽屠宰有限公司2020年年检监测项目报告》，氨平均排放浓度为0.16mg/m³、硫化氢平均排放浓度为0.015mg/m³，臭气浓度平均排放浓度为14.33（无量纲）；可达到《恶臭污染物排放标准》（GB14554-93）中二级无组织排放标准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（2）锅炉废气</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由于原有项目锅炉仅在焚烧病死猪时才开启，因此竣工验收和日常监测期间均未对其污染物进行监测，因此本环评按照原有环评的核算量对其进行分析，根据原有环评，项目锅炉废气产排量如下表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表2.14.1-1  原有项目锅炉废气产排情况一览表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0"/>
              <w:gridCol w:w="1722"/>
              <w:gridCol w:w="1722"/>
              <w:gridCol w:w="1722"/>
              <w:gridCol w:w="17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0"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rPr>
                    <w:t>污染物名称</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rPr>
                    <w:t>产生浓度</w:t>
                  </w:r>
                  <w:r>
                    <w:rPr>
                      <w:rFonts w:hint="eastAsia" w:eastAsiaTheme="minorEastAsia"/>
                      <w:color w:val="000000" w:themeColor="text1"/>
                      <w:lang w:val="en-US"/>
                    </w:rPr>
                    <w:t>mg/m³</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rPr>
                    <w:t>产生量</w:t>
                  </w:r>
                  <w:r>
                    <w:rPr>
                      <w:rFonts w:hint="eastAsia" w:eastAsiaTheme="minorEastAsia"/>
                      <w:color w:val="000000" w:themeColor="text1"/>
                      <w:lang w:val="en-US"/>
                    </w:rPr>
                    <w:t>t/a</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rPr>
                    <w:t>排放浓度</w:t>
                  </w:r>
                  <w:r>
                    <w:rPr>
                      <w:rFonts w:hint="eastAsia" w:eastAsiaTheme="minorEastAsia"/>
                      <w:color w:val="000000" w:themeColor="text1"/>
                      <w:lang w:val="en-US"/>
                    </w:rPr>
                    <w:t>mg/m³</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rPr>
                    <w:t>排放量</w:t>
                  </w:r>
                  <w:r>
                    <w:rPr>
                      <w:rFonts w:hint="eastAsia" w:eastAsiaTheme="minorEastAsia"/>
                      <w:color w:val="000000" w:themeColor="text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0"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rPr>
                    <w:t>烟尘</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5.71</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0.0054</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5.71</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0.0054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0"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SO2</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9.0</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0.00864</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9.0</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0.00864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0"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NOx</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4.12</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0.00386</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4.12</w:t>
                  </w:r>
                </w:p>
              </w:tc>
              <w:tc>
                <w:tcPr>
                  <w:tcW w:w="1722" w:type="dxa"/>
                  <w:vAlign w:val="center"/>
                </w:tcPr>
                <w:p>
                  <w:pPr>
                    <w:pStyle w:val="31"/>
                    <w:spacing w:line="360" w:lineRule="exact"/>
                    <w:rPr>
                      <w:rFonts w:eastAsiaTheme="minorEastAsia"/>
                      <w:color w:val="000000" w:themeColor="text1"/>
                      <w:lang w:val="en-US"/>
                    </w:rPr>
                  </w:pPr>
                  <w:r>
                    <w:rPr>
                      <w:rFonts w:hint="eastAsia" w:eastAsiaTheme="minorEastAsia"/>
                      <w:color w:val="000000" w:themeColor="text1"/>
                      <w:lang w:val="en-US"/>
                    </w:rPr>
                    <w:t>0.00386</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（3）厨房油烟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根据调查，原有项目拟设置食堂，食堂油烟排放浓度为0.025mg/m³。</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2.14.2 原有项目废水排放情况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w:t>
            </w:r>
            <w:r>
              <w:rPr>
                <w:rFonts w:hint="eastAsia" w:ascii="Times New Roman" w:hAnsi="Times New Roman" w:cs="Times New Roman"/>
                <w:color w:val="000000" w:themeColor="text1"/>
                <w:sz w:val="24"/>
                <w:szCs w:val="24"/>
              </w:rPr>
              <w:t>由于项目改建后，其用水环节和废水产生环节均未发生变化，且项目生产规模未发生变化，因此</w:t>
            </w:r>
            <w:r>
              <w:rPr>
                <w:rFonts w:ascii="Times New Roman" w:hAnsi="Times New Roman" w:cs="Times New Roman"/>
                <w:color w:val="000000" w:themeColor="text1"/>
                <w:sz w:val="24"/>
                <w:szCs w:val="24"/>
              </w:rPr>
              <w:t>原有项目</w:t>
            </w:r>
            <w:r>
              <w:rPr>
                <w:rFonts w:hint="eastAsia" w:ascii="Times New Roman" w:hAnsi="Times New Roman" w:cs="Times New Roman"/>
                <w:color w:val="000000" w:themeColor="text1"/>
                <w:sz w:val="24"/>
                <w:szCs w:val="24"/>
              </w:rPr>
              <w:t>废水污染物种类和产生量和改建项目一致，具体包括废水产生类型包括生产废水、生活污水、消毒废水和初期雨水。根据对改扩建项目水平衡分析可知，原有项目</w:t>
            </w:r>
            <w:r>
              <w:rPr>
                <w:rFonts w:ascii="Times New Roman" w:hAnsi="Times New Roman" w:cs="Times New Roman"/>
                <w:color w:val="000000" w:themeColor="text1"/>
                <w:sz w:val="24"/>
                <w:szCs w:val="24"/>
              </w:rPr>
              <w:t>用排水情况详见下表。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表2.14.2</w:t>
            </w:r>
            <w:r>
              <w:rPr>
                <w:rFonts w:hint="eastAsia" w:ascii="Times New Roman" w:hAnsi="Times New Roman" w:cs="Times New Roman"/>
                <w:b/>
                <w:bCs/>
                <w:color w:val="000000" w:themeColor="text1"/>
                <w:kern w:val="0"/>
              </w:rPr>
              <w:t>-1</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原有</w:t>
            </w:r>
            <w:r>
              <w:rPr>
                <w:rFonts w:ascii="Times New Roman" w:hAnsi="Times New Roman" w:cs="Times New Roman"/>
                <w:b/>
                <w:bCs/>
                <w:color w:val="000000" w:themeColor="text1"/>
                <w:kern w:val="0"/>
              </w:rPr>
              <w:t>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300"/>
              <w:gridCol w:w="1134"/>
              <w:gridCol w:w="283"/>
              <w:gridCol w:w="1134"/>
              <w:gridCol w:w="1134"/>
              <w:gridCol w:w="1276"/>
              <w:gridCol w:w="1418"/>
              <w:gridCol w:w="919"/>
            </w:tblGrid>
            <w:tr>
              <w:tblPrEx>
                <w:tblLayout w:type="fixed"/>
                <w:tblCellMar>
                  <w:top w:w="0" w:type="dxa"/>
                  <w:left w:w="108" w:type="dxa"/>
                  <w:bottom w:w="0" w:type="dxa"/>
                  <w:right w:w="108" w:type="dxa"/>
                </w:tblCellMar>
              </w:tblPrEx>
              <w:trPr>
                <w:trHeight w:val="67" w:hRule="atLeast"/>
                <w:jc w:val="center"/>
              </w:trPr>
              <w:tc>
                <w:tcPr>
                  <w:tcW w:w="130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用水单元</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规模</w:t>
                  </w:r>
                </w:p>
              </w:tc>
              <w:tc>
                <w:tcPr>
                  <w:tcW w:w="141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用水定额</w:t>
                  </w:r>
                </w:p>
              </w:tc>
              <w:tc>
                <w:tcPr>
                  <w:tcW w:w="2410"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用水量</w:t>
                  </w:r>
                </w:p>
              </w:tc>
              <w:tc>
                <w:tcPr>
                  <w:tcW w:w="2337"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300" w:type="dxa"/>
                  <w:vMerge w:val="continue"/>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p>
              </w:tc>
              <w:tc>
                <w:tcPr>
                  <w:tcW w:w="1417"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m³/d</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m³/a</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m³/d</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生产废水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195头/d</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0.535吨/头</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136.11</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49000</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136.11</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49000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生活用水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30人</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40L/d·人</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432</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0.96</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345.6</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消毒用水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3m³/d</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1080</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432</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绿化用水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500m²</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3L/（m²·次）</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1.5</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382.5</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56" w:hRule="atLeast"/>
                <w:jc w:val="center"/>
              </w:trPr>
              <w:tc>
                <w:tcPr>
                  <w:tcW w:w="130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初期雨水</w:t>
                  </w:r>
                </w:p>
              </w:tc>
              <w:tc>
                <w:tcPr>
                  <w:tcW w:w="2551" w:type="dxa"/>
                  <w:gridSpan w:val="3"/>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3360m²</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418"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6.5m³/次</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30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合计</w:t>
                  </w:r>
                </w:p>
              </w:tc>
              <w:tc>
                <w:tcPr>
                  <w:tcW w:w="1417" w:type="dxa"/>
                  <w:gridSpan w:val="2"/>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141.81</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50894.5</w:t>
                  </w:r>
                </w:p>
              </w:tc>
              <w:tc>
                <w:tcPr>
                  <w:tcW w:w="1418" w:type="dxa"/>
                  <w:tcBorders>
                    <w:top w:val="single" w:color="auto" w:sz="8" w:space="0"/>
                    <w:left w:val="nil"/>
                    <w:bottom w:val="single" w:color="auto" w:sz="8" w:space="0"/>
                    <w:right w:val="single" w:color="auto" w:sz="4"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138.27</w:t>
                  </w:r>
                </w:p>
              </w:tc>
              <w:tc>
                <w:tcPr>
                  <w:tcW w:w="919"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49777.6</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根据原有项目的分析，原有项目产生的综合废水，经污水处理站处理后回用或排放，但未明确回用和排放的比例，因此本次环评按原有项目全部外排进行合计，则原有项目废水产排情况如下表所示。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表2.14.2</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原有</w:t>
            </w:r>
            <w:r>
              <w:rPr>
                <w:rFonts w:ascii="Times New Roman" w:hAnsi="Times New Roman" w:cs="Times New Roman"/>
                <w:b/>
                <w:bCs/>
                <w:color w:val="000000" w:themeColor="text1"/>
                <w:kern w:val="0"/>
              </w:rPr>
              <w:t>项目</w:t>
            </w:r>
            <w:r>
              <w:rPr>
                <w:rFonts w:hint="eastAsia" w:ascii="Times New Roman" w:hAnsi="Times New Roman" w:cs="Times New Roman"/>
                <w:b/>
                <w:bCs/>
                <w:color w:val="000000" w:themeColor="text1"/>
                <w:kern w:val="0"/>
              </w:rPr>
              <w:t>废水产排情况</w:t>
            </w:r>
            <w:r>
              <w:rPr>
                <w:rFonts w:ascii="Times New Roman" w:hAnsi="Times New Roman" w:cs="Times New Roman"/>
                <w:b/>
                <w:bCs/>
                <w:color w:val="000000" w:themeColor="text1"/>
                <w:kern w:val="0"/>
              </w:rPr>
              <w:t>核算一览表</w:t>
            </w:r>
          </w:p>
          <w:tbl>
            <w:tblPr>
              <w:tblStyle w:val="20"/>
              <w:tblW w:w="8598" w:type="dxa"/>
              <w:tblInd w:w="0" w:type="dxa"/>
              <w:tblLayout w:type="fixed"/>
              <w:tblCellMar>
                <w:top w:w="0" w:type="dxa"/>
                <w:left w:w="108" w:type="dxa"/>
                <w:bottom w:w="0" w:type="dxa"/>
                <w:right w:w="108" w:type="dxa"/>
              </w:tblCellMar>
            </w:tblPr>
            <w:tblGrid>
              <w:gridCol w:w="733"/>
              <w:gridCol w:w="2090"/>
              <w:gridCol w:w="1490"/>
              <w:gridCol w:w="1305"/>
              <w:gridCol w:w="1490"/>
              <w:gridCol w:w="1490"/>
            </w:tblGrid>
            <w:tr>
              <w:tblPrEx>
                <w:tblLayout w:type="fixed"/>
                <w:tblCellMar>
                  <w:top w:w="0" w:type="dxa"/>
                  <w:left w:w="108" w:type="dxa"/>
                  <w:bottom w:w="0" w:type="dxa"/>
                  <w:right w:w="108" w:type="dxa"/>
                </w:tblCellMar>
              </w:tblPrEx>
              <w:tc>
                <w:tcPr>
                  <w:tcW w:w="733"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排放源</w:t>
                  </w:r>
                </w:p>
              </w:tc>
              <w:tc>
                <w:tcPr>
                  <w:tcW w:w="209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污染物</w:t>
                  </w:r>
                </w:p>
              </w:tc>
              <w:tc>
                <w:tcPr>
                  <w:tcW w:w="1490" w:type="dxa"/>
                  <w:tcBorders>
                    <w:top w:val="single" w:color="auto" w:sz="8" w:space="0"/>
                    <w:left w:val="nil"/>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进水浓度</w:t>
                  </w:r>
                </w:p>
                <w:p>
                  <w:pPr>
                    <w:pStyle w:val="31"/>
                    <w:spacing w:line="360" w:lineRule="exact"/>
                    <w:rPr>
                      <w:color w:val="000000" w:themeColor="text1"/>
                      <w:szCs w:val="21"/>
                    </w:rPr>
                  </w:pPr>
                  <w:r>
                    <w:rPr>
                      <w:rFonts w:hint="eastAsia"/>
                      <w:color w:val="000000" w:themeColor="text1"/>
                      <w:szCs w:val="21"/>
                    </w:rPr>
                    <w:t>（</w:t>
                  </w:r>
                  <w:r>
                    <w:rPr>
                      <w:color w:val="000000" w:themeColor="text1"/>
                      <w:szCs w:val="21"/>
                    </w:rPr>
                    <w:t>mg/L</w:t>
                  </w:r>
                  <w:r>
                    <w:rPr>
                      <w:rFonts w:hint="eastAsia"/>
                      <w:color w:val="000000" w:themeColor="text1"/>
                      <w:szCs w:val="21"/>
                    </w:rPr>
                    <w:t>）</w:t>
                  </w:r>
                </w:p>
              </w:tc>
              <w:tc>
                <w:tcPr>
                  <w:tcW w:w="1305"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产生量（</w:t>
                  </w:r>
                  <w:r>
                    <w:rPr>
                      <w:color w:val="000000" w:themeColor="text1"/>
                      <w:szCs w:val="21"/>
                    </w:rPr>
                    <w:t>t/a</w:t>
                  </w:r>
                  <w:r>
                    <w:rPr>
                      <w:rFonts w:hint="eastAsia"/>
                      <w:color w:val="000000" w:themeColor="text1"/>
                      <w:szCs w:val="21"/>
                    </w:rPr>
                    <w:t>）</w:t>
                  </w:r>
                </w:p>
              </w:tc>
              <w:tc>
                <w:tcPr>
                  <w:tcW w:w="1490" w:type="dxa"/>
                  <w:tcBorders>
                    <w:top w:val="single" w:color="auto" w:sz="8" w:space="0"/>
                    <w:left w:val="nil"/>
                    <w:bottom w:val="single" w:color="auto" w:sz="4"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出水浓度（</w:t>
                  </w:r>
                  <w:r>
                    <w:rPr>
                      <w:color w:val="000000" w:themeColor="text1"/>
                      <w:szCs w:val="21"/>
                    </w:rPr>
                    <w:t>mg/L</w:t>
                  </w:r>
                  <w:r>
                    <w:rPr>
                      <w:rFonts w:hint="eastAsia"/>
                      <w:color w:val="000000" w:themeColor="text1"/>
                      <w:szCs w:val="21"/>
                    </w:rPr>
                    <w:t>）</w:t>
                  </w:r>
                </w:p>
              </w:tc>
              <w:tc>
                <w:tcPr>
                  <w:tcW w:w="149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排放量（</w:t>
                  </w:r>
                  <w:r>
                    <w:rPr>
                      <w:color w:val="000000" w:themeColor="text1"/>
                      <w:szCs w:val="21"/>
                    </w:rPr>
                    <w:t>t/a</w:t>
                  </w: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restart"/>
                  <w:tcBorders>
                    <w:top w:val="nil"/>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综合废水</w:t>
                  </w: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废水量</w:t>
                  </w:r>
                </w:p>
              </w:tc>
              <w:tc>
                <w:tcPr>
                  <w:tcW w:w="2795"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rPr>
                  </w:pPr>
                  <w:r>
                    <w:rPr>
                      <w:color w:val="000000" w:themeColor="text1"/>
                      <w:szCs w:val="21"/>
                    </w:rPr>
                    <w:t>49777.6m³/a</w:t>
                  </w:r>
                </w:p>
              </w:tc>
              <w:tc>
                <w:tcPr>
                  <w:tcW w:w="2980" w:type="dxa"/>
                  <w:gridSpan w:val="2"/>
                  <w:tcBorders>
                    <w:top w:val="nil"/>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rPr>
                  </w:pPr>
                  <w:r>
                    <w:rPr>
                      <w:color w:val="000000" w:themeColor="text1"/>
                      <w:szCs w:val="21"/>
                    </w:rPr>
                    <w:t>49777.6m³/a</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pH</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6-9</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6-9</w:t>
                  </w:r>
                </w:p>
              </w:tc>
              <w:tc>
                <w:tcPr>
                  <w:tcW w:w="1490" w:type="dxa"/>
                  <w:tcBorders>
                    <w:top w:val="nil"/>
                    <w:left w:val="nil"/>
                    <w:bottom w:val="single" w:color="auto" w:sz="8" w:space="0"/>
                    <w:right w:val="single" w:color="auto" w:sz="8" w:space="0"/>
                  </w:tcBorders>
                  <w:shd w:val="clear" w:color="auto" w:fill="auto"/>
                  <w:vAlign w:val="bottom"/>
                </w:tcPr>
                <w:p>
                  <w:pPr>
                    <w:pStyle w:val="31"/>
                    <w:spacing w:line="360" w:lineRule="exact"/>
                    <w:rPr>
                      <w:color w:val="000000" w:themeColor="text1"/>
                      <w:szCs w:val="21"/>
                    </w:rPr>
                  </w:pPr>
                  <w:r>
                    <w:rPr>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CODcr</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2169</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107.97</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86</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4.28</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1577.7</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78.53</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45.1</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2.24</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592.3</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29.48</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0.868</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0.04</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SS</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1184</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58.94</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22</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1.10</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总磷</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73.3</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3.65</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10.86</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0.54</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总氮</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80.4</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4.00</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11.9</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0.59</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动植物油</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30.9</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1.54</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4.71</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0.23</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阴离子表面活性剂</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9.3</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0.46</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3</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0.15</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粪大肠菌群数（</w:t>
                  </w:r>
                  <w:r>
                    <w:rPr>
                      <w:color w:val="000000" w:themeColor="text1"/>
                      <w:szCs w:val="21"/>
                    </w:rPr>
                    <w:t>MPN/L</w:t>
                  </w:r>
                  <w:r>
                    <w:rPr>
                      <w:rFonts w:hint="eastAsia"/>
                      <w:color w:val="000000" w:themeColor="text1"/>
                      <w:szCs w:val="21"/>
                    </w:rPr>
                    <w:t>）</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0.98×10</w:t>
                  </w:r>
                  <w:r>
                    <w:rPr>
                      <w:color w:val="000000" w:themeColor="text1"/>
                      <w:szCs w:val="21"/>
                      <w:vertAlign w:val="superscript"/>
                    </w:rPr>
                    <w:t>8</w:t>
                  </w:r>
                </w:p>
              </w:tc>
              <w:tc>
                <w:tcPr>
                  <w:tcW w:w="1305"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c>
                <w:tcPr>
                  <w:tcW w:w="1490"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2.14.3 原有项目噪声排放情况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云南方源科技有限公司出具的《昆明市畜禽屠宰有限公司2020年年检监测项目检测报告》提供的数据，</w:t>
            </w:r>
            <w:r>
              <w:rPr>
                <w:rFonts w:ascii="Times New Roman" w:hAnsi="Times New Roman" w:cs="Times New Roman"/>
                <w:color w:val="000000" w:themeColor="text1"/>
                <w:sz w:val="24"/>
                <w:szCs w:val="24"/>
              </w:rPr>
              <w:t>原有项目噪声主要为设备噪声</w:t>
            </w:r>
            <w:r>
              <w:rPr>
                <w:rFonts w:hint="eastAsia" w:ascii="Times New Roman" w:hAnsi="Times New Roman" w:cs="Times New Roman"/>
                <w:color w:val="000000" w:themeColor="text1"/>
                <w:sz w:val="24"/>
                <w:szCs w:val="24"/>
              </w:rPr>
              <w:t>和猪叫声</w:t>
            </w:r>
            <w:r>
              <w:rPr>
                <w:rFonts w:ascii="Times New Roman" w:hAnsi="Times New Roman" w:cs="Times New Roman"/>
                <w:color w:val="000000" w:themeColor="text1"/>
                <w:sz w:val="24"/>
                <w:szCs w:val="24"/>
              </w:rPr>
              <w:t>，具体</w:t>
            </w:r>
            <w:r>
              <w:rPr>
                <w:rFonts w:hint="eastAsia" w:ascii="Times New Roman" w:hAnsi="Times New Roman" w:cs="Times New Roman"/>
                <w:color w:val="000000" w:themeColor="text1"/>
                <w:sz w:val="24"/>
                <w:szCs w:val="24"/>
              </w:rPr>
              <w:t>排放量</w:t>
            </w:r>
            <w:r>
              <w:rPr>
                <w:rFonts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表2.14.3-1 噪声检测结果 单位：dB（A）</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676"/>
              <w:gridCol w:w="1444"/>
              <w:gridCol w:w="1371"/>
              <w:gridCol w:w="1386"/>
              <w:gridCol w:w="134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981" w:type="dxa"/>
                  <w:gridSpan w:val="2"/>
                  <w:vAlign w:val="center"/>
                </w:tcPr>
                <w:p>
                  <w:pPr>
                    <w:pStyle w:val="31"/>
                    <w:spacing w:line="360" w:lineRule="exact"/>
                    <w:rPr>
                      <w:color w:val="000000" w:themeColor="text1"/>
                      <w:szCs w:val="21"/>
                    </w:rPr>
                  </w:pPr>
                  <w:r>
                    <w:rPr>
                      <w:color w:val="000000" w:themeColor="text1"/>
                      <w:szCs w:val="21"/>
                    </w:rPr>
                    <w:t>监测时间</w:t>
                  </w:r>
                </w:p>
              </w:tc>
              <w:tc>
                <w:tcPr>
                  <w:tcW w:w="1444" w:type="dxa"/>
                  <w:vAlign w:val="center"/>
                </w:tcPr>
                <w:p>
                  <w:pPr>
                    <w:pStyle w:val="31"/>
                    <w:spacing w:line="360" w:lineRule="exact"/>
                    <w:rPr>
                      <w:color w:val="000000" w:themeColor="text1"/>
                      <w:szCs w:val="21"/>
                    </w:rPr>
                  </w:pPr>
                  <w:r>
                    <w:rPr>
                      <w:color w:val="000000" w:themeColor="text1"/>
                      <w:szCs w:val="21"/>
                    </w:rPr>
                    <w:t>厂界东</w:t>
                  </w:r>
                </w:p>
              </w:tc>
              <w:tc>
                <w:tcPr>
                  <w:tcW w:w="1371" w:type="dxa"/>
                  <w:vAlign w:val="center"/>
                </w:tcPr>
                <w:p>
                  <w:pPr>
                    <w:pStyle w:val="31"/>
                    <w:spacing w:line="360" w:lineRule="exact"/>
                    <w:rPr>
                      <w:color w:val="000000" w:themeColor="text1"/>
                      <w:szCs w:val="21"/>
                    </w:rPr>
                  </w:pPr>
                  <w:r>
                    <w:rPr>
                      <w:color w:val="000000" w:themeColor="text1"/>
                      <w:szCs w:val="21"/>
                    </w:rPr>
                    <w:t>厂界南</w:t>
                  </w:r>
                </w:p>
              </w:tc>
              <w:tc>
                <w:tcPr>
                  <w:tcW w:w="1386" w:type="dxa"/>
                  <w:vAlign w:val="center"/>
                </w:tcPr>
                <w:p>
                  <w:pPr>
                    <w:pStyle w:val="31"/>
                    <w:spacing w:line="360" w:lineRule="exact"/>
                    <w:rPr>
                      <w:color w:val="000000" w:themeColor="text1"/>
                      <w:szCs w:val="21"/>
                    </w:rPr>
                  </w:pPr>
                  <w:r>
                    <w:rPr>
                      <w:color w:val="000000" w:themeColor="text1"/>
                      <w:szCs w:val="21"/>
                    </w:rPr>
                    <w:t>厂界西</w:t>
                  </w:r>
                </w:p>
              </w:tc>
              <w:tc>
                <w:tcPr>
                  <w:tcW w:w="1342" w:type="dxa"/>
                  <w:vAlign w:val="center"/>
                </w:tcPr>
                <w:p>
                  <w:pPr>
                    <w:pStyle w:val="31"/>
                    <w:spacing w:line="360" w:lineRule="exact"/>
                    <w:rPr>
                      <w:color w:val="000000" w:themeColor="text1"/>
                      <w:szCs w:val="21"/>
                    </w:rPr>
                  </w:pPr>
                  <w:r>
                    <w:rPr>
                      <w:color w:val="000000" w:themeColor="text1"/>
                      <w:szCs w:val="21"/>
                    </w:rPr>
                    <w:t>厂界北</w:t>
                  </w:r>
                </w:p>
              </w:tc>
              <w:tc>
                <w:tcPr>
                  <w:tcW w:w="1084" w:type="dxa"/>
                  <w:vAlign w:val="center"/>
                </w:tcPr>
                <w:p>
                  <w:pPr>
                    <w:pStyle w:val="31"/>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restart"/>
                  <w:vAlign w:val="center"/>
                </w:tcPr>
                <w:p>
                  <w:pPr>
                    <w:pStyle w:val="31"/>
                    <w:spacing w:line="360" w:lineRule="exact"/>
                    <w:rPr>
                      <w:color w:val="000000" w:themeColor="text1"/>
                      <w:szCs w:val="21"/>
                    </w:rPr>
                  </w:pPr>
                  <w:r>
                    <w:rPr>
                      <w:color w:val="000000" w:themeColor="text1"/>
                      <w:szCs w:val="21"/>
                    </w:rPr>
                    <w:t>20</w:t>
                  </w:r>
                  <w:r>
                    <w:rPr>
                      <w:rFonts w:hint="eastAsia"/>
                      <w:color w:val="000000" w:themeColor="text1"/>
                      <w:szCs w:val="21"/>
                    </w:rPr>
                    <w:t>20</w:t>
                  </w:r>
                  <w:r>
                    <w:rPr>
                      <w:color w:val="000000" w:themeColor="text1"/>
                      <w:szCs w:val="21"/>
                    </w:rPr>
                    <w:t>/</w:t>
                  </w:r>
                  <w:r>
                    <w:rPr>
                      <w:rFonts w:hint="eastAsia"/>
                      <w:color w:val="000000" w:themeColor="text1"/>
                      <w:szCs w:val="21"/>
                    </w:rPr>
                    <w:t>11</w:t>
                  </w:r>
                  <w:r>
                    <w:rPr>
                      <w:color w:val="000000" w:themeColor="text1"/>
                      <w:szCs w:val="21"/>
                    </w:rPr>
                    <w:t>/</w:t>
                  </w:r>
                  <w:r>
                    <w:rPr>
                      <w:rFonts w:hint="eastAsia"/>
                      <w:color w:val="000000" w:themeColor="text1"/>
                      <w:szCs w:val="21"/>
                    </w:rPr>
                    <w:t>11</w:t>
                  </w:r>
                </w:p>
              </w:tc>
              <w:tc>
                <w:tcPr>
                  <w:tcW w:w="676" w:type="dxa"/>
                  <w:vAlign w:val="center"/>
                </w:tcPr>
                <w:p>
                  <w:pPr>
                    <w:pStyle w:val="31"/>
                    <w:spacing w:line="360" w:lineRule="exact"/>
                    <w:rPr>
                      <w:color w:val="000000" w:themeColor="text1"/>
                      <w:szCs w:val="21"/>
                    </w:rPr>
                  </w:pPr>
                  <w:r>
                    <w:rPr>
                      <w:color w:val="000000" w:themeColor="text1"/>
                      <w:szCs w:val="21"/>
                    </w:rPr>
                    <w:t>昼</w:t>
                  </w:r>
                </w:p>
              </w:tc>
              <w:tc>
                <w:tcPr>
                  <w:tcW w:w="1444" w:type="dxa"/>
                  <w:vAlign w:val="center"/>
                </w:tcPr>
                <w:p>
                  <w:pPr>
                    <w:pStyle w:val="31"/>
                    <w:spacing w:line="360" w:lineRule="exact"/>
                    <w:rPr>
                      <w:color w:val="000000" w:themeColor="text1"/>
                      <w:szCs w:val="21"/>
                    </w:rPr>
                  </w:pPr>
                  <w:r>
                    <w:rPr>
                      <w:rFonts w:hint="eastAsia"/>
                      <w:color w:val="000000" w:themeColor="text1"/>
                      <w:szCs w:val="21"/>
                    </w:rPr>
                    <w:t>54.6</w:t>
                  </w:r>
                </w:p>
              </w:tc>
              <w:tc>
                <w:tcPr>
                  <w:tcW w:w="1371" w:type="dxa"/>
                  <w:vAlign w:val="center"/>
                </w:tcPr>
                <w:p>
                  <w:pPr>
                    <w:pStyle w:val="31"/>
                    <w:spacing w:line="360" w:lineRule="exact"/>
                    <w:rPr>
                      <w:color w:val="000000" w:themeColor="text1"/>
                      <w:szCs w:val="21"/>
                    </w:rPr>
                  </w:pPr>
                  <w:r>
                    <w:rPr>
                      <w:rFonts w:hint="eastAsia"/>
                      <w:color w:val="000000" w:themeColor="text1"/>
                      <w:szCs w:val="21"/>
                    </w:rPr>
                    <w:t>53.4</w:t>
                  </w:r>
                </w:p>
              </w:tc>
              <w:tc>
                <w:tcPr>
                  <w:tcW w:w="1386" w:type="dxa"/>
                  <w:vAlign w:val="center"/>
                </w:tcPr>
                <w:p>
                  <w:pPr>
                    <w:pStyle w:val="31"/>
                    <w:spacing w:line="360" w:lineRule="exact"/>
                    <w:rPr>
                      <w:color w:val="000000" w:themeColor="text1"/>
                      <w:szCs w:val="21"/>
                    </w:rPr>
                  </w:pPr>
                  <w:r>
                    <w:rPr>
                      <w:rFonts w:hint="eastAsia"/>
                      <w:color w:val="000000" w:themeColor="text1"/>
                      <w:szCs w:val="21"/>
                    </w:rPr>
                    <w:t>55.6</w:t>
                  </w:r>
                </w:p>
              </w:tc>
              <w:tc>
                <w:tcPr>
                  <w:tcW w:w="1342" w:type="dxa"/>
                  <w:vAlign w:val="center"/>
                </w:tcPr>
                <w:p>
                  <w:pPr>
                    <w:pStyle w:val="31"/>
                    <w:spacing w:line="360" w:lineRule="exact"/>
                    <w:rPr>
                      <w:color w:val="000000" w:themeColor="text1"/>
                      <w:szCs w:val="21"/>
                    </w:rPr>
                  </w:pPr>
                  <w:r>
                    <w:rPr>
                      <w:rFonts w:hint="eastAsia"/>
                      <w:color w:val="000000" w:themeColor="text1"/>
                      <w:szCs w:val="21"/>
                    </w:rPr>
                    <w:t>52.8</w:t>
                  </w:r>
                </w:p>
              </w:tc>
              <w:tc>
                <w:tcPr>
                  <w:tcW w:w="1084" w:type="dxa"/>
                  <w:vAlign w:val="center"/>
                </w:tcPr>
                <w:p>
                  <w:pPr>
                    <w:pStyle w:val="31"/>
                    <w:spacing w:line="360" w:lineRule="exact"/>
                    <w:rPr>
                      <w:color w:val="000000" w:themeColor="text1"/>
                      <w:szCs w:val="21"/>
                    </w:rPr>
                  </w:pPr>
                  <w:r>
                    <w:rPr>
                      <w:color w:val="000000" w:themeColor="text1"/>
                      <w:szCs w:val="21"/>
                    </w:rPr>
                    <w:t>6</w:t>
                  </w:r>
                  <w:r>
                    <w:rPr>
                      <w:rFonts w:hint="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31"/>
                    <w:spacing w:line="360" w:lineRule="exact"/>
                    <w:rPr>
                      <w:color w:val="000000" w:themeColor="text1"/>
                      <w:szCs w:val="21"/>
                    </w:rPr>
                  </w:pPr>
                </w:p>
              </w:tc>
              <w:tc>
                <w:tcPr>
                  <w:tcW w:w="676" w:type="dxa"/>
                  <w:vAlign w:val="center"/>
                </w:tcPr>
                <w:p>
                  <w:pPr>
                    <w:pStyle w:val="31"/>
                    <w:spacing w:line="360" w:lineRule="exact"/>
                    <w:rPr>
                      <w:color w:val="000000" w:themeColor="text1"/>
                      <w:szCs w:val="21"/>
                    </w:rPr>
                  </w:pPr>
                  <w:r>
                    <w:rPr>
                      <w:color w:val="000000" w:themeColor="text1"/>
                      <w:szCs w:val="21"/>
                    </w:rPr>
                    <w:t>夜</w:t>
                  </w:r>
                </w:p>
              </w:tc>
              <w:tc>
                <w:tcPr>
                  <w:tcW w:w="1444" w:type="dxa"/>
                  <w:vAlign w:val="center"/>
                </w:tcPr>
                <w:p>
                  <w:pPr>
                    <w:pStyle w:val="31"/>
                    <w:spacing w:line="360" w:lineRule="exact"/>
                    <w:rPr>
                      <w:color w:val="000000" w:themeColor="text1"/>
                      <w:szCs w:val="21"/>
                    </w:rPr>
                  </w:pPr>
                  <w:r>
                    <w:rPr>
                      <w:rFonts w:hint="eastAsia"/>
                      <w:color w:val="000000" w:themeColor="text1"/>
                      <w:szCs w:val="21"/>
                    </w:rPr>
                    <w:t>47.2</w:t>
                  </w:r>
                </w:p>
              </w:tc>
              <w:tc>
                <w:tcPr>
                  <w:tcW w:w="1371" w:type="dxa"/>
                  <w:vAlign w:val="center"/>
                </w:tcPr>
                <w:p>
                  <w:pPr>
                    <w:pStyle w:val="31"/>
                    <w:spacing w:line="360" w:lineRule="exact"/>
                    <w:rPr>
                      <w:color w:val="000000" w:themeColor="text1"/>
                      <w:szCs w:val="21"/>
                    </w:rPr>
                  </w:pPr>
                  <w:r>
                    <w:rPr>
                      <w:rFonts w:hint="eastAsia"/>
                      <w:color w:val="000000" w:themeColor="text1"/>
                      <w:szCs w:val="21"/>
                    </w:rPr>
                    <w:t>45.7</w:t>
                  </w:r>
                </w:p>
              </w:tc>
              <w:tc>
                <w:tcPr>
                  <w:tcW w:w="1386" w:type="dxa"/>
                  <w:vAlign w:val="center"/>
                </w:tcPr>
                <w:p>
                  <w:pPr>
                    <w:pStyle w:val="31"/>
                    <w:spacing w:line="360" w:lineRule="exact"/>
                    <w:rPr>
                      <w:color w:val="000000" w:themeColor="text1"/>
                      <w:szCs w:val="21"/>
                    </w:rPr>
                  </w:pPr>
                  <w:r>
                    <w:rPr>
                      <w:rFonts w:hint="eastAsia"/>
                      <w:color w:val="000000" w:themeColor="text1"/>
                      <w:szCs w:val="21"/>
                    </w:rPr>
                    <w:t>48.8</w:t>
                  </w:r>
                </w:p>
              </w:tc>
              <w:tc>
                <w:tcPr>
                  <w:tcW w:w="1342" w:type="dxa"/>
                  <w:vAlign w:val="center"/>
                </w:tcPr>
                <w:p>
                  <w:pPr>
                    <w:pStyle w:val="31"/>
                    <w:spacing w:line="360" w:lineRule="exact"/>
                    <w:rPr>
                      <w:color w:val="000000" w:themeColor="text1"/>
                      <w:szCs w:val="21"/>
                    </w:rPr>
                  </w:pPr>
                  <w:r>
                    <w:rPr>
                      <w:rFonts w:hint="eastAsia"/>
                      <w:color w:val="000000" w:themeColor="text1"/>
                      <w:szCs w:val="21"/>
                    </w:rPr>
                    <w:t>48.1</w:t>
                  </w:r>
                </w:p>
              </w:tc>
              <w:tc>
                <w:tcPr>
                  <w:tcW w:w="1084" w:type="dxa"/>
                  <w:vAlign w:val="center"/>
                </w:tcPr>
                <w:p>
                  <w:pPr>
                    <w:pStyle w:val="31"/>
                    <w:spacing w:line="360" w:lineRule="exact"/>
                    <w:rPr>
                      <w:color w:val="000000" w:themeColor="text1"/>
                      <w:szCs w:val="21"/>
                    </w:rPr>
                  </w:pPr>
                  <w:r>
                    <w:rPr>
                      <w:color w:val="000000" w:themeColor="text1"/>
                      <w:szCs w:val="21"/>
                    </w:rPr>
                    <w:t>5</w:t>
                  </w:r>
                  <w:r>
                    <w:rPr>
                      <w:rFonts w:hint="eastAsia"/>
                      <w:color w:val="000000" w:themeColor="text1"/>
                      <w:szCs w:val="21"/>
                    </w:rPr>
                    <w:t>0</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由上表可知，原有项目厂界噪声可达到《工业企业厂界环境噪声排放标准》（GB12348-2008）</w:t>
            </w:r>
            <w:r>
              <w:rPr>
                <w:rFonts w:hint="eastAsia" w:ascii="Times New Roman" w:hAnsi="Times New Roman" w:cs="Times New Roman"/>
                <w:color w:val="000000" w:themeColor="text1"/>
                <w:sz w:val="24"/>
              </w:rPr>
              <w:t>2</w:t>
            </w:r>
            <w:r>
              <w:rPr>
                <w:rFonts w:ascii="Times New Roman" w:hAnsi="Times New Roman" w:cs="Times New Roman"/>
                <w:color w:val="000000" w:themeColor="text1"/>
                <w:sz w:val="24"/>
              </w:rPr>
              <w:t>类标准。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2.14.4 原有项目固体废物排放情况</w:t>
            </w:r>
          </w:p>
          <w:p>
            <w:pPr>
              <w:pStyle w:val="39"/>
              <w:ind w:firstLine="480"/>
              <w:rPr>
                <w:rFonts w:eastAsiaTheme="minorEastAsia"/>
                <w:color w:val="000000" w:themeColor="text1"/>
                <w:szCs w:val="24"/>
              </w:rPr>
            </w:pPr>
            <w:r>
              <w:rPr>
                <w:rFonts w:eastAsiaTheme="minorEastAsia"/>
                <w:color w:val="000000" w:themeColor="text1"/>
                <w:szCs w:val="24"/>
              </w:rPr>
              <w:t>根据调查，原有项目主要固体废物包括：</w:t>
            </w:r>
            <w:r>
              <w:rPr>
                <w:rFonts w:hint="eastAsia" w:eastAsiaTheme="minorEastAsia"/>
                <w:color w:val="000000" w:themeColor="text1"/>
                <w:szCs w:val="24"/>
              </w:rPr>
              <w:t>格渣及污水处理污泥、猪毛、生活垃圾、病死猪和沼气池残渣。</w:t>
            </w:r>
            <w:r>
              <w:rPr>
                <w:rFonts w:eastAsiaTheme="minorEastAsia"/>
                <w:color w:val="000000" w:themeColor="text1"/>
                <w:szCs w:val="24"/>
              </w:rPr>
              <w:t>其产生及处置情况如下：</w:t>
            </w:r>
          </w:p>
          <w:p>
            <w:pPr>
              <w:pStyle w:val="39"/>
              <w:ind w:firstLine="482"/>
              <w:rPr>
                <w:b/>
                <w:color w:val="000000" w:themeColor="text1"/>
                <w:szCs w:val="21"/>
              </w:rPr>
            </w:pPr>
            <w:r>
              <w:rPr>
                <w:rFonts w:hint="eastAsia"/>
                <w:b/>
                <w:color w:val="000000" w:themeColor="text1"/>
                <w:szCs w:val="21"/>
              </w:rPr>
              <w:t>①格渣及污水处理污泥</w:t>
            </w:r>
          </w:p>
          <w:p>
            <w:pPr>
              <w:pStyle w:val="39"/>
              <w:ind w:firstLine="480"/>
              <w:rPr>
                <w:rFonts w:eastAsiaTheme="minorEastAsia"/>
                <w:color w:val="000000" w:themeColor="text1"/>
                <w:szCs w:val="24"/>
              </w:rPr>
            </w:pPr>
            <w:r>
              <w:rPr>
                <w:rFonts w:eastAsiaTheme="minorEastAsia"/>
                <w:color w:val="000000" w:themeColor="text1"/>
                <w:szCs w:val="24"/>
              </w:rPr>
              <w:t>根据调查，</w:t>
            </w:r>
            <w:r>
              <w:rPr>
                <w:rFonts w:hint="eastAsia" w:eastAsiaTheme="minorEastAsia"/>
                <w:color w:val="000000" w:themeColor="text1"/>
                <w:szCs w:val="24"/>
              </w:rPr>
              <w:t>原有项目对生猪进行屠宰，生猪在待宰间静养待宰过程中会产生猪粪、屠宰过程中会产生肠胃内容物，该部分固体废物均在对地面清洗过程中进入污水处理站，其中大部分被格栅阻隔形成格渣，同时污水处理站会产生污泥，项目产生的格渣及污水处理污泥均属于一般工业固体废物；根据</w:t>
            </w:r>
            <w:r>
              <w:rPr>
                <w:rFonts w:eastAsiaTheme="minorEastAsia"/>
                <w:color w:val="000000" w:themeColor="text1"/>
                <w:szCs w:val="24"/>
              </w:rPr>
              <w:t>《排放源统计调查产排污核算方法和系数手册》中“135屠宰及肉类加工行业系数手册”</w:t>
            </w:r>
            <w:r>
              <w:rPr>
                <w:rFonts w:hint="eastAsia" w:eastAsiaTheme="minorEastAsia"/>
                <w:color w:val="000000" w:themeColor="text1"/>
                <w:szCs w:val="24"/>
              </w:rPr>
              <w:t>，处理规模为</w:t>
            </w:r>
            <w:r>
              <w:rPr>
                <w:rFonts w:eastAsiaTheme="minorEastAsia"/>
                <w:color w:val="000000" w:themeColor="text1"/>
                <w:szCs w:val="24"/>
              </w:rPr>
              <w:t>70-1500</w:t>
            </w:r>
            <w:r>
              <w:rPr>
                <w:rFonts w:hint="eastAsia" w:eastAsiaTheme="minorEastAsia"/>
                <w:color w:val="000000" w:themeColor="text1"/>
                <w:szCs w:val="24"/>
              </w:rPr>
              <w:t>头</w:t>
            </w:r>
            <w:r>
              <w:rPr>
                <w:rFonts w:eastAsiaTheme="minorEastAsia"/>
                <w:color w:val="000000" w:themeColor="text1"/>
                <w:szCs w:val="24"/>
              </w:rPr>
              <w:t>/</w:t>
            </w:r>
            <w:r>
              <w:rPr>
                <w:rFonts w:hint="eastAsia" w:eastAsiaTheme="minorEastAsia"/>
                <w:color w:val="000000" w:themeColor="text1"/>
                <w:szCs w:val="24"/>
              </w:rPr>
              <w:t>天的半机械化屠宰项目一般工业固体废物产生定额为</w:t>
            </w:r>
            <w:r>
              <w:rPr>
                <w:rFonts w:eastAsiaTheme="minorEastAsia"/>
                <w:color w:val="000000" w:themeColor="text1"/>
                <w:szCs w:val="24"/>
              </w:rPr>
              <w:t>5.21</w:t>
            </w:r>
            <w:r>
              <w:rPr>
                <w:rFonts w:hint="eastAsia" w:eastAsiaTheme="minorEastAsia"/>
                <w:color w:val="000000" w:themeColor="text1"/>
                <w:szCs w:val="24"/>
              </w:rPr>
              <w:t>千克</w:t>
            </w:r>
            <w:r>
              <w:rPr>
                <w:rFonts w:eastAsiaTheme="minorEastAsia"/>
                <w:color w:val="000000" w:themeColor="text1"/>
                <w:szCs w:val="24"/>
              </w:rPr>
              <w:t>/</w:t>
            </w:r>
            <w:r>
              <w:rPr>
                <w:rFonts w:hint="eastAsia" w:eastAsiaTheme="minorEastAsia"/>
                <w:color w:val="000000" w:themeColor="text1"/>
                <w:szCs w:val="24"/>
              </w:rPr>
              <w:t>头；原有项目年屠宰生猪70000头，则格渣及污水处理污泥产生量为364.7t/a；项目设置沼气池对其进行处理。</w:t>
            </w:r>
            <w:r>
              <w:rPr>
                <w:rFonts w:eastAsiaTheme="minorEastAsia"/>
                <w:color w:val="000000" w:themeColor="text1"/>
                <w:szCs w:val="24"/>
              </w:rPr>
              <w:t>处置率为100%。</w:t>
            </w:r>
          </w:p>
          <w:p>
            <w:pPr>
              <w:pStyle w:val="39"/>
              <w:ind w:firstLine="482"/>
              <w:rPr>
                <w:b/>
                <w:color w:val="000000" w:themeColor="text1"/>
                <w:szCs w:val="21"/>
              </w:rPr>
            </w:pPr>
            <w:r>
              <w:rPr>
                <w:rFonts w:hint="eastAsia"/>
                <w:b/>
                <w:color w:val="000000" w:themeColor="text1"/>
                <w:szCs w:val="21"/>
              </w:rPr>
              <w:t>②猪毛</w:t>
            </w:r>
          </w:p>
          <w:p>
            <w:pPr>
              <w:pStyle w:val="39"/>
              <w:ind w:firstLine="480"/>
              <w:rPr>
                <w:rFonts w:eastAsiaTheme="minorEastAsia"/>
                <w:color w:val="000000" w:themeColor="text1"/>
                <w:szCs w:val="24"/>
              </w:rPr>
            </w:pPr>
            <w:r>
              <w:rPr>
                <w:rFonts w:eastAsiaTheme="minorEastAsia"/>
                <w:color w:val="000000" w:themeColor="text1"/>
                <w:szCs w:val="24"/>
              </w:rPr>
              <w:t>根据调查，</w:t>
            </w:r>
            <w:r>
              <w:rPr>
                <w:rFonts w:hint="eastAsia" w:eastAsiaTheme="minorEastAsia"/>
                <w:color w:val="000000" w:themeColor="text1"/>
                <w:szCs w:val="24"/>
              </w:rPr>
              <w:t>原有项目在屠宰过程中会产生猪毛，根据建设单位的实际统计数据，猪毛产生量约为0.3kg/头·猪；项目年屠宰生猪70000头，则猪毛产生量为21t/a，猪毛统一收集后由收购单位统一收集外卖相关厂家作为生产原料使用。</w:t>
            </w:r>
            <w:r>
              <w:rPr>
                <w:rFonts w:eastAsiaTheme="minorEastAsia"/>
                <w:color w:val="000000" w:themeColor="text1"/>
                <w:szCs w:val="24"/>
              </w:rPr>
              <w:t>处置率为100%。</w:t>
            </w:r>
          </w:p>
          <w:p>
            <w:pPr>
              <w:pStyle w:val="39"/>
              <w:ind w:firstLine="482"/>
              <w:rPr>
                <w:b/>
                <w:color w:val="000000" w:themeColor="text1"/>
                <w:szCs w:val="21"/>
              </w:rPr>
            </w:pPr>
            <w:r>
              <w:rPr>
                <w:rFonts w:hint="eastAsia"/>
                <w:b/>
                <w:color w:val="000000" w:themeColor="text1"/>
                <w:szCs w:val="21"/>
              </w:rPr>
              <w:t>③生活垃圾</w:t>
            </w:r>
          </w:p>
          <w:p>
            <w:pPr>
              <w:pStyle w:val="39"/>
              <w:ind w:firstLine="480"/>
              <w:rPr>
                <w:color w:val="000000" w:themeColor="text1"/>
                <w:szCs w:val="24"/>
              </w:rPr>
            </w:pPr>
            <w:r>
              <w:rPr>
                <w:color w:val="000000" w:themeColor="text1"/>
                <w:szCs w:val="24"/>
              </w:rPr>
              <w:t>根据调查，原有项目拟定员工30人，生活产生量按1kg/（人·d）计，则生活垃圾产生量为30kg/d（9t/a）。生活垃圾集中收集后，委托环卫部门定期清运处置，处置率为100%。</w:t>
            </w:r>
          </w:p>
          <w:p>
            <w:pPr>
              <w:pStyle w:val="39"/>
              <w:ind w:firstLine="482"/>
              <w:rPr>
                <w:b/>
                <w:color w:val="000000" w:themeColor="text1"/>
                <w:szCs w:val="21"/>
              </w:rPr>
            </w:pPr>
            <w:r>
              <w:rPr>
                <w:rFonts w:hint="eastAsia"/>
                <w:b/>
                <w:color w:val="000000" w:themeColor="text1"/>
                <w:szCs w:val="21"/>
              </w:rPr>
              <w:t>④病死猪</w:t>
            </w:r>
          </w:p>
          <w:p>
            <w:pPr>
              <w:pStyle w:val="39"/>
              <w:ind w:firstLine="480"/>
              <w:rPr>
                <w:bCs/>
                <w:color w:val="000000" w:themeColor="text1"/>
              </w:rPr>
            </w:pPr>
            <w:r>
              <w:rPr>
                <w:bCs/>
                <w:color w:val="000000" w:themeColor="text1"/>
              </w:rPr>
              <w:t>根据调查，</w:t>
            </w:r>
            <w:r>
              <w:rPr>
                <w:color w:val="000000" w:themeColor="text1"/>
                <w:szCs w:val="24"/>
              </w:rPr>
              <w:t>原有项目</w:t>
            </w:r>
            <w:r>
              <w:rPr>
                <w:bCs/>
                <w:color w:val="000000" w:themeColor="text1"/>
              </w:rPr>
              <w:t>屠宰经营病死猪年产生量约</w:t>
            </w:r>
            <w:r>
              <w:rPr>
                <w:rFonts w:hint="eastAsia"/>
                <w:bCs/>
                <w:color w:val="000000" w:themeColor="text1"/>
              </w:rPr>
              <w:t>50</w:t>
            </w:r>
            <w:r>
              <w:rPr>
                <w:bCs/>
                <w:color w:val="000000" w:themeColor="text1"/>
              </w:rPr>
              <w:t>头。</w:t>
            </w:r>
            <w:r>
              <w:rPr>
                <w:rFonts w:hint="eastAsia"/>
                <w:bCs/>
                <w:color w:val="000000" w:themeColor="text1"/>
              </w:rPr>
              <w:t>通过锅炉焚烧处置</w:t>
            </w:r>
            <w:r>
              <w:rPr>
                <w:bCs/>
                <w:color w:val="000000" w:themeColor="text1"/>
              </w:rPr>
              <w:t>。处置率为100%。</w:t>
            </w:r>
          </w:p>
          <w:p>
            <w:pPr>
              <w:pStyle w:val="39"/>
              <w:ind w:firstLine="482"/>
              <w:rPr>
                <w:b/>
                <w:color w:val="000000" w:themeColor="text1"/>
                <w:szCs w:val="21"/>
              </w:rPr>
            </w:pPr>
            <w:r>
              <w:rPr>
                <w:rFonts w:hint="eastAsia"/>
                <w:b/>
                <w:color w:val="000000" w:themeColor="text1"/>
                <w:szCs w:val="21"/>
              </w:rPr>
              <w:t>⑤沼气池残渣</w:t>
            </w:r>
          </w:p>
          <w:p>
            <w:pPr>
              <w:pStyle w:val="39"/>
              <w:ind w:firstLine="480"/>
              <w:rPr>
                <w:bCs/>
                <w:color w:val="000000" w:themeColor="text1"/>
              </w:rPr>
            </w:pPr>
            <w:r>
              <w:rPr>
                <w:bCs/>
                <w:color w:val="000000" w:themeColor="text1"/>
              </w:rPr>
              <w:t>根据调查，原有</w:t>
            </w:r>
            <w:r>
              <w:rPr>
                <w:rFonts w:hint="eastAsia"/>
                <w:bCs/>
                <w:color w:val="000000" w:themeColor="text1"/>
              </w:rPr>
              <w:t>项目沼气池残渣产生量约为40.32t/a，统一收集后作为有机肥使用，</w:t>
            </w:r>
            <w:r>
              <w:rPr>
                <w:bCs/>
                <w:color w:val="000000" w:themeColor="text1"/>
              </w:rPr>
              <w:t>处置率为100%。</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 与该项目有关的主要环境问题及整改措施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2.14.1 存在的主要问题</w:t>
            </w:r>
          </w:p>
          <w:p>
            <w:pPr>
              <w:pStyle w:val="39"/>
              <w:ind w:firstLine="480"/>
              <w:rPr>
                <w:bCs/>
                <w:color w:val="000000" w:themeColor="text1"/>
              </w:rPr>
            </w:pPr>
            <w:r>
              <w:rPr>
                <w:bCs/>
                <w:color w:val="000000" w:themeColor="text1"/>
              </w:rPr>
              <w:t>①原有项目污水处理设施处理规模为100m³/d，不能满足项目区日最大废水产生量的处理要求，且污水处理设施部分设备老化，可能导致废水处理不能稳定达标。</w:t>
            </w:r>
          </w:p>
          <w:p>
            <w:pPr>
              <w:pStyle w:val="39"/>
              <w:ind w:firstLine="480"/>
              <w:rPr>
                <w:bCs/>
                <w:color w:val="000000" w:themeColor="text1"/>
              </w:rPr>
            </w:pPr>
            <w:r>
              <w:rPr>
                <w:bCs/>
                <w:color w:val="000000" w:themeColor="text1"/>
              </w:rPr>
              <w:t>②项目使用焚烧方式对病死猪进行焚烧处理，但焚烧锅炉未配套设置脱硫等大气污染防治措施。</w:t>
            </w:r>
          </w:p>
          <w:p>
            <w:pPr>
              <w:pStyle w:val="39"/>
              <w:ind w:firstLine="480"/>
              <w:rPr>
                <w:bCs/>
                <w:color w:val="000000" w:themeColor="text1"/>
              </w:rPr>
            </w:pPr>
            <w:r>
              <w:rPr>
                <w:bCs/>
                <w:color w:val="000000" w:themeColor="text1"/>
              </w:rPr>
              <w:t>③项目区雨污分流不完善。</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2.14.2 对存在问题的整改措施</w:t>
            </w:r>
          </w:p>
          <w:p>
            <w:pPr>
              <w:pStyle w:val="39"/>
              <w:ind w:firstLine="480"/>
              <w:rPr>
                <w:bCs/>
                <w:color w:val="000000" w:themeColor="text1"/>
              </w:rPr>
            </w:pPr>
            <w:r>
              <w:rPr>
                <w:bCs/>
                <w:color w:val="000000" w:themeColor="text1"/>
              </w:rPr>
              <w:t>①项目对现有污水处理设施进行提升改造，其处理能力达到150m³/d，且对不能满足现行要求的老化设备进行更换。</w:t>
            </w:r>
          </w:p>
          <w:p>
            <w:pPr>
              <w:pStyle w:val="39"/>
              <w:ind w:firstLine="480"/>
              <w:rPr>
                <w:bCs/>
                <w:color w:val="000000" w:themeColor="text1"/>
              </w:rPr>
            </w:pPr>
            <w:r>
              <w:rPr>
                <w:bCs/>
                <w:color w:val="000000" w:themeColor="text1"/>
              </w:rPr>
              <w:t>②新建技术成熟的发酵池对病死猪进行处理，有效杜绝病死猪焚烧造成的大气污染。</w:t>
            </w:r>
          </w:p>
          <w:p>
            <w:pPr>
              <w:pStyle w:val="39"/>
              <w:ind w:firstLine="480"/>
              <w:rPr>
                <w:bCs/>
                <w:color w:val="000000" w:themeColor="text1"/>
              </w:rPr>
            </w:pPr>
            <w:r>
              <w:rPr>
                <w:bCs/>
                <w:color w:val="000000" w:themeColor="text1"/>
              </w:rPr>
              <w:t>③加强雨污分流，并新建一个160m³的初期雨水收集池对初期雨水进行收集。</w:t>
            </w:r>
          </w:p>
          <w:p>
            <w:pPr>
              <w:pStyle w:val="39"/>
              <w:ind w:firstLine="480"/>
              <w:rPr>
                <w:bCs/>
                <w:color w:val="000000" w:themeColor="text1"/>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9"/>
              <w:ind w:firstLine="482"/>
              <w:rPr>
                <w:rFonts w:eastAsiaTheme="minorEastAsia"/>
                <w:b/>
                <w:color w:val="000000" w:themeColor="text1"/>
                <w:szCs w:val="24"/>
              </w:rPr>
            </w:pPr>
            <w:r>
              <w:rPr>
                <w:rFonts w:eastAsiaTheme="minorEastAsia"/>
                <w:b/>
                <w:color w:val="000000" w:themeColor="text1"/>
                <w:szCs w:val="24"/>
              </w:rPr>
              <w:t>3.1.1 环境空气质量现状</w:t>
            </w:r>
          </w:p>
          <w:p>
            <w:pPr>
              <w:pStyle w:val="39"/>
              <w:ind w:firstLine="480"/>
              <w:rPr>
                <w:rFonts w:eastAsiaTheme="minorEastAsia"/>
                <w:color w:val="000000" w:themeColor="text1"/>
                <w:szCs w:val="24"/>
              </w:rPr>
            </w:pPr>
            <w:r>
              <w:rPr>
                <w:rFonts w:eastAsiaTheme="minorEastAsia"/>
                <w:color w:val="000000" w:themeColor="text1"/>
                <w:szCs w:val="24"/>
              </w:rPr>
              <w:t>该改建项目位于昆明市东川区铜都街道办事处龙洞村四组苦刺塘，属于环境空气二类区，执行《环境空气质量标准》（GB3095-2012）二级标准。</w:t>
            </w:r>
            <w:r>
              <w:rPr>
                <w:rFonts w:hint="eastAsia" w:eastAsiaTheme="minorEastAsia"/>
                <w:color w:val="000000" w:themeColor="text1"/>
                <w:szCs w:val="24"/>
              </w:rPr>
              <w:t>该区域</w:t>
            </w:r>
            <w:r>
              <w:rPr>
                <w:rFonts w:eastAsiaTheme="minorEastAsia"/>
                <w:color w:val="000000" w:themeColor="text1"/>
                <w:szCs w:val="24"/>
              </w:rPr>
              <w:t>属于东川区行政区划范围内</w:t>
            </w:r>
            <w:r>
              <w:rPr>
                <w:rFonts w:hint="eastAsia" w:eastAsiaTheme="minorEastAsia"/>
                <w:color w:val="000000" w:themeColor="text1"/>
                <w:szCs w:val="24"/>
              </w:rPr>
              <w:t>；</w:t>
            </w:r>
            <w:r>
              <w:rPr>
                <w:rFonts w:eastAsiaTheme="minorEastAsia"/>
                <w:color w:val="000000" w:themeColor="text1"/>
                <w:szCs w:val="24"/>
              </w:rPr>
              <w:t>根据《202</w:t>
            </w:r>
            <w:r>
              <w:rPr>
                <w:rFonts w:hint="eastAsia" w:eastAsiaTheme="minorEastAsia"/>
                <w:color w:val="000000" w:themeColor="text1"/>
                <w:szCs w:val="24"/>
              </w:rPr>
              <w:t>1</w:t>
            </w:r>
            <w:r>
              <w:rPr>
                <w:rFonts w:eastAsiaTheme="minorEastAsia"/>
                <w:color w:val="000000" w:themeColor="text1"/>
                <w:szCs w:val="24"/>
              </w:rPr>
              <w:t>年度昆明市生态环境状况公报》，各县（市）区环境空气质量总体保持良好</w:t>
            </w:r>
            <w:r>
              <w:rPr>
                <w:rFonts w:hint="eastAsia" w:eastAsiaTheme="minorEastAsia"/>
                <w:color w:val="000000" w:themeColor="text1"/>
                <w:szCs w:val="24"/>
              </w:rPr>
              <w:t>。</w:t>
            </w:r>
            <w:r>
              <w:rPr>
                <w:rFonts w:eastAsiaTheme="minorEastAsia"/>
                <w:color w:val="000000" w:themeColor="text1"/>
                <w:szCs w:val="24"/>
              </w:rPr>
              <w:t>项目所在区域属于环境空气质量达标区。</w:t>
            </w:r>
          </w:p>
          <w:p>
            <w:pPr>
              <w:pStyle w:val="39"/>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9"/>
              <w:ind w:firstLine="480"/>
              <w:rPr>
                <w:color w:val="000000" w:themeColor="text1"/>
                <w:szCs w:val="24"/>
              </w:rPr>
            </w:pPr>
            <w:r>
              <w:rPr>
                <w:color w:val="000000" w:themeColor="text1"/>
                <w:szCs w:val="24"/>
              </w:rPr>
              <w:t>项目所在区域属于</w:t>
            </w:r>
            <w:r>
              <w:rPr>
                <w:rFonts w:hint="eastAsia"/>
                <w:color w:val="000000" w:themeColor="text1"/>
                <w:szCs w:val="24"/>
              </w:rPr>
              <w:t>小江</w:t>
            </w:r>
            <w:r>
              <w:rPr>
                <w:color w:val="000000" w:themeColor="text1"/>
                <w:szCs w:val="24"/>
              </w:rPr>
              <w:t>的汇水范围，</w:t>
            </w:r>
            <w:r>
              <w:rPr>
                <w:rFonts w:hint="eastAsia"/>
                <w:color w:val="000000" w:themeColor="text1"/>
                <w:szCs w:val="24"/>
              </w:rPr>
              <w:t>小江</w:t>
            </w:r>
            <w:r>
              <w:rPr>
                <w:color w:val="000000" w:themeColor="text1"/>
                <w:szCs w:val="24"/>
              </w:rPr>
              <w:t>（清水海-入金沙江口段）位于项目</w:t>
            </w:r>
            <w:r>
              <w:rPr>
                <w:rFonts w:hint="eastAsia"/>
                <w:color w:val="000000" w:themeColor="text1"/>
                <w:szCs w:val="24"/>
              </w:rPr>
              <w:t>东侧116</w:t>
            </w:r>
            <w:r>
              <w:rPr>
                <w:color w:val="000000" w:themeColor="text1"/>
                <w:szCs w:val="24"/>
              </w:rPr>
              <w:t>m处；根据云南省水利厅发布的《云南省水功能区划》（2014版），小江（清水海-入金沙江口段）到2030年的水质目标为III类水体，执行《地表水环境质量标准》（GB3838-2002）</w:t>
            </w:r>
            <w:r>
              <w:rPr>
                <w:color w:val="000000" w:themeColor="text1"/>
                <w:szCs w:val="24"/>
              </w:rPr>
              <w:fldChar w:fldCharType="begin"/>
            </w:r>
            <w:r>
              <w:rPr>
                <w:color w:val="000000" w:themeColor="text1"/>
                <w:szCs w:val="24"/>
              </w:rPr>
              <w:instrText xml:space="preserve"> = 3 \* ROMAN </w:instrText>
            </w:r>
            <w:r>
              <w:rPr>
                <w:color w:val="000000" w:themeColor="text1"/>
                <w:szCs w:val="24"/>
              </w:rPr>
              <w:fldChar w:fldCharType="separate"/>
            </w:r>
            <w:r>
              <w:rPr>
                <w:color w:val="000000" w:themeColor="text1"/>
                <w:szCs w:val="24"/>
              </w:rPr>
              <w:t>II</w:t>
            </w:r>
            <w:r>
              <w:rPr>
                <w:color w:val="000000" w:themeColor="text1"/>
                <w:szCs w:val="24"/>
              </w:rPr>
              <w:fldChar w:fldCharType="end"/>
            </w:r>
            <w:r>
              <w:rPr>
                <w:color w:val="000000" w:themeColor="text1"/>
                <w:szCs w:val="24"/>
              </w:rPr>
              <w:t>I类标准。</w:t>
            </w:r>
          </w:p>
          <w:p>
            <w:pPr>
              <w:pStyle w:val="39"/>
              <w:ind w:firstLine="480"/>
              <w:rPr>
                <w:color w:val="000000" w:themeColor="text1"/>
                <w:szCs w:val="24"/>
              </w:rPr>
            </w:pPr>
            <w:r>
              <w:rPr>
                <w:rFonts w:hint="eastAsia"/>
                <w:color w:val="000000" w:themeColor="text1"/>
                <w:szCs w:val="24"/>
              </w:rPr>
              <w:t>环评按照《建设项目环境影响报告表编制技术指南》（污染影响类）的要求，引用所在流域控制单元内地方控制断面（小江板河口断面）2021年全年平均监测数据对地表水现状进行分析。</w:t>
            </w:r>
            <w:r>
              <w:rPr>
                <w:color w:val="000000" w:themeColor="text1"/>
                <w:szCs w:val="24"/>
              </w:rPr>
              <w:t>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 xml:space="preserve">2-1 </w:t>
            </w:r>
            <w:r>
              <w:rPr>
                <w:rFonts w:hint="eastAsia" w:hAnsi="Times New Roman" w:eastAsia="宋体"/>
                <w:bCs/>
                <w:snapToGrid w:val="0"/>
                <w:color w:val="000000" w:themeColor="text1"/>
                <w:sz w:val="21"/>
                <w:szCs w:val="21"/>
              </w:rPr>
              <w:t>小江板河口</w:t>
            </w:r>
            <w:r>
              <w:rPr>
                <w:rFonts w:hAnsi="Times New Roman" w:eastAsia="宋体"/>
                <w:bCs/>
                <w:snapToGrid w:val="0"/>
                <w:color w:val="000000" w:themeColor="text1"/>
                <w:sz w:val="21"/>
                <w:szCs w:val="21"/>
              </w:rPr>
              <w:t>断面</w:t>
            </w:r>
            <w:r>
              <w:rPr>
                <w:rFonts w:hint="eastAsia" w:hAnsi="Times New Roman" w:eastAsia="宋体"/>
                <w:bCs/>
                <w:snapToGrid w:val="0"/>
                <w:color w:val="000000" w:themeColor="text1"/>
                <w:sz w:val="21"/>
                <w:szCs w:val="21"/>
              </w:rPr>
              <w:t>2021年12月</w:t>
            </w:r>
            <w:r>
              <w:rPr>
                <w:rFonts w:hAnsi="Times New Roman" w:eastAsia="宋体"/>
                <w:bCs/>
                <w:snapToGrid w:val="0"/>
                <w:color w:val="000000" w:themeColor="text1"/>
                <w:sz w:val="21"/>
                <w:szCs w:val="21"/>
              </w:rPr>
              <w:t>水质检测结果一览表   单位：mg/L</w:t>
            </w:r>
          </w:p>
          <w:tbl>
            <w:tblPr>
              <w:tblStyle w:val="20"/>
              <w:tblW w:w="8608" w:type="dxa"/>
              <w:jc w:val="center"/>
              <w:tblInd w:w="0" w:type="dxa"/>
              <w:tblLayout w:type="fixed"/>
              <w:tblCellMar>
                <w:top w:w="0" w:type="dxa"/>
                <w:left w:w="108" w:type="dxa"/>
                <w:bottom w:w="0" w:type="dxa"/>
                <w:right w:w="108" w:type="dxa"/>
              </w:tblCellMar>
            </w:tblPr>
            <w:tblGrid>
              <w:gridCol w:w="880"/>
              <w:gridCol w:w="2293"/>
              <w:gridCol w:w="2243"/>
              <w:gridCol w:w="1701"/>
              <w:gridCol w:w="1491"/>
            </w:tblGrid>
            <w:tr>
              <w:tblPrEx>
                <w:tblLayout w:type="fixed"/>
                <w:tblCellMar>
                  <w:top w:w="0" w:type="dxa"/>
                  <w:left w:w="108" w:type="dxa"/>
                  <w:bottom w:w="0" w:type="dxa"/>
                  <w:right w:w="108" w:type="dxa"/>
                </w:tblCellMar>
              </w:tblPrEx>
              <w:trPr>
                <w:trHeight w:val="14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序号</w:t>
                  </w:r>
                </w:p>
              </w:tc>
              <w:tc>
                <w:tcPr>
                  <w:tcW w:w="2293"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监测项目</w:t>
                  </w:r>
                </w:p>
              </w:tc>
              <w:tc>
                <w:tcPr>
                  <w:tcW w:w="2243"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4"/>
                    </w:rPr>
                    <w:t>板河口</w:t>
                  </w:r>
                </w:p>
              </w:tc>
              <w:tc>
                <w:tcPr>
                  <w:tcW w:w="1701"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标准值</w:t>
                  </w:r>
                </w:p>
              </w:tc>
              <w:tc>
                <w:tcPr>
                  <w:tcW w:w="1491"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1</w:t>
                  </w:r>
                </w:p>
              </w:tc>
              <w:tc>
                <w:tcPr>
                  <w:tcW w:w="229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pH（无量纲）</w:t>
                  </w:r>
                </w:p>
              </w:tc>
              <w:tc>
                <w:tcPr>
                  <w:tcW w:w="224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8.16-8.52</w:t>
                  </w:r>
                </w:p>
              </w:tc>
              <w:tc>
                <w:tcPr>
                  <w:tcW w:w="170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6-9</w:t>
                  </w:r>
                </w:p>
              </w:tc>
              <w:tc>
                <w:tcPr>
                  <w:tcW w:w="149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2</w:t>
                  </w:r>
                </w:p>
              </w:tc>
              <w:tc>
                <w:tcPr>
                  <w:tcW w:w="229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CODcr</w:t>
                  </w:r>
                </w:p>
              </w:tc>
              <w:tc>
                <w:tcPr>
                  <w:tcW w:w="224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9.5</w:t>
                  </w:r>
                </w:p>
              </w:tc>
              <w:tc>
                <w:tcPr>
                  <w:tcW w:w="170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20</w:t>
                  </w:r>
                </w:p>
              </w:tc>
              <w:tc>
                <w:tcPr>
                  <w:tcW w:w="149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3</w:t>
                  </w:r>
                </w:p>
              </w:tc>
              <w:tc>
                <w:tcPr>
                  <w:tcW w:w="229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224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2</w:t>
                  </w:r>
                </w:p>
              </w:tc>
              <w:tc>
                <w:tcPr>
                  <w:tcW w:w="170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4</w:t>
                  </w:r>
                </w:p>
              </w:tc>
              <w:tc>
                <w:tcPr>
                  <w:tcW w:w="149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5</w:t>
                  </w:r>
                </w:p>
              </w:tc>
              <w:tc>
                <w:tcPr>
                  <w:tcW w:w="229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224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0.24</w:t>
                  </w:r>
                </w:p>
              </w:tc>
              <w:tc>
                <w:tcPr>
                  <w:tcW w:w="170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49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6</w:t>
                  </w:r>
                </w:p>
              </w:tc>
              <w:tc>
                <w:tcPr>
                  <w:tcW w:w="229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TP</w:t>
                  </w:r>
                </w:p>
              </w:tc>
              <w:tc>
                <w:tcPr>
                  <w:tcW w:w="224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0.12</w:t>
                  </w:r>
                </w:p>
              </w:tc>
              <w:tc>
                <w:tcPr>
                  <w:tcW w:w="170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49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7</w:t>
                  </w:r>
                </w:p>
              </w:tc>
              <w:tc>
                <w:tcPr>
                  <w:tcW w:w="229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挥发酚</w:t>
                  </w:r>
                </w:p>
              </w:tc>
              <w:tc>
                <w:tcPr>
                  <w:tcW w:w="224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0.0003L</w:t>
                  </w:r>
                </w:p>
              </w:tc>
              <w:tc>
                <w:tcPr>
                  <w:tcW w:w="170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05</w:t>
                  </w:r>
                </w:p>
              </w:tc>
              <w:tc>
                <w:tcPr>
                  <w:tcW w:w="149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w:t>
                  </w:r>
                </w:p>
              </w:tc>
              <w:tc>
                <w:tcPr>
                  <w:tcW w:w="229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石油类</w:t>
                  </w:r>
                </w:p>
              </w:tc>
              <w:tc>
                <w:tcPr>
                  <w:tcW w:w="224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0.01L</w:t>
                  </w:r>
                </w:p>
              </w:tc>
              <w:tc>
                <w:tcPr>
                  <w:tcW w:w="170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≤0.05</w:t>
                  </w:r>
                </w:p>
              </w:tc>
              <w:tc>
                <w:tcPr>
                  <w:tcW w:w="149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9</w:t>
                  </w:r>
                </w:p>
              </w:tc>
              <w:tc>
                <w:tcPr>
                  <w:tcW w:w="229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阴离子表面活性剂</w:t>
                  </w:r>
                </w:p>
              </w:tc>
              <w:tc>
                <w:tcPr>
                  <w:tcW w:w="2243"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0.05L</w:t>
                  </w:r>
                </w:p>
              </w:tc>
              <w:tc>
                <w:tcPr>
                  <w:tcW w:w="170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0.2</w:t>
                  </w:r>
                </w:p>
              </w:tc>
              <w:tc>
                <w:tcPr>
                  <w:tcW w:w="1491"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10</w:t>
                  </w:r>
                </w:p>
              </w:tc>
              <w:tc>
                <w:tcPr>
                  <w:tcW w:w="2293"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粪大肠菌群</w:t>
                  </w:r>
                </w:p>
              </w:tc>
              <w:tc>
                <w:tcPr>
                  <w:tcW w:w="2243"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2050</w:t>
                  </w:r>
                </w:p>
              </w:tc>
              <w:tc>
                <w:tcPr>
                  <w:tcW w:w="1701"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20000个/L</w:t>
                  </w:r>
                </w:p>
              </w:tc>
              <w:tc>
                <w:tcPr>
                  <w:tcW w:w="1491"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bl>
          <w:p>
            <w:pPr>
              <w:pStyle w:val="39"/>
              <w:spacing w:beforeLines="50"/>
              <w:ind w:firstLine="480"/>
              <w:rPr>
                <w:rFonts w:eastAsiaTheme="minorEastAsia"/>
                <w:color w:val="000000" w:themeColor="text1"/>
                <w:szCs w:val="24"/>
              </w:rPr>
            </w:pPr>
            <w:r>
              <w:rPr>
                <w:rFonts w:hint="eastAsia" w:eastAsiaTheme="minorEastAsia"/>
                <w:color w:val="000000" w:themeColor="text1"/>
                <w:szCs w:val="24"/>
              </w:rPr>
              <w:t>由上表可知，小江</w:t>
            </w:r>
            <w:r>
              <w:rPr>
                <w:rFonts w:hint="eastAsia"/>
                <w:color w:val="000000" w:themeColor="text1"/>
                <w:szCs w:val="24"/>
              </w:rPr>
              <w:t>板河口</w:t>
            </w:r>
            <w:r>
              <w:rPr>
                <w:rFonts w:eastAsiaTheme="minorEastAsia"/>
                <w:color w:val="000000" w:themeColor="text1"/>
                <w:szCs w:val="24"/>
              </w:rPr>
              <w:t>断面</w:t>
            </w:r>
            <w:r>
              <w:rPr>
                <w:rFonts w:hint="eastAsia" w:eastAsiaTheme="minorEastAsia"/>
                <w:color w:val="000000" w:themeColor="text1"/>
                <w:szCs w:val="24"/>
              </w:rPr>
              <w:t>上述监测指标可达到《地表水环境质量标准》（GB3838-2002）II类标准限值要求</w:t>
            </w:r>
            <w:r>
              <w:rPr>
                <w:rFonts w:eastAsiaTheme="minorEastAsia"/>
                <w:color w:val="000000" w:themeColor="text1"/>
                <w:szCs w:val="24"/>
              </w:rPr>
              <w:t>。</w:t>
            </w:r>
          </w:p>
          <w:p>
            <w:pPr>
              <w:pStyle w:val="39"/>
              <w:ind w:firstLine="482"/>
              <w:rPr>
                <w:rFonts w:eastAsiaTheme="minorEastAsia"/>
                <w:b/>
                <w:color w:val="000000" w:themeColor="text1"/>
                <w:szCs w:val="24"/>
              </w:rPr>
            </w:pPr>
            <w:r>
              <w:rPr>
                <w:rFonts w:eastAsiaTheme="minorEastAsia"/>
                <w:b/>
                <w:color w:val="000000" w:themeColor="text1"/>
                <w:szCs w:val="24"/>
              </w:rPr>
              <w:t>3.1.3 声环境质量现状</w:t>
            </w:r>
          </w:p>
          <w:p>
            <w:pPr>
              <w:pStyle w:val="39"/>
              <w:ind w:firstLine="480"/>
              <w:rPr>
                <w:rFonts w:eastAsiaTheme="minorEastAsia"/>
                <w:color w:val="000000" w:themeColor="text1"/>
                <w:szCs w:val="24"/>
              </w:rPr>
            </w:pPr>
            <w:r>
              <w:rPr>
                <w:rFonts w:eastAsiaTheme="minorEastAsia"/>
                <w:color w:val="000000" w:themeColor="text1"/>
                <w:szCs w:val="24"/>
              </w:rPr>
              <w:t>该改建项目位于昆明市东川区铜都街道办事处龙洞村四组苦刺塘，按照《声环境功能区划分技术规范》（GB/T15190-2014）的划分要求，项目区域为</w:t>
            </w:r>
            <w:r>
              <w:rPr>
                <w:rFonts w:hint="eastAsia" w:eastAsiaTheme="minorEastAsia"/>
                <w:color w:val="000000" w:themeColor="text1"/>
                <w:szCs w:val="24"/>
              </w:rPr>
              <w:t>2</w:t>
            </w:r>
            <w:r>
              <w:rPr>
                <w:rFonts w:eastAsiaTheme="minorEastAsia"/>
                <w:color w:val="000000" w:themeColor="text1"/>
                <w:szCs w:val="24"/>
              </w:rPr>
              <w:t>类区。在项目区50m范围内无声环境保护目标；根据《建设项目环境影响报告表编制技术指南》（污染影响类）（试行）的要求，可不进行声环境质量现状调查。</w:t>
            </w:r>
          </w:p>
          <w:p>
            <w:pPr>
              <w:pStyle w:val="39"/>
              <w:ind w:firstLine="482"/>
              <w:rPr>
                <w:rFonts w:eastAsiaTheme="minorEastAsia"/>
                <w:b/>
                <w:color w:val="000000" w:themeColor="text1"/>
                <w:szCs w:val="24"/>
              </w:rPr>
            </w:pPr>
            <w:bookmarkStart w:id="2" w:name="_Toc248077256"/>
            <w:r>
              <w:rPr>
                <w:rFonts w:eastAsiaTheme="minorEastAsia"/>
                <w:b/>
                <w:color w:val="000000" w:themeColor="text1"/>
                <w:szCs w:val="24"/>
              </w:rPr>
              <w:t>3.1.4 生态环境质量现状</w:t>
            </w:r>
            <w:bookmarkEnd w:id="2"/>
          </w:p>
          <w:p>
            <w:pPr>
              <w:pStyle w:val="39"/>
              <w:ind w:firstLine="480"/>
              <w:rPr>
                <w:rFonts w:eastAsiaTheme="minorEastAsia"/>
                <w:color w:val="000000" w:themeColor="text1"/>
                <w:szCs w:val="24"/>
              </w:rPr>
            </w:pPr>
            <w:r>
              <w:rPr>
                <w:rFonts w:eastAsiaTheme="minorEastAsia"/>
                <w:color w:val="000000" w:themeColor="text1"/>
                <w:szCs w:val="24"/>
              </w:rPr>
              <w:t>该改建项目位于昆明市东川区铜都街道办事处龙洞村四组苦刺塘，根据现场调查，厂区范围主要为人工生态系统，该区域的天然植被已较少，总体来说该区域地表植被种类较少，生物多样性较差，生态环境自身调控能力较低。项目区无国家级和省级保护物种分布，无珍稀濒危物种，无当地特有物种，无古树名木分布。</w:t>
            </w:r>
          </w:p>
          <w:p>
            <w:pPr>
              <w:pStyle w:val="39"/>
              <w:ind w:firstLine="482"/>
              <w:rPr>
                <w:rFonts w:eastAsiaTheme="minorEastAsia"/>
                <w:b/>
                <w:color w:val="000000" w:themeColor="text1"/>
                <w:szCs w:val="24"/>
              </w:rPr>
            </w:pPr>
            <w:r>
              <w:rPr>
                <w:rFonts w:eastAsiaTheme="minorEastAsia"/>
                <w:b/>
                <w:color w:val="000000" w:themeColor="text1"/>
                <w:szCs w:val="24"/>
              </w:rPr>
              <w:t>3.1.5 地下水、土壤环境</w:t>
            </w:r>
          </w:p>
          <w:p>
            <w:pPr>
              <w:pStyle w:val="39"/>
              <w:ind w:firstLine="480"/>
              <w:rPr>
                <w:rFonts w:eastAsiaTheme="minorEastAsia"/>
                <w:color w:val="000000" w:themeColor="text1"/>
                <w:szCs w:val="24"/>
              </w:rPr>
            </w:pPr>
            <w:r>
              <w:rPr>
                <w:rFonts w:eastAsiaTheme="minorEastAsia"/>
                <w:color w:val="000000" w:themeColor="text1"/>
                <w:szCs w:val="24"/>
              </w:rPr>
              <w:t>该改建项目为牲畜屠宰项目，基本上不存在地下水、土壤环境污染途径，且厂界外500m范围内不涉及集中式饮用水水源和热水、矿泉水、温泉等特殊地下水资源，项目不开展地下水和土壤环境质量现状调查。</w:t>
            </w: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39"/>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改建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9"/>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9"/>
              <w:ind w:firstLine="480"/>
              <w:rPr>
                <w:rFonts w:eastAsiaTheme="minorEastAsia"/>
                <w:color w:val="000000" w:themeColor="text1"/>
                <w:szCs w:val="24"/>
              </w:rPr>
            </w:pPr>
            <w:r>
              <w:rPr>
                <w:rFonts w:eastAsiaTheme="minorEastAsia"/>
                <w:color w:val="000000" w:themeColor="text1"/>
                <w:szCs w:val="24"/>
              </w:rPr>
              <w:t>根据调查，该改建项目主要大气环境保护目标如下表所示。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516"/>
              <w:gridCol w:w="1393"/>
              <w:gridCol w:w="733"/>
              <w:gridCol w:w="1012"/>
              <w:gridCol w:w="1385"/>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restart"/>
                  <w:vAlign w:val="center"/>
                </w:tcPr>
                <w:p>
                  <w:pPr>
                    <w:pStyle w:val="31"/>
                    <w:spacing w:line="360" w:lineRule="exact"/>
                    <w:rPr>
                      <w:color w:val="000000" w:themeColor="text1"/>
                      <w:kern w:val="0"/>
                      <w:szCs w:val="21"/>
                    </w:rPr>
                  </w:pPr>
                  <w:r>
                    <w:rPr>
                      <w:color w:val="000000" w:themeColor="text1"/>
                      <w:kern w:val="0"/>
                      <w:szCs w:val="21"/>
                    </w:rPr>
                    <w:t>名称</w:t>
                  </w:r>
                </w:p>
              </w:tc>
              <w:tc>
                <w:tcPr>
                  <w:tcW w:w="2909" w:type="dxa"/>
                  <w:gridSpan w:val="2"/>
                  <w:vAlign w:val="center"/>
                </w:tcPr>
                <w:p>
                  <w:pPr>
                    <w:pStyle w:val="31"/>
                    <w:spacing w:line="360" w:lineRule="exact"/>
                    <w:rPr>
                      <w:color w:val="000000" w:themeColor="text1"/>
                      <w:kern w:val="0"/>
                      <w:szCs w:val="21"/>
                    </w:rPr>
                  </w:pPr>
                  <w:r>
                    <w:rPr>
                      <w:color w:val="000000" w:themeColor="text1"/>
                      <w:kern w:val="0"/>
                      <w:szCs w:val="21"/>
                    </w:rPr>
                    <w:t>坐标/m</w:t>
                  </w:r>
                </w:p>
              </w:tc>
              <w:tc>
                <w:tcPr>
                  <w:tcW w:w="733" w:type="dxa"/>
                  <w:vMerge w:val="restart"/>
                  <w:vAlign w:val="center"/>
                </w:tcPr>
                <w:p>
                  <w:pPr>
                    <w:pStyle w:val="31"/>
                    <w:spacing w:line="360" w:lineRule="exact"/>
                    <w:rPr>
                      <w:color w:val="000000" w:themeColor="text1"/>
                      <w:kern w:val="0"/>
                      <w:szCs w:val="21"/>
                    </w:rPr>
                  </w:pPr>
                  <w:r>
                    <w:rPr>
                      <w:color w:val="000000" w:themeColor="text1"/>
                      <w:kern w:val="0"/>
                      <w:szCs w:val="21"/>
                    </w:rPr>
                    <w:t>保护对象</w:t>
                  </w:r>
                </w:p>
              </w:tc>
              <w:tc>
                <w:tcPr>
                  <w:tcW w:w="1012" w:type="dxa"/>
                  <w:vMerge w:val="restart"/>
                  <w:vAlign w:val="center"/>
                </w:tcPr>
                <w:p>
                  <w:pPr>
                    <w:pStyle w:val="31"/>
                    <w:spacing w:line="360" w:lineRule="exact"/>
                    <w:rPr>
                      <w:color w:val="000000" w:themeColor="text1"/>
                      <w:kern w:val="0"/>
                      <w:szCs w:val="21"/>
                    </w:rPr>
                  </w:pPr>
                  <w:r>
                    <w:rPr>
                      <w:color w:val="000000" w:themeColor="text1"/>
                      <w:kern w:val="0"/>
                      <w:szCs w:val="21"/>
                    </w:rPr>
                    <w:t>保护内容</w:t>
                  </w:r>
                </w:p>
              </w:tc>
              <w:tc>
                <w:tcPr>
                  <w:tcW w:w="1385" w:type="dxa"/>
                  <w:vMerge w:val="restart"/>
                  <w:vAlign w:val="center"/>
                </w:tcPr>
                <w:p>
                  <w:pPr>
                    <w:pStyle w:val="31"/>
                    <w:spacing w:line="360" w:lineRule="exact"/>
                    <w:rPr>
                      <w:color w:val="000000" w:themeColor="text1"/>
                      <w:kern w:val="0"/>
                      <w:szCs w:val="21"/>
                    </w:rPr>
                  </w:pPr>
                  <w:r>
                    <w:rPr>
                      <w:color w:val="000000" w:themeColor="text1"/>
                      <w:kern w:val="0"/>
                      <w:szCs w:val="21"/>
                    </w:rPr>
                    <w:t>保护级别</w:t>
                  </w:r>
                </w:p>
              </w:tc>
              <w:tc>
                <w:tcPr>
                  <w:tcW w:w="734" w:type="dxa"/>
                  <w:vMerge w:val="restart"/>
                  <w:vAlign w:val="center"/>
                </w:tcPr>
                <w:p>
                  <w:pPr>
                    <w:pStyle w:val="31"/>
                    <w:spacing w:line="360" w:lineRule="exact"/>
                    <w:rPr>
                      <w:color w:val="000000" w:themeColor="text1"/>
                      <w:kern w:val="0"/>
                      <w:szCs w:val="21"/>
                    </w:rPr>
                  </w:pPr>
                  <w:r>
                    <w:rPr>
                      <w:color w:val="000000" w:themeColor="text1"/>
                      <w:kern w:val="0"/>
                      <w:szCs w:val="21"/>
                    </w:rPr>
                    <w:t>相对厂址方位</w:t>
                  </w:r>
                </w:p>
              </w:tc>
              <w:tc>
                <w:tcPr>
                  <w:tcW w:w="932" w:type="dxa"/>
                  <w:vMerge w:val="restart"/>
                  <w:vAlign w:val="center"/>
                </w:tcPr>
                <w:p>
                  <w:pPr>
                    <w:pStyle w:val="31"/>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31"/>
                    <w:spacing w:line="360" w:lineRule="exact"/>
                    <w:rPr>
                      <w:color w:val="000000" w:themeColor="text1"/>
                      <w:kern w:val="0"/>
                      <w:szCs w:val="21"/>
                    </w:rPr>
                  </w:pPr>
                </w:p>
              </w:tc>
              <w:tc>
                <w:tcPr>
                  <w:tcW w:w="1516" w:type="dxa"/>
                  <w:vAlign w:val="center"/>
                </w:tcPr>
                <w:p>
                  <w:pPr>
                    <w:pStyle w:val="31"/>
                    <w:spacing w:line="360" w:lineRule="exact"/>
                    <w:rPr>
                      <w:color w:val="000000" w:themeColor="text1"/>
                      <w:kern w:val="0"/>
                      <w:szCs w:val="21"/>
                    </w:rPr>
                  </w:pPr>
                  <w:r>
                    <w:rPr>
                      <w:color w:val="000000" w:themeColor="text1"/>
                      <w:kern w:val="0"/>
                      <w:szCs w:val="21"/>
                    </w:rPr>
                    <w:t>X</w:t>
                  </w:r>
                </w:p>
              </w:tc>
              <w:tc>
                <w:tcPr>
                  <w:tcW w:w="1393" w:type="dxa"/>
                  <w:vAlign w:val="center"/>
                </w:tcPr>
                <w:p>
                  <w:pPr>
                    <w:pStyle w:val="31"/>
                    <w:spacing w:line="360" w:lineRule="exact"/>
                    <w:rPr>
                      <w:color w:val="000000" w:themeColor="text1"/>
                      <w:kern w:val="0"/>
                      <w:szCs w:val="21"/>
                    </w:rPr>
                  </w:pPr>
                  <w:r>
                    <w:rPr>
                      <w:color w:val="000000" w:themeColor="text1"/>
                      <w:kern w:val="0"/>
                      <w:szCs w:val="21"/>
                    </w:rPr>
                    <w:t>Y</w:t>
                  </w:r>
                </w:p>
              </w:tc>
              <w:tc>
                <w:tcPr>
                  <w:tcW w:w="733" w:type="dxa"/>
                  <w:vMerge w:val="continue"/>
                  <w:vAlign w:val="center"/>
                </w:tcPr>
                <w:p>
                  <w:pPr>
                    <w:pStyle w:val="31"/>
                    <w:spacing w:line="360" w:lineRule="exact"/>
                    <w:rPr>
                      <w:color w:val="000000" w:themeColor="text1"/>
                      <w:kern w:val="0"/>
                      <w:szCs w:val="21"/>
                    </w:rPr>
                  </w:pPr>
                </w:p>
              </w:tc>
              <w:tc>
                <w:tcPr>
                  <w:tcW w:w="1012" w:type="dxa"/>
                  <w:vMerge w:val="continue"/>
                  <w:vAlign w:val="center"/>
                </w:tcPr>
                <w:p>
                  <w:pPr>
                    <w:pStyle w:val="31"/>
                    <w:spacing w:line="360" w:lineRule="exact"/>
                    <w:rPr>
                      <w:color w:val="000000" w:themeColor="text1"/>
                      <w:kern w:val="0"/>
                      <w:szCs w:val="21"/>
                    </w:rPr>
                  </w:pPr>
                </w:p>
              </w:tc>
              <w:tc>
                <w:tcPr>
                  <w:tcW w:w="1385" w:type="dxa"/>
                  <w:vMerge w:val="continue"/>
                  <w:vAlign w:val="center"/>
                </w:tcPr>
                <w:p>
                  <w:pPr>
                    <w:pStyle w:val="31"/>
                    <w:spacing w:line="360" w:lineRule="exact"/>
                    <w:rPr>
                      <w:color w:val="000000" w:themeColor="text1"/>
                      <w:kern w:val="0"/>
                      <w:szCs w:val="21"/>
                    </w:rPr>
                  </w:pPr>
                </w:p>
              </w:tc>
              <w:tc>
                <w:tcPr>
                  <w:tcW w:w="734" w:type="dxa"/>
                  <w:vMerge w:val="continue"/>
                  <w:vAlign w:val="center"/>
                </w:tcPr>
                <w:p>
                  <w:pPr>
                    <w:pStyle w:val="31"/>
                    <w:spacing w:line="360" w:lineRule="exact"/>
                    <w:rPr>
                      <w:color w:val="000000" w:themeColor="text1"/>
                      <w:kern w:val="0"/>
                      <w:szCs w:val="21"/>
                    </w:rPr>
                  </w:pPr>
                </w:p>
              </w:tc>
              <w:tc>
                <w:tcPr>
                  <w:tcW w:w="932" w:type="dxa"/>
                  <w:vMerge w:val="continue"/>
                  <w:vAlign w:val="center"/>
                </w:tcPr>
                <w:p>
                  <w:pPr>
                    <w:pStyle w:val="31"/>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1"/>
                    <w:spacing w:line="360" w:lineRule="exact"/>
                    <w:rPr>
                      <w:color w:val="000000" w:themeColor="text1"/>
                      <w:kern w:val="0"/>
                      <w:szCs w:val="21"/>
                    </w:rPr>
                  </w:pPr>
                  <w:r>
                    <w:rPr>
                      <w:rFonts w:hint="eastAsia"/>
                      <w:color w:val="000000" w:themeColor="text1"/>
                      <w:kern w:val="0"/>
                      <w:szCs w:val="21"/>
                    </w:rPr>
                    <w:t>龙洞村</w:t>
                  </w:r>
                </w:p>
              </w:tc>
              <w:tc>
                <w:tcPr>
                  <w:tcW w:w="1516" w:type="dxa"/>
                  <w:vAlign w:val="center"/>
                </w:tcPr>
                <w:p>
                  <w:pPr>
                    <w:pStyle w:val="31"/>
                    <w:spacing w:line="360" w:lineRule="exact"/>
                    <w:rPr>
                      <w:color w:val="000000" w:themeColor="text1"/>
                      <w:kern w:val="0"/>
                      <w:szCs w:val="21"/>
                    </w:rPr>
                  </w:pPr>
                  <w:r>
                    <w:rPr>
                      <w:color w:val="000000" w:themeColor="text1"/>
                      <w:kern w:val="0"/>
                      <w:szCs w:val="21"/>
                    </w:rPr>
                    <w:t>103.156812°</w:t>
                  </w:r>
                </w:p>
              </w:tc>
              <w:tc>
                <w:tcPr>
                  <w:tcW w:w="1393" w:type="dxa"/>
                  <w:vAlign w:val="center"/>
                </w:tcPr>
                <w:p>
                  <w:pPr>
                    <w:pStyle w:val="31"/>
                    <w:spacing w:line="360" w:lineRule="exact"/>
                    <w:rPr>
                      <w:color w:val="000000" w:themeColor="text1"/>
                      <w:kern w:val="0"/>
                      <w:szCs w:val="21"/>
                    </w:rPr>
                  </w:pPr>
                  <w:r>
                    <w:rPr>
                      <w:color w:val="000000" w:themeColor="text1"/>
                      <w:kern w:val="0"/>
                      <w:szCs w:val="21"/>
                    </w:rPr>
                    <w:t>26.065924°</w:t>
                  </w:r>
                </w:p>
              </w:tc>
              <w:tc>
                <w:tcPr>
                  <w:tcW w:w="733" w:type="dxa"/>
                  <w:vMerge w:val="restart"/>
                  <w:vAlign w:val="center"/>
                </w:tcPr>
                <w:p>
                  <w:pPr>
                    <w:pStyle w:val="31"/>
                    <w:spacing w:line="360" w:lineRule="exact"/>
                    <w:rPr>
                      <w:color w:val="000000" w:themeColor="text1"/>
                      <w:kern w:val="0"/>
                      <w:szCs w:val="21"/>
                    </w:rPr>
                  </w:pPr>
                  <w:r>
                    <w:rPr>
                      <w:color w:val="000000" w:themeColor="text1"/>
                      <w:kern w:val="0"/>
                      <w:szCs w:val="21"/>
                    </w:rPr>
                    <w:t>居民区</w:t>
                  </w:r>
                </w:p>
              </w:tc>
              <w:tc>
                <w:tcPr>
                  <w:tcW w:w="1012" w:type="dxa"/>
                  <w:vAlign w:val="center"/>
                </w:tcPr>
                <w:p>
                  <w:pPr>
                    <w:pStyle w:val="31"/>
                    <w:spacing w:line="360" w:lineRule="exact"/>
                    <w:rPr>
                      <w:color w:val="000000" w:themeColor="text1"/>
                      <w:kern w:val="0"/>
                      <w:szCs w:val="21"/>
                    </w:rPr>
                  </w:pPr>
                  <w:r>
                    <w:rPr>
                      <w:rFonts w:hint="eastAsia"/>
                      <w:color w:val="000000" w:themeColor="text1"/>
                      <w:kern w:val="0"/>
                      <w:szCs w:val="21"/>
                    </w:rPr>
                    <w:t>369</w:t>
                  </w:r>
                  <w:r>
                    <w:rPr>
                      <w:color w:val="000000" w:themeColor="text1"/>
                      <w:kern w:val="0"/>
                      <w:szCs w:val="21"/>
                    </w:rPr>
                    <w:t>户/</w:t>
                  </w:r>
                  <w:r>
                    <w:rPr>
                      <w:rFonts w:hint="eastAsia"/>
                      <w:color w:val="000000" w:themeColor="text1"/>
                      <w:kern w:val="0"/>
                      <w:szCs w:val="21"/>
                    </w:rPr>
                    <w:t>1862</w:t>
                  </w:r>
                  <w:r>
                    <w:rPr>
                      <w:color w:val="000000" w:themeColor="text1"/>
                      <w:kern w:val="0"/>
                      <w:szCs w:val="21"/>
                    </w:rPr>
                    <w:t>人</w:t>
                  </w:r>
                </w:p>
              </w:tc>
              <w:tc>
                <w:tcPr>
                  <w:tcW w:w="1385" w:type="dxa"/>
                  <w:vMerge w:val="restart"/>
                  <w:vAlign w:val="center"/>
                </w:tcPr>
                <w:p>
                  <w:pPr>
                    <w:pStyle w:val="31"/>
                    <w:spacing w:line="360" w:lineRule="exact"/>
                    <w:rPr>
                      <w:color w:val="000000" w:themeColor="text1"/>
                      <w:kern w:val="0"/>
                      <w:szCs w:val="21"/>
                    </w:rPr>
                  </w:pPr>
                  <w:r>
                    <w:rPr>
                      <w:color w:val="000000" w:themeColor="text1"/>
                      <w:kern w:val="0"/>
                      <w:szCs w:val="21"/>
                    </w:rPr>
                    <w:t>《环境空气质量标准》（GB3095- 2012）二级</w:t>
                  </w:r>
                </w:p>
              </w:tc>
              <w:tc>
                <w:tcPr>
                  <w:tcW w:w="734" w:type="dxa"/>
                  <w:vAlign w:val="center"/>
                </w:tcPr>
                <w:p>
                  <w:pPr>
                    <w:pStyle w:val="31"/>
                    <w:spacing w:line="360" w:lineRule="exact"/>
                    <w:rPr>
                      <w:color w:val="000000" w:themeColor="text1"/>
                      <w:kern w:val="0"/>
                      <w:szCs w:val="21"/>
                    </w:rPr>
                  </w:pPr>
                  <w:r>
                    <w:rPr>
                      <w:color w:val="000000" w:themeColor="text1"/>
                      <w:kern w:val="0"/>
                      <w:szCs w:val="21"/>
                    </w:rPr>
                    <w:t>西</w:t>
                  </w:r>
                  <w:r>
                    <w:rPr>
                      <w:rFonts w:hint="eastAsia"/>
                      <w:color w:val="000000" w:themeColor="text1"/>
                      <w:kern w:val="0"/>
                      <w:szCs w:val="21"/>
                    </w:rPr>
                    <w:t>北</w:t>
                  </w:r>
                  <w:r>
                    <w:rPr>
                      <w:color w:val="000000" w:themeColor="text1"/>
                      <w:kern w:val="0"/>
                      <w:szCs w:val="21"/>
                    </w:rPr>
                    <w:t>侧</w:t>
                  </w:r>
                </w:p>
              </w:tc>
              <w:tc>
                <w:tcPr>
                  <w:tcW w:w="932" w:type="dxa"/>
                  <w:vAlign w:val="center"/>
                </w:tcPr>
                <w:p>
                  <w:pPr>
                    <w:pStyle w:val="31"/>
                    <w:spacing w:line="360" w:lineRule="exact"/>
                    <w:rPr>
                      <w:color w:val="000000" w:themeColor="text1"/>
                      <w:kern w:val="0"/>
                      <w:szCs w:val="21"/>
                    </w:rPr>
                  </w:pPr>
                  <w:r>
                    <w:rPr>
                      <w:rFonts w:hint="eastAsia"/>
                      <w:color w:val="000000" w:themeColor="text1"/>
                      <w:kern w:val="0"/>
                      <w:szCs w:val="21"/>
                    </w:rPr>
                    <w:t>185</w:t>
                  </w:r>
                  <w:r>
                    <w:rPr>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1"/>
                    <w:spacing w:line="360" w:lineRule="exact"/>
                    <w:rPr>
                      <w:color w:val="000000" w:themeColor="text1"/>
                      <w:kern w:val="0"/>
                      <w:szCs w:val="21"/>
                    </w:rPr>
                  </w:pPr>
                  <w:r>
                    <w:rPr>
                      <w:rFonts w:hint="eastAsia"/>
                      <w:color w:val="000000" w:themeColor="text1"/>
                      <w:kern w:val="0"/>
                      <w:szCs w:val="21"/>
                    </w:rPr>
                    <w:t>窝塘地</w:t>
                  </w:r>
                </w:p>
              </w:tc>
              <w:tc>
                <w:tcPr>
                  <w:tcW w:w="1516" w:type="dxa"/>
                  <w:vAlign w:val="center"/>
                </w:tcPr>
                <w:p>
                  <w:pPr>
                    <w:pStyle w:val="31"/>
                    <w:spacing w:line="360" w:lineRule="exact"/>
                    <w:rPr>
                      <w:color w:val="000000" w:themeColor="text1"/>
                      <w:kern w:val="0"/>
                      <w:szCs w:val="21"/>
                    </w:rPr>
                  </w:pPr>
                  <w:r>
                    <w:rPr>
                      <w:color w:val="000000" w:themeColor="text1"/>
                      <w:kern w:val="0"/>
                      <w:szCs w:val="21"/>
                    </w:rPr>
                    <w:t>103.158180°</w:t>
                  </w:r>
                </w:p>
              </w:tc>
              <w:tc>
                <w:tcPr>
                  <w:tcW w:w="1393" w:type="dxa"/>
                  <w:vAlign w:val="center"/>
                </w:tcPr>
                <w:p>
                  <w:pPr>
                    <w:pStyle w:val="31"/>
                    <w:spacing w:line="360" w:lineRule="exact"/>
                    <w:rPr>
                      <w:color w:val="000000" w:themeColor="text1"/>
                      <w:kern w:val="0"/>
                      <w:szCs w:val="21"/>
                    </w:rPr>
                  </w:pPr>
                  <w:r>
                    <w:rPr>
                      <w:color w:val="000000" w:themeColor="text1"/>
                      <w:kern w:val="0"/>
                      <w:szCs w:val="21"/>
                    </w:rPr>
                    <w:t>26.062478°</w:t>
                  </w:r>
                </w:p>
              </w:tc>
              <w:tc>
                <w:tcPr>
                  <w:tcW w:w="733" w:type="dxa"/>
                  <w:vMerge w:val="continue"/>
                  <w:vAlign w:val="center"/>
                </w:tcPr>
                <w:p>
                  <w:pPr>
                    <w:pStyle w:val="31"/>
                    <w:spacing w:line="360" w:lineRule="exact"/>
                    <w:rPr>
                      <w:color w:val="000000" w:themeColor="text1"/>
                      <w:kern w:val="0"/>
                      <w:szCs w:val="21"/>
                    </w:rPr>
                  </w:pPr>
                </w:p>
              </w:tc>
              <w:tc>
                <w:tcPr>
                  <w:tcW w:w="1012" w:type="dxa"/>
                  <w:vAlign w:val="center"/>
                </w:tcPr>
                <w:p>
                  <w:pPr>
                    <w:pStyle w:val="31"/>
                    <w:spacing w:line="360" w:lineRule="exact"/>
                    <w:rPr>
                      <w:color w:val="000000" w:themeColor="text1"/>
                      <w:kern w:val="0"/>
                      <w:szCs w:val="21"/>
                    </w:rPr>
                  </w:pPr>
                  <w:r>
                    <w:rPr>
                      <w:rFonts w:hint="eastAsia"/>
                      <w:color w:val="000000" w:themeColor="text1"/>
                      <w:kern w:val="0"/>
                      <w:szCs w:val="21"/>
                    </w:rPr>
                    <w:t>4</w:t>
                  </w:r>
                  <w:r>
                    <w:rPr>
                      <w:color w:val="000000" w:themeColor="text1"/>
                      <w:kern w:val="0"/>
                      <w:szCs w:val="21"/>
                    </w:rPr>
                    <w:t>户/</w:t>
                  </w:r>
                  <w:r>
                    <w:rPr>
                      <w:rFonts w:hint="eastAsia"/>
                      <w:color w:val="000000" w:themeColor="text1"/>
                      <w:kern w:val="0"/>
                      <w:szCs w:val="21"/>
                    </w:rPr>
                    <w:t>1</w:t>
                  </w:r>
                  <w:r>
                    <w:rPr>
                      <w:color w:val="000000" w:themeColor="text1"/>
                      <w:kern w:val="0"/>
                      <w:szCs w:val="21"/>
                    </w:rPr>
                    <w:t>8人</w:t>
                  </w:r>
                </w:p>
              </w:tc>
              <w:tc>
                <w:tcPr>
                  <w:tcW w:w="1385" w:type="dxa"/>
                  <w:vMerge w:val="continue"/>
                  <w:vAlign w:val="center"/>
                </w:tcPr>
                <w:p>
                  <w:pPr>
                    <w:pStyle w:val="31"/>
                    <w:spacing w:line="360" w:lineRule="exact"/>
                    <w:rPr>
                      <w:color w:val="000000" w:themeColor="text1"/>
                      <w:kern w:val="0"/>
                      <w:szCs w:val="21"/>
                    </w:rPr>
                  </w:pPr>
                </w:p>
              </w:tc>
              <w:tc>
                <w:tcPr>
                  <w:tcW w:w="734" w:type="dxa"/>
                  <w:vAlign w:val="center"/>
                </w:tcPr>
                <w:p>
                  <w:pPr>
                    <w:pStyle w:val="31"/>
                    <w:spacing w:line="360" w:lineRule="exact"/>
                    <w:rPr>
                      <w:color w:val="000000" w:themeColor="text1"/>
                      <w:kern w:val="0"/>
                      <w:szCs w:val="21"/>
                    </w:rPr>
                  </w:pPr>
                  <w:r>
                    <w:rPr>
                      <w:rFonts w:hint="eastAsia"/>
                      <w:color w:val="000000" w:themeColor="text1"/>
                      <w:kern w:val="0"/>
                      <w:szCs w:val="21"/>
                    </w:rPr>
                    <w:t>西</w:t>
                  </w:r>
                  <w:r>
                    <w:rPr>
                      <w:color w:val="000000" w:themeColor="text1"/>
                      <w:kern w:val="0"/>
                      <w:szCs w:val="21"/>
                    </w:rPr>
                    <w:t>侧</w:t>
                  </w:r>
                </w:p>
              </w:tc>
              <w:tc>
                <w:tcPr>
                  <w:tcW w:w="932" w:type="dxa"/>
                  <w:vAlign w:val="center"/>
                </w:tcPr>
                <w:p>
                  <w:pPr>
                    <w:pStyle w:val="31"/>
                    <w:spacing w:line="360" w:lineRule="exact"/>
                    <w:rPr>
                      <w:color w:val="000000" w:themeColor="text1"/>
                      <w:kern w:val="0"/>
                      <w:szCs w:val="21"/>
                    </w:rPr>
                  </w:pPr>
                  <w:r>
                    <w:rPr>
                      <w:rFonts w:hint="eastAsia"/>
                      <w:color w:val="000000" w:themeColor="text1"/>
                      <w:kern w:val="0"/>
                      <w:szCs w:val="21"/>
                    </w:rPr>
                    <w:t>63</w:t>
                  </w:r>
                  <w:r>
                    <w:rPr>
                      <w:color w:val="000000" w:themeColor="text1"/>
                      <w:kern w:val="0"/>
                      <w:szCs w:val="21"/>
                    </w:rPr>
                    <w:t>m</w:t>
                  </w:r>
                </w:p>
              </w:tc>
            </w:tr>
          </w:tbl>
          <w:p>
            <w:pPr>
              <w:pStyle w:val="39"/>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根据《建设项目环境影响报告表编制技术指南》（污染影响类）（试行）的要求，未要求设施地表水环境保护目标；根据调查，该改建项目区属于</w:t>
            </w:r>
            <w:r>
              <w:rPr>
                <w:rFonts w:hint="eastAsia" w:eastAsiaTheme="minorEastAsia"/>
                <w:color w:val="000000" w:themeColor="text1"/>
                <w:szCs w:val="24"/>
              </w:rPr>
              <w:t>小江</w:t>
            </w:r>
            <w:r>
              <w:rPr>
                <w:rFonts w:eastAsiaTheme="minorEastAsia"/>
                <w:color w:val="000000" w:themeColor="text1"/>
                <w:szCs w:val="24"/>
              </w:rPr>
              <w:t>的汇水范围，因此拟将</w:t>
            </w:r>
            <w:r>
              <w:rPr>
                <w:rFonts w:hint="eastAsia" w:eastAsiaTheme="minorEastAsia"/>
                <w:color w:val="000000" w:themeColor="text1"/>
                <w:szCs w:val="24"/>
              </w:rPr>
              <w:t>小江</w:t>
            </w:r>
            <w:r>
              <w:rPr>
                <w:rFonts w:eastAsiaTheme="minorEastAsia"/>
                <w:color w:val="000000" w:themeColor="text1"/>
                <w:szCs w:val="24"/>
              </w:rPr>
              <w:t>列入该改建项目水环境保护目标。具体如下表所示。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表3.2.2-1 地表水环境保护目标及保护级别一览表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80"/>
              <w:gridCol w:w="2623"/>
              <w:gridCol w:w="1311"/>
              <w:gridCol w:w="81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类别</w:t>
                  </w:r>
                </w:p>
              </w:tc>
              <w:tc>
                <w:tcPr>
                  <w:tcW w:w="980"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保护目标</w:t>
                  </w:r>
                </w:p>
              </w:tc>
              <w:tc>
                <w:tcPr>
                  <w:tcW w:w="2623"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坐标</w:t>
                  </w:r>
                </w:p>
              </w:tc>
              <w:tc>
                <w:tcPr>
                  <w:tcW w:w="1311"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与项目区的方位及距离</w:t>
                  </w:r>
                </w:p>
              </w:tc>
              <w:tc>
                <w:tcPr>
                  <w:tcW w:w="814"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高差</w:t>
                  </w:r>
                </w:p>
              </w:tc>
              <w:tc>
                <w:tcPr>
                  <w:tcW w:w="2130"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0" w:type="dxa"/>
                  <w:tcBorders>
                    <w:top w:val="single" w:color="auto" w:sz="4" w:space="0"/>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地表水</w:t>
                  </w:r>
                </w:p>
              </w:tc>
              <w:tc>
                <w:tcPr>
                  <w:tcW w:w="980"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小江</w:t>
                  </w:r>
                </w:p>
              </w:tc>
              <w:tc>
                <w:tcPr>
                  <w:tcW w:w="2623" w:type="dxa"/>
                  <w:tcBorders>
                    <w:top w:val="single" w:color="auto" w:sz="4" w:space="0"/>
                    <w:left w:val="single" w:color="auto" w:sz="4" w:space="0"/>
                    <w:right w:val="single" w:color="auto" w:sz="4" w:space="0"/>
                  </w:tcBorders>
                  <w:vAlign w:val="center"/>
                </w:tcPr>
                <w:p>
                  <w:pPr>
                    <w:pStyle w:val="31"/>
                    <w:spacing w:line="360" w:lineRule="exact"/>
                    <w:ind w:firstLine="210" w:firstLineChars="100"/>
                    <w:jc w:val="left"/>
                    <w:rPr>
                      <w:color w:val="000000" w:themeColor="text1"/>
                      <w:szCs w:val="21"/>
                    </w:rPr>
                  </w:pPr>
                  <w:r>
                    <w:rPr>
                      <w:color w:val="000000" w:themeColor="text1"/>
                      <w:szCs w:val="21"/>
                    </w:rPr>
                    <w:t>起点：东经103.166018°，北纬26.062551°</w:t>
                  </w:r>
                </w:p>
                <w:p>
                  <w:pPr>
                    <w:pStyle w:val="31"/>
                    <w:spacing w:line="360" w:lineRule="exact"/>
                    <w:ind w:firstLine="210" w:firstLineChars="100"/>
                    <w:jc w:val="left"/>
                    <w:rPr>
                      <w:color w:val="000000" w:themeColor="text1"/>
                      <w:szCs w:val="21"/>
                    </w:rPr>
                  </w:pPr>
                  <w:r>
                    <w:rPr>
                      <w:color w:val="000000" w:themeColor="text1"/>
                      <w:szCs w:val="21"/>
                    </w:rPr>
                    <w:t>终点：东经103.163314°，北纬26.070743°</w:t>
                  </w:r>
                </w:p>
              </w:tc>
              <w:tc>
                <w:tcPr>
                  <w:tcW w:w="1311"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东</w:t>
                  </w:r>
                  <w:r>
                    <w:rPr>
                      <w:color w:val="000000" w:themeColor="text1"/>
                      <w:szCs w:val="21"/>
                    </w:rPr>
                    <w:t>侧</w:t>
                  </w:r>
                  <w:r>
                    <w:rPr>
                      <w:rFonts w:hint="eastAsia"/>
                      <w:color w:val="000000" w:themeColor="text1"/>
                      <w:szCs w:val="21"/>
                    </w:rPr>
                    <w:t>11</w:t>
                  </w:r>
                  <w:r>
                    <w:rPr>
                      <w:color w:val="000000" w:themeColor="text1"/>
                      <w:szCs w:val="21"/>
                    </w:rPr>
                    <w:t>6m</w:t>
                  </w:r>
                </w:p>
              </w:tc>
              <w:tc>
                <w:tcPr>
                  <w:tcW w:w="814"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107</w:t>
                  </w:r>
                  <w:r>
                    <w:rPr>
                      <w:color w:val="000000" w:themeColor="text1"/>
                      <w:szCs w:val="21"/>
                    </w:rPr>
                    <w:t>m</w:t>
                  </w:r>
                </w:p>
              </w:tc>
              <w:tc>
                <w:tcPr>
                  <w:tcW w:w="2130" w:type="dxa"/>
                  <w:tcBorders>
                    <w:top w:val="single" w:color="auto" w:sz="4" w:space="0"/>
                    <w:left w:val="single" w:color="auto" w:sz="4" w:space="0"/>
                    <w:right w:val="single" w:color="auto" w:sz="4" w:space="0"/>
                  </w:tcBorders>
                  <w:vAlign w:val="center"/>
                </w:tcPr>
                <w:p>
                  <w:pPr>
                    <w:pStyle w:val="31"/>
                    <w:spacing w:line="360" w:lineRule="exact"/>
                    <w:ind w:firstLine="210" w:firstLineChars="100"/>
                    <w:jc w:val="left"/>
                    <w:rPr>
                      <w:color w:val="000000" w:themeColor="text1"/>
                      <w:szCs w:val="21"/>
                    </w:rPr>
                  </w:pPr>
                  <w:r>
                    <w:rPr>
                      <w:color w:val="000000" w:themeColor="text1"/>
                      <w:szCs w:val="21"/>
                    </w:rPr>
                    <w:t>《地表水环境质量标准》（GB3838-2002）III类标准</w:t>
                  </w:r>
                </w:p>
              </w:tc>
            </w:tr>
          </w:tbl>
          <w:p>
            <w:pPr>
              <w:pStyle w:val="39"/>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该改建项目位于昆明市东川区铜都街道办事处龙洞村四组苦刺塘，该改建项目选址不涉及到地下水集中式饮用水水源和热水、矿泉水、温泉等特殊地下水资源。</w:t>
            </w:r>
          </w:p>
          <w:p>
            <w:pPr>
              <w:pStyle w:val="39"/>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根据《建设项目环境影响报告表编制技术指南》（污染影响类）（试行）的要求，该改建项目声环境评价范围为50m，根据现场调查，该改建项目50m范围内无声环境保护目标。</w:t>
            </w:r>
          </w:p>
          <w:p>
            <w:pPr>
              <w:pStyle w:val="39"/>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该改建项目位于昆明市东川区铜都街道办事处龙洞村四组苦刺塘，</w:t>
            </w:r>
            <w:r>
              <w:rPr>
                <w:rFonts w:hint="eastAsia" w:eastAsiaTheme="minorEastAsia"/>
                <w:color w:val="000000" w:themeColor="text1"/>
                <w:szCs w:val="24"/>
              </w:rPr>
              <w:t>该改建项目在现有厂区范围内进行改建，</w:t>
            </w:r>
            <w:r>
              <w:rPr>
                <w:rFonts w:eastAsiaTheme="minorEastAsia"/>
                <w:color w:val="000000" w:themeColor="text1"/>
                <w:szCs w:val="24"/>
              </w:rPr>
              <w:t>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39"/>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pStyle w:val="39"/>
              <w:ind w:firstLine="482"/>
              <w:rPr>
                <w:rFonts w:eastAsiaTheme="minorEastAsia"/>
                <w:b/>
                <w:color w:val="000000" w:themeColor="text1"/>
                <w:szCs w:val="24"/>
              </w:rPr>
            </w:pPr>
            <w:r>
              <w:rPr>
                <w:rFonts w:eastAsiaTheme="minorEastAsia"/>
                <w:b/>
                <w:color w:val="000000" w:themeColor="text1"/>
                <w:szCs w:val="24"/>
              </w:rPr>
              <w:t>3.3.1 废气排放标准</w:t>
            </w:r>
          </w:p>
          <w:p>
            <w:pPr>
              <w:pStyle w:val="39"/>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mg/m³</w:t>
            </w:r>
          </w:p>
          <w:tbl>
            <w:tblPr>
              <w:tblStyle w:val="20"/>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31"/>
                    <w:spacing w:line="360" w:lineRule="exact"/>
                    <w:rPr>
                      <w:color w:val="000000" w:themeColor="text1"/>
                      <w:szCs w:val="21"/>
                    </w:rPr>
                  </w:pPr>
                  <w:r>
                    <w:rPr>
                      <w:color w:val="000000" w:themeColor="text1"/>
                      <w:szCs w:val="21"/>
                    </w:rPr>
                    <w:t>污染物</w:t>
                  </w:r>
                </w:p>
              </w:tc>
              <w:tc>
                <w:tcPr>
                  <w:tcW w:w="3387" w:type="dxa"/>
                </w:tcPr>
                <w:p>
                  <w:pPr>
                    <w:pStyle w:val="31"/>
                    <w:spacing w:line="360" w:lineRule="exact"/>
                    <w:rPr>
                      <w:color w:val="000000" w:themeColor="text1"/>
                      <w:szCs w:val="21"/>
                    </w:rPr>
                  </w:pPr>
                  <w:r>
                    <w:rPr>
                      <w:color w:val="000000" w:themeColor="text1"/>
                      <w:szCs w:val="21"/>
                    </w:rPr>
                    <w:t>最高允许排放浓度</w:t>
                  </w:r>
                </w:p>
              </w:tc>
              <w:tc>
                <w:tcPr>
                  <w:tcW w:w="3151" w:type="dxa"/>
                </w:tcPr>
                <w:p>
                  <w:pPr>
                    <w:pStyle w:val="31"/>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31"/>
                    <w:spacing w:line="360" w:lineRule="exact"/>
                    <w:rPr>
                      <w:color w:val="000000" w:themeColor="text1"/>
                      <w:szCs w:val="21"/>
                    </w:rPr>
                  </w:pPr>
                  <w:r>
                    <w:rPr>
                      <w:color w:val="000000" w:themeColor="text1"/>
                      <w:szCs w:val="21"/>
                    </w:rPr>
                    <w:t>颗粒物</w:t>
                  </w:r>
                </w:p>
              </w:tc>
              <w:tc>
                <w:tcPr>
                  <w:tcW w:w="3387" w:type="dxa"/>
                </w:tcPr>
                <w:p>
                  <w:pPr>
                    <w:pStyle w:val="31"/>
                    <w:spacing w:line="360" w:lineRule="exact"/>
                    <w:rPr>
                      <w:color w:val="000000" w:themeColor="text1"/>
                      <w:szCs w:val="21"/>
                    </w:rPr>
                  </w:pPr>
                  <w:r>
                    <w:rPr>
                      <w:color w:val="000000" w:themeColor="text1"/>
                      <w:szCs w:val="21"/>
                    </w:rPr>
                    <w:t>--</w:t>
                  </w:r>
                </w:p>
              </w:tc>
              <w:tc>
                <w:tcPr>
                  <w:tcW w:w="3151" w:type="dxa"/>
                </w:tcPr>
                <w:p>
                  <w:pPr>
                    <w:pStyle w:val="31"/>
                    <w:spacing w:line="360" w:lineRule="exact"/>
                    <w:rPr>
                      <w:color w:val="000000" w:themeColor="text1"/>
                      <w:szCs w:val="21"/>
                    </w:rPr>
                  </w:pPr>
                  <w:r>
                    <w:rPr>
                      <w:color w:val="000000" w:themeColor="text1"/>
                      <w:szCs w:val="21"/>
                    </w:rPr>
                    <w:t>1.0</w:t>
                  </w:r>
                </w:p>
              </w:tc>
            </w:tr>
          </w:tbl>
          <w:p>
            <w:pPr>
              <w:pStyle w:val="39"/>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该改建项目为牲畜屠宰项目，</w:t>
            </w:r>
            <w:r>
              <w:rPr>
                <w:rFonts w:hint="eastAsia" w:ascii="Times New Roman" w:hAnsi="Times New Roman" w:cs="Times New Roman"/>
                <w:color w:val="000000" w:themeColor="text1"/>
                <w:sz w:val="24"/>
                <w:szCs w:val="24"/>
              </w:rPr>
              <w:t>项目主要污染物为恶臭，无组织排放，</w:t>
            </w:r>
            <w:r>
              <w:rPr>
                <w:rFonts w:ascii="Times New Roman" w:hAnsi="Times New Roman" w:cs="Times New Roman"/>
                <w:color w:val="000000" w:themeColor="text1"/>
                <w:sz w:val="24"/>
                <w:szCs w:val="24"/>
              </w:rPr>
              <w:t>执行《恶臭污染物排放标准》（GB14554-93）中</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无组织排放标准。标准值详见下表。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恶臭污染物排放标准排放限值</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mg/m³</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3739"/>
              <w:gridCol w:w="38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序号</w:t>
                  </w:r>
                </w:p>
              </w:tc>
              <w:tc>
                <w:tcPr>
                  <w:tcW w:w="37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污染物</w:t>
                  </w:r>
                </w:p>
              </w:tc>
              <w:tc>
                <w:tcPr>
                  <w:tcW w:w="3848"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w:t>
                  </w:r>
                </w:p>
              </w:tc>
              <w:tc>
                <w:tcPr>
                  <w:tcW w:w="37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臭气浓度</w:t>
                  </w:r>
                </w:p>
              </w:tc>
              <w:tc>
                <w:tcPr>
                  <w:tcW w:w="3848"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20（无量纲）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2</w:t>
                  </w:r>
                </w:p>
              </w:tc>
              <w:tc>
                <w:tcPr>
                  <w:tcW w:w="37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氨</w:t>
                  </w:r>
                </w:p>
              </w:tc>
              <w:tc>
                <w:tcPr>
                  <w:tcW w:w="3848"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3</w:t>
                  </w:r>
                </w:p>
              </w:tc>
              <w:tc>
                <w:tcPr>
                  <w:tcW w:w="37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硫化氢</w:t>
                  </w:r>
                </w:p>
              </w:tc>
              <w:tc>
                <w:tcPr>
                  <w:tcW w:w="3848"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0.06</w:t>
                  </w:r>
                </w:p>
              </w:tc>
            </w:tr>
          </w:tbl>
          <w:p>
            <w:pPr>
              <w:pStyle w:val="39"/>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根据项目特点，该改建项目施工量较小，施工过程无废水产生。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项目运营期废水包括生产废水、生活污水和初期雨水。</w:t>
            </w:r>
            <w:r>
              <w:rPr>
                <w:rFonts w:hint="eastAsia" w:ascii="Times New Roman" w:hAnsi="Times New Roman" w:cs="Times New Roman"/>
                <w:color w:val="000000" w:themeColor="text1"/>
                <w:sz w:val="24"/>
                <w:szCs w:val="24"/>
              </w:rPr>
              <w:t>项目产生的综合废水（生产废水、消毒废水、生活污水和初期雨水）经厂区污水处理站处理后用于项目区周围农田（旱地作物）灌溉，不直接排入环境；执行《农田灌溉水质标准》（GB5084-2021）中表1中旱地作物标准限值。</w:t>
            </w: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表3.3.2-1  </w:t>
            </w:r>
            <w:r>
              <w:rPr>
                <w:rFonts w:hint="eastAsia" w:ascii="Times New Roman" w:hAnsi="Times New Roman" w:cs="Times New Roman"/>
                <w:b/>
                <w:color w:val="000000" w:themeColor="text1"/>
                <w:szCs w:val="24"/>
              </w:rPr>
              <w:t>农田灌溉水质基本控制项目限值</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85"/>
              <w:gridCol w:w="1276"/>
              <w:gridCol w:w="1276"/>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Merge w:val="restart"/>
                  <w:vAlign w:val="center"/>
                </w:tcPr>
                <w:p>
                  <w:pPr>
                    <w:pStyle w:val="31"/>
                    <w:spacing w:line="360" w:lineRule="exact"/>
                    <w:rPr>
                      <w:color w:val="000000" w:themeColor="text1"/>
                      <w:szCs w:val="21"/>
                    </w:rPr>
                  </w:pPr>
                  <w:r>
                    <w:rPr>
                      <w:color w:val="000000" w:themeColor="text1"/>
                      <w:szCs w:val="21"/>
                    </w:rPr>
                    <w:t>序号</w:t>
                  </w:r>
                </w:p>
              </w:tc>
              <w:tc>
                <w:tcPr>
                  <w:tcW w:w="3685" w:type="dxa"/>
                  <w:vMerge w:val="restart"/>
                  <w:vAlign w:val="center"/>
                </w:tcPr>
                <w:p>
                  <w:pPr>
                    <w:pStyle w:val="31"/>
                    <w:spacing w:line="360" w:lineRule="exact"/>
                    <w:rPr>
                      <w:color w:val="000000" w:themeColor="text1"/>
                      <w:szCs w:val="21"/>
                    </w:rPr>
                  </w:pPr>
                  <w:r>
                    <w:rPr>
                      <w:color w:val="000000" w:themeColor="text1"/>
                      <w:szCs w:val="21"/>
                    </w:rPr>
                    <w:t>项目</w:t>
                  </w:r>
                </w:p>
              </w:tc>
              <w:tc>
                <w:tcPr>
                  <w:tcW w:w="4185" w:type="dxa"/>
                  <w:gridSpan w:val="3"/>
                  <w:vAlign w:val="center"/>
                </w:tcPr>
                <w:p>
                  <w:pPr>
                    <w:pStyle w:val="31"/>
                    <w:spacing w:line="360" w:lineRule="exact"/>
                    <w:rPr>
                      <w:color w:val="000000" w:themeColor="text1"/>
                      <w:szCs w:val="21"/>
                    </w:rPr>
                  </w:pPr>
                  <w:r>
                    <w:rPr>
                      <w:rFonts w:hint="eastAsia"/>
                      <w:color w:val="000000" w:themeColor="text1"/>
                      <w:szCs w:val="21"/>
                    </w:rPr>
                    <w:t>作物种类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Merge w:val="continue"/>
                  <w:vAlign w:val="center"/>
                </w:tcPr>
                <w:p>
                  <w:pPr>
                    <w:pStyle w:val="31"/>
                    <w:spacing w:line="360" w:lineRule="exact"/>
                    <w:rPr>
                      <w:color w:val="000000" w:themeColor="text1"/>
                      <w:szCs w:val="21"/>
                    </w:rPr>
                  </w:pPr>
                </w:p>
              </w:tc>
              <w:tc>
                <w:tcPr>
                  <w:tcW w:w="3685" w:type="dxa"/>
                  <w:vMerge w:val="continue"/>
                  <w:vAlign w:val="center"/>
                </w:tcPr>
                <w:p>
                  <w:pPr>
                    <w:pStyle w:val="31"/>
                    <w:spacing w:line="360" w:lineRule="exact"/>
                    <w:rPr>
                      <w:color w:val="000000" w:themeColor="text1"/>
                      <w:szCs w:val="21"/>
                    </w:rPr>
                  </w:pPr>
                </w:p>
              </w:tc>
              <w:tc>
                <w:tcPr>
                  <w:tcW w:w="1276" w:type="dxa"/>
                  <w:vAlign w:val="center"/>
                </w:tcPr>
                <w:p>
                  <w:pPr>
                    <w:pStyle w:val="31"/>
                    <w:spacing w:line="360" w:lineRule="exact"/>
                    <w:rPr>
                      <w:color w:val="000000" w:themeColor="text1"/>
                      <w:szCs w:val="21"/>
                    </w:rPr>
                  </w:pPr>
                  <w:r>
                    <w:rPr>
                      <w:rFonts w:hint="eastAsia"/>
                      <w:color w:val="000000" w:themeColor="text1"/>
                      <w:szCs w:val="21"/>
                    </w:rPr>
                    <w:t>水田作物</w:t>
                  </w:r>
                </w:p>
              </w:tc>
              <w:tc>
                <w:tcPr>
                  <w:tcW w:w="1276" w:type="dxa"/>
                  <w:vAlign w:val="center"/>
                </w:tcPr>
                <w:p>
                  <w:pPr>
                    <w:pStyle w:val="31"/>
                    <w:spacing w:line="360" w:lineRule="exact"/>
                    <w:rPr>
                      <w:color w:val="000000" w:themeColor="text1"/>
                      <w:szCs w:val="21"/>
                    </w:rPr>
                  </w:pPr>
                  <w:r>
                    <w:rPr>
                      <w:rFonts w:hint="eastAsia"/>
                      <w:color w:val="000000" w:themeColor="text1"/>
                      <w:szCs w:val="21"/>
                    </w:rPr>
                    <w:t>旱地作物</w:t>
                  </w:r>
                </w:p>
              </w:tc>
              <w:tc>
                <w:tcPr>
                  <w:tcW w:w="1633" w:type="dxa"/>
                  <w:vAlign w:val="center"/>
                </w:tcPr>
                <w:p>
                  <w:pPr>
                    <w:pStyle w:val="31"/>
                    <w:spacing w:line="360" w:lineRule="exact"/>
                    <w:rPr>
                      <w:color w:val="000000" w:themeColor="text1"/>
                      <w:szCs w:val="21"/>
                    </w:rPr>
                  </w:pPr>
                  <w:r>
                    <w:rPr>
                      <w:rFonts w:hint="eastAsia"/>
                      <w:color w:val="000000" w:themeColor="text1"/>
                      <w:szCs w:val="21"/>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rFonts w:hint="eastAsia"/>
                      <w:color w:val="000000" w:themeColor="text1"/>
                      <w:szCs w:val="21"/>
                    </w:rPr>
                    <w:t>1</w:t>
                  </w:r>
                </w:p>
              </w:tc>
              <w:tc>
                <w:tcPr>
                  <w:tcW w:w="3685" w:type="dxa"/>
                  <w:vAlign w:val="center"/>
                </w:tcPr>
                <w:p>
                  <w:pPr>
                    <w:pStyle w:val="31"/>
                    <w:spacing w:line="360" w:lineRule="exact"/>
                    <w:rPr>
                      <w:color w:val="000000" w:themeColor="text1"/>
                      <w:szCs w:val="21"/>
                    </w:rPr>
                  </w:pPr>
                  <w:r>
                    <w:rPr>
                      <w:color w:val="000000" w:themeColor="text1"/>
                      <w:szCs w:val="21"/>
                    </w:rPr>
                    <w:t>pH</w:t>
                  </w:r>
                  <w:r>
                    <w:rPr>
                      <w:rFonts w:hint="eastAsia"/>
                      <w:color w:val="000000" w:themeColor="text1"/>
                      <w:szCs w:val="21"/>
                    </w:rPr>
                    <w:t>值</w:t>
                  </w:r>
                </w:p>
              </w:tc>
              <w:tc>
                <w:tcPr>
                  <w:tcW w:w="4185" w:type="dxa"/>
                  <w:gridSpan w:val="3"/>
                  <w:vAlign w:val="center"/>
                </w:tcPr>
                <w:p>
                  <w:pPr>
                    <w:pStyle w:val="31"/>
                    <w:spacing w:line="360" w:lineRule="exact"/>
                    <w:rPr>
                      <w:color w:val="000000" w:themeColor="text1"/>
                      <w:szCs w:val="21"/>
                    </w:rPr>
                  </w:pPr>
                  <w:r>
                    <w:rPr>
                      <w:rFonts w:hint="eastAsia"/>
                      <w:color w:val="000000" w:themeColor="text1"/>
                      <w:szCs w:val="21"/>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rFonts w:hint="eastAsia"/>
                      <w:color w:val="000000" w:themeColor="text1"/>
                      <w:szCs w:val="21"/>
                    </w:rPr>
                    <w:t>2</w:t>
                  </w:r>
                </w:p>
              </w:tc>
              <w:tc>
                <w:tcPr>
                  <w:tcW w:w="3685" w:type="dxa"/>
                  <w:vAlign w:val="center"/>
                </w:tcPr>
                <w:p>
                  <w:pPr>
                    <w:pStyle w:val="31"/>
                    <w:spacing w:line="360" w:lineRule="exact"/>
                    <w:rPr>
                      <w:color w:val="000000" w:themeColor="text1"/>
                      <w:szCs w:val="21"/>
                    </w:rPr>
                  </w:pPr>
                  <w:r>
                    <w:rPr>
                      <w:rFonts w:hint="eastAsia"/>
                      <w:color w:val="000000" w:themeColor="text1"/>
                      <w:szCs w:val="21"/>
                    </w:rPr>
                    <w:t xml:space="preserve">水温/℃ </w:t>
                  </w:r>
                  <w:r>
                    <w:rPr>
                      <w:color w:val="000000" w:themeColor="text1"/>
                      <w:szCs w:val="21"/>
                    </w:rPr>
                    <w:t>≤</w:t>
                  </w:r>
                </w:p>
              </w:tc>
              <w:tc>
                <w:tcPr>
                  <w:tcW w:w="4185" w:type="dxa"/>
                  <w:gridSpan w:val="3"/>
                  <w:vAlign w:val="center"/>
                </w:tcPr>
                <w:p>
                  <w:pPr>
                    <w:pStyle w:val="31"/>
                    <w:spacing w:line="360" w:lineRule="exact"/>
                    <w:rPr>
                      <w:color w:val="000000" w:themeColor="text1"/>
                      <w:szCs w:val="21"/>
                    </w:rPr>
                  </w:pPr>
                  <w:r>
                    <w:rPr>
                      <w:rFonts w:hint="eastAsia"/>
                      <w:color w:val="000000" w:themeColor="text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rFonts w:hint="eastAsia"/>
                      <w:color w:val="000000" w:themeColor="text1"/>
                      <w:szCs w:val="21"/>
                    </w:rPr>
                    <w:t>3</w:t>
                  </w:r>
                </w:p>
              </w:tc>
              <w:tc>
                <w:tcPr>
                  <w:tcW w:w="3685" w:type="dxa"/>
                  <w:vAlign w:val="center"/>
                </w:tcPr>
                <w:p>
                  <w:pPr>
                    <w:pStyle w:val="31"/>
                    <w:spacing w:line="360" w:lineRule="exact"/>
                    <w:rPr>
                      <w:color w:val="000000" w:themeColor="text1"/>
                      <w:szCs w:val="21"/>
                    </w:rPr>
                  </w:pPr>
                  <w:r>
                    <w:rPr>
                      <w:rFonts w:hint="eastAsia"/>
                      <w:color w:val="000000" w:themeColor="text1"/>
                      <w:szCs w:val="21"/>
                    </w:rPr>
                    <w:t xml:space="preserve">悬浮物 </w:t>
                  </w:r>
                  <w:r>
                    <w:rPr>
                      <w:color w:val="000000" w:themeColor="text1"/>
                      <w:szCs w:val="21"/>
                    </w:rPr>
                    <w:t>（mg/L）≤</w:t>
                  </w:r>
                </w:p>
              </w:tc>
              <w:tc>
                <w:tcPr>
                  <w:tcW w:w="1276" w:type="dxa"/>
                  <w:vAlign w:val="center"/>
                </w:tcPr>
                <w:p>
                  <w:pPr>
                    <w:pStyle w:val="31"/>
                    <w:spacing w:line="360" w:lineRule="exact"/>
                    <w:rPr>
                      <w:color w:val="000000" w:themeColor="text1"/>
                      <w:szCs w:val="21"/>
                    </w:rPr>
                  </w:pPr>
                  <w:r>
                    <w:rPr>
                      <w:rFonts w:hint="eastAsia"/>
                      <w:color w:val="000000" w:themeColor="text1"/>
                      <w:szCs w:val="21"/>
                    </w:rPr>
                    <w:t>80</w:t>
                  </w:r>
                </w:p>
              </w:tc>
              <w:tc>
                <w:tcPr>
                  <w:tcW w:w="1276" w:type="dxa"/>
                  <w:vAlign w:val="center"/>
                </w:tcPr>
                <w:p>
                  <w:pPr>
                    <w:pStyle w:val="31"/>
                    <w:spacing w:line="360" w:lineRule="exact"/>
                    <w:rPr>
                      <w:color w:val="000000" w:themeColor="text1"/>
                      <w:szCs w:val="21"/>
                    </w:rPr>
                  </w:pPr>
                  <w:r>
                    <w:rPr>
                      <w:rFonts w:hint="eastAsia"/>
                      <w:color w:val="000000" w:themeColor="text1"/>
                      <w:szCs w:val="21"/>
                    </w:rPr>
                    <w:t>100</w:t>
                  </w:r>
                </w:p>
              </w:tc>
              <w:tc>
                <w:tcPr>
                  <w:tcW w:w="1633" w:type="dxa"/>
                  <w:vAlign w:val="center"/>
                </w:tcPr>
                <w:p>
                  <w:pPr>
                    <w:pStyle w:val="31"/>
                    <w:spacing w:line="360" w:lineRule="exact"/>
                    <w:rPr>
                      <w:color w:val="000000" w:themeColor="text1"/>
                      <w:szCs w:val="21"/>
                    </w:rPr>
                  </w:pPr>
                  <w:r>
                    <w:rPr>
                      <w:rFonts w:hint="eastAsia"/>
                      <w:color w:val="000000" w:themeColor="text1"/>
                      <w:szCs w:val="21"/>
                    </w:rPr>
                    <w:t>60a，15b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rFonts w:hint="eastAsia"/>
                      <w:color w:val="000000" w:themeColor="text1"/>
                      <w:szCs w:val="21"/>
                    </w:rPr>
                    <w:t>4</w:t>
                  </w:r>
                </w:p>
              </w:tc>
              <w:tc>
                <w:tcPr>
                  <w:tcW w:w="3685" w:type="dxa"/>
                  <w:vAlign w:val="center"/>
                </w:tcPr>
                <w:p>
                  <w:pPr>
                    <w:pStyle w:val="31"/>
                    <w:spacing w:line="360" w:lineRule="exact"/>
                    <w:rPr>
                      <w:color w:val="000000" w:themeColor="text1"/>
                      <w:szCs w:val="21"/>
                    </w:rPr>
                  </w:pPr>
                  <w:r>
                    <w:rPr>
                      <w:color w:val="000000" w:themeColor="text1"/>
                      <w:szCs w:val="21"/>
                    </w:rPr>
                    <w:t>BOD</w:t>
                  </w:r>
                  <w:r>
                    <w:rPr>
                      <w:color w:val="000000" w:themeColor="text1"/>
                      <w:szCs w:val="21"/>
                      <w:vertAlign w:val="subscript"/>
                    </w:rPr>
                    <w:t>5</w:t>
                  </w:r>
                  <w:r>
                    <w:rPr>
                      <w:color w:val="000000" w:themeColor="text1"/>
                      <w:szCs w:val="21"/>
                    </w:rPr>
                    <w:t>（mg/L）≤</w:t>
                  </w:r>
                </w:p>
              </w:tc>
              <w:tc>
                <w:tcPr>
                  <w:tcW w:w="1276" w:type="dxa"/>
                  <w:vAlign w:val="center"/>
                </w:tcPr>
                <w:p>
                  <w:pPr>
                    <w:pStyle w:val="31"/>
                    <w:spacing w:line="360" w:lineRule="exact"/>
                    <w:rPr>
                      <w:color w:val="000000" w:themeColor="text1"/>
                      <w:szCs w:val="21"/>
                    </w:rPr>
                  </w:pPr>
                  <w:r>
                    <w:rPr>
                      <w:rFonts w:hint="eastAsia"/>
                      <w:color w:val="000000" w:themeColor="text1"/>
                      <w:szCs w:val="21"/>
                    </w:rPr>
                    <w:t>60</w:t>
                  </w:r>
                </w:p>
              </w:tc>
              <w:tc>
                <w:tcPr>
                  <w:tcW w:w="1276" w:type="dxa"/>
                  <w:vAlign w:val="center"/>
                </w:tcPr>
                <w:p>
                  <w:pPr>
                    <w:pStyle w:val="31"/>
                    <w:spacing w:line="360" w:lineRule="exact"/>
                    <w:rPr>
                      <w:color w:val="000000" w:themeColor="text1"/>
                      <w:szCs w:val="21"/>
                    </w:rPr>
                  </w:pPr>
                  <w:r>
                    <w:rPr>
                      <w:rFonts w:hint="eastAsia"/>
                      <w:color w:val="000000" w:themeColor="text1"/>
                      <w:szCs w:val="21"/>
                    </w:rPr>
                    <w:t>100</w:t>
                  </w:r>
                </w:p>
              </w:tc>
              <w:tc>
                <w:tcPr>
                  <w:tcW w:w="1633" w:type="dxa"/>
                  <w:vAlign w:val="center"/>
                </w:tcPr>
                <w:p>
                  <w:pPr>
                    <w:pStyle w:val="31"/>
                    <w:spacing w:line="360" w:lineRule="exact"/>
                    <w:rPr>
                      <w:color w:val="000000" w:themeColor="text1"/>
                      <w:szCs w:val="21"/>
                    </w:rPr>
                  </w:pPr>
                  <w:r>
                    <w:rPr>
                      <w:rFonts w:hint="eastAsia"/>
                      <w:color w:val="000000" w:themeColor="text1"/>
                      <w:szCs w:val="21"/>
                    </w:rPr>
                    <w:t>40a，15b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rFonts w:hint="eastAsia"/>
                      <w:color w:val="000000" w:themeColor="text1"/>
                      <w:szCs w:val="21"/>
                    </w:rPr>
                    <w:t>5</w:t>
                  </w:r>
                </w:p>
              </w:tc>
              <w:tc>
                <w:tcPr>
                  <w:tcW w:w="3685" w:type="dxa"/>
                  <w:vAlign w:val="center"/>
                </w:tcPr>
                <w:p>
                  <w:pPr>
                    <w:pStyle w:val="31"/>
                    <w:spacing w:line="360" w:lineRule="exact"/>
                    <w:rPr>
                      <w:color w:val="000000" w:themeColor="text1"/>
                      <w:szCs w:val="21"/>
                    </w:rPr>
                  </w:pPr>
                  <w:r>
                    <w:rPr>
                      <w:rFonts w:hint="eastAsia"/>
                      <w:color w:val="000000" w:themeColor="text1"/>
                      <w:szCs w:val="21"/>
                    </w:rPr>
                    <w:t>CODcr</w:t>
                  </w:r>
                  <w:r>
                    <w:rPr>
                      <w:color w:val="000000" w:themeColor="text1"/>
                      <w:szCs w:val="21"/>
                    </w:rPr>
                    <w:t>（mg/L）≤</w:t>
                  </w:r>
                </w:p>
              </w:tc>
              <w:tc>
                <w:tcPr>
                  <w:tcW w:w="1276" w:type="dxa"/>
                  <w:vAlign w:val="center"/>
                </w:tcPr>
                <w:p>
                  <w:pPr>
                    <w:pStyle w:val="31"/>
                    <w:spacing w:line="360" w:lineRule="exact"/>
                    <w:rPr>
                      <w:color w:val="000000" w:themeColor="text1"/>
                      <w:szCs w:val="21"/>
                    </w:rPr>
                  </w:pPr>
                  <w:r>
                    <w:rPr>
                      <w:rFonts w:hint="eastAsia"/>
                      <w:color w:val="000000" w:themeColor="text1"/>
                      <w:szCs w:val="21"/>
                    </w:rPr>
                    <w:t>150</w:t>
                  </w:r>
                </w:p>
              </w:tc>
              <w:tc>
                <w:tcPr>
                  <w:tcW w:w="1276" w:type="dxa"/>
                  <w:vAlign w:val="center"/>
                </w:tcPr>
                <w:p>
                  <w:pPr>
                    <w:pStyle w:val="31"/>
                    <w:spacing w:line="360" w:lineRule="exact"/>
                    <w:rPr>
                      <w:color w:val="000000" w:themeColor="text1"/>
                      <w:szCs w:val="21"/>
                    </w:rPr>
                  </w:pPr>
                  <w:r>
                    <w:rPr>
                      <w:rFonts w:hint="eastAsia"/>
                      <w:color w:val="000000" w:themeColor="text1"/>
                      <w:szCs w:val="21"/>
                    </w:rPr>
                    <w:t>200</w:t>
                  </w:r>
                </w:p>
              </w:tc>
              <w:tc>
                <w:tcPr>
                  <w:tcW w:w="1633" w:type="dxa"/>
                  <w:vAlign w:val="center"/>
                </w:tcPr>
                <w:p>
                  <w:pPr>
                    <w:pStyle w:val="31"/>
                    <w:spacing w:line="360" w:lineRule="exact"/>
                    <w:rPr>
                      <w:color w:val="000000" w:themeColor="text1"/>
                      <w:szCs w:val="21"/>
                    </w:rPr>
                  </w:pPr>
                  <w:r>
                    <w:rPr>
                      <w:rFonts w:hint="eastAsia"/>
                      <w:color w:val="000000" w:themeColor="text1"/>
                      <w:szCs w:val="21"/>
                    </w:rPr>
                    <w:t>100a，60b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rFonts w:hint="eastAsia"/>
                      <w:color w:val="000000" w:themeColor="text1"/>
                      <w:szCs w:val="21"/>
                    </w:rPr>
                    <w:t>6</w:t>
                  </w:r>
                </w:p>
              </w:tc>
              <w:tc>
                <w:tcPr>
                  <w:tcW w:w="3685" w:type="dxa"/>
                  <w:vAlign w:val="center"/>
                </w:tcPr>
                <w:p>
                  <w:pPr>
                    <w:pStyle w:val="31"/>
                    <w:spacing w:line="360" w:lineRule="exact"/>
                    <w:rPr>
                      <w:color w:val="000000" w:themeColor="text1"/>
                      <w:szCs w:val="21"/>
                    </w:rPr>
                  </w:pPr>
                  <w:r>
                    <w:rPr>
                      <w:rFonts w:hint="eastAsia"/>
                      <w:color w:val="000000" w:themeColor="text1"/>
                      <w:szCs w:val="21"/>
                    </w:rPr>
                    <w:t>阴离子表面活性剂/</w:t>
                  </w:r>
                  <w:r>
                    <w:rPr>
                      <w:color w:val="000000" w:themeColor="text1"/>
                      <w:szCs w:val="21"/>
                    </w:rPr>
                    <w:t>（mg/L）≤</w:t>
                  </w:r>
                </w:p>
              </w:tc>
              <w:tc>
                <w:tcPr>
                  <w:tcW w:w="1276" w:type="dxa"/>
                  <w:vAlign w:val="center"/>
                </w:tcPr>
                <w:p>
                  <w:pPr>
                    <w:pStyle w:val="31"/>
                    <w:spacing w:line="360" w:lineRule="exact"/>
                    <w:rPr>
                      <w:color w:val="000000" w:themeColor="text1"/>
                      <w:szCs w:val="21"/>
                    </w:rPr>
                  </w:pPr>
                  <w:r>
                    <w:rPr>
                      <w:rFonts w:hint="eastAsia"/>
                      <w:color w:val="000000" w:themeColor="text1"/>
                      <w:szCs w:val="21"/>
                    </w:rPr>
                    <w:t>5</w:t>
                  </w:r>
                </w:p>
              </w:tc>
              <w:tc>
                <w:tcPr>
                  <w:tcW w:w="1276" w:type="dxa"/>
                  <w:vAlign w:val="center"/>
                </w:tcPr>
                <w:p>
                  <w:pPr>
                    <w:pStyle w:val="31"/>
                    <w:spacing w:line="360" w:lineRule="exact"/>
                    <w:rPr>
                      <w:color w:val="000000" w:themeColor="text1"/>
                      <w:szCs w:val="21"/>
                    </w:rPr>
                  </w:pPr>
                  <w:r>
                    <w:rPr>
                      <w:rFonts w:hint="eastAsia"/>
                      <w:color w:val="000000" w:themeColor="text1"/>
                      <w:szCs w:val="21"/>
                    </w:rPr>
                    <w:t>8</w:t>
                  </w:r>
                </w:p>
              </w:tc>
              <w:tc>
                <w:tcPr>
                  <w:tcW w:w="1633" w:type="dxa"/>
                  <w:vAlign w:val="center"/>
                </w:tcPr>
                <w:p>
                  <w:pPr>
                    <w:pStyle w:val="31"/>
                    <w:spacing w:line="360" w:lineRule="exact"/>
                    <w:rPr>
                      <w:color w:val="000000" w:themeColor="text1"/>
                      <w:szCs w:val="21"/>
                    </w:rPr>
                  </w:pPr>
                  <w:r>
                    <w:rPr>
                      <w:rFonts w:hint="eastAsia"/>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rFonts w:hint="eastAsia"/>
                      <w:color w:val="000000" w:themeColor="text1"/>
                      <w:szCs w:val="21"/>
                    </w:rPr>
                    <w:t>7</w:t>
                  </w:r>
                </w:p>
              </w:tc>
              <w:tc>
                <w:tcPr>
                  <w:tcW w:w="3685" w:type="dxa"/>
                  <w:vAlign w:val="center"/>
                </w:tcPr>
                <w:p>
                  <w:pPr>
                    <w:pStyle w:val="31"/>
                    <w:spacing w:line="360" w:lineRule="exact"/>
                    <w:rPr>
                      <w:color w:val="000000" w:themeColor="text1"/>
                      <w:szCs w:val="21"/>
                    </w:rPr>
                  </w:pPr>
                  <w:r>
                    <w:rPr>
                      <w:rFonts w:hint="eastAsia"/>
                      <w:color w:val="000000" w:themeColor="text1"/>
                      <w:szCs w:val="21"/>
                    </w:rPr>
                    <w:t>粪大肠菌群数/（MPN/L）</w:t>
                  </w:r>
                  <w:r>
                    <w:rPr>
                      <w:color w:val="000000" w:themeColor="text1"/>
                      <w:szCs w:val="21"/>
                    </w:rPr>
                    <w:t>≤</w:t>
                  </w:r>
                </w:p>
              </w:tc>
              <w:tc>
                <w:tcPr>
                  <w:tcW w:w="1276" w:type="dxa"/>
                  <w:vAlign w:val="center"/>
                </w:tcPr>
                <w:p>
                  <w:pPr>
                    <w:pStyle w:val="31"/>
                    <w:spacing w:line="360" w:lineRule="exact"/>
                    <w:rPr>
                      <w:color w:val="000000" w:themeColor="text1"/>
                      <w:szCs w:val="21"/>
                    </w:rPr>
                  </w:pPr>
                  <w:r>
                    <w:rPr>
                      <w:rFonts w:hint="eastAsia"/>
                      <w:color w:val="000000" w:themeColor="text1"/>
                      <w:szCs w:val="21"/>
                    </w:rPr>
                    <w:t>40000</w:t>
                  </w:r>
                </w:p>
              </w:tc>
              <w:tc>
                <w:tcPr>
                  <w:tcW w:w="1276" w:type="dxa"/>
                  <w:vAlign w:val="center"/>
                </w:tcPr>
                <w:p>
                  <w:pPr>
                    <w:pStyle w:val="31"/>
                    <w:spacing w:line="360" w:lineRule="exact"/>
                    <w:rPr>
                      <w:color w:val="000000" w:themeColor="text1"/>
                      <w:szCs w:val="21"/>
                    </w:rPr>
                  </w:pPr>
                  <w:r>
                    <w:rPr>
                      <w:rFonts w:hint="eastAsia"/>
                      <w:color w:val="000000" w:themeColor="text1"/>
                      <w:szCs w:val="21"/>
                    </w:rPr>
                    <w:t>40000</w:t>
                  </w:r>
                </w:p>
              </w:tc>
              <w:tc>
                <w:tcPr>
                  <w:tcW w:w="1633" w:type="dxa"/>
                  <w:vAlign w:val="center"/>
                </w:tcPr>
                <w:p>
                  <w:pPr>
                    <w:pStyle w:val="31"/>
                    <w:spacing w:line="360" w:lineRule="exact"/>
                    <w:rPr>
                      <w:color w:val="000000" w:themeColor="text1"/>
                      <w:szCs w:val="21"/>
                    </w:rPr>
                  </w:pPr>
                  <w:r>
                    <w:rPr>
                      <w:rFonts w:hint="eastAsia"/>
                      <w:color w:val="000000" w:themeColor="text1"/>
                      <w:szCs w:val="21"/>
                    </w:rPr>
                    <w:t>20000a，10000b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rFonts w:hint="eastAsia"/>
                      <w:color w:val="000000" w:themeColor="text1"/>
                      <w:szCs w:val="21"/>
                    </w:rPr>
                    <w:t>8</w:t>
                  </w:r>
                </w:p>
              </w:tc>
              <w:tc>
                <w:tcPr>
                  <w:tcW w:w="3685" w:type="dxa"/>
                  <w:vAlign w:val="center"/>
                </w:tcPr>
                <w:p>
                  <w:pPr>
                    <w:pStyle w:val="31"/>
                    <w:spacing w:line="360" w:lineRule="exact"/>
                    <w:rPr>
                      <w:color w:val="000000" w:themeColor="text1"/>
                      <w:szCs w:val="21"/>
                    </w:rPr>
                  </w:pPr>
                  <w:r>
                    <w:rPr>
                      <w:rFonts w:hint="eastAsia"/>
                      <w:color w:val="000000" w:themeColor="text1"/>
                      <w:szCs w:val="21"/>
                    </w:rPr>
                    <w:t>蛔虫卵数/（个/10L）</w:t>
                  </w:r>
                  <w:r>
                    <w:rPr>
                      <w:color w:val="000000" w:themeColor="text1"/>
                      <w:szCs w:val="21"/>
                    </w:rPr>
                    <w:t>≤</w:t>
                  </w:r>
                </w:p>
              </w:tc>
              <w:tc>
                <w:tcPr>
                  <w:tcW w:w="2552" w:type="dxa"/>
                  <w:gridSpan w:val="2"/>
                  <w:vAlign w:val="center"/>
                </w:tcPr>
                <w:p>
                  <w:pPr>
                    <w:pStyle w:val="31"/>
                    <w:spacing w:line="360" w:lineRule="exact"/>
                    <w:rPr>
                      <w:color w:val="000000" w:themeColor="text1"/>
                      <w:szCs w:val="21"/>
                    </w:rPr>
                  </w:pPr>
                  <w:r>
                    <w:rPr>
                      <w:rFonts w:hint="eastAsia"/>
                      <w:color w:val="000000" w:themeColor="text1"/>
                      <w:szCs w:val="21"/>
                    </w:rPr>
                    <w:t>20</w:t>
                  </w:r>
                </w:p>
              </w:tc>
              <w:tc>
                <w:tcPr>
                  <w:tcW w:w="1633" w:type="dxa"/>
                  <w:vAlign w:val="center"/>
                </w:tcPr>
                <w:p>
                  <w:pPr>
                    <w:pStyle w:val="31"/>
                    <w:spacing w:line="360" w:lineRule="exact"/>
                    <w:rPr>
                      <w:color w:val="000000" w:themeColor="text1"/>
                      <w:szCs w:val="21"/>
                    </w:rPr>
                  </w:pPr>
                  <w:r>
                    <w:rPr>
                      <w:rFonts w:hint="eastAsia"/>
                      <w:color w:val="000000" w:themeColor="text1"/>
                      <w:szCs w:val="21"/>
                    </w:rPr>
                    <w:t>20a，10b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8" w:type="dxa"/>
                  <w:gridSpan w:val="5"/>
                  <w:vAlign w:val="center"/>
                </w:tcPr>
                <w:p>
                  <w:pPr>
                    <w:pStyle w:val="31"/>
                    <w:spacing w:line="360" w:lineRule="exact"/>
                    <w:ind w:firstLine="210" w:firstLineChars="100"/>
                    <w:jc w:val="left"/>
                    <w:rPr>
                      <w:color w:val="000000" w:themeColor="text1"/>
                      <w:szCs w:val="21"/>
                    </w:rPr>
                  </w:pPr>
                  <w:r>
                    <w:rPr>
                      <w:rFonts w:hint="eastAsia"/>
                      <w:color w:val="000000" w:themeColor="text1"/>
                      <w:szCs w:val="21"/>
                    </w:rPr>
                    <w:t>备注：a：加工、烹饪及去皮蔬菜；b：生食类蔬菜，瓜类及草本水果。</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9" w:type="dxa"/>
                  <w:gridSpan w:val="2"/>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31"/>
                    <w:spacing w:line="360" w:lineRule="exact"/>
                    <w:ind w:left="11"/>
                    <w:rPr>
                      <w:rFonts w:eastAsiaTheme="minorEastAsia"/>
                      <w:color w:val="000000" w:themeColor="text1"/>
                      <w:szCs w:val="21"/>
                    </w:rPr>
                  </w:pPr>
                </w:p>
              </w:tc>
              <w:tc>
                <w:tcPr>
                  <w:tcW w:w="2825"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4"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5"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4"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项目位于昆明市东川区铜都街道办事处龙洞村四组苦刺塘</w:t>
            </w:r>
            <w:r>
              <w:rPr>
                <w:color w:val="000000" w:themeColor="text1"/>
                <w:szCs w:val="24"/>
              </w:rPr>
              <w:t>，</w:t>
            </w:r>
            <w:r>
              <w:rPr>
                <w:rFonts w:ascii="Times New Roman" w:hAnsi="Times New Roman" w:cs="Times New Roman"/>
                <w:color w:val="000000" w:themeColor="text1"/>
                <w:sz w:val="24"/>
                <w:szCs w:val="24"/>
              </w:rPr>
              <w:t>该改建项目噪声执行《工业企业厂界环境噪声排放标准》（GB12348-2008）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0"/>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31"/>
                    <w:spacing w:line="360" w:lineRule="exact"/>
                    <w:ind w:left="11"/>
                    <w:rPr>
                      <w:rFonts w:eastAsiaTheme="minorEastAsia"/>
                      <w:color w:val="000000" w:themeColor="text1"/>
                      <w:szCs w:val="21"/>
                    </w:rPr>
                  </w:pP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类</w:t>
                  </w: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w:t>
                  </w:r>
                  <w:r>
                    <w:rPr>
                      <w:rFonts w:hint="eastAsia" w:ascii="Times New Roman" w:hAnsi="Times New Roman" w:cs="Times New Roman"/>
                      <w:bCs/>
                      <w:snapToGrid w:val="0"/>
                      <w:color w:val="000000" w:themeColor="text1"/>
                      <w:kern w:val="32"/>
                      <w:lang w:val="zh-CN"/>
                    </w:rPr>
                    <w:t>0</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w:t>
                  </w:r>
                  <w:r>
                    <w:rPr>
                      <w:rFonts w:hint="eastAsia" w:ascii="Times New Roman" w:hAnsi="Times New Roman" w:cs="Times New Roman"/>
                      <w:bCs/>
                      <w:snapToGrid w:val="0"/>
                      <w:color w:val="000000" w:themeColor="text1"/>
                      <w:kern w:val="32"/>
                      <w:lang w:val="zh-CN"/>
                    </w:rPr>
                    <w:t>0</w:t>
                  </w:r>
                </w:p>
              </w:tc>
            </w:tr>
          </w:tbl>
          <w:p>
            <w:pPr>
              <w:pStyle w:val="39"/>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rFonts w:hint="eastAsia" w:ascii="宋体" w:hAnsi="宋体" w:cs="宋体"/>
                <w:color w:val="000000" w:themeColor="text1"/>
                <w:szCs w:val="24"/>
              </w:rPr>
              <w:t>①</w:t>
            </w:r>
            <w:r>
              <w:rPr>
                <w:color w:val="000000" w:themeColor="text1"/>
                <w:szCs w:val="24"/>
              </w:rPr>
              <w:fldChar w:fldCharType="end"/>
            </w:r>
            <w:r>
              <w:rPr>
                <w:color w:val="000000" w:themeColor="text1"/>
                <w:szCs w:val="24"/>
              </w:rPr>
              <w:t>危险废物执行《危险废物贮存污染控制标准》（GB18597-2001）及修改单。</w:t>
            </w:r>
          </w:p>
          <w:p>
            <w:pPr>
              <w:pStyle w:val="39"/>
              <w:ind w:firstLine="480"/>
              <w:rPr>
                <w:color w:val="000000" w:themeColor="text1"/>
                <w:szCs w:val="24"/>
              </w:rPr>
            </w:pPr>
            <w:r>
              <w:rPr>
                <w:rFonts w:hint="eastAsia"/>
                <w:color w:val="000000" w:themeColor="text1"/>
                <w:szCs w:val="24"/>
              </w:rPr>
              <w:t>②医疗废物执行《医疗废物处理处置污染控制标准》（GB39707-2020）.</w:t>
            </w:r>
          </w:p>
          <w:p>
            <w:pPr>
              <w:pStyle w:val="39"/>
              <w:ind w:firstLine="480"/>
              <w:rPr>
                <w:color w:val="000000" w:themeColor="text1"/>
                <w:szCs w:val="24"/>
              </w:rPr>
            </w:pPr>
            <w:r>
              <w:rPr>
                <w:rFonts w:hint="eastAsia" w:ascii="宋体" w:hAnsi="宋体" w:cs="宋体"/>
                <w:color w:val="000000" w:themeColor="text1"/>
                <w:szCs w:val="24"/>
              </w:rPr>
              <w:t>③</w:t>
            </w:r>
            <w:r>
              <w:rPr>
                <w:color w:val="000000" w:themeColor="text1"/>
                <w:szCs w:val="24"/>
              </w:rPr>
              <w:t>一般固体废物处置执行《一般工业固体废物贮存和填埋污染控制标准》（GB18599-2020）。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本改扩建完成后的总量指标如下：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项目废气主要为产生的无组织恶臭气体，包括</w:t>
            </w:r>
            <w:r>
              <w:rPr>
                <w:rFonts w:ascii="Times New Roman" w:hAnsi="Times New Roman" w:cs="Times New Roman"/>
                <w:color w:val="000000" w:themeColor="text1"/>
                <w:sz w:val="24"/>
                <w:szCs w:val="24"/>
              </w:rPr>
              <w:t>氨</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硫化氢</w:t>
            </w:r>
            <w:r>
              <w:rPr>
                <w:rFonts w:hint="eastAsia" w:ascii="Times New Roman" w:hAnsi="Times New Roman" w:cs="Times New Roman"/>
                <w:color w:val="000000" w:themeColor="text1"/>
                <w:sz w:val="24"/>
                <w:szCs w:val="24"/>
              </w:rPr>
              <w:t>和臭气浓度，产生量及排放量较小，且不属于总量控制指标，不进行总量控制。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项目产生的综合废水（生产废水、消毒废水、生活污水和初期雨水），综合废水产生量为</w:t>
            </w:r>
            <w:r>
              <w:rPr>
                <w:rFonts w:ascii="Times New Roman" w:hAnsi="Times New Roman" w:cs="Times New Roman"/>
                <w:color w:val="000000" w:themeColor="text1"/>
                <w:sz w:val="24"/>
                <w:szCs w:val="24"/>
              </w:rPr>
              <w:t>49777.6m³/a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其中CODcr产生量为2169t/a、BOD</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产生量为1577.7t/a、NH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-N产生量为592.3t/a、SS产生量为1184t/a、总磷产生量为73.3t/a、总氮产生量80.4t/a、</w:t>
            </w:r>
            <w:r>
              <w:rPr>
                <w:rFonts w:hint="eastAsia" w:ascii="Times New Roman" w:hAnsi="Times New Roman" w:cs="Times New Roman"/>
                <w:color w:val="000000" w:themeColor="text1"/>
                <w:sz w:val="24"/>
                <w:szCs w:val="24"/>
              </w:rPr>
              <w:t>动植物油</w:t>
            </w:r>
            <w:r>
              <w:rPr>
                <w:rFonts w:ascii="Times New Roman" w:hAnsi="Times New Roman" w:cs="Times New Roman"/>
                <w:color w:val="000000" w:themeColor="text1"/>
                <w:sz w:val="24"/>
                <w:szCs w:val="24"/>
              </w:rPr>
              <w:t>产生量30.9t/a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阴离子表面活性剂产生量为9.3t/a</w:t>
            </w:r>
            <w:r>
              <w:rPr>
                <w:rFonts w:hint="eastAsia" w:ascii="Times New Roman" w:hAnsi="Times New Roman" w:cs="Times New Roman"/>
                <w:color w:val="000000" w:themeColor="text1"/>
                <w:sz w:val="24"/>
                <w:szCs w:val="24"/>
              </w:rPr>
              <w:t>，粪大肠菌群数</w:t>
            </w:r>
            <w:r>
              <w:rPr>
                <w:rFonts w:ascii="Times New Roman" w:hAnsi="Times New Roman" w:cs="Times New Roman"/>
                <w:color w:val="000000" w:themeColor="text1"/>
                <w:sz w:val="24"/>
                <w:szCs w:val="24"/>
              </w:rPr>
              <w:t>产生量为0.98×10</w:t>
            </w:r>
            <w:r>
              <w:rPr>
                <w:rFonts w:ascii="Times New Roman" w:hAnsi="Times New Roman" w:cs="Times New Roman"/>
                <w:color w:val="000000" w:themeColor="text1"/>
                <w:sz w:val="24"/>
                <w:szCs w:val="24"/>
                <w:vertAlign w:val="superscript"/>
              </w:rPr>
              <w:t xml:space="preserve">8 </w:t>
            </w:r>
            <w:r>
              <w:rPr>
                <w:rFonts w:ascii="Times New Roman" w:hAnsi="Times New Roman" w:cs="Times New Roman"/>
                <w:color w:val="000000" w:themeColor="text1"/>
                <w:sz w:val="24"/>
                <w:szCs w:val="24"/>
              </w:rPr>
              <w:t>MPN/L</w:t>
            </w:r>
            <w:r>
              <w:rPr>
                <w:rFonts w:hint="eastAsia" w:ascii="Times New Roman" w:hAnsi="Times New Roman" w:cs="Times New Roman"/>
                <w:color w:val="000000" w:themeColor="text1"/>
                <w:sz w:val="24"/>
                <w:szCs w:val="24"/>
              </w:rPr>
              <w:t>；综合废水经厂区污水处理站处理达到《农田灌溉水质标准》（GB5084-2021）后用于项目区周围农田（旱地作物）灌溉，不直接排入环境。</w:t>
            </w:r>
            <w:r>
              <w:rPr>
                <w:rFonts w:ascii="Times New Roman" w:hAnsi="Times New Roman" w:cs="Times New Roman"/>
                <w:color w:val="000000" w:themeColor="text1"/>
                <w:sz w:val="24"/>
                <w:szCs w:val="24"/>
              </w:rPr>
              <w:t>该改建项目不需进行废水总量控制。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20" w:firstLineChars="200"/>
              <w:rPr>
                <w:rFonts w:ascii="Times New Roman" w:hAnsi="Times New Roman" w:cs="Times New Roman"/>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39"/>
              <w:ind w:firstLine="482"/>
              <w:rPr>
                <w:rFonts w:eastAsiaTheme="minorEastAsia"/>
                <w:b/>
                <w:color w:val="000000" w:themeColor="text1"/>
                <w:szCs w:val="24"/>
              </w:rPr>
            </w:pPr>
            <w:r>
              <w:rPr>
                <w:rFonts w:eastAsiaTheme="minorEastAsia"/>
                <w:b/>
                <w:color w:val="000000" w:themeColor="text1"/>
                <w:szCs w:val="24"/>
              </w:rPr>
              <w:t xml:space="preserve">4.1.1 </w:t>
            </w:r>
            <w:r>
              <w:rPr>
                <w:rFonts w:hAnsiTheme="minorEastAsia" w:eastAsiaTheme="minorEastAsia"/>
                <w:b/>
                <w:color w:val="000000" w:themeColor="text1"/>
                <w:szCs w:val="24"/>
              </w:rPr>
              <w:t>施工期废气污染防治措施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该改建项目施工期产生的大气污染物主要产生源有：施工机械设备燃油产生的废气、建筑材料装卸、运输、堆砌以及运输过程中造成的扬尘等。项目施工期拟采取的扬尘防治措施主要</w:t>
            </w:r>
            <w:r>
              <w:rPr>
                <w:rFonts w:hint="eastAsia" w:ascii="Times New Roman" w:cs="Times New Roman" w:hAnsiTheme="minorEastAsia"/>
                <w:color w:val="000000" w:themeColor="text1"/>
                <w:sz w:val="24"/>
                <w:szCs w:val="24"/>
              </w:rPr>
              <w:t>为</w:t>
            </w:r>
            <w:r>
              <w:rPr>
                <w:rFonts w:ascii="Times New Roman" w:cs="Times New Roman" w:hAnsiTheme="minorEastAsia"/>
                <w:color w:val="000000" w:themeColor="text1"/>
                <w:sz w:val="24"/>
                <w:szCs w:val="24"/>
              </w:rPr>
              <w:t>：加强施工现场运输车辆管理。进出建筑工地的运输车辆必须车身整洁，装载车厢完好</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装载货物堆码整齐，不得污染道路；运输车辆严禁带泥上路，严禁超载，渣土及易抛洒材料实行封闭车辆运输，防止建筑材料、垃圾和尘土飞扬、洒落和流溢</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在进出施工工地的出入口地面设置湿润的草席</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以减轻汽车轮胎行驶携带的扬尘。</w:t>
            </w:r>
          </w:p>
          <w:p>
            <w:pPr>
              <w:pStyle w:val="39"/>
              <w:ind w:firstLine="482"/>
              <w:rPr>
                <w:rFonts w:eastAsiaTheme="minorEastAsia"/>
                <w:b/>
                <w:color w:val="000000" w:themeColor="text1"/>
                <w:szCs w:val="24"/>
              </w:rPr>
            </w:pPr>
            <w:r>
              <w:rPr>
                <w:rFonts w:eastAsiaTheme="minorEastAsia"/>
                <w:b/>
                <w:color w:val="000000" w:themeColor="text1"/>
                <w:szCs w:val="24"/>
              </w:rPr>
              <w:t xml:space="preserve">4.1.2 </w:t>
            </w:r>
            <w:r>
              <w:rPr>
                <w:rFonts w:hAnsiTheme="minorEastAsia" w:eastAsiaTheme="minorEastAsia"/>
                <w:b/>
                <w:color w:val="000000" w:themeColor="text1"/>
                <w:szCs w:val="24"/>
              </w:rPr>
              <w:t>施工期废水污染防治措施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该改建项目施工量较小，施工过程使用的少量施工用水全部自然蒸发，无施工废水产生。</w:t>
            </w:r>
            <w:r>
              <w:rPr>
                <w:rFonts w:hint="eastAsia" w:ascii="Times New Roman" w:cs="Times New Roman" w:hAnsiTheme="minorEastAsia"/>
                <w:color w:val="000000" w:themeColor="text1"/>
                <w:sz w:val="24"/>
                <w:szCs w:val="24"/>
              </w:rPr>
              <w:t>而施工期产生的生活污水依托现有污水处理设施处理后用于周围农田灌溉</w:t>
            </w:r>
            <w:r>
              <w:rPr>
                <w:rFonts w:ascii="Times New Roman" w:cs="Times New Roman" w:hAnsiTheme="minorEastAsia"/>
                <w:color w:val="000000" w:themeColor="text1"/>
                <w:sz w:val="24"/>
                <w:szCs w:val="24"/>
              </w:rPr>
              <w:t>。</w:t>
            </w:r>
          </w:p>
          <w:p>
            <w:pPr>
              <w:pStyle w:val="39"/>
              <w:ind w:firstLine="482"/>
              <w:rPr>
                <w:rFonts w:eastAsiaTheme="minorEastAsia"/>
                <w:b/>
                <w:color w:val="000000" w:themeColor="text1"/>
                <w:szCs w:val="24"/>
              </w:rPr>
            </w:pPr>
            <w:r>
              <w:rPr>
                <w:rFonts w:eastAsiaTheme="minorEastAsia"/>
                <w:b/>
                <w:color w:val="000000" w:themeColor="text1"/>
                <w:szCs w:val="24"/>
              </w:rPr>
              <w:t xml:space="preserve">4.1.3 </w:t>
            </w:r>
            <w:r>
              <w:rPr>
                <w:rFonts w:hAnsiTheme="minorEastAsia" w:eastAsiaTheme="minorEastAsia"/>
                <w:b/>
                <w:color w:val="000000" w:themeColor="text1"/>
                <w:szCs w:val="24"/>
              </w:rPr>
              <w:t>施工期噪声污染防治措施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该改建项目机械设备使用时间较少，</w:t>
            </w:r>
            <w:r>
              <w:rPr>
                <w:rFonts w:hint="eastAsia" w:ascii="Times New Roman" w:cs="Times New Roman" w:hAnsiTheme="minorEastAsia"/>
                <w:color w:val="000000" w:themeColor="text1"/>
                <w:sz w:val="24"/>
                <w:szCs w:val="24"/>
              </w:rPr>
              <w:t>主要采取的</w:t>
            </w:r>
            <w:r>
              <w:rPr>
                <w:rFonts w:ascii="Times New Roman" w:cs="Times New Roman" w:hAnsiTheme="minorEastAsia"/>
                <w:color w:val="000000" w:themeColor="text1"/>
                <w:sz w:val="24"/>
                <w:szCs w:val="24"/>
              </w:rPr>
              <w:t>施工噪声</w:t>
            </w:r>
            <w:r>
              <w:rPr>
                <w:rFonts w:hint="eastAsia" w:ascii="Times New Roman" w:cs="Times New Roman" w:hAnsiTheme="minorEastAsia"/>
                <w:color w:val="000000" w:themeColor="text1"/>
                <w:sz w:val="24"/>
                <w:szCs w:val="24"/>
              </w:rPr>
              <w:t>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r>
              <w:rPr>
                <w:rFonts w:hint="eastAsia" w:ascii="Times New Roman" w:cs="Times New Roman" w:hAnsiTheme="minorEastAsia"/>
                <w:color w:val="000000" w:themeColor="text1"/>
                <w:sz w:val="24"/>
                <w:szCs w:val="24"/>
              </w:rPr>
              <w:t>。</w:t>
            </w:r>
          </w:p>
          <w:p>
            <w:pPr>
              <w:pStyle w:val="39"/>
              <w:ind w:firstLine="482"/>
              <w:rPr>
                <w:rFonts w:eastAsiaTheme="minorEastAsia"/>
                <w:b/>
                <w:color w:val="000000" w:themeColor="text1"/>
                <w:szCs w:val="24"/>
              </w:rPr>
            </w:pPr>
            <w:r>
              <w:rPr>
                <w:rFonts w:eastAsiaTheme="minorEastAsia"/>
                <w:b/>
                <w:color w:val="000000" w:themeColor="text1"/>
                <w:szCs w:val="24"/>
              </w:rPr>
              <w:t xml:space="preserve">4.1.4 </w:t>
            </w:r>
            <w:r>
              <w:rPr>
                <w:rFonts w:hAnsiTheme="minorEastAsia" w:eastAsiaTheme="minorEastAsia"/>
                <w:b/>
                <w:color w:val="000000" w:themeColor="text1"/>
                <w:szCs w:val="24"/>
              </w:rPr>
              <w:t>施工期固体废物污染防治措施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该改建项目施工期产生的固体废弃物主要包括建筑垃圾和施工人员产生的生活垃圾。</w:t>
            </w:r>
            <w:r>
              <w:rPr>
                <w:rFonts w:hint="eastAsia" w:ascii="Times New Roman" w:cs="Times New Roman" w:hAnsiTheme="minorEastAsia"/>
                <w:color w:val="000000" w:themeColor="text1"/>
                <w:sz w:val="24"/>
                <w:szCs w:val="24"/>
              </w:rPr>
              <w:t>主要采取的</w:t>
            </w:r>
            <w:r>
              <w:rPr>
                <w:rFonts w:ascii="Times New Roman" w:cs="Times New Roman" w:hAnsiTheme="minorEastAsia"/>
                <w:color w:val="000000" w:themeColor="text1"/>
                <w:sz w:val="24"/>
                <w:szCs w:val="24"/>
              </w:rPr>
              <w:t>施工固废</w:t>
            </w:r>
            <w:r>
              <w:rPr>
                <w:rFonts w:hint="eastAsia" w:ascii="Times New Roman" w:cs="Times New Roman" w:hAnsiTheme="minorEastAsia"/>
                <w:color w:val="000000" w:themeColor="text1"/>
                <w:sz w:val="24"/>
                <w:szCs w:val="24"/>
              </w:rPr>
              <w:t>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①建设垃圾包括混凝土块、废木材、废钢材等，严格按照园区的要求，对其进行分类收集，其中废钢材收集后外售废品收购站，其他不能回收部分运至</w:t>
            </w:r>
            <w:r>
              <w:rPr>
                <w:rFonts w:hint="eastAsia" w:ascii="Times New Roman" w:cs="Times New Roman" w:hAnsiTheme="minorEastAsia"/>
                <w:color w:val="000000" w:themeColor="text1"/>
                <w:sz w:val="24"/>
                <w:szCs w:val="24"/>
              </w:rPr>
              <w:t>相关管理部门</w:t>
            </w:r>
            <w:r>
              <w:rPr>
                <w:rFonts w:ascii="Times New Roman" w:cs="Times New Roman" w:hAnsiTheme="minorEastAsia"/>
                <w:color w:val="000000" w:themeColor="text1"/>
                <w:sz w:val="24"/>
                <w:szCs w:val="24"/>
              </w:rPr>
              <w:t>指定地点进行合理处置</w:t>
            </w:r>
          </w:p>
          <w:p>
            <w:pPr>
              <w:spacing w:line="360" w:lineRule="auto"/>
              <w:ind w:firstLine="480" w:firstLineChars="200"/>
              <w:rPr>
                <w:rFonts w:hint="eastAsia"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②生活垃圾委托环卫部门清运处置。</w:t>
            </w:r>
          </w:p>
          <w:p>
            <w:pPr>
              <w:spacing w:line="360" w:lineRule="auto"/>
              <w:ind w:firstLine="480" w:firstLineChars="200"/>
              <w:rPr>
                <w:rFonts w:hint="eastAsia" w:ascii="Times New Roman" w:cs="Times New Roman" w:hAnsiTheme="minorEastAsia"/>
                <w:color w:val="000000" w:themeColor="text1"/>
                <w:sz w:val="24"/>
                <w:szCs w:val="24"/>
              </w:rPr>
            </w:pPr>
          </w:p>
          <w:p>
            <w:pPr>
              <w:spacing w:line="360" w:lineRule="auto"/>
              <w:ind w:firstLine="480" w:firstLineChars="200"/>
              <w:rPr>
                <w:rFonts w:hint="eastAsia"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根据项目建设内容及生产工艺，项目主要废气为无组织排放恶臭气体。</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恶臭主要产生于项目待宰间、屠宰间、污水处理系统等区域，主要猪粪及污泥产生的，为无组织排放，由于《排放源统计调查产排污核算方法和系数手册》中“135屠宰及肉类加工行业系数手册”无恶臭气体相关核算系数，因此项目类比原有项目进行核算，根据原有项目环评的分析，正常情况下恶臭气体中氨的产生浓度在15-30mg/m³之间，硫化氢产生浓度在1.0-8.0mg/m³之间；通过加强对屠宰间、待宰间进行清洗，及时及时清运粪便，喷洒除臭剂等方式进行除臭；根据《昆明市东川区畜禽屠宰有限公司2020年年检监测项目报告》，氨平均排放浓度为0.16mg/m³、硫化氢平均排放浓度为0.015mg/m³，臭气浓度平均排放浓度为14.33（无量纲）；可达到《恶臭污染物排放标准》（GB14554-93）中二级无组织排放标准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废气污染物治理措施及排放方式一览表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4"/>
              <w:gridCol w:w="1275"/>
              <w:gridCol w:w="3402"/>
              <w:gridCol w:w="851"/>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14" w:type="dxa"/>
                  <w:vAlign w:val="center"/>
                </w:tcPr>
                <w:p>
                  <w:pPr>
                    <w:pStyle w:val="31"/>
                    <w:spacing w:line="360" w:lineRule="exact"/>
                    <w:rPr>
                      <w:color w:val="000000" w:themeColor="text1"/>
                      <w:szCs w:val="21"/>
                    </w:rPr>
                  </w:pPr>
                  <w:r>
                    <w:rPr>
                      <w:color w:val="000000" w:themeColor="text1"/>
                      <w:szCs w:val="21"/>
                    </w:rPr>
                    <w:t>产排污环节</w:t>
                  </w:r>
                </w:p>
              </w:tc>
              <w:tc>
                <w:tcPr>
                  <w:tcW w:w="1275" w:type="dxa"/>
                  <w:vAlign w:val="center"/>
                </w:tcPr>
                <w:p>
                  <w:pPr>
                    <w:pStyle w:val="31"/>
                    <w:spacing w:line="360" w:lineRule="exact"/>
                    <w:rPr>
                      <w:color w:val="000000" w:themeColor="text1"/>
                      <w:szCs w:val="21"/>
                    </w:rPr>
                  </w:pPr>
                  <w:r>
                    <w:rPr>
                      <w:color w:val="000000" w:themeColor="text1"/>
                      <w:szCs w:val="21"/>
                    </w:rPr>
                    <w:t>污染物种类</w:t>
                  </w:r>
                </w:p>
              </w:tc>
              <w:tc>
                <w:tcPr>
                  <w:tcW w:w="3402" w:type="dxa"/>
                  <w:vAlign w:val="center"/>
                </w:tcPr>
                <w:p>
                  <w:pPr>
                    <w:pStyle w:val="31"/>
                    <w:spacing w:line="360" w:lineRule="exact"/>
                    <w:rPr>
                      <w:color w:val="000000" w:themeColor="text1"/>
                      <w:szCs w:val="21"/>
                    </w:rPr>
                  </w:pPr>
                  <w:r>
                    <w:rPr>
                      <w:color w:val="000000" w:themeColor="text1"/>
                      <w:szCs w:val="21"/>
                    </w:rPr>
                    <w:t>治理设施及效率</w:t>
                  </w:r>
                </w:p>
              </w:tc>
              <w:tc>
                <w:tcPr>
                  <w:tcW w:w="85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1066" w:type="dxa"/>
                  <w:vAlign w:val="center"/>
                </w:tcPr>
                <w:p>
                  <w:pPr>
                    <w:pStyle w:val="31"/>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trPr>
              <w:tc>
                <w:tcPr>
                  <w:tcW w:w="2014" w:type="dxa"/>
                  <w:tcBorders>
                    <w:top w:val="single" w:color="auto" w:sz="4" w:space="0"/>
                  </w:tcBorders>
                  <w:vAlign w:val="center"/>
                </w:tcPr>
                <w:p>
                  <w:pPr>
                    <w:pStyle w:val="31"/>
                    <w:spacing w:line="360" w:lineRule="exact"/>
                    <w:rPr>
                      <w:color w:val="000000" w:themeColor="text1"/>
                      <w:szCs w:val="21"/>
                    </w:rPr>
                  </w:pPr>
                  <w:r>
                    <w:rPr>
                      <w:rFonts w:hint="eastAsia"/>
                      <w:color w:val="000000" w:themeColor="text1"/>
                      <w:szCs w:val="21"/>
                    </w:rPr>
                    <w:t>待宰间、屠宰间、污水处理系统等区域</w:t>
                  </w:r>
                </w:p>
              </w:tc>
              <w:tc>
                <w:tcPr>
                  <w:tcW w:w="1275" w:type="dxa"/>
                  <w:tcBorders>
                    <w:top w:val="single" w:color="auto" w:sz="4" w:space="0"/>
                  </w:tcBorders>
                  <w:vAlign w:val="center"/>
                </w:tcPr>
                <w:p>
                  <w:pPr>
                    <w:pStyle w:val="31"/>
                    <w:spacing w:line="360" w:lineRule="exact"/>
                    <w:rPr>
                      <w:color w:val="000000" w:themeColor="text1"/>
                      <w:szCs w:val="21"/>
                    </w:rPr>
                  </w:pPr>
                  <w:r>
                    <w:rPr>
                      <w:rFonts w:hint="eastAsia"/>
                      <w:color w:val="000000" w:themeColor="text1"/>
                      <w:szCs w:val="21"/>
                    </w:rPr>
                    <w:t>氨、硫化氢、臭气浓度</w:t>
                  </w:r>
                </w:p>
              </w:tc>
              <w:tc>
                <w:tcPr>
                  <w:tcW w:w="3402"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通过加强对屠宰间、待宰间进行清洗，及时及时清运粪便，喷洒除臭剂等方式进行除臭。</w:t>
                  </w:r>
                </w:p>
              </w:tc>
              <w:tc>
                <w:tcPr>
                  <w:tcW w:w="851" w:type="dxa"/>
                  <w:vAlign w:val="center"/>
                </w:tcPr>
                <w:p>
                  <w:pPr>
                    <w:pStyle w:val="31"/>
                    <w:spacing w:line="360" w:lineRule="exact"/>
                    <w:rPr>
                      <w:color w:val="000000" w:themeColor="text1"/>
                      <w:szCs w:val="21"/>
                    </w:rPr>
                  </w:pPr>
                  <w:r>
                    <w:rPr>
                      <w:color w:val="000000" w:themeColor="text1"/>
                      <w:szCs w:val="21"/>
                    </w:rPr>
                    <w:t>无组织</w:t>
                  </w:r>
                </w:p>
              </w:tc>
              <w:tc>
                <w:tcPr>
                  <w:tcW w:w="1066" w:type="dxa"/>
                  <w:vAlign w:val="center"/>
                </w:tcPr>
                <w:p>
                  <w:pPr>
                    <w:pStyle w:val="31"/>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废气污染物排放源产排量及达标情况一览表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47"/>
              <w:gridCol w:w="1134"/>
              <w:gridCol w:w="1134"/>
              <w:gridCol w:w="992"/>
              <w:gridCol w:w="1134"/>
              <w:gridCol w:w="1159"/>
              <w:gridCol w:w="934"/>
              <w:gridCol w:w="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restart"/>
                  <w:vAlign w:val="center"/>
                </w:tcPr>
                <w:p>
                  <w:pPr>
                    <w:pStyle w:val="31"/>
                    <w:spacing w:line="360" w:lineRule="exact"/>
                    <w:rPr>
                      <w:color w:val="000000" w:themeColor="text1"/>
                      <w:szCs w:val="21"/>
                    </w:rPr>
                  </w:pPr>
                  <w:r>
                    <w:rPr>
                      <w:color w:val="000000" w:themeColor="text1"/>
                      <w:szCs w:val="21"/>
                    </w:rPr>
                    <w:t>产排污环节</w:t>
                  </w:r>
                </w:p>
              </w:tc>
              <w:tc>
                <w:tcPr>
                  <w:tcW w:w="1134" w:type="dxa"/>
                  <w:vMerge w:val="restart"/>
                  <w:vAlign w:val="center"/>
                </w:tcPr>
                <w:p>
                  <w:pPr>
                    <w:pStyle w:val="31"/>
                    <w:spacing w:line="360" w:lineRule="exact"/>
                    <w:rPr>
                      <w:color w:val="000000" w:themeColor="text1"/>
                      <w:szCs w:val="21"/>
                    </w:rPr>
                  </w:pPr>
                  <w:r>
                    <w:rPr>
                      <w:color w:val="000000" w:themeColor="text1"/>
                      <w:szCs w:val="21"/>
                    </w:rPr>
                    <w:t>污染物种类</w:t>
                  </w:r>
                </w:p>
              </w:tc>
              <w:tc>
                <w:tcPr>
                  <w:tcW w:w="2126" w:type="dxa"/>
                  <w:gridSpan w:val="2"/>
                  <w:vAlign w:val="center"/>
                </w:tcPr>
                <w:p>
                  <w:pPr>
                    <w:pStyle w:val="31"/>
                    <w:spacing w:line="360" w:lineRule="exact"/>
                    <w:rPr>
                      <w:color w:val="000000" w:themeColor="text1"/>
                      <w:szCs w:val="21"/>
                    </w:rPr>
                  </w:pPr>
                  <w:r>
                    <w:rPr>
                      <w:color w:val="000000" w:themeColor="text1"/>
                      <w:szCs w:val="21"/>
                    </w:rPr>
                    <w:t>污染物产生情况</w:t>
                  </w:r>
                </w:p>
              </w:tc>
              <w:tc>
                <w:tcPr>
                  <w:tcW w:w="2293"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9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7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continue"/>
                  <w:vAlign w:val="center"/>
                </w:tcPr>
                <w:p>
                  <w:pPr>
                    <w:pStyle w:val="31"/>
                    <w:spacing w:line="360" w:lineRule="exact"/>
                    <w:rPr>
                      <w:color w:val="000000" w:themeColor="text1"/>
                      <w:szCs w:val="21"/>
                    </w:rPr>
                  </w:pPr>
                </w:p>
              </w:tc>
              <w:tc>
                <w:tcPr>
                  <w:tcW w:w="1134" w:type="dxa"/>
                  <w:vMerge w:val="continue"/>
                  <w:vAlign w:val="center"/>
                </w:tcPr>
                <w:p>
                  <w:pPr>
                    <w:pStyle w:val="31"/>
                    <w:spacing w:line="360" w:lineRule="exact"/>
                    <w:rPr>
                      <w:color w:val="000000" w:themeColor="text1"/>
                      <w:szCs w:val="21"/>
                    </w:rPr>
                  </w:pPr>
                </w:p>
              </w:tc>
              <w:tc>
                <w:tcPr>
                  <w:tcW w:w="1134" w:type="dxa"/>
                  <w:vAlign w:val="center"/>
                </w:tcPr>
                <w:p>
                  <w:pPr>
                    <w:pStyle w:val="31"/>
                    <w:spacing w:line="360" w:lineRule="exact"/>
                    <w:rPr>
                      <w:color w:val="000000" w:themeColor="text1"/>
                      <w:szCs w:val="21"/>
                    </w:rPr>
                  </w:pPr>
                  <w:r>
                    <w:rPr>
                      <w:color w:val="000000" w:themeColor="text1"/>
                      <w:szCs w:val="21"/>
                    </w:rPr>
                    <w:t>产生浓度mg/m³</w:t>
                  </w:r>
                </w:p>
              </w:tc>
              <w:tc>
                <w:tcPr>
                  <w:tcW w:w="992" w:type="dxa"/>
                  <w:vAlign w:val="center"/>
                </w:tcPr>
                <w:p>
                  <w:pPr>
                    <w:pStyle w:val="31"/>
                    <w:spacing w:line="360" w:lineRule="exact"/>
                    <w:rPr>
                      <w:color w:val="000000" w:themeColor="text1"/>
                      <w:szCs w:val="21"/>
                    </w:rPr>
                  </w:pPr>
                  <w:r>
                    <w:rPr>
                      <w:color w:val="000000" w:themeColor="text1"/>
                      <w:szCs w:val="21"/>
                    </w:rPr>
                    <w:t>产生量t/a</w:t>
                  </w:r>
                </w:p>
              </w:tc>
              <w:tc>
                <w:tcPr>
                  <w:tcW w:w="1134" w:type="dxa"/>
                  <w:vAlign w:val="center"/>
                </w:tcPr>
                <w:p>
                  <w:pPr>
                    <w:pStyle w:val="31"/>
                    <w:spacing w:line="360" w:lineRule="exact"/>
                    <w:rPr>
                      <w:color w:val="000000" w:themeColor="text1"/>
                      <w:szCs w:val="21"/>
                    </w:rPr>
                  </w:pPr>
                  <w:r>
                    <w:rPr>
                      <w:color w:val="000000" w:themeColor="text1"/>
                      <w:szCs w:val="21"/>
                    </w:rPr>
                    <w:t>排放浓度mg/m³</w:t>
                  </w:r>
                </w:p>
              </w:tc>
              <w:tc>
                <w:tcPr>
                  <w:tcW w:w="1159" w:type="dxa"/>
                  <w:tcBorders>
                    <w:top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排放量t/a</w:t>
                  </w:r>
                </w:p>
              </w:tc>
              <w:tc>
                <w:tcPr>
                  <w:tcW w:w="934" w:type="dxa"/>
                  <w:vMerge w:val="continue"/>
                  <w:vAlign w:val="center"/>
                </w:tcPr>
                <w:p>
                  <w:pPr>
                    <w:pStyle w:val="31"/>
                    <w:spacing w:line="360" w:lineRule="exact"/>
                    <w:rPr>
                      <w:color w:val="000000" w:themeColor="text1"/>
                      <w:szCs w:val="21"/>
                    </w:rPr>
                  </w:pPr>
                </w:p>
              </w:tc>
              <w:tc>
                <w:tcPr>
                  <w:tcW w:w="6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restart"/>
                  <w:tcBorders>
                    <w:top w:val="single" w:color="auto" w:sz="4" w:space="0"/>
                  </w:tcBorders>
                  <w:vAlign w:val="center"/>
                </w:tcPr>
                <w:p>
                  <w:pPr>
                    <w:pStyle w:val="31"/>
                    <w:spacing w:line="360" w:lineRule="exact"/>
                    <w:rPr>
                      <w:color w:val="000000" w:themeColor="text1"/>
                      <w:szCs w:val="21"/>
                    </w:rPr>
                  </w:pPr>
                  <w:r>
                    <w:rPr>
                      <w:color w:val="000000" w:themeColor="text1"/>
                      <w:szCs w:val="21"/>
                    </w:rPr>
                    <w:t>待宰间、屠宰间、污水处理系统等区域</w:t>
                  </w:r>
                </w:p>
              </w:tc>
              <w:tc>
                <w:tcPr>
                  <w:tcW w:w="1134"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氨</w:t>
                  </w:r>
                </w:p>
              </w:tc>
              <w:tc>
                <w:tcPr>
                  <w:tcW w:w="2126" w:type="dxa"/>
                  <w:gridSpan w:val="2"/>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15-30mg/m³</w:t>
                  </w:r>
                </w:p>
              </w:tc>
              <w:tc>
                <w:tcPr>
                  <w:tcW w:w="2293" w:type="dxa"/>
                  <w:gridSpan w:val="2"/>
                  <w:tcBorders>
                    <w:right w:val="single" w:color="auto" w:sz="4" w:space="0"/>
                  </w:tcBorders>
                  <w:vAlign w:val="center"/>
                </w:tcPr>
                <w:p>
                  <w:pPr>
                    <w:pStyle w:val="31"/>
                    <w:spacing w:line="360" w:lineRule="exact"/>
                    <w:rPr>
                      <w:color w:val="000000" w:themeColor="text1"/>
                      <w:szCs w:val="21"/>
                    </w:rPr>
                  </w:pPr>
                  <w:r>
                    <w:rPr>
                      <w:color w:val="000000" w:themeColor="text1"/>
                      <w:szCs w:val="21"/>
                    </w:rPr>
                    <w:t>0.16mg/m³</w:t>
                  </w:r>
                </w:p>
              </w:tc>
              <w:tc>
                <w:tcPr>
                  <w:tcW w:w="934"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1.5</w:t>
                  </w:r>
                </w:p>
              </w:tc>
              <w:tc>
                <w:tcPr>
                  <w:tcW w:w="674" w:type="dxa"/>
                  <w:tcBorders>
                    <w:top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continue"/>
                  <w:vAlign w:val="center"/>
                </w:tcPr>
                <w:p>
                  <w:pPr>
                    <w:pStyle w:val="31"/>
                    <w:spacing w:line="360" w:lineRule="exact"/>
                    <w:rPr>
                      <w:color w:val="000000" w:themeColor="text1"/>
                      <w:szCs w:val="21"/>
                    </w:rPr>
                  </w:pPr>
                </w:p>
              </w:tc>
              <w:tc>
                <w:tcPr>
                  <w:tcW w:w="1134"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硫化氢</w:t>
                  </w:r>
                </w:p>
              </w:tc>
              <w:tc>
                <w:tcPr>
                  <w:tcW w:w="2126" w:type="dxa"/>
                  <w:gridSpan w:val="2"/>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1.0-8.0mg/m³</w:t>
                  </w:r>
                </w:p>
              </w:tc>
              <w:tc>
                <w:tcPr>
                  <w:tcW w:w="2293" w:type="dxa"/>
                  <w:gridSpan w:val="2"/>
                  <w:tcBorders>
                    <w:right w:val="single" w:color="auto" w:sz="4" w:space="0"/>
                  </w:tcBorders>
                  <w:vAlign w:val="center"/>
                </w:tcPr>
                <w:p>
                  <w:pPr>
                    <w:pStyle w:val="31"/>
                    <w:spacing w:line="360" w:lineRule="exact"/>
                    <w:rPr>
                      <w:color w:val="000000" w:themeColor="text1"/>
                      <w:szCs w:val="21"/>
                    </w:rPr>
                  </w:pPr>
                  <w:r>
                    <w:rPr>
                      <w:color w:val="000000" w:themeColor="text1"/>
                      <w:szCs w:val="21"/>
                    </w:rPr>
                    <w:t>0.015mg/m³</w:t>
                  </w:r>
                </w:p>
              </w:tc>
              <w:tc>
                <w:tcPr>
                  <w:tcW w:w="934"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0.06</w:t>
                  </w:r>
                </w:p>
              </w:tc>
              <w:tc>
                <w:tcPr>
                  <w:tcW w:w="674" w:type="dxa"/>
                  <w:tcBorders>
                    <w:top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continue"/>
                  <w:vAlign w:val="center"/>
                </w:tcPr>
                <w:p>
                  <w:pPr>
                    <w:pStyle w:val="31"/>
                    <w:spacing w:line="360" w:lineRule="exact"/>
                    <w:rPr>
                      <w:color w:val="000000" w:themeColor="text1"/>
                      <w:szCs w:val="21"/>
                    </w:rPr>
                  </w:pPr>
                </w:p>
              </w:tc>
              <w:tc>
                <w:tcPr>
                  <w:tcW w:w="1134"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恶臭</w:t>
                  </w:r>
                </w:p>
              </w:tc>
              <w:tc>
                <w:tcPr>
                  <w:tcW w:w="2126" w:type="dxa"/>
                  <w:gridSpan w:val="2"/>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293" w:type="dxa"/>
                  <w:gridSpan w:val="2"/>
                  <w:tcBorders>
                    <w:right w:val="single" w:color="auto" w:sz="4" w:space="0"/>
                  </w:tcBorders>
                  <w:vAlign w:val="center"/>
                </w:tcPr>
                <w:p>
                  <w:pPr>
                    <w:pStyle w:val="31"/>
                    <w:spacing w:line="360" w:lineRule="exact"/>
                    <w:rPr>
                      <w:color w:val="000000" w:themeColor="text1"/>
                      <w:szCs w:val="21"/>
                    </w:rPr>
                  </w:pPr>
                  <w:r>
                    <w:rPr>
                      <w:color w:val="000000" w:themeColor="text1"/>
                      <w:szCs w:val="21"/>
                    </w:rPr>
                    <w:t>14.33（无量纲）</w:t>
                  </w:r>
                </w:p>
              </w:tc>
              <w:tc>
                <w:tcPr>
                  <w:tcW w:w="934"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20（无量纲）</w:t>
                  </w:r>
                </w:p>
              </w:tc>
              <w:tc>
                <w:tcPr>
                  <w:tcW w:w="674"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bl>
          <w:p>
            <w:pPr>
              <w:pStyle w:val="39"/>
              <w:spacing w:beforeLines="50"/>
              <w:ind w:firstLine="480"/>
              <w:rPr>
                <w:color w:val="000000" w:themeColor="text1"/>
                <w:szCs w:val="24"/>
              </w:rPr>
            </w:pPr>
            <w:r>
              <w:rPr>
                <w:color w:val="000000" w:themeColor="text1"/>
                <w:szCs w:val="24"/>
              </w:rPr>
              <w:t>由上表可知，项目恶臭可达到《恶臭污染物排放标准》（GB14554-93）中二级无组织排放标准要求</w:t>
            </w:r>
            <w:r>
              <w:rPr>
                <w:rFonts w:hint="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通过加强对屠宰间、待宰间进行清洗，及时及时清运粪便，喷洒除臭剂等方式进行除臭。属于</w:t>
            </w:r>
            <w:r>
              <w:rPr>
                <w:rFonts w:ascii="Times New Roman" w:hAnsi="Times New Roman" w:cs="Times New Roman"/>
                <w:color w:val="000000" w:themeColor="text1"/>
                <w:sz w:val="24"/>
                <w:szCs w:val="24"/>
              </w:rPr>
              <w:t>《排污许可证申请与核发技术规范 农副食品加工工业-屠宰及肉类加工工业》（HJ 860.3-2018）明确的可行技术；措施可行。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总则》（HJ819-2017）和《排污许可证申请与核发技术规范 农副食品加工工业-屠宰及肉类加工工业》（HJ 860.3-2018）的要求，项目废气自行监测要求如下表所示。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表4.2.1-7  项目运营期废气自行监测计划一览表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39"/>
              <w:gridCol w:w="1806"/>
              <w:gridCol w:w="157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对象</w:t>
                  </w:r>
                </w:p>
              </w:tc>
              <w:tc>
                <w:tcPr>
                  <w:tcW w:w="153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监测点位</w:t>
                  </w:r>
                </w:p>
              </w:tc>
              <w:tc>
                <w:tcPr>
                  <w:tcW w:w="180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监测因子</w:t>
                  </w:r>
                </w:p>
              </w:tc>
              <w:tc>
                <w:tcPr>
                  <w:tcW w:w="157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废气</w:t>
                  </w:r>
                </w:p>
              </w:tc>
              <w:tc>
                <w:tcPr>
                  <w:tcW w:w="153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厂界</w:t>
                  </w:r>
                </w:p>
              </w:tc>
              <w:tc>
                <w:tcPr>
                  <w:tcW w:w="1806" w:type="dxa"/>
                  <w:vAlign w:val="center"/>
                </w:tcPr>
                <w:p>
                  <w:pPr>
                    <w:pStyle w:val="31"/>
                    <w:spacing w:line="360" w:lineRule="exact"/>
                    <w:rPr>
                      <w:rFonts w:eastAsiaTheme="minorEastAsia"/>
                      <w:color w:val="000000" w:themeColor="text1"/>
                      <w:szCs w:val="21"/>
                    </w:rPr>
                  </w:pPr>
                  <w:r>
                    <w:rPr>
                      <w:rFonts w:hint="eastAsia"/>
                      <w:color w:val="000000" w:themeColor="text1"/>
                      <w:szCs w:val="21"/>
                    </w:rPr>
                    <w:t>氨、硫化氢</w:t>
                  </w:r>
                  <w:r>
                    <w:rPr>
                      <w:rFonts w:eastAsiaTheme="minorEastAsia"/>
                      <w:color w:val="000000" w:themeColor="text1"/>
                      <w:szCs w:val="21"/>
                    </w:rPr>
                    <w:t>、臭气浓度</w:t>
                  </w:r>
                </w:p>
              </w:tc>
              <w:tc>
                <w:tcPr>
                  <w:tcW w:w="157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半</w:t>
                  </w:r>
                  <w:r>
                    <w:rPr>
                      <w:rFonts w:eastAsiaTheme="minorEastAsia"/>
                      <w:color w:val="000000" w:themeColor="text1"/>
                      <w:szCs w:val="21"/>
                    </w:rPr>
                    <w:t>年</w:t>
                  </w:r>
                </w:p>
              </w:tc>
              <w:tc>
                <w:tcPr>
                  <w:tcW w:w="2926" w:type="dxa"/>
                  <w:vAlign w:val="center"/>
                </w:tcPr>
                <w:p>
                  <w:pPr>
                    <w:pStyle w:val="31"/>
                    <w:spacing w:line="360" w:lineRule="exact"/>
                    <w:ind w:firstLine="210" w:firstLineChars="100"/>
                    <w:jc w:val="both"/>
                    <w:rPr>
                      <w:color w:val="000000" w:themeColor="text1"/>
                      <w:szCs w:val="21"/>
                    </w:rPr>
                  </w:pPr>
                  <w:r>
                    <w:rPr>
                      <w:color w:val="000000" w:themeColor="text1"/>
                      <w:szCs w:val="21"/>
                    </w:rPr>
                    <w:t>《恶臭污染物排放标准》（GB14554-93）</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项目恶臭气体无组织排放，因此基本不存在</w:t>
            </w:r>
            <w:r>
              <w:rPr>
                <w:rFonts w:ascii="Times New Roman" w:hAnsi="Times New Roman" w:cs="Times New Roman"/>
                <w:color w:val="000000" w:themeColor="text1"/>
                <w:sz w:val="24"/>
                <w:szCs w:val="24"/>
              </w:rPr>
              <w:t>非正常情况</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项目恶臭可达到《恶臭污染物排放标准》（GB14554-93）中二级无组织排放标准要求。且项目位于环境空气质量达标区，项目所在区域基本污染因子环境质量现状均可达到《环境空气质量标准》（GB3095-2012）二级标准；项目环境保护目标西</w:t>
            </w:r>
            <w:r>
              <w:rPr>
                <w:rFonts w:hint="eastAsia" w:ascii="Times New Roman" w:hAnsi="Times New Roman" w:cs="Times New Roman"/>
                <w:color w:val="000000" w:themeColor="text1"/>
                <w:sz w:val="24"/>
                <w:szCs w:val="24"/>
              </w:rPr>
              <w:t>北</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185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的龙洞村和西</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63</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窝塘地</w:t>
            </w:r>
            <w:r>
              <w:rPr>
                <w:rFonts w:ascii="Times New Roman" w:hAnsi="Times New Roman" w:cs="Times New Roman"/>
                <w:color w:val="000000" w:themeColor="text1"/>
                <w:sz w:val="24"/>
                <w:szCs w:val="24"/>
              </w:rPr>
              <w:t>，均距离该改建项目较远，因此项目废气对环境保护目标影响较小。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根据项目水平衡计算可知，项目供排水统计情况详见下表。</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表4.2.2-1  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300"/>
              <w:gridCol w:w="1134"/>
              <w:gridCol w:w="283"/>
              <w:gridCol w:w="1134"/>
              <w:gridCol w:w="1134"/>
              <w:gridCol w:w="1276"/>
              <w:gridCol w:w="1418"/>
              <w:gridCol w:w="919"/>
            </w:tblGrid>
            <w:tr>
              <w:tblPrEx>
                <w:tblLayout w:type="fixed"/>
                <w:tblCellMar>
                  <w:top w:w="0" w:type="dxa"/>
                  <w:left w:w="108" w:type="dxa"/>
                  <w:bottom w:w="0" w:type="dxa"/>
                  <w:right w:w="108" w:type="dxa"/>
                </w:tblCellMar>
              </w:tblPrEx>
              <w:trPr>
                <w:trHeight w:val="67" w:hRule="atLeast"/>
                <w:jc w:val="center"/>
              </w:trPr>
              <w:tc>
                <w:tcPr>
                  <w:tcW w:w="130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用水单元</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规模</w:t>
                  </w:r>
                </w:p>
              </w:tc>
              <w:tc>
                <w:tcPr>
                  <w:tcW w:w="141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用水定额</w:t>
                  </w:r>
                </w:p>
              </w:tc>
              <w:tc>
                <w:tcPr>
                  <w:tcW w:w="2410"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用水量</w:t>
                  </w:r>
                </w:p>
              </w:tc>
              <w:tc>
                <w:tcPr>
                  <w:tcW w:w="2337"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300" w:type="dxa"/>
                  <w:vMerge w:val="continue"/>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p>
              </w:tc>
              <w:tc>
                <w:tcPr>
                  <w:tcW w:w="1417"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m³/d</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m³/a</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m³/d</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生产废水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195头/d</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0.535吨/头</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hint="eastAsia" w:eastAsiaTheme="minorEastAsia"/>
                      <w:color w:val="000000" w:themeColor="text1"/>
                    </w:rPr>
                    <w:t>136.11</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hint="eastAsia" w:eastAsiaTheme="minorEastAsia"/>
                      <w:color w:val="000000" w:themeColor="text1"/>
                    </w:rPr>
                    <w:t>49000</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hint="eastAsia" w:eastAsiaTheme="minorEastAsia"/>
                      <w:color w:val="000000" w:themeColor="text1"/>
                    </w:rPr>
                    <w:t>136.11</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hint="eastAsia" w:eastAsiaTheme="minorEastAsia"/>
                      <w:color w:val="000000" w:themeColor="text1"/>
                    </w:rPr>
                    <w:t>49000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生活用水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30人</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40L/d·人</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432</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0.96</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345.6</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消毒用水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3m³/d</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1080</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432</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绿化用水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500m²</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3L/（m²·次）</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1.5</w:t>
                  </w:r>
                </w:p>
              </w:tc>
              <w:tc>
                <w:tcPr>
                  <w:tcW w:w="12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382.5</w:t>
                  </w:r>
                </w:p>
              </w:tc>
              <w:tc>
                <w:tcPr>
                  <w:tcW w:w="141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初期雨水</w:t>
                  </w:r>
                </w:p>
              </w:tc>
              <w:tc>
                <w:tcPr>
                  <w:tcW w:w="2551" w:type="dxa"/>
                  <w:gridSpan w:val="3"/>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3360m²</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418"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6.5m³/次</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30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合计</w:t>
                  </w:r>
                </w:p>
              </w:tc>
              <w:tc>
                <w:tcPr>
                  <w:tcW w:w="1417" w:type="dxa"/>
                  <w:gridSpan w:val="2"/>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141.81</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50894.5</w:t>
                  </w:r>
                </w:p>
              </w:tc>
              <w:tc>
                <w:tcPr>
                  <w:tcW w:w="1418" w:type="dxa"/>
                  <w:tcBorders>
                    <w:top w:val="single" w:color="auto" w:sz="8" w:space="0"/>
                    <w:left w:val="nil"/>
                    <w:bottom w:val="single" w:color="auto" w:sz="8" w:space="0"/>
                    <w:right w:val="single" w:color="auto" w:sz="4"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138.27</w:t>
                  </w:r>
                </w:p>
              </w:tc>
              <w:tc>
                <w:tcPr>
                  <w:tcW w:w="919"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49777.6</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2"/>
              <w:gridCol w:w="719"/>
              <w:gridCol w:w="1970"/>
              <w:gridCol w:w="3260"/>
              <w:gridCol w:w="993"/>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产排污环节</w:t>
                  </w:r>
                </w:p>
              </w:tc>
              <w:tc>
                <w:tcPr>
                  <w:tcW w:w="71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类别</w:t>
                  </w: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污染物种类</w:t>
                  </w:r>
                </w:p>
              </w:tc>
              <w:tc>
                <w:tcPr>
                  <w:tcW w:w="326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99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9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待宰间及屠宰间</w:t>
                  </w:r>
                </w:p>
              </w:tc>
              <w:tc>
                <w:tcPr>
                  <w:tcW w:w="719"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生产废水</w:t>
                  </w: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 值</w:t>
                  </w:r>
                </w:p>
              </w:tc>
              <w:tc>
                <w:tcPr>
                  <w:tcW w:w="3260" w:type="dxa"/>
                  <w:vMerge w:val="restart"/>
                  <w:vAlign w:val="center"/>
                </w:tcPr>
                <w:p>
                  <w:pPr>
                    <w:pStyle w:val="31"/>
                    <w:spacing w:line="360" w:lineRule="exact"/>
                    <w:ind w:firstLine="210" w:firstLineChars="100"/>
                    <w:jc w:val="both"/>
                    <w:rPr>
                      <w:color w:val="000000" w:themeColor="text1"/>
                      <w:szCs w:val="21"/>
                    </w:rPr>
                  </w:pPr>
                  <w:r>
                    <w:rPr>
                      <w:rFonts w:eastAsiaTheme="minorEastAsia"/>
                      <w:color w:val="000000" w:themeColor="text1"/>
                      <w:szCs w:val="21"/>
                    </w:rPr>
                    <w:t>生产废水</w:t>
                  </w:r>
                  <w:r>
                    <w:rPr>
                      <w:color w:val="000000" w:themeColor="text1"/>
                      <w:szCs w:val="21"/>
                    </w:rPr>
                    <w:t>进入1个处理能力为150m³/d的污水处理站处理，处理后用于项目区周围农田（旱地作物）灌溉，不直接排入环境。</w:t>
                  </w:r>
                </w:p>
              </w:tc>
              <w:tc>
                <w:tcPr>
                  <w:tcW w:w="993"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其他（经处理后土地利用）</w:t>
                  </w:r>
                </w:p>
              </w:tc>
              <w:tc>
                <w:tcPr>
                  <w:tcW w:w="92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3260" w:type="dxa"/>
                  <w:vMerge w:val="continue"/>
                  <w:vAlign w:val="center"/>
                </w:tcPr>
                <w:p>
                  <w:pPr>
                    <w:pStyle w:val="31"/>
                    <w:spacing w:line="360" w:lineRule="exact"/>
                    <w:ind w:firstLine="210" w:firstLineChars="100"/>
                    <w:jc w:val="both"/>
                    <w:rPr>
                      <w:color w:val="000000" w:themeColor="text1"/>
                      <w:szCs w:val="21"/>
                      <w:lang w:val="en-US"/>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总磷</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总氮</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动植物油</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员工生活</w:t>
                  </w:r>
                </w:p>
              </w:tc>
              <w:tc>
                <w:tcPr>
                  <w:tcW w:w="719"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生活污水</w:t>
                  </w: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p>
              </w:tc>
              <w:tc>
                <w:tcPr>
                  <w:tcW w:w="3260" w:type="dxa"/>
                  <w:vMerge w:val="restart"/>
                  <w:vAlign w:val="center"/>
                </w:tcPr>
                <w:p>
                  <w:pPr>
                    <w:pStyle w:val="31"/>
                    <w:spacing w:line="360" w:lineRule="exact"/>
                    <w:ind w:firstLine="210" w:firstLineChars="100"/>
                    <w:jc w:val="both"/>
                    <w:rPr>
                      <w:color w:val="000000" w:themeColor="text1"/>
                      <w:szCs w:val="21"/>
                    </w:rPr>
                  </w:pPr>
                  <w:r>
                    <w:rPr>
                      <w:color w:val="000000" w:themeColor="text1"/>
                      <w:szCs w:val="21"/>
                    </w:rPr>
                    <w:t>生活污水经1个6m³的化粪池预处理后再进入1个处理能力为150m³/d的污水处理站处理，处理后用于项目区周围农田（旱地作物）灌溉，不直接排入环境。</w:t>
                  </w:r>
                </w:p>
              </w:tc>
              <w:tc>
                <w:tcPr>
                  <w:tcW w:w="993" w:type="dxa"/>
                  <w:vMerge w:val="continue"/>
                  <w:vAlign w:val="center"/>
                </w:tcPr>
                <w:p>
                  <w:pPr>
                    <w:spacing w:line="360" w:lineRule="exact"/>
                    <w:jc w:val="center"/>
                    <w:rPr>
                      <w:rFonts w:ascii="Times New Roman" w:hAnsi="Times New Roman" w:cs="Times New Roman"/>
                      <w:color w:val="000000" w:themeColor="text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总磷</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总氮</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消毒区</w:t>
                  </w:r>
                </w:p>
              </w:tc>
              <w:tc>
                <w:tcPr>
                  <w:tcW w:w="719"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消毒废水</w:t>
                  </w: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3260" w:type="dxa"/>
                  <w:vMerge w:val="restart"/>
                  <w:vAlign w:val="center"/>
                </w:tcPr>
                <w:p>
                  <w:pPr>
                    <w:pStyle w:val="31"/>
                    <w:spacing w:line="360" w:lineRule="exact"/>
                    <w:ind w:firstLine="210" w:firstLineChars="100"/>
                    <w:jc w:val="both"/>
                    <w:rPr>
                      <w:color w:val="000000" w:themeColor="text1"/>
                      <w:szCs w:val="21"/>
                    </w:rPr>
                  </w:pPr>
                  <w:r>
                    <w:rPr>
                      <w:rFonts w:eastAsiaTheme="minorEastAsia"/>
                      <w:color w:val="000000" w:themeColor="text1"/>
                      <w:szCs w:val="21"/>
                    </w:rPr>
                    <w:t>消毒废水</w:t>
                  </w:r>
                  <w:r>
                    <w:rPr>
                      <w:color w:val="000000" w:themeColor="text1"/>
                      <w:szCs w:val="21"/>
                    </w:rPr>
                    <w:t>进入1个处理能力为150m³/d的污水处理站处理，处理后用于项目区周围农田（旱地作物）灌溉，不直接排入环境。</w:t>
                  </w: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总磷</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pStyle w:val="31"/>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厂区范围</w:t>
                  </w:r>
                </w:p>
              </w:tc>
              <w:tc>
                <w:tcPr>
                  <w:tcW w:w="719"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初期雨水</w:t>
                  </w: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3260" w:type="dxa"/>
                  <w:vMerge w:val="restart"/>
                  <w:vAlign w:val="center"/>
                </w:tcPr>
                <w:p>
                  <w:pPr>
                    <w:pStyle w:val="31"/>
                    <w:spacing w:line="360" w:lineRule="exact"/>
                    <w:ind w:firstLine="210" w:firstLineChars="100"/>
                    <w:jc w:val="both"/>
                    <w:rPr>
                      <w:color w:val="000000" w:themeColor="text1"/>
                      <w:szCs w:val="21"/>
                    </w:rPr>
                  </w:pPr>
                  <w:r>
                    <w:rPr>
                      <w:color w:val="000000" w:themeColor="text1"/>
                      <w:szCs w:val="21"/>
                    </w:rPr>
                    <w:t>该改建项目拟配套设置了1个160m³的初期雨水收集池，对厂区的初期雨水收集后进入1个处理能力为150m³/d的污水处理站处理，处理后用于项目区周围农田（旱地作物）灌溉，不直接排入环境。</w:t>
                  </w: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1"/>
                    <w:spacing w:line="360" w:lineRule="exact"/>
                    <w:rPr>
                      <w:rFonts w:eastAsiaTheme="minorEastAsia"/>
                      <w:color w:val="000000" w:themeColor="text1"/>
                      <w:szCs w:val="21"/>
                    </w:rPr>
                  </w:pPr>
                </w:p>
              </w:tc>
              <w:tc>
                <w:tcPr>
                  <w:tcW w:w="719" w:type="dxa"/>
                  <w:vMerge w:val="continue"/>
                  <w:vAlign w:val="center"/>
                </w:tcPr>
                <w:p>
                  <w:pPr>
                    <w:pStyle w:val="31"/>
                    <w:spacing w:line="360" w:lineRule="exact"/>
                    <w:rPr>
                      <w:rFonts w:eastAsiaTheme="minorEastAsia"/>
                      <w:color w:val="000000" w:themeColor="text1"/>
                      <w:szCs w:val="21"/>
                    </w:rPr>
                  </w:pPr>
                </w:p>
              </w:tc>
              <w:tc>
                <w:tcPr>
                  <w:tcW w:w="197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总磷</w:t>
                  </w:r>
                </w:p>
              </w:tc>
              <w:tc>
                <w:tcPr>
                  <w:tcW w:w="3260" w:type="dxa"/>
                  <w:vMerge w:val="continue"/>
                  <w:vAlign w:val="center"/>
                </w:tcPr>
                <w:p>
                  <w:pPr>
                    <w:pStyle w:val="31"/>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bl>
          <w:p>
            <w:pPr>
              <w:spacing w:beforeLines="50"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化粪池污染物去除分析</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项目生活污水产生量约为</w:t>
            </w:r>
            <w:r>
              <w:rPr>
                <w:rFonts w:hint="eastAsia" w:ascii="Times New Roman" w:hAnsi="Times New Roman" w:cs="Times New Roman"/>
                <w:bCs/>
                <w:color w:val="000000" w:themeColor="text1"/>
                <w:sz w:val="24"/>
                <w:szCs w:val="24"/>
              </w:rPr>
              <w:t>345.6</w:t>
            </w:r>
            <w:r>
              <w:rPr>
                <w:rFonts w:ascii="Times New Roman" w:hAnsi="Times New Roman" w:cs="Times New Roman"/>
                <w:bCs/>
                <w:color w:val="000000" w:themeColor="text1"/>
                <w:sz w:val="24"/>
                <w:szCs w:val="24"/>
              </w:rPr>
              <w:t>m³/a，生活污水经1个6m³的化粪池预处理后再进入1个处理能力为150m³/d的污水处理站处理。</w:t>
            </w:r>
            <w:r>
              <w:rPr>
                <w:rFonts w:hint="eastAsia" w:ascii="Times New Roman" w:hAnsi="Times New Roman" w:cs="Times New Roman"/>
                <w:bCs/>
                <w:color w:val="000000" w:themeColor="text1"/>
                <w:sz w:val="24"/>
                <w:szCs w:val="24"/>
              </w:rPr>
              <w:t>化粪池处理效率如下表所示。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4.2.2-</w:t>
            </w:r>
            <w:r>
              <w:rPr>
                <w:rFonts w:hint="eastAsia" w:ascii="Times New Roman" w:hAnsi="Times New Roman" w:cs="Times New Roman"/>
                <w:b/>
                <w:color w:val="000000" w:themeColor="text1"/>
                <w:szCs w:val="24"/>
              </w:rPr>
              <w:t>3  生活污</w:t>
            </w:r>
            <w:r>
              <w:rPr>
                <w:rFonts w:ascii="Times New Roman" w:hAnsi="Times New Roman" w:cs="Times New Roman"/>
                <w:b/>
                <w:color w:val="000000" w:themeColor="text1"/>
                <w:szCs w:val="24"/>
              </w:rPr>
              <w:t>水质指标一览表mg/L</w:t>
            </w:r>
          </w:p>
          <w:tbl>
            <w:tblPr>
              <w:tblStyle w:val="20"/>
              <w:tblW w:w="8598" w:type="dxa"/>
              <w:jc w:val="center"/>
              <w:tblInd w:w="98" w:type="dxa"/>
              <w:tblLayout w:type="fixed"/>
              <w:tblCellMar>
                <w:top w:w="0" w:type="dxa"/>
                <w:left w:w="108" w:type="dxa"/>
                <w:bottom w:w="0" w:type="dxa"/>
                <w:right w:w="108" w:type="dxa"/>
              </w:tblCellMar>
            </w:tblPr>
            <w:tblGrid>
              <w:gridCol w:w="552"/>
              <w:gridCol w:w="721"/>
              <w:gridCol w:w="594"/>
              <w:gridCol w:w="850"/>
              <w:gridCol w:w="851"/>
              <w:gridCol w:w="709"/>
              <w:gridCol w:w="708"/>
              <w:gridCol w:w="709"/>
              <w:gridCol w:w="709"/>
              <w:gridCol w:w="709"/>
              <w:gridCol w:w="708"/>
              <w:gridCol w:w="778"/>
            </w:tblGrid>
            <w:tr>
              <w:tblPrEx>
                <w:tblLayout w:type="fixed"/>
                <w:tblCellMar>
                  <w:top w:w="0" w:type="dxa"/>
                  <w:left w:w="108" w:type="dxa"/>
                  <w:bottom w:w="0" w:type="dxa"/>
                  <w:right w:w="108" w:type="dxa"/>
                </w:tblCellMar>
              </w:tblPrEx>
              <w:trPr>
                <w:trHeight w:val="300" w:hRule="atLeast"/>
                <w:jc w:val="center"/>
              </w:trPr>
              <w:tc>
                <w:tcPr>
                  <w:tcW w:w="55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w:t>
                  </w:r>
                </w:p>
              </w:tc>
              <w:tc>
                <w:tcPr>
                  <w:tcW w:w="72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宋体" w:eastAsia="宋体" w:cs="Times New Roman"/>
                      <w:color w:val="000000" w:themeColor="text1"/>
                      <w:kern w:val="0"/>
                    </w:rPr>
                    <w:t>处理情况</w:t>
                  </w:r>
                </w:p>
              </w:tc>
              <w:tc>
                <w:tcPr>
                  <w:tcW w:w="7325" w:type="dxa"/>
                  <w:gridSpan w:val="10"/>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w:t>
                  </w:r>
                  <w:r>
                    <w:rPr>
                      <w:rFonts w:ascii="Times New Roman" w:hAnsi="Times New Roman" w:eastAsia="宋体" w:cs="Times New Roman"/>
                      <w:color w:val="000000" w:themeColor="text1"/>
                      <w:kern w:val="0"/>
                    </w:rPr>
                    <w:t>mg/L</w:t>
                  </w:r>
                  <w:r>
                    <w:rPr>
                      <w:rFonts w:ascii="Times New Roman" w:hAnsi="宋体" w:eastAsia="宋体" w:cs="Times New Roman"/>
                      <w:color w:val="000000" w:themeColor="text1"/>
                      <w:kern w:val="0"/>
                    </w:rPr>
                    <w:t>）</w:t>
                  </w:r>
                </w:p>
              </w:tc>
            </w:tr>
            <w:tr>
              <w:tblPrEx>
                <w:tblLayout w:type="fixed"/>
                <w:tblCellMar>
                  <w:top w:w="0" w:type="dxa"/>
                  <w:left w:w="108" w:type="dxa"/>
                  <w:bottom w:w="0" w:type="dxa"/>
                  <w:right w:w="108" w:type="dxa"/>
                </w:tblCellMar>
              </w:tblPrEx>
              <w:trPr>
                <w:trHeight w:val="1164" w:hRule="atLeast"/>
                <w:jc w:val="center"/>
              </w:trPr>
              <w:tc>
                <w:tcPr>
                  <w:tcW w:w="552"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2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pH</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CODcr</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BOD</w:t>
                  </w:r>
                  <w:r>
                    <w:rPr>
                      <w:rFonts w:ascii="Times New Roman" w:hAnsi="Times New Roman" w:eastAsia="宋体" w:cs="Times New Roman"/>
                      <w:color w:val="000000" w:themeColor="text1"/>
                      <w:kern w:val="0"/>
                      <w:vertAlign w:val="subscript"/>
                    </w:rPr>
                    <w:t>5</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SS</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NH</w:t>
                  </w:r>
                  <w:r>
                    <w:rPr>
                      <w:rFonts w:ascii="Times New Roman" w:hAnsi="Times New Roman" w:eastAsia="宋体" w:cs="Times New Roman"/>
                      <w:color w:val="000000" w:themeColor="text1"/>
                      <w:kern w:val="0"/>
                      <w:vertAlign w:val="subscript"/>
                    </w:rPr>
                    <w:t>3</w:t>
                  </w:r>
                  <w:r>
                    <w:rPr>
                      <w:rFonts w:ascii="Times New Roman" w:hAnsi="Times New Roman" w:eastAsia="宋体" w:cs="Times New Roman"/>
                      <w:color w:val="000000" w:themeColor="text1"/>
                      <w:kern w:val="0"/>
                    </w:rPr>
                    <w:t>-N</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TN</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TP</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动植物油</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阴离子表面活性剂</w:t>
                  </w:r>
                </w:p>
              </w:tc>
              <w:tc>
                <w:tcPr>
                  <w:tcW w:w="7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粪大肠菌群数（</w:t>
                  </w:r>
                  <w:r>
                    <w:rPr>
                      <w:rFonts w:ascii="Times New Roman" w:hAnsi="Times New Roman" w:eastAsia="宋体" w:cs="Times New Roman"/>
                      <w:color w:val="000000" w:themeColor="text1"/>
                      <w:kern w:val="0"/>
                    </w:rPr>
                    <w:t>MPN/L</w:t>
                  </w:r>
                  <w:r>
                    <w:rPr>
                      <w:rFonts w:ascii="Times New Roman" w:hAnsi="宋体" w:eastAsia="宋体" w:cs="Times New Roman"/>
                      <w:color w:val="000000" w:themeColor="text1"/>
                      <w:kern w:val="0"/>
                    </w:rPr>
                    <w:t>）</w:t>
                  </w:r>
                </w:p>
              </w:tc>
            </w:tr>
            <w:tr>
              <w:tblPrEx>
                <w:tblLayout w:type="fixed"/>
                <w:tblCellMar>
                  <w:top w:w="0" w:type="dxa"/>
                  <w:left w:w="108" w:type="dxa"/>
                  <w:bottom w:w="0" w:type="dxa"/>
                  <w:right w:w="108" w:type="dxa"/>
                </w:tblCellMar>
              </w:tblPrEx>
              <w:trPr>
                <w:trHeight w:val="932" w:hRule="atLeast"/>
                <w:jc w:val="center"/>
              </w:trPr>
              <w:tc>
                <w:tcPr>
                  <w:tcW w:w="552" w:type="dxa"/>
                  <w:vMerge w:val="restart"/>
                  <w:tcBorders>
                    <w:top w:val="nil"/>
                    <w:left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生活污</w:t>
                  </w:r>
                </w:p>
                <w:p>
                  <w:pPr>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水</w:t>
                  </w:r>
                </w:p>
              </w:tc>
              <w:tc>
                <w:tcPr>
                  <w:tcW w:w="72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化粪池处理前</w:t>
                  </w:r>
                </w:p>
              </w:tc>
              <w:tc>
                <w:tcPr>
                  <w:tcW w:w="59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85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350</w:t>
                  </w: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220</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300</w:t>
                  </w: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45</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w:t>
                  </w: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w:t>
                  </w:r>
                </w:p>
              </w:tc>
              <w:tc>
                <w:tcPr>
                  <w:tcW w:w="77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16000</w:t>
                  </w:r>
                </w:p>
              </w:tc>
            </w:tr>
            <w:tr>
              <w:tblPrEx>
                <w:tblLayout w:type="fixed"/>
                <w:tblCellMar>
                  <w:top w:w="0" w:type="dxa"/>
                  <w:left w:w="108" w:type="dxa"/>
                  <w:bottom w:w="0" w:type="dxa"/>
                  <w:right w:w="108" w:type="dxa"/>
                </w:tblCellMar>
              </w:tblPrEx>
              <w:trPr>
                <w:trHeight w:val="311" w:hRule="atLeast"/>
                <w:jc w:val="center"/>
              </w:trPr>
              <w:tc>
                <w:tcPr>
                  <w:tcW w:w="552" w:type="dxa"/>
                  <w:vMerge w:val="continue"/>
                  <w:tcBorders>
                    <w:left w:val="single" w:color="auto" w:sz="8" w:space="0"/>
                    <w:bottom w:val="nil"/>
                    <w:right w:val="single" w:color="auto" w:sz="8" w:space="0"/>
                  </w:tcBorders>
                  <w:shd w:val="clear" w:color="auto" w:fill="auto"/>
                  <w:vAlign w:val="center"/>
                </w:tcPr>
                <w:p>
                  <w:pPr>
                    <w:jc w:val="center"/>
                    <w:rPr>
                      <w:rFonts w:ascii="Times New Roman" w:hAnsi="宋体" w:eastAsia="宋体" w:cs="Times New Roman"/>
                      <w:color w:val="000000" w:themeColor="text1"/>
                      <w:kern w:val="0"/>
                    </w:rPr>
                  </w:pPr>
                </w:p>
              </w:tc>
              <w:tc>
                <w:tcPr>
                  <w:tcW w:w="721" w:type="dxa"/>
                  <w:tcBorders>
                    <w:top w:val="single" w:color="auto" w:sz="4" w:space="0"/>
                    <w:left w:val="nil"/>
                    <w:bottom w:val="nil"/>
                    <w:right w:val="single" w:color="auto" w:sz="8" w:space="0"/>
                  </w:tcBorders>
                  <w:shd w:val="clear" w:color="auto" w:fill="auto"/>
                  <w:vAlign w:val="center"/>
                </w:tcPr>
                <w:p>
                  <w:pPr>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化粪池处理后</w:t>
                  </w:r>
                </w:p>
              </w:tc>
              <w:tc>
                <w:tcPr>
                  <w:tcW w:w="594" w:type="dxa"/>
                  <w:tcBorders>
                    <w:top w:val="single" w:color="auto" w:sz="4" w:space="0"/>
                    <w:left w:val="nil"/>
                    <w:bottom w:val="nil"/>
                    <w:right w:val="single" w:color="auto" w:sz="8" w:space="0"/>
                  </w:tcBorders>
                  <w:shd w:val="clear" w:color="auto" w:fill="auto"/>
                  <w:vAlign w:val="center"/>
                </w:tcPr>
                <w:p>
                  <w:pPr>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850"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280</w:t>
                  </w:r>
                </w:p>
              </w:tc>
              <w:tc>
                <w:tcPr>
                  <w:tcW w:w="851"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190</w:t>
                  </w:r>
                </w:p>
              </w:tc>
              <w:tc>
                <w:tcPr>
                  <w:tcW w:w="709"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w:t>
                  </w:r>
                </w:p>
              </w:tc>
              <w:tc>
                <w:tcPr>
                  <w:tcW w:w="708"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709"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40</w:t>
                  </w:r>
                </w:p>
              </w:tc>
              <w:tc>
                <w:tcPr>
                  <w:tcW w:w="709"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w:t>
                  </w:r>
                </w:p>
              </w:tc>
              <w:tc>
                <w:tcPr>
                  <w:tcW w:w="709"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w:t>
                  </w:r>
                </w:p>
              </w:tc>
              <w:tc>
                <w:tcPr>
                  <w:tcW w:w="708"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w:t>
                  </w:r>
                </w:p>
              </w:tc>
              <w:tc>
                <w:tcPr>
                  <w:tcW w:w="778"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16000</w:t>
                  </w:r>
                </w:p>
              </w:tc>
            </w:tr>
            <w:tr>
              <w:tblPrEx>
                <w:tblLayout w:type="fixed"/>
                <w:tblCellMar>
                  <w:top w:w="0" w:type="dxa"/>
                  <w:left w:w="108" w:type="dxa"/>
                  <w:bottom w:w="0" w:type="dxa"/>
                  <w:right w:w="108" w:type="dxa"/>
                </w:tblCellMar>
              </w:tblPrEx>
              <w:trPr>
                <w:trHeight w:val="71" w:hRule="atLeast"/>
                <w:jc w:val="center"/>
              </w:trPr>
              <w:tc>
                <w:tcPr>
                  <w:tcW w:w="552"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Times New Roman" w:hAnsi="宋体" w:eastAsia="宋体" w:cs="Times New Roman"/>
                      <w:color w:val="000000" w:themeColor="text1"/>
                      <w:kern w:val="0"/>
                    </w:rPr>
                  </w:pPr>
                </w:p>
              </w:tc>
              <w:tc>
                <w:tcPr>
                  <w:tcW w:w="72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59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85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7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r>
          </w:tbl>
          <w:p>
            <w:pPr>
              <w:spacing w:beforeLines="50"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污水处理站</w:t>
            </w:r>
            <w:r>
              <w:rPr>
                <w:rFonts w:ascii="Times New Roman" w:hAnsi="Times New Roman" w:cs="Times New Roman"/>
                <w:b/>
                <w:color w:val="000000" w:themeColor="text1"/>
                <w:sz w:val="24"/>
                <w:szCs w:val="24"/>
              </w:rPr>
              <w:t>污染物去除分析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根据水平衡章节分析，项目产生的生产废水、生活污水和消毒废水合计量为</w:t>
            </w:r>
            <w:r>
              <w:rPr>
                <w:rFonts w:ascii="Times New Roman" w:hAnsi="Times New Roman" w:cs="Times New Roman"/>
                <w:color w:val="000000" w:themeColor="text1"/>
                <w:sz w:val="24"/>
                <w:szCs w:val="24"/>
              </w:rPr>
              <w:t>138.27m³/d</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49777.6m³/a</w:t>
            </w:r>
            <w:r>
              <w:rPr>
                <w:rFonts w:hint="eastAsia" w:ascii="Times New Roman" w:hAnsi="Times New Roman" w:cs="Times New Roman"/>
                <w:color w:val="000000" w:themeColor="text1"/>
                <w:sz w:val="24"/>
                <w:szCs w:val="24"/>
              </w:rPr>
              <w:t>），项目产生的综合废水（含生产废水、生活污水和消毒废水）水质如下表所示。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4.2.2-</w:t>
            </w:r>
            <w:r>
              <w:rPr>
                <w:rFonts w:hint="eastAsia" w:ascii="Times New Roman" w:hAnsi="Times New Roman" w:cs="Times New Roman"/>
                <w:b/>
                <w:color w:val="000000" w:themeColor="text1"/>
                <w:szCs w:val="24"/>
              </w:rPr>
              <w:t>4  综合</w:t>
            </w:r>
            <w:r>
              <w:rPr>
                <w:rFonts w:ascii="Times New Roman" w:hAnsi="Times New Roman" w:cs="Times New Roman"/>
                <w:b/>
                <w:color w:val="000000" w:themeColor="text1"/>
                <w:szCs w:val="24"/>
              </w:rPr>
              <w:t>废水水质指标一览表mg/L</w:t>
            </w:r>
          </w:p>
          <w:tbl>
            <w:tblPr>
              <w:tblStyle w:val="20"/>
              <w:tblW w:w="8598" w:type="dxa"/>
              <w:jc w:val="center"/>
              <w:tblInd w:w="98" w:type="dxa"/>
              <w:tblLayout w:type="fixed"/>
              <w:tblCellMar>
                <w:top w:w="0" w:type="dxa"/>
                <w:left w:w="108" w:type="dxa"/>
                <w:bottom w:w="0" w:type="dxa"/>
                <w:right w:w="108" w:type="dxa"/>
              </w:tblCellMar>
            </w:tblPr>
            <w:tblGrid>
              <w:gridCol w:w="552"/>
              <w:gridCol w:w="721"/>
              <w:gridCol w:w="594"/>
              <w:gridCol w:w="850"/>
              <w:gridCol w:w="851"/>
              <w:gridCol w:w="709"/>
              <w:gridCol w:w="708"/>
              <w:gridCol w:w="709"/>
              <w:gridCol w:w="709"/>
              <w:gridCol w:w="709"/>
              <w:gridCol w:w="708"/>
              <w:gridCol w:w="778"/>
            </w:tblGrid>
            <w:tr>
              <w:tblPrEx>
                <w:tblLayout w:type="fixed"/>
                <w:tblCellMar>
                  <w:top w:w="0" w:type="dxa"/>
                  <w:left w:w="108" w:type="dxa"/>
                  <w:bottom w:w="0" w:type="dxa"/>
                  <w:right w:w="108" w:type="dxa"/>
                </w:tblCellMar>
              </w:tblPrEx>
              <w:trPr>
                <w:trHeight w:val="300" w:hRule="atLeast"/>
                <w:jc w:val="center"/>
              </w:trPr>
              <w:tc>
                <w:tcPr>
                  <w:tcW w:w="55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w:t>
                  </w:r>
                </w:p>
              </w:tc>
              <w:tc>
                <w:tcPr>
                  <w:tcW w:w="72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废水量</w:t>
                  </w:r>
                  <w:r>
                    <w:rPr>
                      <w:rFonts w:ascii="Times New Roman" w:hAnsi="Times New Roman" w:cs="Times New Roman"/>
                      <w:bCs/>
                      <w:color w:val="000000" w:themeColor="text1"/>
                      <w:sz w:val="24"/>
                      <w:szCs w:val="24"/>
                    </w:rPr>
                    <w:t>m³/a</w:t>
                  </w:r>
                </w:p>
              </w:tc>
              <w:tc>
                <w:tcPr>
                  <w:tcW w:w="7325" w:type="dxa"/>
                  <w:gridSpan w:val="10"/>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污染物（mg/L）</w:t>
                  </w:r>
                </w:p>
              </w:tc>
            </w:tr>
            <w:tr>
              <w:tblPrEx>
                <w:tblLayout w:type="fixed"/>
                <w:tblCellMar>
                  <w:top w:w="0" w:type="dxa"/>
                  <w:left w:w="108" w:type="dxa"/>
                  <w:bottom w:w="0" w:type="dxa"/>
                  <w:right w:w="108" w:type="dxa"/>
                </w:tblCellMar>
              </w:tblPrEx>
              <w:trPr>
                <w:trHeight w:val="1164" w:hRule="atLeast"/>
                <w:jc w:val="center"/>
              </w:trPr>
              <w:tc>
                <w:tcPr>
                  <w:tcW w:w="552"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2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pH</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CODcr</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BOD</w:t>
                  </w:r>
                  <w:r>
                    <w:rPr>
                      <w:rFonts w:ascii="Times New Roman" w:hAnsi="Times New Roman" w:eastAsia="宋体" w:cs="Times New Roman"/>
                      <w:color w:val="000000" w:themeColor="text1"/>
                      <w:kern w:val="0"/>
                      <w:vertAlign w:val="subscript"/>
                    </w:rPr>
                    <w:t>5</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SS</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NH</w:t>
                  </w:r>
                  <w:r>
                    <w:rPr>
                      <w:rFonts w:ascii="Times New Roman" w:hAnsi="Times New Roman" w:eastAsia="宋体" w:cs="Times New Roman"/>
                      <w:color w:val="000000" w:themeColor="text1"/>
                      <w:kern w:val="0"/>
                      <w:vertAlign w:val="subscript"/>
                    </w:rPr>
                    <w:t>3</w:t>
                  </w:r>
                  <w:r>
                    <w:rPr>
                      <w:rFonts w:ascii="Times New Roman" w:hAnsi="Times New Roman" w:eastAsia="宋体" w:cs="Times New Roman"/>
                      <w:color w:val="000000" w:themeColor="text1"/>
                      <w:kern w:val="0"/>
                    </w:rPr>
                    <w:t>-N</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TN</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TP</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动植物油</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阴离子表面活性剂</w:t>
                  </w:r>
                </w:p>
              </w:tc>
              <w:tc>
                <w:tcPr>
                  <w:tcW w:w="7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粪大肠菌群数（MPN/L）</w:t>
                  </w:r>
                </w:p>
              </w:tc>
            </w:tr>
            <w:tr>
              <w:tblPrEx>
                <w:tblLayout w:type="fixed"/>
                <w:tblCellMar>
                  <w:top w:w="0" w:type="dxa"/>
                  <w:left w:w="108" w:type="dxa"/>
                  <w:bottom w:w="0" w:type="dxa"/>
                  <w:right w:w="108" w:type="dxa"/>
                </w:tblCellMar>
              </w:tblPrEx>
              <w:trPr>
                <w:trHeight w:val="778" w:hRule="atLeast"/>
                <w:jc w:val="center"/>
              </w:trPr>
              <w:tc>
                <w:tcPr>
                  <w:tcW w:w="55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生产废水</w:t>
                  </w:r>
                </w:p>
              </w:tc>
              <w:tc>
                <w:tcPr>
                  <w:tcW w:w="7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49000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2200</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1600</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1200</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600</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30</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w:t>
                  </w:r>
                </w:p>
              </w:tc>
              <w:tc>
                <w:tcPr>
                  <w:tcW w:w="7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r>
                    <w:rPr>
                      <w:rFonts w:ascii="Times New Roman" w:hAnsi="Times New Roman" w:eastAsia="宋体" w:cs="Times New Roman"/>
                      <w:color w:val="000000" w:themeColor="text1"/>
                      <w:kern w:val="0"/>
                      <w:vertAlign w:val="superscript"/>
                    </w:rPr>
                    <w:t>8</w:t>
                  </w:r>
                </w:p>
              </w:tc>
            </w:tr>
            <w:tr>
              <w:tblPrEx>
                <w:tblLayout w:type="fixed"/>
                <w:tblCellMar>
                  <w:top w:w="0" w:type="dxa"/>
                  <w:left w:w="108" w:type="dxa"/>
                  <w:bottom w:w="0" w:type="dxa"/>
                  <w:right w:w="108" w:type="dxa"/>
                </w:tblCellMar>
              </w:tblPrEx>
              <w:trPr>
                <w:trHeight w:val="782" w:hRule="atLeast"/>
                <w:jc w:val="center"/>
              </w:trPr>
              <w:tc>
                <w:tcPr>
                  <w:tcW w:w="55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生活污水</w:t>
                  </w:r>
                </w:p>
              </w:tc>
              <w:tc>
                <w:tcPr>
                  <w:tcW w:w="7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345.6</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280</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190</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40</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w:t>
                  </w:r>
                </w:p>
              </w:tc>
              <w:tc>
                <w:tcPr>
                  <w:tcW w:w="7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16000</w:t>
                  </w:r>
                </w:p>
              </w:tc>
            </w:tr>
            <w:tr>
              <w:tblPrEx>
                <w:tblLayout w:type="fixed"/>
                <w:tblCellMar>
                  <w:top w:w="0" w:type="dxa"/>
                  <w:left w:w="108" w:type="dxa"/>
                  <w:bottom w:w="0" w:type="dxa"/>
                  <w:right w:w="108" w:type="dxa"/>
                </w:tblCellMar>
              </w:tblPrEx>
              <w:trPr>
                <w:trHeight w:val="786" w:hRule="atLeast"/>
                <w:jc w:val="center"/>
              </w:trPr>
              <w:tc>
                <w:tcPr>
                  <w:tcW w:w="55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消毒废水</w:t>
                  </w:r>
                </w:p>
              </w:tc>
              <w:tc>
                <w:tcPr>
                  <w:tcW w:w="72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432</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300</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0.6</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7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r>
            <w:tr>
              <w:tblPrEx>
                <w:tblLayout w:type="fixed"/>
                <w:tblCellMar>
                  <w:top w:w="0" w:type="dxa"/>
                  <w:left w:w="108" w:type="dxa"/>
                  <w:bottom w:w="0" w:type="dxa"/>
                  <w:right w:w="108" w:type="dxa"/>
                </w:tblCellMar>
              </w:tblPrEx>
              <w:trPr>
                <w:trHeight w:val="312" w:hRule="atLeast"/>
                <w:jc w:val="center"/>
              </w:trPr>
              <w:tc>
                <w:tcPr>
                  <w:tcW w:w="55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综合废水</w:t>
                  </w:r>
                </w:p>
              </w:tc>
              <w:tc>
                <w:tcPr>
                  <w:tcW w:w="7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49777.6</w:t>
                  </w:r>
                </w:p>
              </w:tc>
              <w:tc>
                <w:tcPr>
                  <w:tcW w:w="59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8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2169</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1577.7</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1184</w:t>
                  </w: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592.3</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80.4</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73.3</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30.9</w:t>
                  </w: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9.3</w:t>
                  </w:r>
                </w:p>
              </w:tc>
              <w:tc>
                <w:tcPr>
                  <w:tcW w:w="77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0.98×10</w:t>
                  </w:r>
                  <w:r>
                    <w:rPr>
                      <w:rFonts w:ascii="Times New Roman" w:hAnsi="Times New Roman" w:eastAsia="宋体" w:cs="Times New Roman"/>
                      <w:color w:val="000000" w:themeColor="text1"/>
                      <w:kern w:val="0"/>
                      <w:vertAlign w:val="superscript"/>
                    </w:rPr>
                    <w:t>8</w:t>
                  </w:r>
                </w:p>
              </w:tc>
            </w:tr>
            <w:tr>
              <w:tblPrEx>
                <w:tblLayout w:type="fixed"/>
                <w:tblCellMar>
                  <w:top w:w="0" w:type="dxa"/>
                  <w:left w:w="108" w:type="dxa"/>
                  <w:bottom w:w="0" w:type="dxa"/>
                  <w:right w:w="108" w:type="dxa"/>
                </w:tblCellMar>
              </w:tblPrEx>
              <w:trPr>
                <w:trHeight w:val="312" w:hRule="atLeast"/>
                <w:jc w:val="center"/>
              </w:trPr>
              <w:tc>
                <w:tcPr>
                  <w:tcW w:w="552"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21"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594"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850"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851"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09"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08"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09"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09"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09"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08"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78" w:type="dxa"/>
                  <w:vMerge w:val="continue"/>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12" w:hRule="atLeast"/>
                <w:jc w:val="center"/>
              </w:trPr>
              <w:tc>
                <w:tcPr>
                  <w:tcW w:w="8598" w:type="dxa"/>
                  <w:gridSpan w:val="12"/>
                  <w:tcBorders>
                    <w:top w:val="single" w:color="auto" w:sz="4" w:space="0"/>
                    <w:left w:val="single" w:color="auto" w:sz="8" w:space="0"/>
                    <w:bottom w:val="single" w:color="000000" w:sz="8" w:space="0"/>
                    <w:right w:val="single" w:color="auto" w:sz="8" w:space="0"/>
                  </w:tcBorders>
                  <w:vAlign w:val="center"/>
                </w:tcPr>
                <w:p>
                  <w:pPr>
                    <w:widowControl/>
                    <w:ind w:firstLine="210" w:firstLineChars="100"/>
                    <w:jc w:val="left"/>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备注：由于初期雨水产生时间不稳定，因此不纳入综合废水考虑。</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根据调查，本次提升改造现有污水处理设施主要将原已建的污水处理站废旧的污水设施进行更换和优化，并将原处理规模100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a提升至处理能力达到150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d；其处理效率较原污水处理站有所提高。类比云南方源科技有限公司出具的《昆明市畜禽屠宰有限公司2020年年检监测项目检测报告》提供的数据，</w:t>
            </w:r>
            <w:r>
              <w:rPr>
                <w:rFonts w:ascii="Times New Roman" w:hAnsi="Times New Roman" w:cs="Times New Roman"/>
                <w:color w:val="000000" w:themeColor="text1"/>
                <w:sz w:val="24"/>
                <w:szCs w:val="24"/>
              </w:rPr>
              <w:t>项目污水处理站对生活污水污染物处理情况见下表。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项目污水处理</w:t>
            </w:r>
            <w:r>
              <w:rPr>
                <w:rFonts w:hint="eastAsia" w:ascii="Times New Roman" w:hAnsi="Times New Roman" w:cs="Times New Roman"/>
                <w:b/>
                <w:color w:val="000000" w:themeColor="text1"/>
                <w:szCs w:val="24"/>
              </w:rPr>
              <w:t>站</w:t>
            </w:r>
            <w:r>
              <w:rPr>
                <w:rFonts w:ascii="Times New Roman" w:hAnsi="Times New Roman" w:cs="Times New Roman"/>
                <w:b/>
                <w:color w:val="000000" w:themeColor="text1"/>
                <w:szCs w:val="24"/>
              </w:rPr>
              <w:t>污染物核算一览表</w:t>
            </w:r>
          </w:p>
          <w:tbl>
            <w:tblPr>
              <w:tblStyle w:val="20"/>
              <w:tblW w:w="8598" w:type="dxa"/>
              <w:tblInd w:w="0" w:type="dxa"/>
              <w:tblLayout w:type="fixed"/>
              <w:tblCellMar>
                <w:top w:w="0" w:type="dxa"/>
                <w:left w:w="108" w:type="dxa"/>
                <w:bottom w:w="0" w:type="dxa"/>
                <w:right w:w="108" w:type="dxa"/>
              </w:tblCellMar>
            </w:tblPr>
            <w:tblGrid>
              <w:gridCol w:w="733"/>
              <w:gridCol w:w="1417"/>
              <w:gridCol w:w="1134"/>
              <w:gridCol w:w="993"/>
              <w:gridCol w:w="1134"/>
              <w:gridCol w:w="1134"/>
              <w:gridCol w:w="1134"/>
              <w:gridCol w:w="919"/>
            </w:tblGrid>
            <w:tr>
              <w:tblPrEx>
                <w:tblLayout w:type="fixed"/>
                <w:tblCellMar>
                  <w:top w:w="0" w:type="dxa"/>
                  <w:left w:w="108" w:type="dxa"/>
                  <w:bottom w:w="0" w:type="dxa"/>
                  <w:right w:w="108" w:type="dxa"/>
                </w:tblCellMar>
              </w:tblPrEx>
              <w:tc>
                <w:tcPr>
                  <w:tcW w:w="733"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排放源</w:t>
                  </w:r>
                </w:p>
              </w:tc>
              <w:tc>
                <w:tcPr>
                  <w:tcW w:w="1417"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污染物</w:t>
                  </w:r>
                </w:p>
              </w:tc>
              <w:tc>
                <w:tcPr>
                  <w:tcW w:w="1134" w:type="dxa"/>
                  <w:tcBorders>
                    <w:top w:val="single" w:color="auto" w:sz="8" w:space="0"/>
                    <w:left w:val="nil"/>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进水浓度</w:t>
                  </w:r>
                </w:p>
                <w:p>
                  <w:pPr>
                    <w:pStyle w:val="31"/>
                    <w:spacing w:line="360" w:lineRule="exact"/>
                    <w:rPr>
                      <w:color w:val="000000" w:themeColor="text1"/>
                      <w:szCs w:val="21"/>
                    </w:rPr>
                  </w:pPr>
                  <w:r>
                    <w:rPr>
                      <w:rFonts w:hint="eastAsia"/>
                      <w:color w:val="000000" w:themeColor="text1"/>
                      <w:szCs w:val="21"/>
                    </w:rPr>
                    <w:t>（</w:t>
                  </w:r>
                  <w:r>
                    <w:rPr>
                      <w:color w:val="000000" w:themeColor="text1"/>
                      <w:szCs w:val="21"/>
                    </w:rPr>
                    <w:t>mg/L</w:t>
                  </w:r>
                  <w:r>
                    <w:rPr>
                      <w:rFonts w:hint="eastAsia"/>
                      <w:color w:val="000000" w:themeColor="text1"/>
                      <w:szCs w:val="21"/>
                    </w:rPr>
                    <w:t>）</w:t>
                  </w:r>
                </w:p>
              </w:tc>
              <w:tc>
                <w:tcPr>
                  <w:tcW w:w="993"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产生量（</w:t>
                  </w:r>
                  <w:r>
                    <w:rPr>
                      <w:color w:val="000000" w:themeColor="text1"/>
                      <w:szCs w:val="21"/>
                    </w:rPr>
                    <w:t>t/a</w:t>
                  </w:r>
                  <w:r>
                    <w:rPr>
                      <w:rFonts w:hint="eastAsia"/>
                      <w:color w:val="000000" w:themeColor="text1"/>
                      <w:szCs w:val="21"/>
                    </w:rPr>
                    <w:t>）</w:t>
                  </w:r>
                </w:p>
              </w:tc>
              <w:tc>
                <w:tcPr>
                  <w:tcW w:w="1134" w:type="dxa"/>
                  <w:tcBorders>
                    <w:top w:val="single" w:color="auto" w:sz="8" w:space="0"/>
                    <w:left w:val="nil"/>
                    <w:bottom w:val="single" w:color="auto" w:sz="4"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出水浓度（</w:t>
                  </w:r>
                  <w:r>
                    <w:rPr>
                      <w:color w:val="000000" w:themeColor="text1"/>
                      <w:szCs w:val="21"/>
                    </w:rPr>
                    <w:t>mg/L</w:t>
                  </w:r>
                  <w:r>
                    <w:rPr>
                      <w:rFonts w:hint="eastAsia"/>
                      <w:color w:val="000000" w:themeColor="text1"/>
                      <w:szCs w:val="21"/>
                    </w:rPr>
                    <w:t>）</w:t>
                  </w:r>
                </w:p>
              </w:tc>
              <w:tc>
                <w:tcPr>
                  <w:tcW w:w="1134"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再生水回用量（</w:t>
                  </w:r>
                  <w:r>
                    <w:rPr>
                      <w:color w:val="000000" w:themeColor="text1"/>
                      <w:szCs w:val="21"/>
                    </w:rPr>
                    <w:t>t/a</w:t>
                  </w:r>
                  <w:r>
                    <w:rPr>
                      <w:rFonts w:hint="eastAsia"/>
                      <w:color w:val="000000" w:themeColor="text1"/>
                      <w:szCs w:val="21"/>
                    </w:rPr>
                    <w:t>）</w:t>
                  </w:r>
                </w:p>
              </w:tc>
              <w:tc>
                <w:tcPr>
                  <w:tcW w:w="1134" w:type="dxa"/>
                  <w:tcBorders>
                    <w:top w:val="single" w:color="auto" w:sz="8" w:space="0"/>
                    <w:left w:val="nil"/>
                    <w:bottom w:val="single" w:color="auto" w:sz="4"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标准值（</w:t>
                  </w:r>
                  <w:r>
                    <w:rPr>
                      <w:color w:val="000000" w:themeColor="text1"/>
                      <w:szCs w:val="21"/>
                    </w:rPr>
                    <w:t>mg/L</w:t>
                  </w:r>
                  <w:r>
                    <w:rPr>
                      <w:rFonts w:hint="eastAsia"/>
                      <w:color w:val="000000" w:themeColor="text1"/>
                      <w:szCs w:val="21"/>
                    </w:rPr>
                    <w:t>）</w:t>
                  </w:r>
                </w:p>
              </w:tc>
              <w:tc>
                <w:tcPr>
                  <w:tcW w:w="919"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达标情况</w:t>
                  </w:r>
                </w:p>
              </w:tc>
            </w:tr>
            <w:tr>
              <w:tblPrEx>
                <w:tblLayout w:type="fixed"/>
                <w:tblCellMar>
                  <w:top w:w="0" w:type="dxa"/>
                  <w:left w:w="108" w:type="dxa"/>
                  <w:bottom w:w="0" w:type="dxa"/>
                  <w:right w:w="108" w:type="dxa"/>
                </w:tblCellMar>
              </w:tblPrEx>
              <w:tc>
                <w:tcPr>
                  <w:tcW w:w="733" w:type="dxa"/>
                  <w:vMerge w:val="restart"/>
                  <w:tcBorders>
                    <w:top w:val="nil"/>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综合废水</w:t>
                  </w: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废水量</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rPr>
                  </w:pPr>
                  <w:r>
                    <w:rPr>
                      <w:color w:val="000000" w:themeColor="text1"/>
                      <w:szCs w:val="21"/>
                    </w:rPr>
                    <w:t>49777.6m³/a</w:t>
                  </w:r>
                </w:p>
              </w:tc>
              <w:tc>
                <w:tcPr>
                  <w:tcW w:w="2268" w:type="dxa"/>
                  <w:gridSpan w:val="2"/>
                  <w:tcBorders>
                    <w:top w:val="nil"/>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rPr>
                  </w:pPr>
                  <w:r>
                    <w:rPr>
                      <w:color w:val="000000" w:themeColor="text1"/>
                      <w:szCs w:val="21"/>
                    </w:rPr>
                    <w:t>49777.6m³/a</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pH</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6-9</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6-9</w:t>
                  </w:r>
                </w:p>
              </w:tc>
              <w:tc>
                <w:tcPr>
                  <w:tcW w:w="1134" w:type="dxa"/>
                  <w:tcBorders>
                    <w:top w:val="nil"/>
                    <w:left w:val="nil"/>
                    <w:bottom w:val="single" w:color="auto" w:sz="8" w:space="0"/>
                    <w:right w:val="single" w:color="auto" w:sz="8" w:space="0"/>
                  </w:tcBorders>
                  <w:shd w:val="clear" w:color="auto" w:fill="auto"/>
                  <w:vAlign w:val="bottom"/>
                </w:tcPr>
                <w:p>
                  <w:pPr>
                    <w:pStyle w:val="31"/>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5.5-8.5</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CODcr</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2169</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107.97</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86</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4.28</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200</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BOD5</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1577.7</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78.53</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45.1</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2.24</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100</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NH3-N</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592.3</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29.48</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0.868</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0.04</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SS</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1184</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58.94</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22</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1.10</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100</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总磷</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73.3</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3.65</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10.86</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0.54</w:t>
                  </w:r>
                </w:p>
              </w:tc>
              <w:tc>
                <w:tcPr>
                  <w:tcW w:w="1134" w:type="dxa"/>
                  <w:tcBorders>
                    <w:top w:val="nil"/>
                    <w:left w:val="nil"/>
                    <w:bottom w:val="single" w:color="auto" w:sz="8" w:space="0"/>
                    <w:right w:val="single" w:color="auto" w:sz="8" w:space="0"/>
                  </w:tcBorders>
                  <w:shd w:val="clear" w:color="auto" w:fill="auto"/>
                  <w:noWrap/>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总氮</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80.4</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4.00</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11.9</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0.59</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动植物油</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30.9</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1.54</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4.71</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0.23</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阴离子表面活性剂</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9.3</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0.46</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3</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0.15</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8</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rFonts w:hint="eastAsia"/>
                      <w:color w:val="000000" w:themeColor="text1"/>
                      <w:szCs w:val="21"/>
                    </w:rPr>
                    <w:t>粪大肠菌群数（</w:t>
                  </w:r>
                  <w:r>
                    <w:rPr>
                      <w:color w:val="000000" w:themeColor="text1"/>
                      <w:szCs w:val="21"/>
                    </w:rPr>
                    <w:t>MPN/L</w:t>
                  </w:r>
                  <w:r>
                    <w:rPr>
                      <w:rFonts w:hint="eastAsia"/>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0.98×10</w:t>
                  </w:r>
                  <w:r>
                    <w:rPr>
                      <w:color w:val="000000" w:themeColor="text1"/>
                      <w:szCs w:val="21"/>
                      <w:vertAlign w:val="superscript"/>
                    </w:rPr>
                    <w:t>8</w:t>
                  </w:r>
                </w:p>
              </w:tc>
              <w:tc>
                <w:tcPr>
                  <w:tcW w:w="993"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　</w:t>
                  </w:r>
                  <w:r>
                    <w:rPr>
                      <w:rFonts w:hint="eastAsia"/>
                      <w:color w:val="000000" w:themeColor="text1"/>
                      <w:szCs w:val="21"/>
                    </w:rPr>
                    <w:t>40000</w:t>
                  </w:r>
                </w:p>
              </w:tc>
              <w:tc>
                <w:tcPr>
                  <w:tcW w:w="919"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rPr>
                  </w:pPr>
                  <w:r>
                    <w:rPr>
                      <w:color w:val="000000" w:themeColor="text1"/>
                      <w:szCs w:val="21"/>
                    </w:rPr>
                    <w:t>--</w:t>
                  </w:r>
                </w:p>
              </w:tc>
            </w:tr>
          </w:tbl>
          <w:p>
            <w:pPr>
              <w:pStyle w:val="39"/>
              <w:spacing w:beforeLines="50"/>
              <w:ind w:firstLine="480"/>
              <w:rPr>
                <w:color w:val="000000" w:themeColor="text1"/>
                <w:szCs w:val="24"/>
              </w:rPr>
            </w:pPr>
            <w:r>
              <w:rPr>
                <w:color w:val="000000" w:themeColor="text1"/>
                <w:szCs w:val="24"/>
              </w:rPr>
              <w:t>由上表可知，</w:t>
            </w:r>
            <w:r>
              <w:rPr>
                <w:rFonts w:hint="eastAsia"/>
                <w:color w:val="000000" w:themeColor="text1"/>
                <w:szCs w:val="24"/>
              </w:rPr>
              <w:t>项目综合废水</w:t>
            </w:r>
            <w:r>
              <w:rPr>
                <w:color w:val="000000" w:themeColor="text1"/>
                <w:szCs w:val="24"/>
              </w:rPr>
              <w:t>污水处理站处理后</w:t>
            </w:r>
            <w:r>
              <w:rPr>
                <w:rFonts w:hint="eastAsia"/>
                <w:color w:val="000000" w:themeColor="text1"/>
                <w:szCs w:val="24"/>
              </w:rPr>
              <w:t>可达到《农田灌溉水质标准》（GB5084-2021）中表1中旱地作物标准限值。</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初期雨水产排量及达标情况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初期雨水的主要污染物为CODcr和SS，项目拟配套设置了1个160m³的初期雨水收集池对厂区初期雨水进行收集后进入污水处理站处理，处理后用于项目区周围农田（旱地作物）灌溉，不直接排入环境。回用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①</w:t>
            </w:r>
            <w:r>
              <w:rPr>
                <w:rFonts w:ascii="Times New Roman" w:hAnsi="Times New Roman" w:cs="Times New Roman"/>
                <w:b/>
                <w:color w:val="000000" w:themeColor="text1"/>
                <w:sz w:val="24"/>
              </w:rPr>
              <w:t>化粪池环境影响减缓措施有效性分析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根据工程分析可知，项目生活污水产生量约为</w:t>
            </w:r>
            <w:r>
              <w:rPr>
                <w:rFonts w:hint="eastAsia" w:ascii="Times New Roman" w:hAnsi="Times New Roman" w:cs="Times New Roman"/>
                <w:color w:val="000000" w:themeColor="text1"/>
                <w:sz w:val="24"/>
              </w:rPr>
              <w:t>0.96</w:t>
            </w:r>
            <w:r>
              <w:rPr>
                <w:rFonts w:ascii="Times New Roman" w:hAnsi="Times New Roman" w:cs="Times New Roman"/>
                <w:color w:val="000000" w:themeColor="text1"/>
                <w:sz w:val="24"/>
              </w:rPr>
              <w:t>m³/d，变化系数按照1.2计，则最大生活污水量约为</w:t>
            </w:r>
            <w:r>
              <w:rPr>
                <w:rFonts w:hint="eastAsia" w:ascii="Times New Roman" w:hAnsi="Times New Roman" w:cs="Times New Roman"/>
                <w:color w:val="000000" w:themeColor="text1"/>
                <w:sz w:val="24"/>
              </w:rPr>
              <w:t>1.15</w:t>
            </w:r>
            <w:r>
              <w:rPr>
                <w:rFonts w:ascii="Times New Roman" w:hAnsi="Times New Roman" w:cs="Times New Roman"/>
                <w:color w:val="000000" w:themeColor="text1"/>
                <w:sz w:val="24"/>
              </w:rPr>
              <w:t>m³/d，根据《建筑给排水设计规范》（（GB50015-2019），化粪池总容积应满足废水停留时间12-24h的要求，并做好防渗处理，化粪池宜建在便于机动车清掏的位置；项目已建设的1个有效容积为6m³的化粪池，可满足24h停留时间要求，清掏车辆可进入进行清掏，且化粪池已严格按照规范要求进行防渗处置，因此化粪池设置合理。</w:t>
            </w:r>
          </w:p>
          <w:p>
            <w:pPr>
              <w:spacing w:line="360" w:lineRule="auto"/>
              <w:ind w:firstLine="482" w:firstLineChars="200"/>
              <w:rPr>
                <w:rFonts w:ascii="宋体" w:hAnsi="宋体" w:eastAsia="宋体" w:cs="宋体"/>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szCs w:val="24"/>
              </w:rPr>
              <w:t>污水处理站有效性分析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污水处理站规模设置合理性分析</w:t>
            </w:r>
          </w:p>
          <w:p>
            <w:pPr>
              <w:pStyle w:val="39"/>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项目综合废水产生量为</w:t>
            </w:r>
            <w:r>
              <w:rPr>
                <w:rFonts w:eastAsiaTheme="minorEastAsia"/>
                <w:color w:val="000000" w:themeColor="text1"/>
                <w:szCs w:val="24"/>
              </w:rPr>
              <w:t>138.27m³/</w:t>
            </w:r>
            <w:r>
              <w:rPr>
                <w:rFonts w:hint="eastAsia" w:eastAsiaTheme="minorEastAsia"/>
                <w:color w:val="000000" w:themeColor="text1"/>
                <w:szCs w:val="24"/>
              </w:rPr>
              <w:t>d，项目建设一个处理能力达到150</w:t>
            </w:r>
            <w:r>
              <w:rPr>
                <w:rFonts w:eastAsiaTheme="minorEastAsia"/>
                <w:color w:val="000000" w:themeColor="text1"/>
                <w:szCs w:val="24"/>
              </w:rPr>
              <w:t>m³/</w:t>
            </w:r>
            <w:r>
              <w:rPr>
                <w:rFonts w:hint="eastAsia" w:eastAsiaTheme="minorEastAsia"/>
                <w:color w:val="000000" w:themeColor="text1"/>
                <w:szCs w:val="24"/>
              </w:rPr>
              <w:t>d污水处理站对其进行处理，</w:t>
            </w:r>
            <w:r>
              <w:rPr>
                <w:rFonts w:eastAsiaTheme="minorEastAsia"/>
                <w:color w:val="000000" w:themeColor="text1"/>
                <w:szCs w:val="24"/>
              </w:rPr>
              <w:t>其规模可满足要求。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污水处理站工艺设置合理性分析</w:t>
            </w:r>
          </w:p>
          <w:p>
            <w:pPr>
              <w:pStyle w:val="39"/>
              <w:ind w:firstLine="480"/>
              <w:rPr>
                <w:rFonts w:eastAsiaTheme="minorEastAsia"/>
                <w:color w:val="000000" w:themeColor="text1"/>
                <w:szCs w:val="24"/>
              </w:rPr>
            </w:pPr>
            <w:r>
              <w:rPr>
                <w:rFonts w:hint="eastAsia" w:eastAsiaTheme="minorEastAsia"/>
                <w:color w:val="000000" w:themeColor="text1"/>
                <w:szCs w:val="24"/>
              </w:rPr>
              <w:t>根据设计方案，污水处理站拟采用格栅+曝气调节+气浮+厌氧池+缺氧池+一级接触氧化+水解酸化+二级接触氧化+二沉池+清水池，</w:t>
            </w:r>
            <w:r>
              <w:rPr>
                <w:rFonts w:eastAsiaTheme="minorEastAsia"/>
                <w:color w:val="000000" w:themeColor="text1"/>
                <w:szCs w:val="24"/>
              </w:rPr>
              <w:t>该工艺具有</w:t>
            </w:r>
            <w:r>
              <w:rPr>
                <w:rFonts w:hint="eastAsia" w:eastAsiaTheme="minorEastAsia"/>
                <w:color w:val="000000" w:themeColor="text1"/>
                <w:szCs w:val="24"/>
              </w:rPr>
              <w:t>技术成熟、</w:t>
            </w:r>
            <w:r>
              <w:rPr>
                <w:rFonts w:eastAsiaTheme="minorEastAsia"/>
                <w:color w:val="000000" w:themeColor="text1"/>
                <w:szCs w:val="24"/>
              </w:rPr>
              <w:t>效果稳定、污染物去除彻底、操作方便、运行灵活等优点。</w:t>
            </w:r>
            <w:r>
              <w:rPr>
                <w:rFonts w:hint="eastAsia" w:eastAsiaTheme="minorEastAsia"/>
                <w:color w:val="000000" w:themeColor="text1"/>
                <w:szCs w:val="24"/>
              </w:rPr>
              <w:t>具体工艺流程如下：</w:t>
            </w:r>
          </w:p>
          <w:p>
            <w:pPr>
              <w:spacing w:line="480" w:lineRule="auto"/>
              <w:jc w:val="center"/>
              <w:rPr>
                <w:color w:val="000000" w:themeColor="text1"/>
              </w:rPr>
            </w:pPr>
            <w:r>
              <w:rPr>
                <w:color w:val="000000" w:themeColor="text1"/>
              </w:rPr>
              <w:object>
                <v:shape id="_x0000_i1028" o:spt="75" type="#_x0000_t75" style="height:226.8pt;width:400.2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污水处理工艺流程图</w:t>
            </w:r>
          </w:p>
          <w:p>
            <w:pPr>
              <w:pStyle w:val="39"/>
              <w:spacing w:beforeLines="50"/>
              <w:ind w:firstLine="480"/>
              <w:rPr>
                <w:rFonts w:eastAsiaTheme="minorEastAsia"/>
                <w:color w:val="000000" w:themeColor="text1"/>
                <w:szCs w:val="24"/>
              </w:rPr>
            </w:pPr>
            <w:r>
              <w:rPr>
                <w:rFonts w:hint="eastAsia" w:eastAsiaTheme="minorEastAsia"/>
                <w:color w:val="000000" w:themeColor="text1"/>
                <w:szCs w:val="24"/>
              </w:rPr>
              <w:t>污水处理工艺流程简述如下：</w:t>
            </w:r>
          </w:p>
          <w:p>
            <w:pPr>
              <w:pStyle w:val="39"/>
              <w:ind w:firstLine="480"/>
              <w:rPr>
                <w:rFonts w:eastAsiaTheme="minorEastAsia"/>
                <w:color w:val="000000" w:themeColor="text1"/>
                <w:szCs w:val="24"/>
              </w:rPr>
            </w:pPr>
            <w:r>
              <w:rPr>
                <w:rFonts w:hint="eastAsia" w:eastAsiaTheme="minorEastAsia"/>
                <w:color w:val="000000" w:themeColor="text1"/>
                <w:szCs w:val="24"/>
              </w:rPr>
              <w:t>根据项目废水特点，项目采用的废水处理工艺流程如下：</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GB4 </w:instrText>
            </w:r>
            <w:r>
              <w:rPr>
                <w:rFonts w:eastAsiaTheme="minorEastAsia"/>
                <w:color w:val="000000" w:themeColor="text1"/>
                <w:szCs w:val="24"/>
              </w:rPr>
              <w:fldChar w:fldCharType="separate"/>
            </w:r>
            <w:r>
              <w:rPr>
                <w:rFonts w:eastAsiaTheme="minorEastAsia"/>
                <w:color w:val="000000" w:themeColor="text1"/>
                <w:szCs w:val="24"/>
              </w:rPr>
              <w:t>㈠</w:t>
            </w:r>
            <w:r>
              <w:rPr>
                <w:rFonts w:eastAsiaTheme="minorEastAsia"/>
                <w:color w:val="000000" w:themeColor="text1"/>
                <w:szCs w:val="24"/>
              </w:rPr>
              <w:fldChar w:fldCharType="end"/>
            </w:r>
            <w:r>
              <w:rPr>
                <w:rFonts w:hint="eastAsia" w:eastAsiaTheme="minorEastAsia"/>
                <w:color w:val="000000" w:themeColor="text1"/>
                <w:szCs w:val="24"/>
              </w:rPr>
              <w:t>格栅</w:t>
            </w:r>
          </w:p>
          <w:p>
            <w:pPr>
              <w:pStyle w:val="39"/>
              <w:ind w:firstLine="480"/>
              <w:rPr>
                <w:rFonts w:eastAsiaTheme="minorEastAsia"/>
                <w:color w:val="000000" w:themeColor="text1"/>
                <w:szCs w:val="24"/>
              </w:rPr>
            </w:pPr>
            <w:r>
              <w:rPr>
                <w:rFonts w:hint="eastAsia" w:eastAsiaTheme="minorEastAsia"/>
                <w:color w:val="000000" w:themeColor="text1"/>
                <w:szCs w:val="24"/>
              </w:rPr>
              <w:t>项目厂房的污水经过格栅，将污水中的一些大块的杂物予以去除，防止大块杂物堵塞水泵，影响后续工艺的处理，分离后的污水进入集水池。</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GB4 </w:instrText>
            </w:r>
            <w:r>
              <w:rPr>
                <w:rFonts w:eastAsiaTheme="minorEastAsia"/>
                <w:color w:val="000000" w:themeColor="text1"/>
                <w:szCs w:val="24"/>
              </w:rPr>
              <w:fldChar w:fldCharType="separate"/>
            </w:r>
            <w:r>
              <w:rPr>
                <w:rFonts w:eastAsiaTheme="minorEastAsia"/>
                <w:color w:val="000000" w:themeColor="text1"/>
                <w:szCs w:val="24"/>
              </w:rPr>
              <w:t>㈡</w:t>
            </w:r>
            <w:r>
              <w:rPr>
                <w:rFonts w:eastAsiaTheme="minorEastAsia"/>
                <w:color w:val="000000" w:themeColor="text1"/>
                <w:szCs w:val="24"/>
              </w:rPr>
              <w:fldChar w:fldCharType="end"/>
            </w:r>
            <w:r>
              <w:rPr>
                <w:rFonts w:hint="eastAsia" w:eastAsiaTheme="minorEastAsia"/>
                <w:color w:val="000000" w:themeColor="text1"/>
                <w:szCs w:val="24"/>
              </w:rPr>
              <w:t>曝气调节</w:t>
            </w:r>
          </w:p>
          <w:p>
            <w:pPr>
              <w:pStyle w:val="39"/>
              <w:ind w:firstLine="480"/>
              <w:rPr>
                <w:rFonts w:eastAsiaTheme="minorEastAsia"/>
                <w:color w:val="000000" w:themeColor="text1"/>
                <w:szCs w:val="24"/>
              </w:rPr>
            </w:pPr>
            <w:r>
              <w:rPr>
                <w:rFonts w:hint="eastAsia" w:eastAsiaTheme="minorEastAsia"/>
                <w:color w:val="000000" w:themeColor="text1"/>
                <w:szCs w:val="24"/>
              </w:rPr>
              <w:t>经格栅过滤后的废水进入调节池，调节池的作用一是收集污水，二是贮存一定量的污水，三是均衡污水水质。水质均匀，有益于进一步处理，同时为进一步处理提供了稳定的水量。</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GB4 </w:instrText>
            </w:r>
            <w:r>
              <w:rPr>
                <w:rFonts w:eastAsiaTheme="minorEastAsia"/>
                <w:color w:val="000000" w:themeColor="text1"/>
                <w:szCs w:val="24"/>
              </w:rPr>
              <w:fldChar w:fldCharType="separate"/>
            </w:r>
            <w:r>
              <w:rPr>
                <w:rFonts w:eastAsiaTheme="minorEastAsia"/>
                <w:color w:val="000000" w:themeColor="text1"/>
                <w:szCs w:val="24"/>
              </w:rPr>
              <w:t>㈢</w:t>
            </w:r>
            <w:r>
              <w:rPr>
                <w:rFonts w:eastAsiaTheme="minorEastAsia"/>
                <w:color w:val="000000" w:themeColor="text1"/>
                <w:szCs w:val="24"/>
              </w:rPr>
              <w:fldChar w:fldCharType="end"/>
            </w:r>
            <w:r>
              <w:rPr>
                <w:rFonts w:hint="eastAsia" w:eastAsiaTheme="minorEastAsia"/>
                <w:color w:val="000000" w:themeColor="text1"/>
                <w:szCs w:val="24"/>
              </w:rPr>
              <w:t>气浮</w:t>
            </w:r>
          </w:p>
          <w:p>
            <w:pPr>
              <w:pStyle w:val="39"/>
              <w:ind w:firstLine="480"/>
              <w:rPr>
                <w:rFonts w:eastAsiaTheme="minorEastAsia"/>
                <w:color w:val="000000" w:themeColor="text1"/>
                <w:szCs w:val="24"/>
              </w:rPr>
            </w:pPr>
            <w:r>
              <w:rPr>
                <w:rFonts w:hint="eastAsia" w:eastAsiaTheme="minorEastAsia"/>
                <w:color w:val="000000" w:themeColor="text1"/>
                <w:szCs w:val="24"/>
              </w:rPr>
              <w:t>调节池出水通过提升泵提升进入溶气气浮机，经气浮去除胶体和动植物油。</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GB4 </w:instrText>
            </w:r>
            <w:r>
              <w:rPr>
                <w:rFonts w:eastAsiaTheme="minorEastAsia"/>
                <w:color w:val="000000" w:themeColor="text1"/>
                <w:szCs w:val="24"/>
              </w:rPr>
              <w:fldChar w:fldCharType="separate"/>
            </w:r>
            <w:r>
              <w:rPr>
                <w:rFonts w:eastAsiaTheme="minorEastAsia"/>
                <w:color w:val="000000" w:themeColor="text1"/>
                <w:szCs w:val="24"/>
              </w:rPr>
              <w:t>㈣</w:t>
            </w:r>
            <w:r>
              <w:rPr>
                <w:rFonts w:eastAsiaTheme="minorEastAsia"/>
                <w:color w:val="000000" w:themeColor="text1"/>
                <w:szCs w:val="24"/>
              </w:rPr>
              <w:fldChar w:fldCharType="end"/>
            </w:r>
            <w:r>
              <w:rPr>
                <w:rFonts w:hint="eastAsia" w:eastAsiaTheme="minorEastAsia"/>
                <w:color w:val="000000" w:themeColor="text1"/>
                <w:szCs w:val="24"/>
              </w:rPr>
              <w:t>UASB厌氧池（升流式厌氧反应）</w:t>
            </w:r>
          </w:p>
          <w:p>
            <w:pPr>
              <w:pStyle w:val="39"/>
              <w:ind w:firstLine="480"/>
              <w:rPr>
                <w:rFonts w:eastAsiaTheme="minorEastAsia"/>
                <w:color w:val="000000" w:themeColor="text1"/>
                <w:szCs w:val="24"/>
              </w:rPr>
            </w:pPr>
            <w:r>
              <w:rPr>
                <w:rFonts w:hint="eastAsia" w:eastAsiaTheme="minorEastAsia"/>
                <w:color w:val="000000" w:themeColor="text1"/>
                <w:szCs w:val="24"/>
              </w:rPr>
              <w:t>污水厌氧消化工艺主要分为厌氧活性污泥法；由于升流式厌氧反应器具有污泥浓度高、有机负荷高、水力停留时间短、中温消化，消化效率高等特点，本项目选择升流式厌氧消化工艺处理项目废水。</w:t>
            </w:r>
          </w:p>
          <w:p>
            <w:pPr>
              <w:pStyle w:val="39"/>
              <w:ind w:firstLine="480"/>
              <w:rPr>
                <w:rFonts w:eastAsiaTheme="minorEastAsia"/>
                <w:color w:val="000000" w:themeColor="text1"/>
                <w:szCs w:val="24"/>
              </w:rPr>
            </w:pPr>
            <w:r>
              <w:rPr>
                <w:rFonts w:hint="eastAsia" w:eastAsiaTheme="minorEastAsia"/>
                <w:color w:val="000000" w:themeColor="text1"/>
                <w:szCs w:val="24"/>
              </w:rPr>
              <w:t xml:space="preserve">由于 UASB结构简单，容积负荷率高，废水在反应器内的水力停留时间较短，不需要搅拌，能适应较大幅度的负荷冲击、温度和 pH 变化，适用于高浓度有机废水的处理，具有很高的有机污染物去除率。 </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5 \* GB4 </w:instrText>
            </w:r>
            <w:r>
              <w:rPr>
                <w:rFonts w:eastAsiaTheme="minorEastAsia"/>
                <w:color w:val="000000" w:themeColor="text1"/>
                <w:szCs w:val="24"/>
              </w:rPr>
              <w:fldChar w:fldCharType="separate"/>
            </w:r>
            <w:r>
              <w:rPr>
                <w:rFonts w:eastAsiaTheme="minorEastAsia"/>
                <w:color w:val="000000" w:themeColor="text1"/>
                <w:szCs w:val="24"/>
              </w:rPr>
              <w:t>㈤</w:t>
            </w:r>
            <w:r>
              <w:rPr>
                <w:rFonts w:eastAsiaTheme="minorEastAsia"/>
                <w:color w:val="000000" w:themeColor="text1"/>
                <w:szCs w:val="24"/>
              </w:rPr>
              <w:fldChar w:fldCharType="end"/>
            </w:r>
            <w:r>
              <w:rPr>
                <w:rFonts w:hint="eastAsia" w:eastAsiaTheme="minorEastAsia"/>
                <w:color w:val="000000" w:themeColor="text1"/>
                <w:szCs w:val="24"/>
              </w:rPr>
              <w:t>两级 A/O系统</w:t>
            </w:r>
          </w:p>
          <w:p>
            <w:pPr>
              <w:pStyle w:val="39"/>
              <w:ind w:firstLine="480"/>
              <w:rPr>
                <w:rFonts w:eastAsiaTheme="minorEastAsia"/>
                <w:color w:val="000000" w:themeColor="text1"/>
                <w:szCs w:val="24"/>
              </w:rPr>
            </w:pPr>
            <w:r>
              <w:rPr>
                <w:rFonts w:hint="eastAsia" w:eastAsiaTheme="minorEastAsia"/>
                <w:color w:val="000000" w:themeColor="text1"/>
                <w:szCs w:val="24"/>
              </w:rPr>
              <w:t>由于屠宰废水的 COD与氨氮都很高，经过一次硝化与反硝化的过程很难达到标准，所以本方案采用了两级 A/O工艺。</w:t>
            </w:r>
          </w:p>
          <w:p>
            <w:pPr>
              <w:pStyle w:val="39"/>
              <w:ind w:firstLine="480"/>
              <w:rPr>
                <w:rFonts w:eastAsiaTheme="minorEastAsia"/>
                <w:color w:val="000000" w:themeColor="text1"/>
                <w:szCs w:val="24"/>
              </w:rPr>
            </w:pPr>
            <w:r>
              <w:rPr>
                <w:rFonts w:eastAsiaTheme="minorEastAsia"/>
                <w:color w:val="000000" w:themeColor="text1"/>
                <w:szCs w:val="24"/>
              </w:rPr>
              <w:t>A</w:t>
            </w:r>
            <w:r>
              <w:rPr>
                <w:rFonts w:hint="eastAsia" w:eastAsiaTheme="minorEastAsia"/>
                <w:color w:val="000000" w:themeColor="text1"/>
                <w:szCs w:val="24"/>
              </w:rPr>
              <w:t>、缺氧池</w:t>
            </w:r>
          </w:p>
          <w:p>
            <w:pPr>
              <w:pStyle w:val="39"/>
              <w:ind w:firstLine="480"/>
              <w:rPr>
                <w:rFonts w:eastAsiaTheme="minorEastAsia"/>
                <w:color w:val="000000" w:themeColor="text1"/>
                <w:szCs w:val="24"/>
              </w:rPr>
            </w:pPr>
            <w:r>
              <w:rPr>
                <w:rFonts w:hint="eastAsia" w:eastAsiaTheme="minorEastAsia"/>
                <w:color w:val="000000" w:themeColor="text1"/>
                <w:szCs w:val="24"/>
              </w:rPr>
              <w:t>在缺氧池中主要进行着生物脱氮作用，生物脱氮包含硝化及反硝化两种过程。硝化过程是在硝化菌的作用下，将氨氮转化为硝酸氮。硝化菌是化能自养菌，其生理活动不需要有机性营养物质，它从二氧化碳获取碳源，从无机物的氧化中获取能量。而反硝化过程是在反硝化菌的作用下，将硝酸氮和亚硝酸氮还原为氮气。反硝化菌是异养兼性厌氧菌，它只能在无分子态氧的情况下，利用硝酸和亚硝酸盐离子中的氧进行呼吸，使硝酸还原。缺氧池的主要功用就是进行反硝化过程。</w:t>
            </w:r>
          </w:p>
          <w:p>
            <w:pPr>
              <w:pStyle w:val="39"/>
              <w:ind w:firstLine="480"/>
              <w:rPr>
                <w:rFonts w:eastAsiaTheme="minorEastAsia"/>
                <w:color w:val="000000" w:themeColor="text1"/>
                <w:szCs w:val="24"/>
              </w:rPr>
            </w:pPr>
            <w:r>
              <w:rPr>
                <w:rFonts w:hint="eastAsia" w:eastAsiaTheme="minorEastAsia"/>
                <w:color w:val="000000" w:themeColor="text1"/>
                <w:szCs w:val="24"/>
              </w:rPr>
              <w:t>同时，好氧池中的循环混合液回流至缺氧池，回流污泥中的反硝化菌利用污水中的有机物为碳源，将回流混合液中的大量硝酸氮还原成氮气，以达到脱氮的目的。</w:t>
            </w:r>
          </w:p>
          <w:p>
            <w:pPr>
              <w:pStyle w:val="39"/>
              <w:ind w:firstLine="480"/>
              <w:rPr>
                <w:rFonts w:eastAsiaTheme="minorEastAsia"/>
                <w:color w:val="000000" w:themeColor="text1"/>
                <w:szCs w:val="24"/>
              </w:rPr>
            </w:pPr>
            <w:r>
              <w:rPr>
                <w:rFonts w:hint="eastAsia" w:eastAsiaTheme="minorEastAsia"/>
                <w:color w:val="000000" w:themeColor="text1"/>
                <w:szCs w:val="24"/>
              </w:rPr>
              <w:t>UASB 排出的厌氧消化液在进入好氧活性污泥处理工艺前进行缺氧曝气，在缺氧过程中溶解氧控制在 0.5mg/L以下，兼性脱氮菌利用进水中的 COD作为氢供给体，将好氧池混合液中的硝酸盐及亚硝酸盐还原成氮气排入大气，同时利用厌氧生物处理反应过程中的产酸过程，把一些复杂的大分子稠环化合物分解成低分子有机物。</w:t>
            </w:r>
          </w:p>
          <w:p>
            <w:pPr>
              <w:pStyle w:val="39"/>
              <w:ind w:firstLine="480"/>
              <w:rPr>
                <w:rFonts w:eastAsiaTheme="minorEastAsia"/>
                <w:color w:val="000000" w:themeColor="text1"/>
                <w:szCs w:val="24"/>
              </w:rPr>
            </w:pPr>
            <w:r>
              <w:rPr>
                <w:rFonts w:eastAsiaTheme="minorEastAsia"/>
                <w:color w:val="000000" w:themeColor="text1"/>
                <w:szCs w:val="24"/>
              </w:rPr>
              <w:t>B</w:t>
            </w:r>
            <w:r>
              <w:rPr>
                <w:rFonts w:hint="eastAsia" w:eastAsiaTheme="minorEastAsia"/>
                <w:color w:val="000000" w:themeColor="text1"/>
                <w:szCs w:val="24"/>
              </w:rPr>
              <w:t>、好氧池</w:t>
            </w:r>
          </w:p>
          <w:p>
            <w:pPr>
              <w:pStyle w:val="39"/>
              <w:ind w:firstLine="480"/>
              <w:rPr>
                <w:rFonts w:eastAsiaTheme="minorEastAsia"/>
                <w:color w:val="000000" w:themeColor="text1"/>
                <w:szCs w:val="24"/>
              </w:rPr>
            </w:pPr>
            <w:r>
              <w:rPr>
                <w:rFonts w:hint="eastAsia" w:eastAsiaTheme="minorEastAsia"/>
                <w:color w:val="000000" w:themeColor="text1"/>
                <w:szCs w:val="24"/>
              </w:rPr>
              <w:t>混合液从缺氧反应区进入好氧反应区，这一反应区单元是多功能的，去除BOD</w:t>
            </w:r>
            <w:r>
              <w:rPr>
                <w:rFonts w:hint="eastAsia" w:eastAsiaTheme="minorEastAsia"/>
                <w:color w:val="000000" w:themeColor="text1"/>
                <w:szCs w:val="24"/>
                <w:vertAlign w:val="subscript"/>
              </w:rPr>
              <w:t>5</w:t>
            </w:r>
            <w:r>
              <w:rPr>
                <w:rFonts w:hint="eastAsia" w:eastAsiaTheme="minorEastAsia"/>
                <w:color w:val="000000" w:themeColor="text1"/>
                <w:szCs w:val="24"/>
              </w:rPr>
              <w:t>、硝化和吸收磷等项反应都在本反应器内进行。这三项反应都是重要的，混合液中含有 NO</w:t>
            </w:r>
            <w:r>
              <w:rPr>
                <w:rFonts w:hint="eastAsia" w:eastAsiaTheme="minorEastAsia"/>
                <w:color w:val="000000" w:themeColor="text1"/>
                <w:szCs w:val="24"/>
                <w:vertAlign w:val="subscript"/>
              </w:rPr>
              <w:t>3</w:t>
            </w:r>
            <w:r>
              <w:rPr>
                <w:rFonts w:hint="eastAsia" w:eastAsiaTheme="minorEastAsia"/>
                <w:color w:val="000000" w:themeColor="text1"/>
                <w:szCs w:val="24"/>
              </w:rPr>
              <w:t>-N，污泥中含有过剩的磷，而污水中的BOD</w:t>
            </w:r>
            <w:r>
              <w:rPr>
                <w:rFonts w:hint="eastAsia" w:eastAsiaTheme="minorEastAsia"/>
                <w:color w:val="000000" w:themeColor="text1"/>
                <w:szCs w:val="24"/>
                <w:vertAlign w:val="subscript"/>
              </w:rPr>
              <w:t>5</w:t>
            </w:r>
            <w:r>
              <w:rPr>
                <w:rFonts w:hint="eastAsia" w:eastAsiaTheme="minorEastAsia"/>
                <w:color w:val="000000" w:themeColor="text1"/>
                <w:szCs w:val="24"/>
              </w:rPr>
              <w:t>则得到去除。一级好氧池按 200%原污水量的混合液回流至一级缺氧反应器。二级好氧池按 100%原污水量的混合液回流至二级兼氧池。</w:t>
            </w:r>
          </w:p>
          <w:p>
            <w:pPr>
              <w:pStyle w:val="39"/>
              <w:ind w:firstLine="480"/>
              <w:rPr>
                <w:rFonts w:eastAsiaTheme="minorEastAsia"/>
                <w:color w:val="000000" w:themeColor="text1"/>
                <w:szCs w:val="24"/>
              </w:rPr>
            </w:pPr>
            <w:r>
              <w:rPr>
                <w:rFonts w:hint="eastAsia" w:eastAsiaTheme="minorEastAsia"/>
                <w:color w:val="000000" w:themeColor="text1"/>
                <w:szCs w:val="24"/>
              </w:rPr>
              <w:t>一级好氧池采用活性污泥法工艺，二级好氧池部分采用接触氧化工艺，主要功能是通过好氧生化过程，将污水中残留的有机物去除，进一步降解 COD，并通过硝化过程将氨氮转化成硝酸盐。利用聚磷菌（小型革兰式阴性短杆菌）好氧吸 P 厌氧释 P 作用，污水中的有机物被氧化分解，同时污水中的磷以聚合磷酸盐的形式贮藏在菌体内而形成高磷污泥，通过剩余污泥排出，具有较好的除磷效果。</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6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㈥</w:t>
            </w:r>
            <w:r>
              <w:rPr>
                <w:rFonts w:eastAsiaTheme="minorEastAsia"/>
                <w:color w:val="000000" w:themeColor="text1"/>
                <w:szCs w:val="24"/>
              </w:rPr>
              <w:fldChar w:fldCharType="end"/>
            </w:r>
            <w:r>
              <w:rPr>
                <w:rFonts w:hint="eastAsia" w:eastAsiaTheme="minorEastAsia"/>
                <w:color w:val="000000" w:themeColor="text1"/>
                <w:szCs w:val="24"/>
              </w:rPr>
              <w:t>二沉淀</w:t>
            </w:r>
          </w:p>
          <w:p>
            <w:pPr>
              <w:pStyle w:val="39"/>
              <w:ind w:firstLine="480"/>
              <w:rPr>
                <w:rFonts w:eastAsiaTheme="minorEastAsia"/>
                <w:color w:val="000000" w:themeColor="text1"/>
                <w:szCs w:val="24"/>
              </w:rPr>
            </w:pPr>
            <w:r>
              <w:rPr>
                <w:rFonts w:hint="eastAsia" w:eastAsiaTheme="minorEastAsia"/>
                <w:color w:val="000000" w:themeColor="text1"/>
                <w:szCs w:val="24"/>
              </w:rPr>
              <w:t>好氧池出水中含有大量污泥，沉淀池将污泥截留并浓缩，并将部分污泥回流至缺氧池，剩余污泥则排至污泥池，经污泥脱水机脱水后，运至堆肥间。</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7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㈦</w:t>
            </w:r>
            <w:r>
              <w:rPr>
                <w:rFonts w:eastAsiaTheme="minorEastAsia"/>
                <w:color w:val="000000" w:themeColor="text1"/>
                <w:szCs w:val="24"/>
              </w:rPr>
              <w:fldChar w:fldCharType="end"/>
            </w:r>
            <w:r>
              <w:rPr>
                <w:rFonts w:hint="eastAsia" w:eastAsiaTheme="minorEastAsia"/>
                <w:color w:val="000000" w:themeColor="text1"/>
                <w:szCs w:val="24"/>
              </w:rPr>
              <w:t>清水池</w:t>
            </w:r>
          </w:p>
          <w:p>
            <w:pPr>
              <w:pStyle w:val="39"/>
              <w:ind w:firstLine="480"/>
              <w:rPr>
                <w:rFonts w:eastAsiaTheme="minorEastAsia"/>
                <w:color w:val="000000" w:themeColor="text1"/>
                <w:szCs w:val="24"/>
              </w:rPr>
            </w:pPr>
            <w:r>
              <w:rPr>
                <w:rFonts w:hint="eastAsia" w:eastAsiaTheme="minorEastAsia"/>
                <w:color w:val="000000" w:themeColor="text1"/>
                <w:szCs w:val="24"/>
              </w:rPr>
              <w:t>经处理后的清水进入清水池收集后用于项目区周围农田（旱地作物）灌溉。</w:t>
            </w:r>
          </w:p>
          <w:p>
            <w:pPr>
              <w:pStyle w:val="39"/>
              <w:ind w:firstLine="480"/>
              <w:rPr>
                <w:color w:val="000000" w:themeColor="text1"/>
                <w:szCs w:val="24"/>
              </w:rPr>
            </w:pPr>
            <w:r>
              <w:rPr>
                <w:color w:val="000000" w:themeColor="text1"/>
                <w:szCs w:val="24"/>
              </w:rPr>
              <w:t>根据核算</w:t>
            </w:r>
            <w:r>
              <w:rPr>
                <w:rFonts w:hint="eastAsia"/>
                <w:color w:val="000000" w:themeColor="text1"/>
                <w:szCs w:val="24"/>
              </w:rPr>
              <w:t>，项目综合废水</w:t>
            </w:r>
            <w:r>
              <w:rPr>
                <w:color w:val="000000" w:themeColor="text1"/>
                <w:szCs w:val="24"/>
              </w:rPr>
              <w:t>污水处理站处理后</w:t>
            </w:r>
            <w:r>
              <w:rPr>
                <w:rFonts w:hint="eastAsia"/>
                <w:color w:val="000000" w:themeColor="text1"/>
                <w:szCs w:val="24"/>
              </w:rPr>
              <w:t>可达到《农田灌溉水质标准》（GB5084-2021）中表1中旱地作物标准限值。</w:t>
            </w:r>
            <w:r>
              <w:rPr>
                <w:color w:val="000000" w:themeColor="text1"/>
                <w:szCs w:val="24"/>
              </w:rPr>
              <w:t>因此其技术可行。</w:t>
            </w:r>
          </w:p>
          <w:p>
            <w:pPr>
              <w:pStyle w:val="39"/>
              <w:ind w:firstLine="482"/>
              <w:rPr>
                <w:b/>
                <w:color w:val="000000" w:themeColor="text1"/>
                <w:szCs w:val="24"/>
              </w:rPr>
            </w:pPr>
            <w:r>
              <w:rPr>
                <w:rFonts w:hint="eastAsia" w:ascii="宋体" w:hAnsi="宋体" w:cs="宋体"/>
                <w:b/>
                <w:color w:val="000000" w:themeColor="text1"/>
                <w:szCs w:val="24"/>
              </w:rPr>
              <w:t>③</w:t>
            </w:r>
            <w:r>
              <w:rPr>
                <w:b/>
                <w:color w:val="000000" w:themeColor="text1"/>
                <w:szCs w:val="24"/>
              </w:rPr>
              <w:t>初期雨水污染治理措施可行性分析</w:t>
            </w:r>
          </w:p>
          <w:p>
            <w:pPr>
              <w:pStyle w:val="39"/>
              <w:ind w:firstLine="480"/>
              <w:rPr>
                <w:rFonts w:eastAsiaTheme="minorEastAsia"/>
                <w:color w:val="000000" w:themeColor="text1"/>
                <w:szCs w:val="24"/>
              </w:rPr>
            </w:pPr>
            <w:r>
              <w:rPr>
                <w:rFonts w:eastAsiaTheme="minorEastAsia"/>
                <w:color w:val="000000" w:themeColor="text1"/>
                <w:szCs w:val="24"/>
              </w:rPr>
              <w:t>根据工程分析可知，该改建项目厂区的初期雨水产生量约为6.5m³/次，该改建项目拟配套设置了1个160m³的初期雨水收集池，初期雨水收集池的容积可满足收集要求，同时在初期雨水收集池前端设置阀门，初期雨水收集后，关闭阀门，将中、后期雨水通过雨水管网外排；该措施合理可行。</w:t>
            </w:r>
          </w:p>
          <w:p>
            <w:pPr>
              <w:pStyle w:val="39"/>
              <w:ind w:firstLine="482"/>
              <w:rPr>
                <w:b/>
                <w:color w:val="000000" w:themeColor="text1"/>
                <w:szCs w:val="24"/>
              </w:rPr>
            </w:pPr>
            <w:r>
              <w:rPr>
                <w:rFonts w:hint="eastAsia"/>
                <w:b/>
                <w:color w:val="000000" w:themeColor="text1"/>
                <w:szCs w:val="24"/>
              </w:rPr>
              <w:t>④项目区周围农田消纳能力及可行性分析</w:t>
            </w:r>
          </w:p>
          <w:p>
            <w:pPr>
              <w:pStyle w:val="39"/>
              <w:ind w:firstLine="480"/>
              <w:rPr>
                <w:rFonts w:eastAsiaTheme="minorEastAsia"/>
                <w:color w:val="000000" w:themeColor="text1"/>
                <w:szCs w:val="24"/>
              </w:rPr>
            </w:pPr>
            <w:r>
              <w:rPr>
                <w:rFonts w:eastAsiaTheme="minorEastAsia"/>
                <w:color w:val="000000" w:themeColor="text1"/>
                <w:szCs w:val="24"/>
              </w:rPr>
              <w:t>根据《云南省地方标准用水定额》（DB53/T168-2019），东川区位于农业灌溉用水分区中的</w:t>
            </w:r>
            <w:r>
              <w:rPr>
                <w:rFonts w:hint="eastAsia" w:eastAsiaTheme="minorEastAsia"/>
                <w:color w:val="000000" w:themeColor="text1"/>
                <w:szCs w:val="24"/>
              </w:rPr>
              <w:t>“VI</w:t>
            </w:r>
            <w:r>
              <w:rPr>
                <w:rFonts w:eastAsiaTheme="minorEastAsia"/>
                <w:color w:val="000000" w:themeColor="text1"/>
                <w:szCs w:val="24"/>
              </w:rPr>
              <w:t>-1 区</w:t>
            </w:r>
            <w:r>
              <w:rPr>
                <w:rFonts w:hint="eastAsia" w:eastAsiaTheme="minorEastAsia"/>
                <w:color w:val="000000" w:themeColor="text1"/>
                <w:szCs w:val="24"/>
              </w:rPr>
              <w:t>”，项目区主要种植玉米、果类等旱作植物，玉米灌溉用水定额为</w:t>
            </w:r>
            <w:r>
              <w:rPr>
                <w:rFonts w:eastAsiaTheme="minorEastAsia"/>
                <w:color w:val="000000" w:themeColor="text1"/>
                <w:szCs w:val="24"/>
              </w:rPr>
              <w:t>2550</w:t>
            </w:r>
            <w:r>
              <w:rPr>
                <w:rFonts w:hint="eastAsia" w:eastAsiaTheme="minorEastAsia"/>
                <w:color w:val="000000" w:themeColor="text1"/>
                <w:szCs w:val="24"/>
              </w:rPr>
              <w:t>-</w:t>
            </w:r>
            <w:r>
              <w:rPr>
                <w:rFonts w:eastAsiaTheme="minorEastAsia"/>
                <w:color w:val="000000" w:themeColor="text1"/>
                <w:szCs w:val="24"/>
              </w:rPr>
              <w:t>2700m³</w:t>
            </w:r>
            <w:r>
              <w:rPr>
                <w:rFonts w:hint="eastAsia" w:eastAsiaTheme="minorEastAsia"/>
                <w:color w:val="000000" w:themeColor="text1"/>
                <w:szCs w:val="24"/>
              </w:rPr>
              <w:t>/h</w:t>
            </w:r>
            <w:r>
              <w:rPr>
                <w:rFonts w:eastAsiaTheme="minorEastAsia"/>
                <w:color w:val="000000" w:themeColor="text1"/>
                <w:szCs w:val="24"/>
              </w:rPr>
              <w:t>m²</w:t>
            </w:r>
            <w:r>
              <w:rPr>
                <w:rFonts w:hint="eastAsia" w:eastAsiaTheme="minorEastAsia"/>
                <w:color w:val="000000" w:themeColor="text1"/>
                <w:szCs w:val="24"/>
              </w:rPr>
              <w:t>（P=90%），果类灌溉用水定额为</w:t>
            </w:r>
            <w:r>
              <w:rPr>
                <w:rFonts w:eastAsiaTheme="minorEastAsia"/>
                <w:color w:val="000000" w:themeColor="text1"/>
                <w:szCs w:val="24"/>
              </w:rPr>
              <w:t>1800</w:t>
            </w:r>
            <w:r>
              <w:rPr>
                <w:rFonts w:hint="eastAsia" w:eastAsiaTheme="minorEastAsia"/>
                <w:color w:val="000000" w:themeColor="text1"/>
                <w:szCs w:val="24"/>
              </w:rPr>
              <w:t>-</w:t>
            </w:r>
            <w:r>
              <w:rPr>
                <w:rFonts w:eastAsiaTheme="minorEastAsia"/>
                <w:color w:val="000000" w:themeColor="text1"/>
                <w:szCs w:val="24"/>
              </w:rPr>
              <w:t>2025m³</w:t>
            </w:r>
            <w:r>
              <w:rPr>
                <w:rFonts w:hint="eastAsia" w:eastAsiaTheme="minorEastAsia"/>
                <w:color w:val="000000" w:themeColor="text1"/>
                <w:szCs w:val="24"/>
              </w:rPr>
              <w:t>/h</w:t>
            </w:r>
            <w:r>
              <w:rPr>
                <w:rFonts w:eastAsiaTheme="minorEastAsia"/>
                <w:color w:val="000000" w:themeColor="text1"/>
                <w:szCs w:val="24"/>
              </w:rPr>
              <w:t>m²</w:t>
            </w:r>
            <w:r>
              <w:rPr>
                <w:rFonts w:hint="eastAsia" w:eastAsiaTheme="minorEastAsia"/>
                <w:color w:val="000000" w:themeColor="text1"/>
                <w:szCs w:val="24"/>
              </w:rPr>
              <w:t>（P=90%），按最低用水定额计算，项目灌溉用水量取</w:t>
            </w:r>
            <w:r>
              <w:rPr>
                <w:rFonts w:eastAsiaTheme="minorEastAsia"/>
                <w:color w:val="000000" w:themeColor="text1"/>
                <w:szCs w:val="24"/>
              </w:rPr>
              <w:t>1800m³</w:t>
            </w:r>
            <w:r>
              <w:rPr>
                <w:rFonts w:hint="eastAsia" w:eastAsiaTheme="minorEastAsia"/>
                <w:color w:val="000000" w:themeColor="text1"/>
                <w:szCs w:val="24"/>
              </w:rPr>
              <w:t>/h</w:t>
            </w:r>
            <w:r>
              <w:rPr>
                <w:rFonts w:eastAsiaTheme="minorEastAsia"/>
                <w:color w:val="000000" w:themeColor="text1"/>
                <w:szCs w:val="24"/>
              </w:rPr>
              <w:t>m²</w:t>
            </w:r>
            <w:r>
              <w:rPr>
                <w:rFonts w:hint="eastAsia" w:eastAsiaTheme="minorEastAsia"/>
                <w:color w:val="000000" w:themeColor="text1"/>
                <w:szCs w:val="24"/>
              </w:rPr>
              <w:t>；根据业主提供资料，项目区周围有约32h</w:t>
            </w:r>
            <w:r>
              <w:rPr>
                <w:rFonts w:eastAsiaTheme="minorEastAsia"/>
                <w:color w:val="000000" w:themeColor="text1"/>
                <w:szCs w:val="24"/>
              </w:rPr>
              <w:t>m²</w:t>
            </w:r>
            <w:r>
              <w:rPr>
                <w:rFonts w:hint="eastAsia" w:eastAsiaTheme="minorEastAsia"/>
                <w:color w:val="000000" w:themeColor="text1"/>
                <w:szCs w:val="24"/>
              </w:rPr>
              <w:t>农田可消纳项目区产生的废水，则可消纳量约为57600</w:t>
            </w:r>
            <w:r>
              <w:rPr>
                <w:rFonts w:eastAsiaTheme="minorEastAsia"/>
                <w:color w:val="000000" w:themeColor="text1"/>
                <w:szCs w:val="24"/>
              </w:rPr>
              <w:t>m³</w:t>
            </w:r>
            <w:r>
              <w:rPr>
                <w:rFonts w:hint="eastAsia" w:eastAsiaTheme="minorEastAsia"/>
                <w:color w:val="000000" w:themeColor="text1"/>
                <w:szCs w:val="24"/>
              </w:rPr>
              <w:t>/a，而该项目废水产生量为</w:t>
            </w:r>
            <w:r>
              <w:rPr>
                <w:rFonts w:eastAsiaTheme="minorEastAsia"/>
                <w:color w:val="000000" w:themeColor="text1"/>
                <w:szCs w:val="24"/>
              </w:rPr>
              <w:t>49777.6m³/a</w:t>
            </w:r>
            <w:r>
              <w:rPr>
                <w:rFonts w:hint="eastAsia" w:eastAsiaTheme="minorEastAsia"/>
                <w:color w:val="000000" w:themeColor="text1"/>
                <w:szCs w:val="24"/>
              </w:rPr>
              <w:t>，因此其产生量可完全用于</w:t>
            </w:r>
            <w:r>
              <w:rPr>
                <w:rFonts w:eastAsiaTheme="minorEastAsia"/>
                <w:color w:val="000000" w:themeColor="text1"/>
                <w:szCs w:val="24"/>
              </w:rPr>
              <w:t>项目区周围农田（旱地作物）灌溉，不直接排入环境。</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总则》（HJ819-2017）和《排污许可证申请与核发技术规范 农副食品加工工业-屠宰及肉类加工工业》（HJ 860.3-2018）的要求，项目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42"/>
              <w:gridCol w:w="2406"/>
              <w:gridCol w:w="998"/>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对象</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监测点位</w:t>
                  </w:r>
                </w:p>
              </w:tc>
              <w:tc>
                <w:tcPr>
                  <w:tcW w:w="240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监测因子</w:t>
                  </w:r>
                </w:p>
              </w:tc>
              <w:tc>
                <w:tcPr>
                  <w:tcW w:w="99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47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8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废水</w:t>
                  </w:r>
                </w:p>
              </w:tc>
              <w:tc>
                <w:tcPr>
                  <w:tcW w:w="184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污水处理站出口</w:t>
                  </w:r>
                </w:p>
              </w:tc>
              <w:tc>
                <w:tcPr>
                  <w:tcW w:w="2406" w:type="dxa"/>
                  <w:vAlign w:val="center"/>
                </w:tcPr>
                <w:p>
                  <w:pPr>
                    <w:pStyle w:val="31"/>
                    <w:spacing w:line="360" w:lineRule="exact"/>
                    <w:ind w:firstLine="210" w:firstLineChars="100"/>
                    <w:jc w:val="left"/>
                    <w:rPr>
                      <w:rFonts w:eastAsiaTheme="minorEastAsia"/>
                      <w:color w:val="000000" w:themeColor="text1"/>
                    </w:rPr>
                  </w:pPr>
                  <w:r>
                    <w:rPr>
                      <w:bCs w:val="0"/>
                      <w:snapToGrid/>
                      <w:color w:val="000000" w:themeColor="text1"/>
                      <w:kern w:val="0"/>
                      <w:szCs w:val="21"/>
                      <w:lang w:val="en-US"/>
                    </w:rPr>
                    <w:t xml:space="preserve">pH </w:t>
                  </w:r>
                  <w:r>
                    <w:rPr>
                      <w:rFonts w:hint="eastAsia"/>
                      <w:bCs w:val="0"/>
                      <w:snapToGrid/>
                      <w:color w:val="000000" w:themeColor="text1"/>
                      <w:kern w:val="0"/>
                      <w:szCs w:val="21"/>
                      <w:lang w:val="en-US"/>
                    </w:rPr>
                    <w:t>值、化学需氧量、氨氮、总氮、总磷、悬浮物、五日生化需氧量、动植物油、大肠菌群数、阴离子表面活性剂</w:t>
                  </w:r>
                </w:p>
              </w:tc>
              <w:tc>
                <w:tcPr>
                  <w:tcW w:w="99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仅在自行验收时监测</w:t>
                  </w:r>
                </w:p>
              </w:tc>
              <w:tc>
                <w:tcPr>
                  <w:tcW w:w="2479" w:type="dxa"/>
                  <w:vAlign w:val="center"/>
                </w:tcPr>
                <w:p>
                  <w:pPr>
                    <w:pStyle w:val="31"/>
                    <w:spacing w:line="360" w:lineRule="exact"/>
                    <w:ind w:firstLine="210" w:firstLineChars="100"/>
                    <w:jc w:val="both"/>
                    <w:rPr>
                      <w:rFonts w:eastAsiaTheme="minorEastAsia"/>
                      <w:color w:val="000000" w:themeColor="text1"/>
                      <w:szCs w:val="21"/>
                    </w:rPr>
                  </w:pPr>
                  <w:r>
                    <w:rPr>
                      <w:rFonts w:hint="eastAsia"/>
                      <w:color w:val="000000" w:themeColor="text1"/>
                    </w:rPr>
                    <w:t>《农田灌溉水质标准》（GB5084-2021）中旱地作物标准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8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雨水</w:t>
                  </w:r>
                </w:p>
              </w:tc>
              <w:tc>
                <w:tcPr>
                  <w:tcW w:w="1842" w:type="dxa"/>
                  <w:vAlign w:val="center"/>
                </w:tcPr>
                <w:p>
                  <w:pPr>
                    <w:pStyle w:val="31"/>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雨水排放口</w:t>
                  </w:r>
                </w:p>
              </w:tc>
              <w:tc>
                <w:tcPr>
                  <w:tcW w:w="2406" w:type="dxa"/>
                  <w:vAlign w:val="center"/>
                </w:tcPr>
                <w:p>
                  <w:pPr>
                    <w:pStyle w:val="31"/>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CODcr、SS</w:t>
                  </w:r>
                </w:p>
              </w:tc>
              <w:tc>
                <w:tcPr>
                  <w:tcW w:w="99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日</w:t>
                  </w:r>
                </w:p>
              </w:tc>
              <w:tc>
                <w:tcPr>
                  <w:tcW w:w="2479" w:type="dxa"/>
                  <w:vAlign w:val="center"/>
                </w:tcPr>
                <w:p>
                  <w:pPr>
                    <w:pStyle w:val="31"/>
                    <w:spacing w:line="360" w:lineRule="exact"/>
                    <w:ind w:firstLine="210" w:firstLineChars="100"/>
                    <w:jc w:val="both"/>
                    <w:rPr>
                      <w:color w:val="000000" w:themeColor="text1"/>
                    </w:rPr>
                  </w:pPr>
                  <w:r>
                    <w:rPr>
                      <w:color w:val="000000" w:themeColor="text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w:t>
            </w:r>
            <w:r>
              <w:rPr>
                <w:rFonts w:hint="eastAsia" w:ascii="Times New Roman" w:hAnsi="Times New Roman" w:cs="Times New Roman"/>
                <w:color w:val="000000" w:themeColor="text1"/>
                <w:sz w:val="24"/>
              </w:rPr>
              <w:t>项目已设置了</w:t>
            </w:r>
            <w:r>
              <w:rPr>
                <w:rFonts w:ascii="Times New Roman" w:hAnsi="Times New Roman" w:cs="Times New Roman"/>
                <w:color w:val="000000" w:themeColor="text1"/>
                <w:sz w:val="24"/>
              </w:rPr>
              <w:t>1个6m³的化粪池</w:t>
            </w:r>
            <w:r>
              <w:rPr>
                <w:rFonts w:hint="eastAsia" w:ascii="Times New Roman" w:hAnsi="Times New Roman" w:cs="Times New Roman"/>
                <w:color w:val="000000" w:themeColor="text1"/>
                <w:sz w:val="24"/>
              </w:rPr>
              <w:t>和拟提升改造</w:t>
            </w:r>
            <w:r>
              <w:rPr>
                <w:rFonts w:ascii="Times New Roman" w:hAnsi="Times New Roman" w:cs="Times New Roman"/>
                <w:color w:val="000000" w:themeColor="text1"/>
                <w:sz w:val="24"/>
              </w:rPr>
              <w:t>1个处理能力为150m³/d的污水处理站</w:t>
            </w:r>
            <w:r>
              <w:rPr>
                <w:rFonts w:hint="eastAsia" w:ascii="Times New Roman" w:hAnsi="Times New Roman" w:cs="Times New Roman"/>
                <w:color w:val="000000" w:themeColor="text1"/>
                <w:sz w:val="24"/>
              </w:rPr>
              <w:t>对项目区综合废水进行处理，项目产生的综合废水（生产废水、消毒废水、生活污水和初期雨水）经厂区污水处理站处理达到《农田灌溉水质标准》（GB5084-2021）后用于项目区周围农田（旱地作物）灌溉，不直接排入环境；</w:t>
            </w:r>
            <w:r>
              <w:rPr>
                <w:rFonts w:ascii="Times New Roman" w:hAnsi="Times New Roman" w:cs="Times New Roman"/>
                <w:color w:val="000000" w:themeColor="text1"/>
                <w:sz w:val="24"/>
              </w:rPr>
              <w:t>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w:t>
            </w:r>
            <w:r>
              <w:rPr>
                <w:rFonts w:hint="eastAsia" w:ascii="Times New Roman" w:hAnsi="Times New Roman" w:cs="Times New Roman"/>
                <w:color w:val="000000" w:themeColor="text1"/>
                <w:sz w:val="24"/>
              </w:rPr>
              <w:t>和猪叫声</w:t>
            </w:r>
            <w:r>
              <w:rPr>
                <w:rFonts w:ascii="Times New Roman" w:hAnsi="Times New Roman" w:cs="Times New Roman"/>
                <w:color w:val="000000" w:themeColor="text1"/>
                <w:sz w:val="24"/>
              </w:rPr>
              <w:t>，其源强如下表所示。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1275"/>
              <w:gridCol w:w="1276"/>
              <w:gridCol w:w="1276"/>
              <w:gridCol w:w="850"/>
              <w:gridCol w:w="1276"/>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主要生产单元</w:t>
                  </w:r>
                </w:p>
              </w:tc>
              <w:tc>
                <w:tcPr>
                  <w:tcW w:w="709"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主要工艺</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生产设施</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规格型号</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产生强度〔dB（A）〕</w:t>
                  </w:r>
                </w:p>
              </w:tc>
              <w:tc>
                <w:tcPr>
                  <w:tcW w:w="85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降噪措施</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排放强度〔dB（A）〕</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主体工程</w:t>
                  </w:r>
                </w:p>
              </w:tc>
              <w:tc>
                <w:tcPr>
                  <w:tcW w:w="709"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刺杀</w:t>
                  </w:r>
                  <w:r>
                    <w:rPr>
                      <w:rFonts w:ascii="Times New Roman" w:hAnsi="Times New Roman" w:cs="Times New Roman"/>
                      <w:bCs/>
                      <w:snapToGrid w:val="0"/>
                      <w:color w:val="000000" w:themeColor="text1"/>
                      <w:kern w:val="32"/>
                      <w:lang w:val="zh-CN"/>
                    </w:rPr>
                    <w:t>放血</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升降机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70</w:t>
                  </w:r>
                </w:p>
              </w:tc>
              <w:tc>
                <w:tcPr>
                  <w:tcW w:w="850" w:type="dxa"/>
                  <w:vMerge w:val="restart"/>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减震垫、消声器、墙体阻隔等</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喂入装置</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推板式放血自动线</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42m</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7" w:hRule="atLeast"/>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褪毛清洗</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300型</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75</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400型</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75</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开膛分割</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白条提升机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N=2.2kw</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桥式劈半锯</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N=11kw</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白条自动切割线</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40m</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75</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快速转送机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1.5kw</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环保工程</w:t>
                  </w:r>
                </w:p>
              </w:tc>
              <w:tc>
                <w:tcPr>
                  <w:tcW w:w="1984" w:type="dxa"/>
                  <w:gridSpan w:val="2"/>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污水处理站</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处理规模为150m³/d</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90</w:t>
                  </w:r>
                </w:p>
              </w:tc>
              <w:tc>
                <w:tcPr>
                  <w:tcW w:w="850" w:type="dxa"/>
                  <w:vMerge w:val="continue"/>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75</w:t>
                  </w:r>
                </w:p>
              </w:tc>
              <w:tc>
                <w:tcPr>
                  <w:tcW w:w="1208" w:type="dxa"/>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其他</w:t>
                  </w:r>
                </w:p>
              </w:tc>
              <w:tc>
                <w:tcPr>
                  <w:tcW w:w="1984" w:type="dxa"/>
                  <w:gridSpan w:val="2"/>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猪叫声</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90</w:t>
                  </w:r>
                </w:p>
              </w:tc>
              <w:tc>
                <w:tcPr>
                  <w:tcW w:w="850" w:type="dxa"/>
                  <w:vMerge w:val="continue"/>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75</w:t>
                  </w:r>
                </w:p>
              </w:tc>
              <w:tc>
                <w:tcPr>
                  <w:tcW w:w="1208" w:type="dxa"/>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本环评根据《环境影响评价技术导则 声环境》（HJ2.4-20</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），对项目设备厂界噪声进行预测。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室内声源等效室外声源声功率级计算方法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声源位于室内，室内声源可采用等效室外声源声功率级法进行计算。设靠近开口处（或窗户）室内、室外某倍频带的声压级或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声级分别为</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cs="Times New Roman" w:hAnsiTheme="minorEastAsia"/>
                <w:color w:val="000000" w:themeColor="text1"/>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TL+6</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B.1</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靠近开口处（或窗户）室内某倍频带的声压级或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cs="Times New Roman" w:hAnsiTheme="minorEastAsia"/>
                <w:color w:val="000000" w:themeColor="text1"/>
                <w:sz w:val="24"/>
                <w:szCs w:val="24"/>
              </w:rPr>
              <w:t>隔墙（或窗户）倍频带或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可按下式计算某一室内声源靠近围护结构处产生的倍频带声压级或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+10</m:t>
              </m:r>
              <m:r>
                <m:rPr>
                  <m:sty m:val="p"/>
                </m:rPr>
                <w:rPr>
                  <w:rFonts w:ascii="Cambria Math" w:hAnsi="Times New Roman" w:cs="Times New Roman"/>
                  <w:color w:val="000000" w:themeColor="text1"/>
                  <w:sz w:val="24"/>
                  <w:szCs w:val="24"/>
                </w:rPr>
                <m:t>lg</m:t>
              </m:r>
              <m:r>
                <m:rPr>
                  <m:sty m:val="p"/>
                </m:rPr>
                <w:rPr>
                  <w:rFonts w:ascii="Cambria Math" w:hAnsi="Cambria Math"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Cambria Math" w:cs="Times New Roman"/>
                      <w:color w:val="000000" w:themeColor="text1"/>
                      <w:sz w:val="24"/>
                      <w:szCs w:val="24"/>
                    </w:rPr>
                    <m:t>Q</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4</m:t>
                  </m:r>
                  <m:r>
                    <m:rPr>
                      <m:sty m:val="p"/>
                    </m:rPr>
                    <w:rPr>
                      <w:rFonts w:ascii="Cambria Math" w:hAnsi="Cambria Math" w:cs="Times New Roman"/>
                      <w:color w:val="000000" w:themeColor="text1"/>
                      <w:sz w:val="24"/>
                      <w:szCs w:val="24"/>
                    </w:rPr>
                    <m:t>π</m:t>
                  </m:r>
                  <m:sSup>
                    <m:sSupPr>
                      <m:ctrlPr>
                        <w:rPr>
                          <w:rFonts w:ascii="Cambria Math" w:hAnsi="Times New Roman" w:cs="Times New Roman"/>
                          <w:color w:val="000000" w:themeColor="text1"/>
                          <w:sz w:val="24"/>
                          <w:szCs w:val="24"/>
                        </w:rPr>
                      </m:ctrlPr>
                    </m:sSupPr>
                    <m:e>
                      <m: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e>
                    <m:sup>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p>
                  </m:sSup>
                  <m:ctrlPr>
                    <w:rPr>
                      <w:rFonts w:ascii="Cambria Math" w:hAnsi="Times New Roman" w:cs="Times New Roman"/>
                      <w:color w:val="000000" w:themeColor="text1"/>
                      <w:sz w:val="24"/>
                      <w:szCs w:val="24"/>
                    </w:rPr>
                  </m:ctrlP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num>
                <m:den>
                  <m:r>
                    <w:rPr>
                      <w:rFonts w:ascii="Cambria Math" w:hAnsi="Cambria Math" w:cs="Times New Roman"/>
                      <w:color w:val="000000" w:themeColor="text1"/>
                      <w:sz w:val="24"/>
                      <w:szCs w:val="24"/>
                    </w:rPr>
                    <m:t>R</m:t>
                  </m:r>
                  <m:ctrlPr>
                    <w:rPr>
                      <w:rFonts w:ascii="Cambria Math" w:hAnsi="Times New Roman" w:cs="Times New Roman"/>
                      <w:color w:val="000000" w:themeColor="text1"/>
                      <w:sz w:val="24"/>
                      <w:szCs w:val="24"/>
                    </w:rPr>
                  </m:ctrlPr>
                </m:den>
              </m:f>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B.2</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w:t>
            </w:r>
            <w:r>
              <w:rPr>
                <w:rFonts w:ascii="Times New Roman" w:cs="Times New Roman" w:hAnsiTheme="minorEastAsia"/>
                <w:color w:val="000000" w:themeColor="text1"/>
                <w:sz w:val="24"/>
                <w:szCs w:val="24"/>
              </w:rPr>
              <w:t>点声源声功率级（</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计权或倍频带），</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w:t>
            </w:r>
            <w:r>
              <w:rPr>
                <w:rFonts w:ascii="Times New Roman" w:cs="Times New Roman" w:hAnsiTheme="minorEastAsia"/>
                <w:color w:val="000000" w:themeColor="text1"/>
                <w:sz w:val="24"/>
                <w:szCs w:val="24"/>
              </w:rPr>
              <w:t>指向性因数；通常对无指向性声源，当声源放在房间中心时，</w:t>
            </w:r>
            <w:r>
              <w:rPr>
                <w:rFonts w:ascii="Times New Roman" w:hAnsi="Times New Roman" w:cs="Times New Roman"/>
                <w:color w:val="000000" w:themeColor="text1"/>
                <w:sz w:val="24"/>
                <w:szCs w:val="24"/>
              </w:rPr>
              <w:t>Q=1</w:t>
            </w:r>
            <w:r>
              <w:rPr>
                <w:rFonts w:ascii="Times New Roman" w:cs="Times New Roman" w:hAnsiTheme="minorEastAsia"/>
                <w:color w:val="000000" w:themeColor="text1"/>
                <w:sz w:val="24"/>
                <w:szCs w:val="24"/>
              </w:rPr>
              <w:t>；当放在一面墙的中心时，</w:t>
            </w:r>
            <w:r>
              <w:rPr>
                <w:rFonts w:ascii="Times New Roman" w:hAnsi="Times New Roman" w:cs="Times New Roman"/>
                <w:color w:val="000000" w:themeColor="text1"/>
                <w:sz w:val="24"/>
                <w:szCs w:val="24"/>
              </w:rPr>
              <w:t>Q=2</w:t>
            </w:r>
            <w:r>
              <w:rPr>
                <w:rFonts w:ascii="Times New Roman" w:cs="Times New Roman" w:hAnsiTheme="minorEastAsia"/>
                <w:color w:val="000000" w:themeColor="text1"/>
                <w:sz w:val="24"/>
                <w:szCs w:val="24"/>
              </w:rPr>
              <w:t>；当放在两面墙夹角处时，</w:t>
            </w:r>
            <w:r>
              <w:rPr>
                <w:rFonts w:ascii="Times New Roman" w:hAnsi="Times New Roman" w:cs="Times New Roman"/>
                <w:color w:val="000000" w:themeColor="text1"/>
                <w:sz w:val="24"/>
                <w:szCs w:val="24"/>
              </w:rPr>
              <w:t>Q=4</w:t>
            </w:r>
            <w:r>
              <w:rPr>
                <w:rFonts w:ascii="Times New Roman" w:cs="Times New Roman" w:hAnsiTheme="minorEastAsia"/>
                <w:color w:val="000000" w:themeColor="text1"/>
                <w:sz w:val="24"/>
                <w:szCs w:val="24"/>
              </w:rPr>
              <w:t>；当放在三面墙夹角处时，</w:t>
            </w:r>
            <w:r>
              <w:rPr>
                <w:rFonts w:ascii="Times New Roman" w:hAnsi="Times New Roman" w:cs="Times New Roman"/>
                <w:color w:val="000000" w:themeColor="text1"/>
                <w:sz w:val="24"/>
                <w:szCs w:val="24"/>
              </w:rPr>
              <w:t>Q=8</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cs="Times New Roman" w:hAnsiTheme="minorEastAsia"/>
                <w:color w:val="000000" w:themeColor="text1"/>
                <w:sz w:val="24"/>
                <w:szCs w:val="24"/>
              </w:rPr>
              <w:t>房间常数；</w:t>
            </w:r>
            <m:oMath>
              <m:r>
                <w:rPr>
                  <w:rFonts w:ascii="Cambria Math" w:hAnsi="Cambria Math" w:cs="Times New Roman"/>
                  <w:color w:val="000000" w:themeColor="text1"/>
                  <w:sz w:val="24"/>
                  <w:szCs w:val="24"/>
                </w:rPr>
                <m:t>R</m:t>
              </m:r>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S</m:t>
                  </m:r>
                  <m:ctrlPr>
                    <w:rPr>
                      <w:rFonts w:ascii="Cambria Math" w:hAnsi="Times New Roman" w:cs="Times New Roman"/>
                      <w:color w:val="000000" w:themeColor="text1"/>
                      <w:sz w:val="24"/>
                      <w:szCs w:val="24"/>
                    </w:rPr>
                  </m:ctrlPr>
                </m:e>
                <m:sub>
                  <m:r>
                    <w:rPr>
                      <w:rFonts w:ascii="Cambria Math" w:hAnsi="Times New Roman" w:cs="Times New Roman"/>
                      <w:color w:val="000000" w:themeColor="text1"/>
                      <w:sz w:val="24"/>
                      <w:szCs w:val="24"/>
                    </w:rPr>
                    <m:t>a</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1</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S</w:t>
            </w:r>
            <w:r>
              <w:rPr>
                <w:rFonts w:ascii="Times New Roman" w:cs="Times New Roman" w:hAnsiTheme="minorEastAsia"/>
                <w:color w:val="000000" w:themeColor="text1"/>
                <w:sz w:val="24"/>
                <w:szCs w:val="24"/>
              </w:rPr>
              <w:t>为房间内表面面积，</w:t>
            </w:r>
            <w:r>
              <w:rPr>
                <w:rFonts w:ascii="Times New Roman" w:hAnsi="Times New Roman" w:cs="Times New Roman"/>
                <w:color w:val="000000" w:themeColor="text1"/>
                <w:sz w:val="24"/>
                <w:szCs w:val="24"/>
              </w:rPr>
              <w:t>m2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α</w:t>
            </w:r>
            <w:r>
              <w:rPr>
                <w:rFonts w:ascii="Times New Roman" w:cs="Times New Roman" w:hAnsiTheme="minorEastAsia"/>
                <w:color w:val="000000" w:themeColor="text1"/>
                <w:sz w:val="24"/>
                <w:szCs w:val="24"/>
              </w:rPr>
              <w:t>为平均吸声系数；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然后按式（</w:t>
            </w:r>
            <w:r>
              <w:rPr>
                <w:rFonts w:ascii="Times New Roman" w:hAnsi="Times New Roman" w:cs="Times New Roman"/>
                <w:color w:val="000000" w:themeColor="text1"/>
                <w:sz w:val="24"/>
                <w:szCs w:val="24"/>
              </w:rPr>
              <w:t>B.3</w:t>
            </w:r>
            <w:r>
              <w:rPr>
                <w:rFonts w:ascii="Times New Roman" w:cs="Times New Roman" w:hAnsiTheme="minorEastAsia"/>
                <w:color w:val="000000" w:themeColor="text1"/>
                <w:sz w:val="24"/>
                <w:szCs w:val="24"/>
              </w:rPr>
              <w:t>）计算出所有室内声源在围护结构处产生的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倍频带叠加声压级：</w:t>
            </w:r>
          </w:p>
          <w:p>
            <w:pPr>
              <w:autoSpaceDE w:val="0"/>
              <w:autoSpaceDN w:val="0"/>
              <w:adjustRightInd w:val="0"/>
              <w:jc w:val="center"/>
              <w:rPr>
                <w:rFonts w:ascii="Times New Roman" w:hAnsi="Times New Roman" w:cs="Times New Roman"/>
                <w:color w:val="000000" w:themeColor="text1"/>
                <w:kern w:val="0"/>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m:sty m:val="p"/>
                </m:rPr>
                <w:rPr>
                  <w:rFonts w:ascii="Cambria Math" w:hAnsi="Cambria Math" w:cs="Times New Roman"/>
                  <w:color w:val="000000" w:themeColor="text1"/>
                  <w:kern w:val="0"/>
                  <w:sz w:val="24"/>
                  <w:szCs w:val="24"/>
                </w:rPr>
                <m:t>（</m:t>
              </m:r>
              <m:r>
                <w:rPr>
                  <w:rFonts w:ascii="Cambria Math" w:hAnsi="Cambria Math" w:cs="Times New Roman"/>
                  <w:color w:val="000000" w:themeColor="text1"/>
                  <w:kern w:val="0"/>
                  <w:sz w:val="24"/>
                  <w:szCs w:val="24"/>
                </w:rPr>
                <m:t>T</m:t>
              </m:r>
              <m:r>
                <m:rPr>
                  <m:sty m:val="p"/>
                </m:rPr>
                <w:rPr>
                  <w:rFonts w:ascii="Cambria Math" w:hAnsi="Cambria Math" w:cs="Times New Roman"/>
                  <w:color w:val="000000" w:themeColor="text1"/>
                  <w:kern w:val="0"/>
                  <w:sz w:val="24"/>
                  <w:szCs w:val="24"/>
                </w:rPr>
                <m:t>）</m:t>
              </m:r>
              <m:r>
                <w:rPr>
                  <w:rFonts w:ascii="Cambria Math" w:hAnsi="Times New Roman" w:cs="Times New Roman"/>
                  <w:color w:val="000000" w:themeColor="text1"/>
                  <w:kern w:val="0"/>
                  <w:sz w:val="24"/>
                  <w:szCs w:val="24"/>
                </w:rPr>
                <m:t>=10</m:t>
              </m:r>
              <m:r>
                <m:rPr>
                  <m:sty m:val="p"/>
                </m:rPr>
                <w:rPr>
                  <w:rFonts w:ascii="Cambria Math" w:hAnsi="Times New Roman" w:cs="Times New Roman"/>
                  <w:color w:val="000000" w:themeColor="text1"/>
                  <w:kern w:val="0"/>
                  <w:sz w:val="24"/>
                  <w:szCs w:val="24"/>
                </w:rPr>
                <m:t>lg</m:t>
              </m:r>
              <m:r>
                <m:rPr>
                  <m:sty m:val="p"/>
                </m:rPr>
                <w:rPr>
                  <w:rFonts w:ascii="Cambria Math" w:hAnsi="Cambria Math" w:cs="Times New Roman"/>
                  <w:color w:val="000000" w:themeColor="text1"/>
                  <w:kern w:val="0"/>
                  <w:sz w:val="24"/>
                  <w:szCs w:val="24"/>
                </w:rPr>
                <m:t>⁡（</m:t>
              </m:r>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u</m:t>
                      </m:r>
                      <m:ctrlPr>
                        <w:rPr>
                          <w:rFonts w:ascii="Cambria Math" w:hAnsi="Times New Roman" w:cs="Times New Roman"/>
                          <w:color w:val="000000" w:themeColor="text1"/>
                          <w:kern w:val="0"/>
                          <w:sz w:val="24"/>
                          <w:szCs w:val="24"/>
                        </w:rPr>
                      </m:ctrlPr>
                    </m:sup>
                  </m:sSup>
                  <m:r>
                    <m:rPr>
                      <m:sty m:val="p"/>
                    </m:rPr>
                    <w:rPr>
                      <w:rFonts w:ascii="Cambria Math" w:hAnsi="Cambria Math" w:cs="Times New Roman"/>
                      <w:color w:val="000000" w:themeColor="text1"/>
                      <w:kern w:val="0"/>
                      <w:sz w:val="24"/>
                      <w:szCs w:val="24"/>
                    </w:rPr>
                    <m:t>）</m:t>
                  </m:r>
                  <m:ctrlPr>
                    <w:rPr>
                      <w:rFonts w:ascii="Cambria Math" w:hAnsi="Times New Roman" w:cs="Times New Roman"/>
                      <w:color w:val="000000" w:themeColor="text1"/>
                      <w:kern w:val="0"/>
                      <w:sz w:val="24"/>
                      <w:szCs w:val="24"/>
                    </w:rPr>
                  </m:ctrlPr>
                </m:e>
              </m:nary>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B.3</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plij</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室内</w:t>
            </w:r>
            <w:r>
              <w:rPr>
                <w:rFonts w:ascii="Times New Roman" w:hAnsi="Times New Roman" w:cs="Times New Roman"/>
                <w:color w:val="000000" w:themeColor="text1"/>
                <w:sz w:val="24"/>
                <w:szCs w:val="24"/>
              </w:rPr>
              <w:t>j</w:t>
            </w:r>
            <w:r>
              <w:rPr>
                <w:rFonts w:ascii="Times New Roman" w:cs="Times New Roman" w:hAnsiTheme="minorEastAsia"/>
                <w:color w:val="000000" w:themeColor="text1"/>
                <w:sz w:val="24"/>
                <w:szCs w:val="24"/>
              </w:rPr>
              <w:t>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室内声源总数。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在室内近似为扩散声场时，按式（</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）计算出靠近室外围护结构处的声压级：</w:t>
            </w:r>
          </w:p>
          <w:p>
            <w:pPr>
              <w:spacing w:line="360" w:lineRule="auto"/>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1i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kern w:val="0"/>
                  <w:sz w:val="24"/>
                  <w:szCs w:val="24"/>
                </w:rPr>
                <m:t>+6</m:t>
              </m:r>
              <m:r>
                <m:rPr>
                  <m:sty m:val="p"/>
                </m:rPr>
                <w:rPr>
                  <w:rFonts w:ascii="Cambria Math" w:hAnsi="Cambria Math" w:cs="Times New Roman"/>
                  <w:color w:val="000000" w:themeColor="text1"/>
                  <w:kern w:val="0"/>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靠近围护结构处室外</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围护结构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然后按式（</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）将室外声源的声压级和透过面积换算成等效的室外声源，计算出中心位置位于透声面积（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p>
          <w:p>
            <w:pPr>
              <w:spacing w:line="360" w:lineRule="auto"/>
              <w:ind w:firstLine="480" w:firstLineChars="200"/>
              <w:jc w:val="center"/>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w</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+10lgS</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Lw</w:t>
            </w:r>
            <w:r>
              <w:rPr>
                <w:rFonts w:hint="eastAsia" w:ascii="Times New Roman" w:cs="Times New Roman" w:hAnsiTheme="minorEastAsia"/>
                <w:color w:val="000000" w:themeColor="text1"/>
                <w:sz w:val="24"/>
                <w:szCs w:val="24"/>
              </w:rPr>
              <w:t>--中心位置位于透声面积（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L</w:t>
            </w:r>
            <w:r>
              <w:rPr>
                <w:rFonts w:ascii="Times New Roman" w:cs="Times New Roman" w:hAnsiTheme="minorEastAsia"/>
                <w:color w:val="000000" w:themeColor="text1"/>
                <w:sz w:val="24"/>
                <w:szCs w:val="24"/>
                <w:vertAlign w:val="subscript"/>
              </w:rPr>
              <w:t>p2</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--靠近围护结构处室外声源的声压级，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--透声面积，</w:t>
            </w:r>
            <w:r>
              <w:rPr>
                <w:rFonts w:ascii="Times New Roman" w:cs="Times New Roman" w:hAnsiTheme="minorEastAsia"/>
                <w:color w:val="000000" w:themeColor="text1"/>
                <w:sz w:val="24"/>
                <w:szCs w:val="24"/>
              </w:rPr>
              <w:t>m2</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然后按室外声源预测方法计算预测点处的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②工业企业噪声计算</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设第i个室外声源在预测点产生的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hint="eastAsia" w:ascii="Times New Roman" w:cs="Times New Roman" w:hAnsiTheme="minorEastAsia"/>
                <w:color w:val="000000" w:themeColor="text1"/>
                <w:sz w:val="24"/>
                <w:szCs w:val="24"/>
                <w:vertAlign w:val="subscript"/>
              </w:rPr>
              <w:t>Ai</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hint="eastAsia" w:ascii="Times New Roman" w:cs="Times New Roman" w:hAnsiTheme="minorEastAsia"/>
                <w:color w:val="000000" w:themeColor="text1"/>
                <w:sz w:val="24"/>
                <w:szCs w:val="24"/>
                <w:vertAlign w:val="subscript"/>
              </w:rPr>
              <w:t>i</w:t>
            </w:r>
            <w:r>
              <w:rPr>
                <w:rFonts w:hint="eastAsia" w:ascii="Times New Roman" w:cs="Times New Roman" w:hAnsiTheme="minorEastAsia"/>
                <w:color w:val="000000" w:themeColor="text1"/>
                <w:sz w:val="24"/>
                <w:szCs w:val="24"/>
              </w:rPr>
              <w:t>；第j个等效室外声源在预测点产生的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ascii="Times New Roman" w:cs="Times New Roman" w:hAnsiTheme="minorEastAsia"/>
                <w:color w:val="000000" w:themeColor="text1"/>
                <w:sz w:val="24"/>
                <w:szCs w:val="24"/>
                <w:vertAlign w:val="subscript"/>
              </w:rPr>
              <w:t>Aj</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ascii="Times New Roman" w:cs="Times New Roman" w:hAnsiTheme="minorEastAsia"/>
                <w:color w:val="000000" w:themeColor="text1"/>
                <w:sz w:val="24"/>
                <w:szCs w:val="24"/>
                <w:vertAlign w:val="subscript"/>
              </w:rPr>
              <w:t>j</w:t>
            </w:r>
            <w:r>
              <w:rPr>
                <w:rFonts w:hint="eastAsia" w:ascii="Times New Roman" w:cs="Times New Roman" w:hAnsiTheme="minorEastAsia"/>
                <w:color w:val="000000" w:themeColor="text1"/>
                <w:sz w:val="24"/>
                <w:szCs w:val="24"/>
              </w:rPr>
              <w:t>，则拟建工程声源对预测点产生的贡献值（</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）为：</w:t>
            </w:r>
          </w:p>
          <w:p>
            <w:pPr>
              <w:spacing w:line="360" w:lineRule="auto"/>
              <w:ind w:firstLine="480" w:firstLineChars="200"/>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eqg</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func>
                <m:funcPr>
                  <m:ctrlPr>
                    <w:rPr>
                      <w:rFonts w:ascii="Cambria Math" w:hAnsi="Cambria Math" w:cs="Cambria Math"/>
                      <w:color w:val="000000" w:themeColor="text1"/>
                      <w:kern w:val="0"/>
                      <w:sz w:val="24"/>
                      <w:szCs w:val="24"/>
                    </w:rPr>
                  </m:ctrlPr>
                </m:funcPr>
                <m:fName>
                  <m:r>
                    <m:rPr>
                      <m:sty m:val="p"/>
                    </m:rPr>
                    <w:rPr>
                      <w:rFonts w:ascii="Cambria Math" w:hAnsi="Times New Roman" w:cs="Times New Roman"/>
                      <w:color w:val="000000" w:themeColor="text1"/>
                      <w:kern w:val="0"/>
                      <w:sz w:val="24"/>
                      <w:szCs w:val="24"/>
                    </w:rPr>
                    <m:t>lg</m:t>
                  </m:r>
                  <m:ctrlPr>
                    <w:rPr>
                      <w:rFonts w:ascii="Cambria Math" w:hAnsi="Times New Roman" w:cs="Times New Roman"/>
                      <w:color w:val="000000" w:themeColor="text1"/>
                      <w:kern w:val="0"/>
                      <w:sz w:val="24"/>
                      <w:szCs w:val="24"/>
                    </w:rPr>
                  </m:ctrlPr>
                </m:fName>
                <m:e>
                  <m:func>
                    <m:funcPr>
                      <m:ctrlPr>
                        <w:rPr>
                          <w:rFonts w:ascii="Cambria Math" w:hAnsi="Cambria Math"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fName>
                    <m:e>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1</m:t>
                          </m:r>
                          <m:ctrlPr>
                            <w:rPr>
                              <w:rFonts w:ascii="Cambria Math" w:hAnsi="Cambria Math" w:cs="Times New Roman"/>
                              <w:color w:val="000000" w:themeColor="text1"/>
                              <w:sz w:val="24"/>
                              <w:szCs w:val="24"/>
                            </w:rPr>
                          </m:ctrlPr>
                        </m:num>
                        <m:den>
                          <m:r>
                            <m:rPr>
                              <m:sty m:val="p"/>
                            </m:rPr>
                            <w:rPr>
                              <w:rFonts w:ascii="Cambria Math" w:hAnsi="Cambria Math" w:cs="Cambria Math"/>
                              <w:color w:val="000000" w:themeColor="text1"/>
                              <w:sz w:val="24"/>
                              <w:szCs w:val="24"/>
                            </w:rPr>
                            <m:t>T</m:t>
                          </m:r>
                          <m:ctrlPr>
                            <w:rPr>
                              <w:rFonts w:ascii="Cambria Math" w:hAnsi="Cambria Math" w:cs="Times New Roman"/>
                              <w:color w:val="000000" w:themeColor="text1"/>
                              <w:sz w:val="24"/>
                              <w:szCs w:val="24"/>
                            </w:rPr>
                          </m:ctrlPr>
                        </m:den>
                      </m:f>
                      <m:d>
                        <m:dPr>
                          <m:begChr m:val="（"/>
                          <m:endChr m:val="）"/>
                          <m:ctrlPr>
                            <w:rPr>
                              <w:rFonts w:ascii="Cambria Math" w:hAnsi="Cambria Math" w:cs="Times New Roman"/>
                              <w:color w:val="000000" w:themeColor="text1"/>
                              <w:kern w:val="0"/>
                              <w:sz w:val="24"/>
                              <w:szCs w:val="24"/>
                            </w:rPr>
                          </m:ctrlPr>
                        </m:dPr>
                        <m:e>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i=1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i</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r>
                                <m:rPr>
                                  <m:sty m:val="p"/>
                                </m:rPr>
                                <w:rPr>
                                  <w:rFonts w:ascii="Cambria Math" w:cs="Times New Roman" w:hAnsiTheme="minorEastAsia"/>
                                  <w:color w:val="000000" w:themeColor="text1"/>
                                  <w:kern w:val="0"/>
                                  <w:sz w:val="24"/>
                                  <w:szCs w:val="24"/>
                                </w:rPr>
                                <m:t>+</m:t>
                              </m:r>
                              <m:ctrlPr>
                                <w:rPr>
                                  <w:rFonts w:ascii="Cambria Math" w:hAnsi="Times New Roman" w:cs="Times New Roman"/>
                                  <w:color w:val="000000" w:themeColor="text1"/>
                                  <w:kern w:val="0"/>
                                  <w:sz w:val="24"/>
                                  <w:szCs w:val="24"/>
                                </w:rPr>
                              </m:ctrlPr>
                            </m:e>
                          </m:nary>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M</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j</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ctrlPr>
                                <w:rPr>
                                  <w:rFonts w:ascii="Cambria Math" w:hAnsi="Times New Roman" w:cs="Times New Roman"/>
                                  <w:color w:val="000000" w:themeColor="text1"/>
                                  <w:kern w:val="0"/>
                                  <w:sz w:val="24"/>
                                  <w:szCs w:val="24"/>
                                </w:rPr>
                              </m:ctrlPr>
                            </m:e>
                          </m:nary>
                          <m:ctrlPr>
                            <w:rPr>
                              <w:rFonts w:ascii="Cambria Math" w:hAnsi="Cambria Math" w:cs="Times New Roman"/>
                              <w:color w:val="000000" w:themeColor="text1"/>
                              <w:kern w:val="0"/>
                              <w:sz w:val="24"/>
                              <w:szCs w:val="24"/>
                            </w:rPr>
                          </m:ctrlPr>
                        </m:e>
                      </m:d>
                      <m:ctrlPr>
                        <w:rPr>
                          <w:rFonts w:ascii="Cambria Math" w:hAnsi="Cambria Math" w:cs="Times New Roman"/>
                          <w:i/>
                          <w:color w:val="000000" w:themeColor="text1"/>
                          <w:sz w:val="24"/>
                          <w:szCs w:val="24"/>
                        </w:rPr>
                      </m:ctrlPr>
                    </m:e>
                  </m:func>
                  <m:ctrlPr>
                    <w:rPr>
                      <w:rFonts w:ascii="Cambria Math" w:hAnsi="Cambria Math" w:cs="Times New Roman"/>
                      <w:i/>
                      <w:color w:val="000000" w:themeColor="text1"/>
                      <w:sz w:val="24"/>
                      <w:szCs w:val="24"/>
                    </w:rPr>
                  </m:ctrlPr>
                </m:e>
              </m:func>
              <m:r>
                <m:rPr>
                  <m:sty m:val="p"/>
                </m:rPr>
                <w:rPr>
                  <w:rFonts w:ascii="Cambria Math" w:cs="Times New Roman" w:hAnsiTheme="minorEastAsia"/>
                  <w:color w:val="000000" w:themeColor="text1"/>
                  <w:kern w:val="0"/>
                  <w:sz w:val="24"/>
                  <w:szCs w:val="24"/>
                </w:rPr>
                <m:t>]</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B.6</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建设项目声源在预测点产生的噪声贡献值，</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用于计算等效声级的时间，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N--</w:t>
            </w:r>
            <w:r>
              <w:rPr>
                <w:rFonts w:hint="eastAsia" w:ascii="Times New Roman" w:cs="Times New Roman" w:hAnsiTheme="minorEastAsia"/>
                <w:color w:val="000000" w:themeColor="text1"/>
                <w:sz w:val="24"/>
                <w:szCs w:val="24"/>
              </w:rPr>
              <w:t>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ti</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i</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M--</w:t>
            </w:r>
            <w:r>
              <w:rPr>
                <w:rFonts w:hint="eastAsia" w:ascii="Times New Roman" w:cs="Times New Roman" w:hAnsiTheme="minorEastAsia"/>
                <w:color w:val="000000" w:themeColor="text1"/>
                <w:sz w:val="24"/>
                <w:szCs w:val="24"/>
              </w:rPr>
              <w:t>等效室外声源个数；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tj</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j</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预测值计算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预测点的贡献值和背景值按能量叠加方法计算得到的声级。噪声预测值（Leq）计算公式为：</w:t>
            </w:r>
          </w:p>
          <w:p>
            <w:pPr>
              <w:spacing w:line="360" w:lineRule="auto"/>
              <w:jc w:val="center"/>
              <w:rPr>
                <w:rFonts w:ascii="宋体" w:eastAsia="宋体" w:cs="宋体"/>
                <w:color w:val="000000" w:themeColor="text1"/>
                <w:kern w:val="0"/>
              </w:rPr>
            </w:pPr>
            <w:r>
              <w:rPr>
                <w:rFonts w:ascii="Times New Roman" w:hAnsi="Times New Roman" w:cs="Times New Roman"/>
                <w:color w:val="000000" w:themeColor="text1"/>
                <w:sz w:val="24"/>
                <w:szCs w:val="24"/>
              </w:rPr>
              <w:object>
                <v:shape id="_x0000_i1029" o:spt="75" type="#_x0000_t75" style="height:20.4pt;width:141.6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式中：</w:t>
            </w:r>
            <w:r>
              <w:rPr>
                <w:rFonts w:ascii="Times New Roman" w:hAnsi="Times New Roman" w:cs="Times New Roman"/>
                <w:color w:val="000000" w:themeColor="text1"/>
                <w:sz w:val="24"/>
                <w:szCs w:val="24"/>
              </w:rPr>
              <w:t>Leq</w:t>
            </w:r>
            <w:r>
              <w:rPr>
                <w:rFonts w:hint="eastAsia" w:ascii="Times New Roman" w:hAnsi="Times New Roman" w:cs="Times New Roman"/>
                <w:color w:val="000000" w:themeColor="text1"/>
                <w:sz w:val="24"/>
                <w:szCs w:val="24"/>
              </w:rPr>
              <w:t>--预测点的噪声预测值，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--建设项目声源在预测点产生的噪声贡献值，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Leqb</w:t>
            </w:r>
            <w:r>
              <w:rPr>
                <w:rFonts w:hint="eastAsia" w:ascii="Times New Roman" w:hAnsi="Times New Roman" w:cs="Times New Roman"/>
                <w:color w:val="000000" w:themeColor="text1"/>
                <w:sz w:val="24"/>
                <w:szCs w:val="24"/>
              </w:rPr>
              <w:t>--预测点的背景噪声值，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经过预测，项目厂界东、南、西、北预测点的噪声预测结果如下表所示。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项目建成后预测点的噪声预测值  单位：dB（A）</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2" w:type="dxa"/>
                  <w:vAlign w:val="center"/>
                </w:tcPr>
                <w:p>
                  <w:pPr>
                    <w:pStyle w:val="31"/>
                    <w:spacing w:line="360" w:lineRule="exact"/>
                    <w:rPr>
                      <w:color w:val="000000" w:themeColor="text1"/>
                      <w:szCs w:val="21"/>
                    </w:rPr>
                  </w:pPr>
                  <w:r>
                    <w:rPr>
                      <w:color w:val="000000" w:themeColor="text1"/>
                      <w:szCs w:val="21"/>
                    </w:rPr>
                    <w:t>预测值</w:t>
                  </w:r>
                </w:p>
              </w:tc>
              <w:tc>
                <w:tcPr>
                  <w:tcW w:w="1904" w:type="dxa"/>
                  <w:vAlign w:val="center"/>
                </w:tcPr>
                <w:p>
                  <w:pPr>
                    <w:pStyle w:val="31"/>
                    <w:spacing w:line="360" w:lineRule="exact"/>
                    <w:rPr>
                      <w:color w:val="000000" w:themeColor="text1"/>
                      <w:szCs w:val="21"/>
                    </w:rPr>
                  </w:pPr>
                  <w:r>
                    <w:rPr>
                      <w:color w:val="000000" w:themeColor="text1"/>
                      <w:szCs w:val="21"/>
                    </w:rPr>
                    <w:t>厂界东</w:t>
                  </w:r>
                </w:p>
              </w:tc>
              <w:tc>
                <w:tcPr>
                  <w:tcW w:w="1807" w:type="dxa"/>
                  <w:vAlign w:val="center"/>
                </w:tcPr>
                <w:p>
                  <w:pPr>
                    <w:pStyle w:val="31"/>
                    <w:spacing w:line="360" w:lineRule="exact"/>
                    <w:rPr>
                      <w:color w:val="000000" w:themeColor="text1"/>
                      <w:szCs w:val="21"/>
                    </w:rPr>
                  </w:pPr>
                  <w:r>
                    <w:rPr>
                      <w:color w:val="000000" w:themeColor="text1"/>
                      <w:szCs w:val="21"/>
                    </w:rPr>
                    <w:t>厂界南</w:t>
                  </w:r>
                </w:p>
              </w:tc>
              <w:tc>
                <w:tcPr>
                  <w:tcW w:w="1827" w:type="dxa"/>
                  <w:vAlign w:val="center"/>
                </w:tcPr>
                <w:p>
                  <w:pPr>
                    <w:pStyle w:val="31"/>
                    <w:spacing w:line="360" w:lineRule="exact"/>
                    <w:rPr>
                      <w:color w:val="000000" w:themeColor="text1"/>
                      <w:szCs w:val="21"/>
                    </w:rPr>
                  </w:pPr>
                  <w:r>
                    <w:rPr>
                      <w:color w:val="000000" w:themeColor="text1"/>
                      <w:szCs w:val="21"/>
                    </w:rPr>
                    <w:t>厂界西</w:t>
                  </w:r>
                </w:p>
              </w:tc>
              <w:tc>
                <w:tcPr>
                  <w:tcW w:w="1768" w:type="dxa"/>
                  <w:vAlign w:val="center"/>
                </w:tcPr>
                <w:p>
                  <w:pPr>
                    <w:pStyle w:val="31"/>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31"/>
                    <w:spacing w:line="360" w:lineRule="exact"/>
                    <w:rPr>
                      <w:color w:val="000000" w:themeColor="text1"/>
                      <w:szCs w:val="21"/>
                    </w:rPr>
                  </w:pPr>
                  <w:r>
                    <w:rPr>
                      <w:color w:val="000000" w:themeColor="text1"/>
                      <w:szCs w:val="21"/>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31"/>
                    <w:spacing w:line="360" w:lineRule="exact"/>
                    <w:rPr>
                      <w:color w:val="000000" w:themeColor="text1"/>
                      <w:szCs w:val="21"/>
                    </w:rPr>
                  </w:pPr>
                  <w:r>
                    <w:rPr>
                      <w:color w:val="000000" w:themeColor="text1"/>
                      <w:szCs w:val="21"/>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43.5</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42.6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43.4</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46.8</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w:t>
            </w:r>
            <w:r>
              <w:rPr>
                <w:rFonts w:hint="eastAsia" w:ascii="Times New Roman" w:hAnsi="Times New Roman" w:cs="Times New Roman"/>
                <w:color w:val="000000" w:themeColor="text1"/>
                <w:sz w:val="24"/>
                <w:szCs w:val="24"/>
              </w:rPr>
              <w:t>夜间</w:t>
            </w:r>
            <w:r>
              <w:rPr>
                <w:rFonts w:ascii="Times New Roman" w:hAnsi="Times New Roman" w:cs="Times New Roman"/>
                <w:color w:val="000000" w:themeColor="text1"/>
                <w:sz w:val="24"/>
                <w:szCs w:val="24"/>
              </w:rPr>
              <w:t>可达到《工业企业厂界环境噪声排放标准》（GB12348-2008）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9"/>
              <w:ind w:firstLine="480"/>
              <w:rPr>
                <w:rFonts w:eastAsiaTheme="minorEastAsia"/>
                <w:color w:val="000000" w:themeColor="text1"/>
                <w:szCs w:val="24"/>
              </w:rPr>
            </w:pPr>
            <w:r>
              <w:rPr>
                <w:rFonts w:eastAsiaTheme="minorEastAsia"/>
                <w:color w:val="000000" w:themeColor="text1"/>
                <w:szCs w:val="24"/>
              </w:rPr>
              <w:t>根据项目环境保护目标分布，项目区声环境50m评价范围内无声环境保护目标，因此项目噪声对环境影响较小。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39"/>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监测因子</w:t>
                  </w:r>
                </w:p>
              </w:tc>
              <w:tc>
                <w:tcPr>
                  <w:tcW w:w="1702"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最低监测频率</w:t>
                  </w:r>
                </w:p>
              </w:tc>
              <w:tc>
                <w:tcPr>
                  <w:tcW w:w="3477" w:type="dxa"/>
                  <w:vAlign w:val="center"/>
                </w:tcPr>
                <w:p>
                  <w:pPr>
                    <w:pStyle w:val="31"/>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等效连续A声级</w:t>
                  </w:r>
                </w:p>
              </w:tc>
              <w:tc>
                <w:tcPr>
                  <w:tcW w:w="1702"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1次/季</w:t>
                  </w:r>
                </w:p>
              </w:tc>
              <w:tc>
                <w:tcPr>
                  <w:tcW w:w="3477" w:type="dxa"/>
                  <w:vAlign w:val="center"/>
                </w:tcPr>
                <w:p>
                  <w:pPr>
                    <w:pStyle w:val="31"/>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w:t>
                  </w:r>
                  <w:r>
                    <w:rPr>
                      <w:rFonts w:hint="eastAsia"/>
                      <w:color w:val="000000" w:themeColor="text1"/>
                      <w:szCs w:val="21"/>
                    </w:rPr>
                    <w:t>2</w:t>
                  </w:r>
                  <w:r>
                    <w:rPr>
                      <w:color w:val="000000" w:themeColor="text1"/>
                      <w:szCs w:val="21"/>
                    </w:rPr>
                    <w:t>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9"/>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w:t>
            </w:r>
            <w:r>
              <w:rPr>
                <w:rFonts w:hint="eastAsia" w:eastAsiaTheme="minorEastAsia"/>
                <w:color w:val="000000" w:themeColor="text1"/>
                <w:szCs w:val="24"/>
              </w:rPr>
              <w:t>格渣及污水处理污泥、猪毛、医疗废物、生活垃圾、病死猪和发酵池产物。</w:t>
            </w:r>
            <w:r>
              <w:rPr>
                <w:rFonts w:eastAsiaTheme="minorEastAsia"/>
                <w:color w:val="000000" w:themeColor="text1"/>
                <w:szCs w:val="24"/>
              </w:rPr>
              <w:t>其产生及处置情况如下：</w:t>
            </w:r>
          </w:p>
          <w:p>
            <w:pPr>
              <w:pStyle w:val="39"/>
              <w:ind w:firstLine="482"/>
              <w:rPr>
                <w:b/>
                <w:color w:val="000000" w:themeColor="text1"/>
                <w:szCs w:val="21"/>
              </w:rPr>
            </w:pPr>
            <w:r>
              <w:rPr>
                <w:rFonts w:hint="eastAsia"/>
                <w:b/>
                <w:color w:val="000000" w:themeColor="text1"/>
                <w:szCs w:val="21"/>
              </w:rPr>
              <w:t>①格渣及污水处理污泥</w:t>
            </w:r>
          </w:p>
          <w:p>
            <w:pPr>
              <w:pStyle w:val="39"/>
              <w:ind w:firstLine="480"/>
              <w:rPr>
                <w:rFonts w:eastAsiaTheme="minorEastAsia"/>
                <w:color w:val="000000" w:themeColor="text1"/>
                <w:szCs w:val="24"/>
              </w:rPr>
            </w:pPr>
            <w:r>
              <w:rPr>
                <w:rFonts w:eastAsiaTheme="minorEastAsia"/>
                <w:color w:val="000000" w:themeColor="text1"/>
                <w:szCs w:val="24"/>
              </w:rPr>
              <w:t>根据项目生产工艺可知，</w:t>
            </w:r>
            <w:r>
              <w:rPr>
                <w:rFonts w:hint="eastAsia" w:eastAsiaTheme="minorEastAsia"/>
                <w:color w:val="000000" w:themeColor="text1"/>
                <w:szCs w:val="24"/>
              </w:rPr>
              <w:t>该改建项目对生猪进行屠宰，生猪在待宰间静养待宰过程中会产生猪粪、屠宰过程中会产生肠胃内容物，该部分固体废物均在对地面清洗过程中进入污水处理站，其中大部分被格栅阻隔形成格渣，同时污水处理站会产生污泥，项目产生的格渣及污水处理污泥均属于一般工业固体废物；根据</w:t>
            </w:r>
            <w:r>
              <w:rPr>
                <w:rFonts w:eastAsiaTheme="minorEastAsia"/>
                <w:color w:val="000000" w:themeColor="text1"/>
                <w:szCs w:val="24"/>
              </w:rPr>
              <w:t>《排放源统计调查产排污核算方法和系数手册》中“135屠宰及肉类加工行业系数手册”</w:t>
            </w:r>
            <w:r>
              <w:rPr>
                <w:rFonts w:hint="eastAsia" w:eastAsiaTheme="minorEastAsia"/>
                <w:color w:val="000000" w:themeColor="text1"/>
                <w:szCs w:val="24"/>
              </w:rPr>
              <w:t>，处理规模为</w:t>
            </w:r>
            <w:r>
              <w:rPr>
                <w:rFonts w:eastAsiaTheme="minorEastAsia"/>
                <w:color w:val="000000" w:themeColor="text1"/>
                <w:szCs w:val="24"/>
              </w:rPr>
              <w:t>70-1500</w:t>
            </w:r>
            <w:r>
              <w:rPr>
                <w:rFonts w:hint="eastAsia" w:eastAsiaTheme="minorEastAsia"/>
                <w:color w:val="000000" w:themeColor="text1"/>
                <w:szCs w:val="24"/>
              </w:rPr>
              <w:t>头</w:t>
            </w:r>
            <w:r>
              <w:rPr>
                <w:rFonts w:eastAsiaTheme="minorEastAsia"/>
                <w:color w:val="000000" w:themeColor="text1"/>
                <w:szCs w:val="24"/>
              </w:rPr>
              <w:t>/</w:t>
            </w:r>
            <w:r>
              <w:rPr>
                <w:rFonts w:hint="eastAsia" w:eastAsiaTheme="minorEastAsia"/>
                <w:color w:val="000000" w:themeColor="text1"/>
                <w:szCs w:val="24"/>
              </w:rPr>
              <w:t>天的半机械化屠宰项目一般工业固体废物产生定额为</w:t>
            </w:r>
            <w:r>
              <w:rPr>
                <w:rFonts w:eastAsiaTheme="minorEastAsia"/>
                <w:color w:val="000000" w:themeColor="text1"/>
                <w:szCs w:val="24"/>
              </w:rPr>
              <w:t>5.21</w:t>
            </w:r>
            <w:r>
              <w:rPr>
                <w:rFonts w:hint="eastAsia" w:eastAsiaTheme="minorEastAsia"/>
                <w:color w:val="000000" w:themeColor="text1"/>
                <w:szCs w:val="24"/>
              </w:rPr>
              <w:t>千克</w:t>
            </w:r>
            <w:r>
              <w:rPr>
                <w:rFonts w:eastAsiaTheme="minorEastAsia"/>
                <w:color w:val="000000" w:themeColor="text1"/>
                <w:szCs w:val="24"/>
              </w:rPr>
              <w:t>/</w:t>
            </w:r>
            <w:r>
              <w:rPr>
                <w:rFonts w:hint="eastAsia" w:eastAsiaTheme="minorEastAsia"/>
                <w:color w:val="000000" w:themeColor="text1"/>
                <w:szCs w:val="24"/>
              </w:rPr>
              <w:t>头；项目年屠宰生猪70000头，则格渣及污水处理污泥产生量为364.7t/a；委托昆明市东川区铜都街道龙洞村民委员会运输至合法处置场所进行无害化焚烧处置。</w:t>
            </w:r>
            <w:r>
              <w:rPr>
                <w:rFonts w:eastAsiaTheme="minorEastAsia"/>
                <w:color w:val="000000" w:themeColor="text1"/>
                <w:szCs w:val="24"/>
              </w:rPr>
              <w:t>处置率为100%。</w:t>
            </w:r>
          </w:p>
          <w:p>
            <w:pPr>
              <w:pStyle w:val="39"/>
              <w:ind w:firstLine="482"/>
              <w:rPr>
                <w:b/>
                <w:color w:val="000000" w:themeColor="text1"/>
                <w:szCs w:val="21"/>
              </w:rPr>
            </w:pPr>
            <w:r>
              <w:rPr>
                <w:rFonts w:hint="eastAsia"/>
                <w:b/>
                <w:color w:val="000000" w:themeColor="text1"/>
                <w:szCs w:val="21"/>
              </w:rPr>
              <w:t>②猪毛</w:t>
            </w:r>
          </w:p>
          <w:p>
            <w:pPr>
              <w:pStyle w:val="39"/>
              <w:ind w:firstLine="480"/>
              <w:rPr>
                <w:rFonts w:eastAsiaTheme="minorEastAsia"/>
                <w:color w:val="000000" w:themeColor="text1"/>
                <w:szCs w:val="24"/>
              </w:rPr>
            </w:pPr>
            <w:r>
              <w:rPr>
                <w:rFonts w:eastAsiaTheme="minorEastAsia"/>
                <w:color w:val="000000" w:themeColor="text1"/>
                <w:szCs w:val="24"/>
              </w:rPr>
              <w:t>根据项目生产工艺可知，</w:t>
            </w:r>
            <w:r>
              <w:rPr>
                <w:rFonts w:hint="eastAsia" w:eastAsiaTheme="minorEastAsia"/>
                <w:color w:val="000000" w:themeColor="text1"/>
                <w:szCs w:val="24"/>
              </w:rPr>
              <w:t>项目在屠宰过程中会产生猪毛，根据建设单位的实际统计数据，猪毛产生量约为0.3kg/头·猪；项目年屠宰生猪70000头，则猪毛产生量为21t/a，猪毛统一收集后由收购单位统一收集外卖相关厂家作为生产原料使用。</w:t>
            </w:r>
            <w:r>
              <w:rPr>
                <w:rFonts w:eastAsiaTheme="minorEastAsia"/>
                <w:color w:val="000000" w:themeColor="text1"/>
                <w:szCs w:val="24"/>
              </w:rPr>
              <w:t>处置率为100%。</w:t>
            </w:r>
          </w:p>
          <w:p>
            <w:pPr>
              <w:pStyle w:val="39"/>
              <w:ind w:firstLine="482"/>
              <w:rPr>
                <w:b/>
                <w:color w:val="000000" w:themeColor="text1"/>
                <w:szCs w:val="21"/>
              </w:rPr>
            </w:pPr>
            <w:r>
              <w:rPr>
                <w:rFonts w:hint="eastAsia"/>
                <w:b/>
                <w:color w:val="000000" w:themeColor="text1"/>
                <w:szCs w:val="21"/>
              </w:rPr>
              <w:t>③医疗废物</w:t>
            </w:r>
          </w:p>
          <w:p>
            <w:pPr>
              <w:pStyle w:val="39"/>
              <w:ind w:firstLine="480"/>
              <w:rPr>
                <w:color w:val="000000" w:themeColor="text1"/>
                <w:szCs w:val="24"/>
              </w:rPr>
            </w:pPr>
            <w:r>
              <w:rPr>
                <w:color w:val="000000" w:themeColor="text1"/>
                <w:szCs w:val="24"/>
              </w:rPr>
              <w:t>根据项目生产工艺可知，进入屠宰厂前的生猪必须进行非洲猪瘟检疫</w:t>
            </w:r>
            <w:r>
              <w:rPr>
                <w:rFonts w:hint="eastAsia"/>
                <w:color w:val="000000" w:themeColor="text1"/>
                <w:szCs w:val="24"/>
              </w:rPr>
              <w:t>，根据实际统计数据，检验过程产生的医疗废物的量约为0.2t/a，</w:t>
            </w:r>
            <w:r>
              <w:rPr>
                <w:color w:val="000000" w:themeColor="text1"/>
                <w:szCs w:val="24"/>
              </w:rPr>
              <w:t>项目拟设置一个5m²的医疗废物暂存间对检验产生的医疗废物进行暂存，并委托云南正晓环保投资有限公司处理。处置率为100%。</w:t>
            </w:r>
          </w:p>
          <w:p>
            <w:pPr>
              <w:pStyle w:val="39"/>
              <w:ind w:firstLine="482"/>
              <w:rPr>
                <w:b/>
                <w:color w:val="000000" w:themeColor="text1"/>
                <w:szCs w:val="21"/>
              </w:rPr>
            </w:pPr>
            <w:r>
              <w:rPr>
                <w:rFonts w:hint="eastAsia"/>
                <w:b/>
                <w:color w:val="000000" w:themeColor="text1"/>
                <w:szCs w:val="21"/>
              </w:rPr>
              <w:t>④生活垃圾</w:t>
            </w:r>
          </w:p>
          <w:p>
            <w:pPr>
              <w:pStyle w:val="39"/>
              <w:ind w:firstLine="480"/>
              <w:rPr>
                <w:color w:val="000000" w:themeColor="text1"/>
                <w:szCs w:val="24"/>
              </w:rPr>
            </w:pPr>
            <w:r>
              <w:rPr>
                <w:color w:val="000000" w:themeColor="text1"/>
                <w:szCs w:val="24"/>
              </w:rPr>
              <w:t>根据项目特点可知，该改建项目拟定员工30人，生活产生量按1kg/（人·d）计，则生活垃圾产生量为30kg/d（9t/a）。生活垃圾集中收集后，委托环卫部门定期清运处置，处置率为100%。</w:t>
            </w:r>
          </w:p>
          <w:p>
            <w:pPr>
              <w:pStyle w:val="39"/>
              <w:ind w:firstLine="482"/>
              <w:rPr>
                <w:b/>
                <w:color w:val="000000" w:themeColor="text1"/>
                <w:szCs w:val="21"/>
              </w:rPr>
            </w:pPr>
            <w:r>
              <w:rPr>
                <w:rFonts w:hint="eastAsia"/>
                <w:b/>
                <w:color w:val="000000" w:themeColor="text1"/>
                <w:szCs w:val="21"/>
              </w:rPr>
              <w:t>⑤病死猪</w:t>
            </w:r>
          </w:p>
          <w:p>
            <w:pPr>
              <w:pStyle w:val="39"/>
              <w:ind w:firstLine="480"/>
              <w:rPr>
                <w:bCs/>
                <w:color w:val="000000" w:themeColor="text1"/>
              </w:rPr>
            </w:pPr>
            <w:r>
              <w:rPr>
                <w:bCs/>
                <w:color w:val="000000" w:themeColor="text1"/>
              </w:rPr>
              <w:t>根据项目特点可知，按现行的屠宰管理相关要求，在屠宰厂外发现的病猪和死猪不得进入屠宰厂进行屠宰，在屠宰厂出现的病死猪，主要为猪在高温天气和运输过程导致身体虚弱出现的病死猪，根据实际屠宰经营病死猪年产生量约10-20头。根据设计，项目拟设置1个170m³的发酵池对病死猪进行无害化处理。处置率为100%。</w:t>
            </w:r>
          </w:p>
          <w:p>
            <w:pPr>
              <w:pStyle w:val="39"/>
              <w:ind w:firstLine="482"/>
              <w:rPr>
                <w:b/>
                <w:color w:val="000000" w:themeColor="text1"/>
                <w:szCs w:val="21"/>
              </w:rPr>
            </w:pPr>
            <w:r>
              <w:rPr>
                <w:rFonts w:hint="eastAsia"/>
                <w:b/>
                <w:color w:val="000000" w:themeColor="text1"/>
                <w:szCs w:val="21"/>
              </w:rPr>
              <w:t>⑥发酵池产物</w:t>
            </w:r>
          </w:p>
          <w:p>
            <w:pPr>
              <w:pStyle w:val="39"/>
              <w:ind w:firstLine="480"/>
              <w:rPr>
                <w:bCs/>
                <w:color w:val="000000" w:themeColor="text1"/>
              </w:rPr>
            </w:pPr>
            <w:r>
              <w:rPr>
                <w:bCs/>
                <w:color w:val="000000" w:themeColor="text1"/>
              </w:rPr>
              <w:t>根据项目生产工艺可知，</w:t>
            </w:r>
            <w:r>
              <w:rPr>
                <w:rFonts w:hint="eastAsia"/>
                <w:bCs/>
                <w:color w:val="000000" w:themeColor="text1"/>
              </w:rPr>
              <w:t>项目</w:t>
            </w:r>
            <w:r>
              <w:rPr>
                <w:bCs/>
                <w:color w:val="000000" w:themeColor="text1"/>
              </w:rPr>
              <w:t>拟设置1个170m³的发酵池对病死猪进行无害化处理</w:t>
            </w:r>
            <w:r>
              <w:rPr>
                <w:rFonts w:hint="eastAsia"/>
                <w:bCs/>
                <w:color w:val="000000" w:themeColor="text1"/>
              </w:rPr>
              <w:t>，该处置过程中病死猪在菌剂作用下发酵消毒后得到的产物属于有机肥，根据项目处理规模，发酵池产物最大产生量约为150kg/a；定期清运后作为有机肥用于周围农田施肥。</w:t>
            </w:r>
            <w:r>
              <w:rPr>
                <w:bCs/>
                <w:color w:val="000000" w:themeColor="text1"/>
              </w:rPr>
              <w:t>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9"/>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3"/>
              <w:spacing w:beforeLines="0"/>
              <w:rPr>
                <w:rFonts w:hAnsi="Times New Roman" w:eastAsiaTheme="minorEastAsia"/>
                <w:color w:val="000000" w:themeColor="text1"/>
                <w:sz w:val="21"/>
                <w:szCs w:val="21"/>
              </w:rPr>
            </w:pP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表4.2.4-2  固体废物环境影响和保护措施分析一览表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4"/>
              <w:gridCol w:w="765"/>
              <w:gridCol w:w="976"/>
              <w:gridCol w:w="837"/>
              <w:gridCol w:w="899"/>
              <w:gridCol w:w="1456"/>
              <w:gridCol w:w="2083"/>
              <w:gridCol w:w="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序号</w:t>
                  </w:r>
                </w:p>
              </w:tc>
              <w:tc>
                <w:tcPr>
                  <w:tcW w:w="76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产生环节</w:t>
                  </w:r>
                </w:p>
              </w:tc>
              <w:tc>
                <w:tcPr>
                  <w:tcW w:w="9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名称</w:t>
                  </w:r>
                </w:p>
              </w:tc>
              <w:tc>
                <w:tcPr>
                  <w:tcW w:w="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属性</w:t>
                  </w:r>
                </w:p>
              </w:tc>
              <w:tc>
                <w:tcPr>
                  <w:tcW w:w="89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产生量</w:t>
                  </w:r>
                </w:p>
              </w:tc>
              <w:tc>
                <w:tcPr>
                  <w:tcW w:w="145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贮存方式</w:t>
                  </w:r>
                </w:p>
              </w:tc>
              <w:tc>
                <w:tcPr>
                  <w:tcW w:w="208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6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w:t>
                  </w:r>
                </w:p>
              </w:tc>
              <w:tc>
                <w:tcPr>
                  <w:tcW w:w="765"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污水处理站</w:t>
                  </w:r>
                </w:p>
              </w:tc>
              <w:tc>
                <w:tcPr>
                  <w:tcW w:w="97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格渣及污水处理污泥</w:t>
                  </w:r>
                </w:p>
              </w:tc>
              <w:tc>
                <w:tcPr>
                  <w:tcW w:w="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99"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364.7t/a</w:t>
                  </w:r>
                </w:p>
              </w:tc>
              <w:tc>
                <w:tcPr>
                  <w:tcW w:w="1456"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w:t>
                  </w:r>
                  <w:r>
                    <w:rPr>
                      <w:rFonts w:hint="eastAsia" w:eastAsiaTheme="minorEastAsia"/>
                      <w:color w:val="000000" w:themeColor="text1"/>
                      <w:szCs w:val="21"/>
                    </w:rPr>
                    <w:t>污水处理站旁</w:t>
                  </w:r>
                  <w:r>
                    <w:rPr>
                      <w:rFonts w:eastAsiaTheme="minorEastAsia"/>
                      <w:color w:val="000000" w:themeColor="text1"/>
                      <w:szCs w:val="21"/>
                    </w:rPr>
                    <w:t>临时暂存。</w:t>
                  </w:r>
                </w:p>
              </w:tc>
              <w:tc>
                <w:tcPr>
                  <w:tcW w:w="2083" w:type="dxa"/>
                  <w:vAlign w:val="center"/>
                </w:tcPr>
                <w:p>
                  <w:pPr>
                    <w:pStyle w:val="31"/>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委托昆明市东川区铜都街道龙洞村民委员会运输至合法处置场所进行无害化焚烧处置。</w:t>
                  </w:r>
                </w:p>
              </w:tc>
              <w:tc>
                <w:tcPr>
                  <w:tcW w:w="96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364.7t/a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w:t>
                  </w:r>
                </w:p>
              </w:tc>
              <w:tc>
                <w:tcPr>
                  <w:tcW w:w="765"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屠宰</w:t>
                  </w:r>
                </w:p>
              </w:tc>
              <w:tc>
                <w:tcPr>
                  <w:tcW w:w="97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猪毛</w:t>
                  </w:r>
                </w:p>
              </w:tc>
              <w:tc>
                <w:tcPr>
                  <w:tcW w:w="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99"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21t/a</w:t>
                  </w:r>
                </w:p>
              </w:tc>
              <w:tc>
                <w:tcPr>
                  <w:tcW w:w="1456"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w:t>
                  </w:r>
                  <w:r>
                    <w:rPr>
                      <w:rFonts w:hint="eastAsia" w:eastAsiaTheme="minorEastAsia"/>
                      <w:color w:val="000000" w:themeColor="text1"/>
                      <w:szCs w:val="21"/>
                    </w:rPr>
                    <w:t>屠宰间旁</w:t>
                  </w:r>
                  <w:r>
                    <w:rPr>
                      <w:rFonts w:eastAsiaTheme="minorEastAsia"/>
                      <w:color w:val="000000" w:themeColor="text1"/>
                      <w:szCs w:val="21"/>
                    </w:rPr>
                    <w:t>临时暂存。</w:t>
                  </w:r>
                </w:p>
              </w:tc>
              <w:tc>
                <w:tcPr>
                  <w:tcW w:w="2083" w:type="dxa"/>
                  <w:vAlign w:val="center"/>
                </w:tcPr>
                <w:p>
                  <w:pPr>
                    <w:pStyle w:val="31"/>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猪毛统一收集后由收购单位统一收集外卖相关厂家作为生产原料使用。</w:t>
                  </w:r>
                </w:p>
              </w:tc>
              <w:tc>
                <w:tcPr>
                  <w:tcW w:w="96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4"/>
                    </w:rPr>
                    <w:t>21t/a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w:t>
                  </w:r>
                </w:p>
              </w:tc>
              <w:tc>
                <w:tcPr>
                  <w:tcW w:w="765"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检疫区</w:t>
                  </w:r>
                </w:p>
              </w:tc>
              <w:tc>
                <w:tcPr>
                  <w:tcW w:w="97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医疗废物</w:t>
                  </w:r>
                </w:p>
              </w:tc>
              <w:tc>
                <w:tcPr>
                  <w:tcW w:w="83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医疗废物</w:t>
                  </w:r>
                </w:p>
              </w:tc>
              <w:tc>
                <w:tcPr>
                  <w:tcW w:w="899"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0.2t/a</w:t>
                  </w:r>
                </w:p>
              </w:tc>
              <w:tc>
                <w:tcPr>
                  <w:tcW w:w="1456"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在医疗废物暂存间暂存</w:t>
                  </w:r>
                </w:p>
              </w:tc>
              <w:tc>
                <w:tcPr>
                  <w:tcW w:w="208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委托云南正晓环保投资有限公司处理</w:t>
                  </w:r>
                </w:p>
              </w:tc>
              <w:tc>
                <w:tcPr>
                  <w:tcW w:w="968" w:type="dxa"/>
                  <w:vAlign w:val="center"/>
                </w:tcPr>
                <w:p>
                  <w:pPr>
                    <w:pStyle w:val="31"/>
                    <w:spacing w:line="360" w:lineRule="exact"/>
                    <w:rPr>
                      <w:rFonts w:eastAsiaTheme="minorEastAsia"/>
                      <w:color w:val="000000" w:themeColor="text1"/>
                      <w:szCs w:val="21"/>
                    </w:rPr>
                  </w:pPr>
                  <w:r>
                    <w:rPr>
                      <w:rFonts w:hint="eastAsia"/>
                      <w:color w:val="000000" w:themeColor="text1"/>
                      <w:szCs w:val="24"/>
                    </w:rPr>
                    <w:t>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4</w:t>
                  </w:r>
                </w:p>
              </w:tc>
              <w:tc>
                <w:tcPr>
                  <w:tcW w:w="765"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办公楼</w:t>
                  </w:r>
                </w:p>
              </w:tc>
              <w:tc>
                <w:tcPr>
                  <w:tcW w:w="97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生活垃圾</w:t>
                  </w:r>
                </w:p>
              </w:tc>
              <w:tc>
                <w:tcPr>
                  <w:tcW w:w="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生活固废</w:t>
                  </w:r>
                </w:p>
              </w:tc>
              <w:tc>
                <w:tcPr>
                  <w:tcW w:w="89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9t/a</w:t>
                  </w:r>
                </w:p>
              </w:tc>
              <w:tc>
                <w:tcPr>
                  <w:tcW w:w="1456"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208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6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9t/a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5</w:t>
                  </w:r>
                </w:p>
              </w:tc>
              <w:tc>
                <w:tcPr>
                  <w:tcW w:w="765"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待宰间</w:t>
                  </w:r>
                </w:p>
              </w:tc>
              <w:tc>
                <w:tcPr>
                  <w:tcW w:w="97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病死猪</w:t>
                  </w:r>
                </w:p>
              </w:tc>
              <w:tc>
                <w:tcPr>
                  <w:tcW w:w="83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89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10-20头</w:t>
                  </w:r>
                </w:p>
              </w:tc>
              <w:tc>
                <w:tcPr>
                  <w:tcW w:w="1456" w:type="dxa"/>
                  <w:vAlign w:val="center"/>
                </w:tcPr>
                <w:p>
                  <w:pPr>
                    <w:pStyle w:val="31"/>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不存储</w:t>
                  </w:r>
                </w:p>
              </w:tc>
              <w:tc>
                <w:tcPr>
                  <w:tcW w:w="208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设置1个170m³的发酵池对病死猪进行无害化处理</w:t>
                  </w:r>
                </w:p>
              </w:tc>
              <w:tc>
                <w:tcPr>
                  <w:tcW w:w="968" w:type="dxa"/>
                  <w:vAlign w:val="center"/>
                </w:tcPr>
                <w:p>
                  <w:pPr>
                    <w:pStyle w:val="31"/>
                    <w:spacing w:line="360" w:lineRule="exact"/>
                    <w:rPr>
                      <w:rFonts w:eastAsiaTheme="minorEastAsia"/>
                      <w:color w:val="000000" w:themeColor="text1"/>
                      <w:szCs w:val="21"/>
                    </w:rPr>
                  </w:pPr>
                  <w:r>
                    <w:rPr>
                      <w:bCs w:val="0"/>
                      <w:color w:val="000000" w:themeColor="text1"/>
                      <w:szCs w:val="30"/>
                    </w:rPr>
                    <w:t>10-20头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0" w:hRule="atLeast"/>
              </w:trPr>
              <w:tc>
                <w:tcPr>
                  <w:tcW w:w="624" w:type="dxa"/>
                  <w:tcBorders>
                    <w:top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6</w:t>
                  </w:r>
                </w:p>
              </w:tc>
              <w:tc>
                <w:tcPr>
                  <w:tcW w:w="765" w:type="dxa"/>
                  <w:tcBorders>
                    <w:top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发酵池</w:t>
                  </w:r>
                </w:p>
              </w:tc>
              <w:tc>
                <w:tcPr>
                  <w:tcW w:w="97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发酵池产物</w:t>
                  </w:r>
                </w:p>
              </w:tc>
              <w:tc>
                <w:tcPr>
                  <w:tcW w:w="83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899"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150kg/a</w:t>
                  </w:r>
                </w:p>
              </w:tc>
              <w:tc>
                <w:tcPr>
                  <w:tcW w:w="1456" w:type="dxa"/>
                  <w:vAlign w:val="center"/>
                </w:tcPr>
                <w:p>
                  <w:pPr>
                    <w:pStyle w:val="31"/>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不存储</w:t>
                  </w:r>
                </w:p>
              </w:tc>
              <w:tc>
                <w:tcPr>
                  <w:tcW w:w="2083" w:type="dxa"/>
                  <w:vAlign w:val="center"/>
                </w:tcPr>
                <w:p>
                  <w:pPr>
                    <w:pStyle w:val="31"/>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定期清运后作为有机肥用于周围农田施肥。</w:t>
                  </w:r>
                </w:p>
              </w:tc>
              <w:tc>
                <w:tcPr>
                  <w:tcW w:w="968" w:type="dxa"/>
                  <w:vAlign w:val="center"/>
                </w:tcPr>
                <w:p>
                  <w:pPr>
                    <w:pStyle w:val="31"/>
                    <w:spacing w:line="360" w:lineRule="exact"/>
                    <w:rPr>
                      <w:rFonts w:eastAsiaTheme="minorEastAsia"/>
                      <w:color w:val="000000" w:themeColor="text1"/>
                      <w:szCs w:val="21"/>
                    </w:rPr>
                  </w:pPr>
                  <w:r>
                    <w:rPr>
                      <w:rFonts w:hint="eastAsia"/>
                      <w:bCs w:val="0"/>
                      <w:color w:val="000000" w:themeColor="text1"/>
                      <w:szCs w:val="30"/>
                    </w:rPr>
                    <w:t>150kg/a</w:t>
                  </w:r>
                </w:p>
              </w:tc>
            </w:tr>
          </w:tbl>
          <w:p>
            <w:pPr>
              <w:pStyle w:val="39"/>
              <w:spacing w:beforeLines="50"/>
              <w:ind w:firstLine="480"/>
              <w:rPr>
                <w:color w:val="000000" w:themeColor="text1"/>
                <w:szCs w:val="24"/>
              </w:rPr>
            </w:pPr>
            <w:r>
              <w:rPr>
                <w:color w:val="000000" w:themeColor="text1"/>
                <w:szCs w:val="24"/>
              </w:rPr>
              <w:t>由上表可知，项目产生的固体废物均可得到合理处置，处置率为100%；对环境影响较小。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（3）环境管理要求</w:t>
            </w:r>
          </w:p>
          <w:p>
            <w:pPr>
              <w:pStyle w:val="39"/>
              <w:ind w:firstLine="482"/>
              <w:rPr>
                <w:rFonts w:eastAsiaTheme="minorEastAsia"/>
                <w:b/>
                <w:color w:val="000000" w:themeColor="text1"/>
                <w:szCs w:val="24"/>
              </w:rPr>
            </w:pPr>
            <w:r>
              <w:rPr>
                <w:rFonts w:hint="eastAsia" w:ascii="宋体" w:hAnsi="宋体" w:cs="宋体"/>
                <w:b/>
                <w:color w:val="000000" w:themeColor="text1"/>
                <w:szCs w:val="24"/>
              </w:rPr>
              <w:t>①</w:t>
            </w:r>
            <w:r>
              <w:rPr>
                <w:rFonts w:hint="eastAsia" w:eastAsiaTheme="minorEastAsia"/>
                <w:b/>
                <w:color w:val="000000" w:themeColor="text1"/>
                <w:szCs w:val="24"/>
              </w:rPr>
              <w:t>医疗废物</w:t>
            </w:r>
            <w:r>
              <w:rPr>
                <w:rFonts w:eastAsiaTheme="minorEastAsia"/>
                <w:b/>
                <w:color w:val="000000" w:themeColor="text1"/>
                <w:szCs w:val="24"/>
              </w:rPr>
              <w:t>管理要求</w:t>
            </w:r>
          </w:p>
          <w:p>
            <w:pPr>
              <w:pStyle w:val="39"/>
              <w:ind w:firstLine="480"/>
              <w:rPr>
                <w:color w:val="000000" w:themeColor="text1"/>
                <w:szCs w:val="24"/>
              </w:rPr>
            </w:pPr>
            <w:r>
              <w:rPr>
                <w:color w:val="000000" w:themeColor="text1"/>
                <w:szCs w:val="24"/>
              </w:rPr>
              <w:t>严格按照《医疗废物管理条例》对医疗废物进行管理：</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color w:val="000000" w:themeColor="text1"/>
                <w:szCs w:val="24"/>
              </w:rPr>
              <w:t>⑴</w:t>
            </w:r>
            <w:r>
              <w:rPr>
                <w:color w:val="000000" w:themeColor="text1"/>
                <w:szCs w:val="24"/>
              </w:rPr>
              <w:fldChar w:fldCharType="end"/>
            </w:r>
            <w:r>
              <w:rPr>
                <w:color w:val="000000" w:themeColor="text1"/>
                <w:szCs w:val="24"/>
              </w:rPr>
              <w:t>应及时收集本单位产生的医疗废物，并按照类别分置于防渗漏、防锐器穿透的专用包装物或者密闭的容器内。</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2 \* GB2 </w:instrText>
            </w:r>
            <w:r>
              <w:rPr>
                <w:color w:val="000000" w:themeColor="text1"/>
                <w:szCs w:val="24"/>
              </w:rPr>
              <w:fldChar w:fldCharType="separate"/>
            </w:r>
            <w:r>
              <w:rPr>
                <w:color w:val="000000" w:themeColor="text1"/>
                <w:szCs w:val="24"/>
              </w:rPr>
              <w:t>⑵</w:t>
            </w:r>
            <w:r>
              <w:rPr>
                <w:color w:val="000000" w:themeColor="text1"/>
                <w:szCs w:val="24"/>
              </w:rPr>
              <w:fldChar w:fldCharType="end"/>
            </w:r>
            <w:r>
              <w:rPr>
                <w:color w:val="000000" w:themeColor="text1"/>
                <w:szCs w:val="24"/>
              </w:rPr>
              <w:t>医疗废物专用包装物、容器，应当有明显的警示标识和警示说明。</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3 \* GB2 </w:instrText>
            </w:r>
            <w:r>
              <w:rPr>
                <w:color w:val="000000" w:themeColor="text1"/>
                <w:szCs w:val="24"/>
              </w:rPr>
              <w:fldChar w:fldCharType="separate"/>
            </w:r>
            <w:r>
              <w:rPr>
                <w:color w:val="000000" w:themeColor="text1"/>
                <w:szCs w:val="24"/>
              </w:rPr>
              <w:t>⑶</w:t>
            </w:r>
            <w:r>
              <w:rPr>
                <w:color w:val="000000" w:themeColor="text1"/>
                <w:szCs w:val="24"/>
              </w:rPr>
              <w:fldChar w:fldCharType="end"/>
            </w:r>
            <w:r>
              <w:rPr>
                <w:color w:val="000000" w:themeColor="text1"/>
                <w:szCs w:val="24"/>
              </w:rPr>
              <w:t>应当建立医疗废物的暂时贮存设施、设备，不得露天存放医疗废物；医疗废物暂时贮存的时间不得超过2天。</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4 \* GB2 </w:instrText>
            </w:r>
            <w:r>
              <w:rPr>
                <w:color w:val="000000" w:themeColor="text1"/>
                <w:szCs w:val="24"/>
              </w:rPr>
              <w:fldChar w:fldCharType="separate"/>
            </w:r>
            <w:r>
              <w:rPr>
                <w:color w:val="000000" w:themeColor="text1"/>
                <w:szCs w:val="24"/>
              </w:rPr>
              <w:t>⑷</w:t>
            </w:r>
            <w:r>
              <w:rPr>
                <w:color w:val="000000" w:themeColor="text1"/>
                <w:szCs w:val="24"/>
              </w:rPr>
              <w:fldChar w:fldCharType="end"/>
            </w:r>
            <w:r>
              <w:rPr>
                <w:color w:val="000000" w:themeColor="text1"/>
                <w:szCs w:val="24"/>
              </w:rPr>
              <w:t>远离医疗区、人员活动区，方便医疗废物运送人员及运送工具、车辆的出入。项目必须做到医疗废物定期清运，并对医疗废物暂存间消毒。</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5 \* GB2 </w:instrText>
            </w:r>
            <w:r>
              <w:rPr>
                <w:color w:val="000000" w:themeColor="text1"/>
                <w:szCs w:val="24"/>
              </w:rPr>
              <w:fldChar w:fldCharType="separate"/>
            </w:r>
            <w:r>
              <w:rPr>
                <w:color w:val="000000" w:themeColor="text1"/>
                <w:szCs w:val="24"/>
              </w:rPr>
              <w:t>⑸</w:t>
            </w:r>
            <w:r>
              <w:rPr>
                <w:color w:val="000000" w:themeColor="text1"/>
                <w:szCs w:val="24"/>
              </w:rPr>
              <w:fldChar w:fldCharType="end"/>
            </w:r>
            <w:r>
              <w:rPr>
                <w:color w:val="000000" w:themeColor="text1"/>
                <w:szCs w:val="24"/>
              </w:rPr>
              <w:t>应当使用防渗漏、防遗撒的专用运送工具，按照本单位确定的内部医疗废物运送时间、路线，将医疗废物收集、运送至暂时贮存地点。</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6 \* GB2 </w:instrText>
            </w:r>
            <w:r>
              <w:rPr>
                <w:color w:val="000000" w:themeColor="text1"/>
                <w:szCs w:val="24"/>
              </w:rPr>
              <w:fldChar w:fldCharType="separate"/>
            </w:r>
            <w:r>
              <w:rPr>
                <w:color w:val="000000" w:themeColor="text1"/>
                <w:szCs w:val="24"/>
              </w:rPr>
              <w:t>⑹</w:t>
            </w:r>
            <w:r>
              <w:rPr>
                <w:color w:val="000000" w:themeColor="text1"/>
                <w:szCs w:val="24"/>
              </w:rPr>
              <w:fldChar w:fldCharType="end"/>
            </w:r>
            <w:r>
              <w:rPr>
                <w:color w:val="000000" w:themeColor="text1"/>
                <w:szCs w:val="24"/>
              </w:rPr>
              <w:t>应当根据就近集中处置的原则。</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7 \* GB2 </w:instrText>
            </w:r>
            <w:r>
              <w:rPr>
                <w:color w:val="000000" w:themeColor="text1"/>
                <w:szCs w:val="24"/>
              </w:rPr>
              <w:fldChar w:fldCharType="separate"/>
            </w:r>
            <w:r>
              <w:rPr>
                <w:color w:val="000000" w:themeColor="text1"/>
                <w:szCs w:val="24"/>
              </w:rPr>
              <w:t>⑺</w:t>
            </w:r>
            <w:r>
              <w:rPr>
                <w:color w:val="000000" w:themeColor="text1"/>
                <w:szCs w:val="24"/>
              </w:rPr>
              <w:fldChar w:fldCharType="end"/>
            </w:r>
            <w:r>
              <w:rPr>
                <w:color w:val="000000" w:themeColor="text1"/>
                <w:szCs w:val="24"/>
              </w:rPr>
              <w:t>有严密的封闭措施，设专（兼）职人员管理，防止非工作人员接触医疗废物。</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8 \* GB2 </w:instrText>
            </w:r>
            <w:r>
              <w:rPr>
                <w:color w:val="000000" w:themeColor="text1"/>
                <w:szCs w:val="24"/>
              </w:rPr>
              <w:fldChar w:fldCharType="separate"/>
            </w:r>
            <w:r>
              <w:rPr>
                <w:color w:val="000000" w:themeColor="text1"/>
                <w:szCs w:val="24"/>
              </w:rPr>
              <w:t>⑻</w:t>
            </w:r>
            <w:r>
              <w:rPr>
                <w:color w:val="000000" w:themeColor="text1"/>
                <w:szCs w:val="24"/>
              </w:rPr>
              <w:fldChar w:fldCharType="end"/>
            </w:r>
            <w:r>
              <w:rPr>
                <w:color w:val="000000" w:themeColor="text1"/>
                <w:szCs w:val="24"/>
              </w:rPr>
              <w:t>有防鼠、防蚊蝇、防蟑螂的安全措施；防止渗漏和雨水冲刷；易于清洁和消毒；避免阳光直射。</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9 \* GB2 </w:instrText>
            </w:r>
            <w:r>
              <w:rPr>
                <w:color w:val="000000" w:themeColor="text1"/>
                <w:szCs w:val="24"/>
              </w:rPr>
              <w:fldChar w:fldCharType="separate"/>
            </w:r>
            <w:r>
              <w:rPr>
                <w:color w:val="000000" w:themeColor="text1"/>
                <w:szCs w:val="24"/>
              </w:rPr>
              <w:t>⑼</w:t>
            </w:r>
            <w:r>
              <w:rPr>
                <w:color w:val="000000" w:themeColor="text1"/>
                <w:szCs w:val="24"/>
              </w:rPr>
              <w:fldChar w:fldCharType="end"/>
            </w:r>
            <w:r>
              <w:rPr>
                <w:color w:val="000000" w:themeColor="text1"/>
                <w:szCs w:val="24"/>
              </w:rPr>
              <w:t>设有明显的医疗废物警示标识和“禁止吸烟、饮食”的警示标识。对于感染性废料和锐利废物，其贮存地应有“生物危险”标志和进入管理限制，且应位于产生废物地点附近。</w:t>
            </w:r>
          </w:p>
          <w:p>
            <w:pPr>
              <w:pStyle w:val="39"/>
              <w:ind w:firstLine="480"/>
              <w:rPr>
                <w:color w:val="000000" w:themeColor="text1"/>
                <w:szCs w:val="24"/>
              </w:rPr>
            </w:pPr>
            <w:r>
              <w:rPr>
                <w:color w:val="000000" w:themeColor="text1"/>
                <w:szCs w:val="24"/>
              </w:rPr>
              <w:t>禁止将医疗废物在非收集、非暂时贮存地点倾倒、堆放等自行处置；禁止将医疗废物混入其它废物和生活垃圾；禁止在内部运送过程中丢弃医疗废物。</w:t>
            </w:r>
          </w:p>
          <w:p>
            <w:pPr>
              <w:pStyle w:val="39"/>
              <w:ind w:firstLine="482"/>
              <w:rPr>
                <w:rFonts w:eastAsiaTheme="minorEastAsia"/>
                <w:b/>
                <w:color w:val="000000" w:themeColor="text1"/>
                <w:szCs w:val="24"/>
              </w:rPr>
            </w:pPr>
            <w:bookmarkStart w:id="3" w:name="_Toc484976361"/>
            <w:r>
              <w:rPr>
                <w:rFonts w:hint="eastAsia" w:eastAsiaTheme="minorEastAsia"/>
                <w:b/>
                <w:color w:val="000000" w:themeColor="text1"/>
                <w:szCs w:val="24"/>
              </w:rPr>
              <w:t>②</w:t>
            </w:r>
            <w:r>
              <w:rPr>
                <w:rFonts w:eastAsiaTheme="minorEastAsia"/>
                <w:b/>
                <w:color w:val="000000" w:themeColor="text1"/>
                <w:szCs w:val="24"/>
              </w:rPr>
              <w:t>生活垃圾管理要求</w:t>
            </w:r>
          </w:p>
          <w:p>
            <w:pPr>
              <w:pStyle w:val="39"/>
              <w:ind w:firstLine="480"/>
              <w:rPr>
                <w:color w:val="000000" w:themeColor="text1"/>
                <w:szCs w:val="24"/>
              </w:rPr>
            </w:pPr>
            <w:r>
              <w:rPr>
                <w:color w:val="000000" w:themeColor="text1"/>
                <w:szCs w:val="24"/>
              </w:rPr>
              <w:t>项目产生的生活垃圾应做到日产日清。</w:t>
            </w:r>
          </w:p>
          <w:bookmarkEnd w:id="3"/>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9"/>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9"/>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污染物从污染源进入地下水、土壤所经过的路径称为地下水、土壤污染途径，地下水、土壤污染途径是多种多样的。根据项目的特点，该改建项目可能对地下水、土壤造成污染的途径主要有：</w:t>
            </w:r>
            <w:r>
              <w:rPr>
                <w:rFonts w:hint="eastAsia"/>
                <w:color w:val="000000" w:themeColor="text1"/>
                <w:szCs w:val="24"/>
              </w:rPr>
              <w:t>发酵池废液、污水处理站废水</w:t>
            </w:r>
            <w:r>
              <w:rPr>
                <w:color w:val="000000" w:themeColor="text1"/>
                <w:szCs w:val="24"/>
              </w:rPr>
              <w:t>等在地面防渗层发生破损的情况下会发生渗漏，对地下水、土壤造成污染，其污染物类型包括</w:t>
            </w:r>
            <w:r>
              <w:rPr>
                <w:rFonts w:hint="eastAsia"/>
                <w:color w:val="000000" w:themeColor="text1"/>
                <w:szCs w:val="24"/>
              </w:rPr>
              <w:t>CODcr、氨氮等</w:t>
            </w:r>
            <w:r>
              <w:rPr>
                <w:color w:val="000000" w:themeColor="text1"/>
                <w:szCs w:val="24"/>
              </w:rPr>
              <w:t>。</w:t>
            </w:r>
          </w:p>
          <w:p>
            <w:pPr>
              <w:pStyle w:val="39"/>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9"/>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污染物从污染源进入地下水所经过的路径称为地下水污染途径，地下水污染途径是多种多样的。根据项目的特点，该改建项目可能对地下水、土壤造成污染的途径主要有：</w:t>
            </w:r>
            <w:r>
              <w:rPr>
                <w:rFonts w:hint="eastAsia"/>
                <w:color w:val="000000" w:themeColor="text1"/>
                <w:szCs w:val="24"/>
              </w:rPr>
              <w:t>发酵池废液、污水处理站废水</w:t>
            </w:r>
            <w:r>
              <w:rPr>
                <w:color w:val="000000" w:themeColor="text1"/>
                <w:szCs w:val="24"/>
              </w:rPr>
              <w:t>在地面防渗层发生破损的情况下会发生渗漏，对地下水、土壤造成污染。</w:t>
            </w:r>
          </w:p>
          <w:p>
            <w:pPr>
              <w:pStyle w:val="39"/>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39"/>
              <w:ind w:firstLine="480"/>
              <w:rPr>
                <w:color w:val="000000" w:themeColor="text1"/>
                <w:szCs w:val="24"/>
              </w:rPr>
            </w:pPr>
            <w:r>
              <w:rPr>
                <w:color w:val="000000" w:themeColor="text1"/>
                <w:szCs w:val="24"/>
              </w:rPr>
              <w:t>该改建项目地下水、土壤污染防治措施按照“源头控制、分区防治、应急响应”相结合的原则，从污染物的产生、入渗、扩散、应急响应进行控制。</w:t>
            </w:r>
          </w:p>
          <w:p>
            <w:pPr>
              <w:pStyle w:val="39"/>
              <w:ind w:firstLine="482"/>
              <w:rPr>
                <w:b/>
                <w:color w:val="000000" w:themeColor="text1"/>
                <w:szCs w:val="24"/>
              </w:rPr>
            </w:pPr>
            <w:r>
              <w:rPr>
                <w:rFonts w:hint="eastAsia" w:ascii="宋体" w:hAnsi="宋体" w:cs="宋体"/>
                <w:b/>
                <w:color w:val="000000" w:themeColor="text1"/>
                <w:szCs w:val="24"/>
              </w:rPr>
              <w:t>①</w:t>
            </w:r>
            <w:r>
              <w:rPr>
                <w:b/>
                <w:color w:val="000000" w:themeColor="text1"/>
                <w:szCs w:val="24"/>
              </w:rPr>
              <w:t>源头控制措施</w:t>
            </w:r>
          </w:p>
          <w:p>
            <w:pPr>
              <w:pStyle w:val="39"/>
              <w:ind w:firstLine="480"/>
              <w:rPr>
                <w:color w:val="000000" w:themeColor="text1"/>
                <w:szCs w:val="24"/>
              </w:rPr>
            </w:pPr>
            <w:r>
              <w:rPr>
                <w:color w:val="000000" w:themeColor="text1"/>
                <w:szCs w:val="24"/>
              </w:rPr>
              <w:t>严格按照公司制定的规范管理要求进行</w:t>
            </w:r>
            <w:r>
              <w:rPr>
                <w:rFonts w:hint="eastAsia"/>
                <w:color w:val="000000" w:themeColor="text1"/>
                <w:szCs w:val="24"/>
              </w:rPr>
              <w:t>医疗</w:t>
            </w:r>
            <w:r>
              <w:rPr>
                <w:color w:val="000000" w:themeColor="text1"/>
                <w:szCs w:val="24"/>
              </w:rPr>
              <w:t>废物</w:t>
            </w:r>
            <w:r>
              <w:rPr>
                <w:rFonts w:hint="eastAsia"/>
                <w:color w:val="000000" w:themeColor="text1"/>
                <w:szCs w:val="24"/>
              </w:rPr>
              <w:t>、病死猪</w:t>
            </w:r>
            <w:r>
              <w:rPr>
                <w:color w:val="000000" w:themeColor="text1"/>
                <w:szCs w:val="24"/>
              </w:rPr>
              <w:t>的管理。</w:t>
            </w:r>
          </w:p>
          <w:p>
            <w:pPr>
              <w:pStyle w:val="39"/>
              <w:ind w:firstLine="482"/>
              <w:rPr>
                <w:b/>
                <w:color w:val="000000" w:themeColor="text1"/>
                <w:szCs w:val="24"/>
              </w:rPr>
            </w:pPr>
            <w:r>
              <w:rPr>
                <w:rFonts w:hint="eastAsia" w:ascii="宋体" w:hAnsi="宋体" w:cs="宋体"/>
                <w:b/>
                <w:color w:val="000000" w:themeColor="text1"/>
                <w:szCs w:val="24"/>
              </w:rPr>
              <w:t>②</w:t>
            </w:r>
            <w:r>
              <w:rPr>
                <w:b/>
                <w:color w:val="000000" w:themeColor="text1"/>
                <w:szCs w:val="24"/>
              </w:rPr>
              <w:t>分区控制措施</w:t>
            </w:r>
          </w:p>
          <w:p>
            <w:pPr>
              <w:pStyle w:val="39"/>
              <w:ind w:firstLine="480"/>
              <w:rPr>
                <w:color w:val="000000" w:themeColor="text1"/>
                <w:szCs w:val="24"/>
              </w:rPr>
            </w:pPr>
            <w:r>
              <w:rPr>
                <w:color w:val="000000" w:themeColor="text1"/>
                <w:szCs w:val="24"/>
              </w:rPr>
              <w:t>根据以上分区原则可知，项目分区防渗具体如下：</w:t>
            </w:r>
          </w:p>
          <w:p>
            <w:pPr>
              <w:pStyle w:val="39"/>
              <w:ind w:firstLine="482"/>
              <w:rPr>
                <w:b/>
                <w:color w:val="000000" w:themeColor="text1"/>
                <w:szCs w:val="24"/>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rFonts w:hint="eastAsia"/>
                <w:b/>
                <w:color w:val="000000" w:themeColor="text1"/>
                <w:szCs w:val="24"/>
              </w:rPr>
              <w:t>⑴</w:t>
            </w:r>
            <w:r>
              <w:rPr>
                <w:b/>
                <w:color w:val="000000" w:themeColor="text1"/>
                <w:szCs w:val="24"/>
              </w:rPr>
              <w:fldChar w:fldCharType="end"/>
            </w:r>
            <w:r>
              <w:rPr>
                <w:b/>
                <w:color w:val="000000" w:themeColor="text1"/>
                <w:szCs w:val="24"/>
              </w:rPr>
              <w:t>重点防渗区</w:t>
            </w:r>
          </w:p>
          <w:p>
            <w:pPr>
              <w:pStyle w:val="39"/>
              <w:ind w:firstLine="480"/>
              <w:rPr>
                <w:color w:val="000000" w:themeColor="text1"/>
                <w:szCs w:val="24"/>
              </w:rPr>
            </w:pPr>
            <w:r>
              <w:rPr>
                <w:color w:val="000000" w:themeColor="text1"/>
                <w:szCs w:val="24"/>
              </w:rPr>
              <w:t>项目重点防渗区为医疗废物暂存间和发酵池：医疗废物暂存间地面</w:t>
            </w:r>
            <w:r>
              <w:rPr>
                <w:rFonts w:hint="eastAsia"/>
                <w:color w:val="000000" w:themeColor="text1"/>
                <w:szCs w:val="24"/>
              </w:rPr>
              <w:t>、</w:t>
            </w:r>
            <w:r>
              <w:rPr>
                <w:color w:val="000000" w:themeColor="text1"/>
                <w:szCs w:val="24"/>
              </w:rPr>
              <w:t>裙墙</w:t>
            </w:r>
            <w:r>
              <w:rPr>
                <w:rFonts w:hint="eastAsia"/>
                <w:color w:val="000000" w:themeColor="text1"/>
                <w:szCs w:val="24"/>
              </w:rPr>
              <w:t>以及发酵池内部</w:t>
            </w:r>
            <w:r>
              <w:rPr>
                <w:color w:val="000000" w:themeColor="text1"/>
                <w:szCs w:val="24"/>
              </w:rPr>
              <w:t>应采用2mm厚的HDPE膜或其他材料进行防渗，其渗透系数≤10</w:t>
            </w:r>
            <w:r>
              <w:rPr>
                <w:color w:val="000000" w:themeColor="text1"/>
                <w:szCs w:val="24"/>
                <w:vertAlign w:val="superscript"/>
              </w:rPr>
              <w:t>-10</w:t>
            </w:r>
            <w:r>
              <w:rPr>
                <w:color w:val="000000" w:themeColor="text1"/>
                <w:szCs w:val="24"/>
              </w:rPr>
              <w:t>cm/s</w:t>
            </w:r>
            <w:r>
              <w:rPr>
                <w:rFonts w:hint="eastAsia"/>
                <w:color w:val="000000" w:themeColor="text1"/>
                <w:szCs w:val="24"/>
              </w:rPr>
              <w:t>。</w:t>
            </w:r>
          </w:p>
          <w:p>
            <w:pPr>
              <w:pStyle w:val="39"/>
              <w:ind w:firstLine="482"/>
              <w:rPr>
                <w:b/>
                <w:color w:val="000000" w:themeColor="text1"/>
                <w:szCs w:val="24"/>
              </w:rPr>
            </w:pPr>
            <w:r>
              <w:rPr>
                <w:b/>
                <w:color w:val="000000" w:themeColor="text1"/>
                <w:szCs w:val="24"/>
              </w:rPr>
              <w:fldChar w:fldCharType="begin"/>
            </w:r>
            <w:r>
              <w:rPr>
                <w:b/>
                <w:color w:val="000000" w:themeColor="text1"/>
                <w:szCs w:val="24"/>
              </w:rPr>
              <w:instrText xml:space="preserve"> = 2 \* GB2 </w:instrText>
            </w:r>
            <w:r>
              <w:rPr>
                <w:b/>
                <w:color w:val="000000" w:themeColor="text1"/>
                <w:szCs w:val="24"/>
              </w:rPr>
              <w:fldChar w:fldCharType="separate"/>
            </w:r>
            <w:r>
              <w:rPr>
                <w:rFonts w:hint="eastAsia"/>
                <w:b/>
                <w:color w:val="000000" w:themeColor="text1"/>
                <w:szCs w:val="24"/>
              </w:rPr>
              <w:t>⑵</w:t>
            </w:r>
            <w:r>
              <w:rPr>
                <w:b/>
                <w:color w:val="000000" w:themeColor="text1"/>
                <w:szCs w:val="24"/>
              </w:rPr>
              <w:fldChar w:fldCharType="end"/>
            </w:r>
            <w:r>
              <w:rPr>
                <w:b/>
                <w:color w:val="000000" w:themeColor="text1"/>
                <w:szCs w:val="24"/>
              </w:rPr>
              <w:t>一般防渗区</w:t>
            </w:r>
          </w:p>
          <w:p>
            <w:pPr>
              <w:pStyle w:val="39"/>
              <w:ind w:firstLine="480"/>
              <w:rPr>
                <w:color w:val="000000" w:themeColor="text1"/>
                <w:szCs w:val="24"/>
              </w:rPr>
            </w:pPr>
            <w:r>
              <w:rPr>
                <w:color w:val="000000" w:themeColor="text1"/>
                <w:szCs w:val="24"/>
              </w:rPr>
              <w:t>根据分区防渗规范要求，项目屠宰车间、污水处理站、初期雨水收集池区域划定为一般防渗区，</w:t>
            </w:r>
            <w:r>
              <w:rPr>
                <w:rFonts w:hint="eastAsia"/>
                <w:color w:val="000000" w:themeColor="text1"/>
                <w:szCs w:val="24"/>
              </w:rPr>
              <w:t>一般防渗区中</w:t>
            </w:r>
            <w:r>
              <w:rPr>
                <w:color w:val="000000" w:themeColor="text1"/>
                <w:szCs w:val="24"/>
              </w:rPr>
              <w:t>屠宰车间地面采取粘土铺底，并在上层铺30cm的混凝土进行硬化，其渗透系数≤1.0×10</w:t>
            </w:r>
            <w:r>
              <w:rPr>
                <w:color w:val="000000" w:themeColor="text1"/>
                <w:szCs w:val="24"/>
                <w:vertAlign w:val="superscript"/>
              </w:rPr>
              <w:t>-7</w:t>
            </w:r>
            <w:r>
              <w:rPr>
                <w:color w:val="000000" w:themeColor="text1"/>
                <w:szCs w:val="24"/>
              </w:rPr>
              <w:t>cm/s</w:t>
            </w:r>
            <w:r>
              <w:rPr>
                <w:rFonts w:hint="eastAsia"/>
                <w:color w:val="000000" w:themeColor="text1"/>
                <w:szCs w:val="24"/>
              </w:rPr>
              <w:t>，而</w:t>
            </w:r>
            <w:r>
              <w:rPr>
                <w:color w:val="000000" w:themeColor="text1"/>
                <w:szCs w:val="24"/>
              </w:rPr>
              <w:t>污水处理站、初期雨水收集池</w:t>
            </w:r>
            <w:r>
              <w:rPr>
                <w:rFonts w:hint="eastAsia"/>
                <w:color w:val="000000" w:themeColor="text1"/>
                <w:szCs w:val="24"/>
              </w:rPr>
              <w:t>应采用</w:t>
            </w:r>
            <w:r>
              <w:rPr>
                <w:color w:val="000000" w:themeColor="text1"/>
                <w:szCs w:val="24"/>
              </w:rPr>
              <w:t>HDPE膜</w:t>
            </w:r>
            <w:r>
              <w:rPr>
                <w:rFonts w:hint="eastAsia"/>
                <w:color w:val="000000" w:themeColor="text1"/>
                <w:szCs w:val="24"/>
              </w:rPr>
              <w:t>或其他材料防渗，确保其</w:t>
            </w:r>
            <w:r>
              <w:rPr>
                <w:color w:val="000000" w:themeColor="text1"/>
                <w:szCs w:val="24"/>
              </w:rPr>
              <w:t>渗透系数≤1.0×10</w:t>
            </w:r>
            <w:r>
              <w:rPr>
                <w:color w:val="000000" w:themeColor="text1"/>
                <w:szCs w:val="24"/>
                <w:vertAlign w:val="superscript"/>
              </w:rPr>
              <w:t>-7</w:t>
            </w:r>
            <w:r>
              <w:rPr>
                <w:color w:val="000000" w:themeColor="text1"/>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39"/>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由于项目地下水影响较小，因此该改建项目不设置地下水环境影响跟踪监测计划。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该改建项目位于昆明市东川区铜都街道办事处龙洞村四组苦刺塘</w:t>
            </w:r>
            <w:r>
              <w:rPr>
                <w:color w:val="000000" w:themeColor="text1"/>
                <w:szCs w:val="24"/>
              </w:rPr>
              <w:t>，</w:t>
            </w:r>
            <w:r>
              <w:rPr>
                <w:rFonts w:hint="eastAsia" w:ascii="Times New Roman" w:hAnsi="Times New Roman" w:cs="Times New Roman"/>
                <w:color w:val="000000" w:themeColor="text1"/>
                <w:sz w:val="24"/>
                <w:szCs w:val="24"/>
              </w:rPr>
              <w:t>该改建项目在现有厂区范围内进行改建，</w:t>
            </w:r>
            <w:r>
              <w:rPr>
                <w:rFonts w:ascii="Times New Roman" w:hAnsi="Times New Roman" w:cs="Times New Roman"/>
                <w:color w:val="000000" w:themeColor="text1"/>
                <w:sz w:val="24"/>
                <w:szCs w:val="24"/>
              </w:rPr>
              <w:t>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9"/>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该改建项目风险物质</w:t>
            </w:r>
            <w:r>
              <w:rPr>
                <w:rFonts w:hint="eastAsia" w:ascii="Times New Roman" w:hAnsi="Times New Roman" w:cs="Times New Roman"/>
                <w:color w:val="000000" w:themeColor="text1"/>
                <w:sz w:val="24"/>
                <w:szCs w:val="24"/>
              </w:rPr>
              <w:t>主要为污水处理设施使用的</w:t>
            </w:r>
            <w:r>
              <w:rPr>
                <w:rFonts w:ascii="Times New Roman" w:hAnsi="Times New Roman" w:cs="Times New Roman"/>
                <w:color w:val="000000" w:themeColor="text1"/>
                <w:sz w:val="24"/>
                <w:szCs w:val="24"/>
              </w:rPr>
              <w:t>次氯酸钠，其危险特性如下表所示。</w:t>
            </w:r>
          </w:p>
          <w:p>
            <w:pPr>
              <w:pStyle w:val="33"/>
              <w:spacing w:beforeLines="0"/>
              <w:rPr>
                <w:rFonts w:hint="eastAsia" w:hAnsi="Times New Roman" w:eastAsiaTheme="minorEastAsia"/>
                <w:color w:val="000000" w:themeColor="text1"/>
                <w:sz w:val="21"/>
                <w:szCs w:val="21"/>
              </w:rPr>
            </w:pP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973"/>
              <w:gridCol w:w="1078"/>
              <w:gridCol w:w="953"/>
              <w:gridCol w:w="999"/>
              <w:gridCol w:w="1122"/>
              <w:gridCol w:w="2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color w:val="000000" w:themeColor="text1"/>
                      <w:szCs w:val="21"/>
                    </w:rPr>
                    <w:t>产生环节</w:t>
                  </w:r>
                </w:p>
              </w:tc>
              <w:tc>
                <w:tcPr>
                  <w:tcW w:w="973" w:type="dxa"/>
                  <w:vAlign w:val="center"/>
                </w:tcPr>
                <w:p>
                  <w:pPr>
                    <w:pStyle w:val="31"/>
                    <w:spacing w:line="360" w:lineRule="exact"/>
                    <w:rPr>
                      <w:color w:val="000000" w:themeColor="text1"/>
                      <w:szCs w:val="21"/>
                    </w:rPr>
                  </w:pPr>
                  <w:r>
                    <w:rPr>
                      <w:color w:val="000000" w:themeColor="text1"/>
                      <w:szCs w:val="21"/>
                    </w:rPr>
                    <w:t>危险物质</w:t>
                  </w:r>
                </w:p>
              </w:tc>
              <w:tc>
                <w:tcPr>
                  <w:tcW w:w="1078" w:type="dxa"/>
                  <w:vAlign w:val="center"/>
                </w:tcPr>
                <w:p>
                  <w:pPr>
                    <w:pStyle w:val="31"/>
                    <w:spacing w:line="360" w:lineRule="exact"/>
                    <w:rPr>
                      <w:color w:val="000000" w:themeColor="text1"/>
                      <w:szCs w:val="21"/>
                    </w:rPr>
                  </w:pPr>
                  <w:r>
                    <w:rPr>
                      <w:color w:val="000000" w:themeColor="text1"/>
                      <w:szCs w:val="21"/>
                    </w:rPr>
                    <w:t>年使用/产生量</w:t>
                  </w:r>
                </w:p>
              </w:tc>
              <w:tc>
                <w:tcPr>
                  <w:tcW w:w="953"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最大储存量</w:t>
                  </w:r>
                </w:p>
              </w:tc>
              <w:tc>
                <w:tcPr>
                  <w:tcW w:w="999"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临界量</w:t>
                  </w:r>
                </w:p>
              </w:tc>
              <w:tc>
                <w:tcPr>
                  <w:tcW w:w="1122"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Q值</w:t>
                  </w:r>
                </w:p>
              </w:tc>
              <w:tc>
                <w:tcPr>
                  <w:tcW w:w="2745" w:type="dxa"/>
                  <w:vAlign w:val="center"/>
                </w:tcPr>
                <w:p>
                  <w:pPr>
                    <w:pStyle w:val="31"/>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31"/>
                    <w:spacing w:line="360" w:lineRule="exact"/>
                    <w:rPr>
                      <w:color w:val="000000" w:themeColor="text1"/>
                      <w:szCs w:val="21"/>
                    </w:rPr>
                  </w:pPr>
                  <w:r>
                    <w:rPr>
                      <w:color w:val="000000" w:themeColor="text1"/>
                      <w:szCs w:val="21"/>
                    </w:rPr>
                    <w:t>使用</w:t>
                  </w:r>
                </w:p>
              </w:tc>
              <w:tc>
                <w:tcPr>
                  <w:tcW w:w="973" w:type="dxa"/>
                  <w:vAlign w:val="center"/>
                </w:tcPr>
                <w:p>
                  <w:pPr>
                    <w:pStyle w:val="31"/>
                    <w:spacing w:line="360" w:lineRule="exact"/>
                    <w:rPr>
                      <w:color w:val="000000" w:themeColor="text1"/>
                      <w:szCs w:val="21"/>
                    </w:rPr>
                  </w:pPr>
                  <w:r>
                    <w:rPr>
                      <w:color w:val="000000" w:themeColor="text1"/>
                      <w:szCs w:val="21"/>
                    </w:rPr>
                    <w:t>次氯酸钠</w:t>
                  </w:r>
                </w:p>
              </w:tc>
              <w:tc>
                <w:tcPr>
                  <w:tcW w:w="1078" w:type="dxa"/>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1</w:t>
                  </w:r>
                  <w:r>
                    <w:rPr>
                      <w:color w:val="000000" w:themeColor="text1"/>
                      <w:szCs w:val="21"/>
                    </w:rPr>
                    <w:t>5t/a</w:t>
                  </w:r>
                </w:p>
              </w:tc>
              <w:tc>
                <w:tcPr>
                  <w:tcW w:w="953" w:type="dxa"/>
                  <w:tcBorders>
                    <w:right w:val="single" w:color="auto" w:sz="4" w:space="0"/>
                  </w:tcBorders>
                  <w:vAlign w:val="center"/>
                </w:tcPr>
                <w:p>
                  <w:pPr>
                    <w:pStyle w:val="31"/>
                    <w:spacing w:line="360" w:lineRule="exact"/>
                    <w:ind w:left="11"/>
                    <w:rPr>
                      <w:color w:val="000000" w:themeColor="text1"/>
                      <w:szCs w:val="21"/>
                    </w:rPr>
                  </w:pPr>
                  <w:r>
                    <w:rPr>
                      <w:color w:val="000000" w:themeColor="text1"/>
                      <w:szCs w:val="21"/>
                    </w:rPr>
                    <w:t>0.</w:t>
                  </w:r>
                  <w:r>
                    <w:rPr>
                      <w:rFonts w:hint="eastAsia"/>
                      <w:color w:val="000000" w:themeColor="text1"/>
                      <w:szCs w:val="21"/>
                    </w:rPr>
                    <w:t>1</w:t>
                  </w:r>
                  <w:r>
                    <w:rPr>
                      <w:color w:val="000000" w:themeColor="text1"/>
                      <w:szCs w:val="21"/>
                    </w:rPr>
                    <w:t>5t</w:t>
                  </w:r>
                </w:p>
              </w:tc>
              <w:tc>
                <w:tcPr>
                  <w:tcW w:w="999"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5t</w:t>
                  </w:r>
                </w:p>
              </w:tc>
              <w:tc>
                <w:tcPr>
                  <w:tcW w:w="1122"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0.0</w:t>
                  </w:r>
                  <w:r>
                    <w:rPr>
                      <w:rFonts w:hint="eastAsia"/>
                      <w:color w:val="000000" w:themeColor="text1"/>
                      <w:szCs w:val="21"/>
                    </w:rPr>
                    <w:t>3</w:t>
                  </w:r>
                </w:p>
              </w:tc>
              <w:tc>
                <w:tcPr>
                  <w:tcW w:w="2745" w:type="dxa"/>
                  <w:vAlign w:val="center"/>
                </w:tcPr>
                <w:p>
                  <w:pPr>
                    <w:pStyle w:val="31"/>
                    <w:spacing w:line="360" w:lineRule="exact"/>
                    <w:ind w:left="11" w:firstLine="210" w:firstLineChars="100"/>
                    <w:jc w:val="both"/>
                    <w:rPr>
                      <w:color w:val="000000" w:themeColor="text1"/>
                    </w:rPr>
                  </w:pPr>
                  <w:r>
                    <w:rPr>
                      <w:color w:val="000000" w:themeColor="text1"/>
                    </w:rPr>
                    <w:t>采用袋装贮存于办公楼内，保持干燥</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491"/>
              <w:gridCol w:w="1231"/>
              <w:gridCol w:w="1193"/>
              <w:gridCol w:w="36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2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9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2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93"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pStyle w:val="39"/>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w:t>
            </w:r>
            <w:r>
              <w:rPr>
                <w:rFonts w:ascii="Times New Roman" w:hAnsi="Times New Roman" w:eastAsia="宋体" w:cs="Times New Roman"/>
                <w:bCs/>
                <w:snapToGrid w:val="0"/>
                <w:color w:val="000000" w:themeColor="text1"/>
                <w:kern w:val="32"/>
                <w:lang w:val="zh-CN"/>
              </w:rPr>
              <w:t>次氯酸钠</w:t>
            </w:r>
            <w:r>
              <w:rPr>
                <w:rFonts w:ascii="Times New Roman" w:hAnsi="Times New Roman" w:cs="Times New Roman"/>
                <w:color w:val="000000" w:themeColor="text1"/>
                <w:sz w:val="24"/>
                <w:szCs w:val="24"/>
              </w:rPr>
              <w:t>在存储及运输过程中泄露的环境风险。影响途经具体如下：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次氯酸钠发生泄漏对人或水生生物造成影响。</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③</w:t>
            </w:r>
            <w:r>
              <w:rPr>
                <w:rFonts w:ascii="Times New Roman" w:hAnsi="Times New Roman" w:cs="Times New Roman"/>
                <w:color w:val="000000" w:themeColor="text1"/>
                <w:sz w:val="24"/>
                <w:szCs w:val="24"/>
              </w:rPr>
              <w:t>人员在生产车间吸烟、使用明火等，可能发生火灾、爆炸的风险。</w:t>
            </w:r>
          </w:p>
          <w:p>
            <w:pPr>
              <w:pStyle w:val="39"/>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根据该改建项目环境影响途经，提出以下风险防范措施：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次氯酸钠入库时，严格检验物品质量、数量、包装情况、有无泄漏。入库后应采取适当的养护措施，在贮存期内，定期检查，发现其品质变化、包装破损、渗漏等，应及时处理。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③</w:t>
            </w:r>
            <w:r>
              <w:rPr>
                <w:rFonts w:ascii="Times New Roman" w:hAnsi="Times New Roman" w:cs="Times New Roman"/>
                <w:color w:val="000000" w:themeColor="text1"/>
                <w:sz w:val="24"/>
                <w:szCs w:val="24"/>
              </w:rPr>
              <w:t>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④</w:t>
            </w:r>
            <w:r>
              <w:rPr>
                <w:rFonts w:ascii="Times New Roman" w:hAnsi="Times New Roman" w:cs="Times New Roman"/>
                <w:color w:val="000000" w:themeColor="text1"/>
                <w:sz w:val="24"/>
                <w:szCs w:val="24"/>
              </w:rPr>
              <w:t>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已</w:t>
            </w:r>
            <w:r>
              <w:rPr>
                <w:rFonts w:ascii="Times New Roman" w:hAnsi="Times New Roman" w:cs="Times New Roman"/>
                <w:color w:val="000000" w:themeColor="text1"/>
                <w:sz w:val="24"/>
                <w:szCs w:val="24"/>
              </w:rPr>
              <w:t>设置</w:t>
            </w:r>
            <w:r>
              <w:rPr>
                <w:rFonts w:hint="eastAsia" w:ascii="Times New Roman" w:hAnsi="Times New Roman" w:cs="Times New Roman"/>
                <w:color w:val="000000" w:themeColor="text1"/>
                <w:sz w:val="24"/>
                <w:szCs w:val="24"/>
              </w:rPr>
              <w:t>了</w:t>
            </w:r>
            <w:r>
              <w:rPr>
                <w:rFonts w:ascii="Times New Roman" w:hAnsi="Times New Roman" w:cs="Times New Roman"/>
                <w:color w:val="000000" w:themeColor="text1"/>
                <w:sz w:val="24"/>
                <w:szCs w:val="24"/>
              </w:rPr>
              <w:t>1个有效容积</w:t>
            </w:r>
            <w:r>
              <w:rPr>
                <w:rFonts w:hint="eastAsia" w:ascii="Times New Roman" w:hAnsi="Times New Roman" w:cs="Times New Roman"/>
                <w:color w:val="000000" w:themeColor="text1"/>
                <w:sz w:val="24"/>
                <w:szCs w:val="24"/>
              </w:rPr>
              <w:t>为20</w:t>
            </w:r>
            <w:r>
              <w:rPr>
                <w:rFonts w:ascii="Times New Roman" w:hAnsi="Times New Roman" w:cs="Times New Roman"/>
                <w:color w:val="000000" w:themeColor="text1"/>
                <w:sz w:val="24"/>
                <w:szCs w:val="24"/>
              </w:rPr>
              <w:t>m³的应急池，对风险事故废水进行收集，以满足事故状态下收集泄漏物料、污染消防水、污染雨水和生活污水的需要。</w:t>
            </w:r>
          </w:p>
          <w:p>
            <w:pPr>
              <w:pStyle w:val="39"/>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该改建项目运营期环境风险主要为次氯酸钠储存过程中存在泄露的风险，建设单位严格采取本环评提出的风险防范措施，项目环境风险在可接受范围内。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w:t>
            </w:r>
            <w:r>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“三本帐”及“以新带老”措施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4.3.1 “三本帐”核算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根据本次环评对原有项目和扩建项目的分析，该改建项目“三本账”核算如下表所示。</w:t>
            </w:r>
          </w:p>
          <w:p>
            <w:pPr>
              <w:pStyle w:val="16"/>
              <w:spacing w:after="0"/>
              <w:ind w:left="0" w:leftChars="0"/>
              <w:jc w:val="center"/>
              <w:rPr>
                <w:b/>
                <w:color w:val="000000" w:themeColor="text1"/>
                <w:sz w:val="21"/>
                <w:szCs w:val="21"/>
              </w:rPr>
            </w:pPr>
            <w:r>
              <w:rPr>
                <w:b/>
                <w:color w:val="000000" w:themeColor="text1"/>
                <w:sz w:val="21"/>
                <w:szCs w:val="21"/>
              </w:rPr>
              <w:t>表4.3.1-1 扩建项目完成后“三本帐”核算表（t/a）</w:t>
            </w:r>
          </w:p>
          <w:tbl>
            <w:tblPr>
              <w:tblStyle w:val="20"/>
              <w:tblW w:w="8598" w:type="dxa"/>
              <w:jc w:val="center"/>
              <w:tblInd w:w="0" w:type="dxa"/>
              <w:tblLayout w:type="fixed"/>
              <w:tblCellMar>
                <w:top w:w="0" w:type="dxa"/>
                <w:left w:w="108" w:type="dxa"/>
                <w:bottom w:w="0" w:type="dxa"/>
                <w:right w:w="108" w:type="dxa"/>
              </w:tblCellMar>
            </w:tblPr>
            <w:tblGrid>
              <w:gridCol w:w="490"/>
              <w:gridCol w:w="526"/>
              <w:gridCol w:w="1095"/>
              <w:gridCol w:w="1001"/>
              <w:gridCol w:w="1022"/>
              <w:gridCol w:w="994"/>
              <w:gridCol w:w="992"/>
              <w:gridCol w:w="851"/>
              <w:gridCol w:w="850"/>
              <w:gridCol w:w="777"/>
            </w:tblGrid>
            <w:tr>
              <w:tblPrEx>
                <w:tblLayout w:type="fixed"/>
                <w:tblCellMar>
                  <w:top w:w="0" w:type="dxa"/>
                  <w:left w:w="108" w:type="dxa"/>
                  <w:bottom w:w="0" w:type="dxa"/>
                  <w:right w:w="108" w:type="dxa"/>
                </w:tblCellMar>
              </w:tblPrEx>
              <w:trPr>
                <w:trHeight w:val="300" w:hRule="atLeast"/>
                <w:jc w:val="center"/>
              </w:trPr>
              <w:tc>
                <w:tcPr>
                  <w:tcW w:w="49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分类</w:t>
                  </w:r>
                </w:p>
              </w:tc>
              <w:tc>
                <w:tcPr>
                  <w:tcW w:w="162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污染物</w:t>
                  </w:r>
                </w:p>
              </w:tc>
              <w:tc>
                <w:tcPr>
                  <w:tcW w:w="100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现有排放量</w:t>
                  </w:r>
                </w:p>
              </w:tc>
              <w:tc>
                <w:tcPr>
                  <w:tcW w:w="3008" w:type="dxa"/>
                  <w:gridSpan w:val="3"/>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本次建设项目</w:t>
                  </w:r>
                </w:p>
              </w:tc>
              <w:tc>
                <w:tcPr>
                  <w:tcW w:w="851"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r>
                    <w:rPr>
                      <w:color w:val="000000" w:themeColor="text1"/>
                      <w:szCs w:val="21"/>
                    </w:rPr>
                    <w:t>以新带老</w:t>
                  </w:r>
                  <w:r>
                    <w:rPr>
                      <w:color w:val="000000" w:themeColor="text1"/>
                      <w:szCs w:val="21"/>
                      <w:lang w:val="en-US"/>
                    </w:rPr>
                    <w:t>”</w:t>
                  </w:r>
                  <w:r>
                    <w:rPr>
                      <w:color w:val="000000" w:themeColor="text1"/>
                      <w:szCs w:val="21"/>
                    </w:rPr>
                    <w:t>消减量</w:t>
                  </w:r>
                </w:p>
              </w:tc>
              <w:tc>
                <w:tcPr>
                  <w:tcW w:w="85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总排放量</w:t>
                  </w:r>
                </w:p>
              </w:tc>
              <w:tc>
                <w:tcPr>
                  <w:tcW w:w="77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排放增减量</w:t>
                  </w:r>
                </w:p>
              </w:tc>
            </w:tr>
            <w:tr>
              <w:tblPrEx>
                <w:tblLayout w:type="fixed"/>
                <w:tblCellMar>
                  <w:top w:w="0" w:type="dxa"/>
                  <w:left w:w="108" w:type="dxa"/>
                  <w:bottom w:w="0" w:type="dxa"/>
                  <w:right w:w="108" w:type="dxa"/>
                </w:tblCellMar>
              </w:tblPrEx>
              <w:trPr>
                <w:trHeight w:val="588" w:hRule="atLeast"/>
                <w:jc w:val="center"/>
              </w:trPr>
              <w:tc>
                <w:tcPr>
                  <w:tcW w:w="490"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color w:val="000000" w:themeColor="text1"/>
                      <w:szCs w:val="21"/>
                      <w:lang w:val="en-US"/>
                    </w:rPr>
                  </w:pPr>
                </w:p>
              </w:tc>
              <w:tc>
                <w:tcPr>
                  <w:tcW w:w="1621" w:type="dxa"/>
                  <w:gridSpan w:val="2"/>
                  <w:vMerge w:val="continue"/>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color w:val="000000" w:themeColor="text1"/>
                      <w:szCs w:val="21"/>
                      <w:lang w:val="en-US"/>
                    </w:rPr>
                  </w:pPr>
                </w:p>
              </w:tc>
              <w:tc>
                <w:tcPr>
                  <w:tcW w:w="1001"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color w:val="000000" w:themeColor="text1"/>
                      <w:szCs w:val="21"/>
                      <w:lang w:val="en-US"/>
                    </w:rPr>
                  </w:pP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产生量</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自身削减量</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排放量</w:t>
                  </w:r>
                </w:p>
              </w:tc>
              <w:tc>
                <w:tcPr>
                  <w:tcW w:w="851" w:type="dxa"/>
                  <w:vMerge w:val="continue"/>
                  <w:tcBorders>
                    <w:top w:val="single" w:color="auto" w:sz="8" w:space="0"/>
                    <w:left w:val="single" w:color="auto" w:sz="8" w:space="0"/>
                    <w:bottom w:val="single" w:color="000000" w:sz="8" w:space="0"/>
                    <w:right w:val="single" w:color="auto" w:sz="4" w:space="0"/>
                  </w:tcBorders>
                  <w:vAlign w:val="center"/>
                </w:tcPr>
                <w:p>
                  <w:pPr>
                    <w:pStyle w:val="31"/>
                    <w:spacing w:line="360" w:lineRule="exact"/>
                    <w:rPr>
                      <w:color w:val="000000" w:themeColor="text1"/>
                      <w:szCs w:val="21"/>
                      <w:lang w:val="en-US"/>
                    </w:rPr>
                  </w:pPr>
                </w:p>
              </w:tc>
              <w:tc>
                <w:tcPr>
                  <w:tcW w:w="850" w:type="dxa"/>
                  <w:vMerge w:val="continue"/>
                  <w:tcBorders>
                    <w:top w:val="single" w:color="auto" w:sz="8" w:space="0"/>
                    <w:left w:val="single" w:color="auto" w:sz="4" w:space="0"/>
                    <w:bottom w:val="single" w:color="000000" w:sz="8" w:space="0"/>
                    <w:right w:val="single" w:color="auto" w:sz="8" w:space="0"/>
                  </w:tcBorders>
                  <w:vAlign w:val="center"/>
                </w:tcPr>
                <w:p>
                  <w:pPr>
                    <w:pStyle w:val="31"/>
                    <w:spacing w:line="360" w:lineRule="exact"/>
                    <w:rPr>
                      <w:color w:val="000000" w:themeColor="text1"/>
                      <w:szCs w:val="21"/>
                      <w:lang w:val="en-US"/>
                    </w:rPr>
                  </w:pPr>
                </w:p>
              </w:tc>
              <w:tc>
                <w:tcPr>
                  <w:tcW w:w="777"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color w:val="000000" w:themeColor="text1"/>
                      <w:szCs w:val="21"/>
                      <w:lang w:val="en-US"/>
                    </w:rPr>
                  </w:pPr>
                </w:p>
              </w:tc>
            </w:tr>
            <w:tr>
              <w:tblPrEx>
                <w:tblLayout w:type="fixed"/>
                <w:tblCellMar>
                  <w:top w:w="0" w:type="dxa"/>
                  <w:left w:w="108" w:type="dxa"/>
                  <w:bottom w:w="0" w:type="dxa"/>
                  <w:right w:w="108" w:type="dxa"/>
                </w:tblCellMar>
              </w:tblPrEx>
              <w:trPr>
                <w:trHeight w:val="300" w:hRule="atLeast"/>
                <w:jc w:val="center"/>
              </w:trPr>
              <w:tc>
                <w:tcPr>
                  <w:tcW w:w="490" w:type="dxa"/>
                  <w:vMerge w:val="restart"/>
                  <w:tcBorders>
                    <w:top w:val="nil"/>
                    <w:left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废气</w:t>
                  </w:r>
                </w:p>
              </w:tc>
              <w:tc>
                <w:tcPr>
                  <w:tcW w:w="526" w:type="dxa"/>
                  <w:vMerge w:val="restart"/>
                  <w:tcBorders>
                    <w:top w:val="single" w:color="auto" w:sz="8" w:space="0"/>
                    <w:left w:val="nil"/>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rPr>
                    <w:t>恶臭</w:t>
                  </w: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氨</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0.16mg/m³</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15-30mg/m³</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0.16mg/m³</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0.16mg/m³</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nil"/>
                    <w:right w:val="single" w:color="auto" w:sz="4" w:space="0"/>
                  </w:tcBorders>
                  <w:shd w:val="clear" w:color="auto" w:fill="auto"/>
                  <w:vAlign w:val="center"/>
                </w:tcPr>
                <w:p>
                  <w:pPr>
                    <w:pStyle w:val="31"/>
                    <w:spacing w:line="360" w:lineRule="exact"/>
                    <w:rPr>
                      <w:color w:val="000000" w:themeColor="text1"/>
                      <w:szCs w:val="21"/>
                      <w:lang w:val="en-US"/>
                    </w:rPr>
                  </w:pP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硫化氢</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0.015mg/m³</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1.0-8.0mg/m³</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0.015mg/m³</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0.015mg/m³</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臭气浓度</w:t>
                  </w:r>
                  <w:r>
                    <w:rPr>
                      <w:color w:val="000000" w:themeColor="text1"/>
                      <w:szCs w:val="21"/>
                      <w:lang w:val="en-US"/>
                    </w:rPr>
                    <w:t>（</w:t>
                  </w:r>
                  <w:r>
                    <w:rPr>
                      <w:color w:val="000000" w:themeColor="text1"/>
                      <w:szCs w:val="21"/>
                    </w:rPr>
                    <w:t>无量纲</w:t>
                  </w:r>
                  <w:r>
                    <w:rPr>
                      <w:color w:val="000000" w:themeColor="text1"/>
                      <w:szCs w:val="21"/>
                      <w:lang w:val="en-US"/>
                    </w:rPr>
                    <w:t>）</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14.33</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14.33</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14.33</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restart"/>
                  <w:tcBorders>
                    <w:top w:val="single" w:color="auto" w:sz="8" w:space="0"/>
                    <w:left w:val="nil"/>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rPr>
                    <w:t>锅炉废气</w:t>
                  </w: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烟尘</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0.0054</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-0.0054</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nil"/>
                    <w:right w:val="single" w:color="auto" w:sz="4" w:space="0"/>
                  </w:tcBorders>
                  <w:shd w:val="clear" w:color="auto" w:fill="auto"/>
                  <w:vAlign w:val="center"/>
                </w:tcPr>
                <w:p>
                  <w:pPr>
                    <w:pStyle w:val="31"/>
                    <w:spacing w:line="360" w:lineRule="exact"/>
                    <w:rPr>
                      <w:color w:val="000000" w:themeColor="text1"/>
                      <w:szCs w:val="21"/>
                      <w:lang w:val="en-US"/>
                    </w:rPr>
                  </w:pP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SO</w:t>
                  </w:r>
                  <w:r>
                    <w:rPr>
                      <w:color w:val="000000" w:themeColor="text1"/>
                      <w:szCs w:val="21"/>
                      <w:vertAlign w:val="subscript"/>
                      <w:lang w:val="en-US"/>
                    </w:rPr>
                    <w:t>2</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0.00864</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-0.00864</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NOx</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0.00386</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-0.00386</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bottom w:val="single" w:color="000000" w:sz="8" w:space="0"/>
                    <w:right w:val="single" w:color="auto" w:sz="8" w:space="0"/>
                  </w:tcBorders>
                  <w:vAlign w:val="center"/>
                </w:tcPr>
                <w:p>
                  <w:pPr>
                    <w:pStyle w:val="31"/>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厨房油烟</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0.025mg/m³</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-0.025mg/m³</w:t>
                  </w:r>
                </w:p>
              </w:tc>
            </w:tr>
            <w:tr>
              <w:tblPrEx>
                <w:tblLayout w:type="fixed"/>
                <w:tblCellMar>
                  <w:top w:w="0" w:type="dxa"/>
                  <w:left w:w="108" w:type="dxa"/>
                  <w:bottom w:w="0" w:type="dxa"/>
                  <w:right w:w="108" w:type="dxa"/>
                </w:tblCellMar>
              </w:tblPrEx>
              <w:trPr>
                <w:trHeight w:val="300" w:hRule="atLeast"/>
                <w:jc w:val="center"/>
              </w:trPr>
              <w:tc>
                <w:tcPr>
                  <w:tcW w:w="490" w:type="dxa"/>
                  <w:vMerge w:val="restart"/>
                  <w:tcBorders>
                    <w:top w:val="single" w:color="auto" w:sz="4" w:space="0"/>
                    <w:left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废水</w:t>
                  </w:r>
                </w:p>
              </w:tc>
              <w:tc>
                <w:tcPr>
                  <w:tcW w:w="526" w:type="dxa"/>
                  <w:vMerge w:val="restart"/>
                  <w:tcBorders>
                    <w:top w:val="single" w:color="auto" w:sz="8" w:space="0"/>
                    <w:left w:val="nil"/>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rPr>
                    <w:t>综合废水</w:t>
                  </w: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废水量</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49777.6m³/a</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49777.6m³/a</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49777.6m³/a</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49777.6m³/a</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-49777.6m³/a</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pH</w:t>
                  </w:r>
                </w:p>
              </w:tc>
              <w:tc>
                <w:tcPr>
                  <w:tcW w:w="1001" w:type="dxa"/>
                  <w:tcBorders>
                    <w:top w:val="nil"/>
                    <w:left w:val="nil"/>
                    <w:bottom w:val="single" w:color="auto" w:sz="8" w:space="0"/>
                    <w:right w:val="single" w:color="auto" w:sz="8" w:space="0"/>
                  </w:tcBorders>
                  <w:shd w:val="clear" w:color="auto" w:fill="auto"/>
                  <w:vAlign w:val="bottom"/>
                </w:tcPr>
                <w:p>
                  <w:pPr>
                    <w:pStyle w:val="31"/>
                    <w:spacing w:line="360" w:lineRule="exact"/>
                    <w:rPr>
                      <w:color w:val="000000" w:themeColor="text1"/>
                      <w:szCs w:val="21"/>
                      <w:lang w:val="en-US"/>
                    </w:rPr>
                  </w:pPr>
                  <w:r>
                    <w:rPr>
                      <w:color w:val="000000" w:themeColor="text1"/>
                      <w:szCs w:val="21"/>
                      <w:lang w:val="en-US"/>
                    </w:rPr>
                    <w:t>--</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bottom"/>
                </w:tcPr>
                <w:p>
                  <w:pPr>
                    <w:pStyle w:val="31"/>
                    <w:spacing w:line="360" w:lineRule="exact"/>
                    <w:rPr>
                      <w:color w:val="000000" w:themeColor="text1"/>
                      <w:szCs w:val="21"/>
                      <w:lang w:val="en-US"/>
                    </w:rPr>
                  </w:pPr>
                  <w:r>
                    <w:rPr>
                      <w:color w:val="000000" w:themeColor="text1"/>
                      <w:szCs w:val="21"/>
                      <w:lang w:val="en-US"/>
                    </w:rPr>
                    <w:t>--</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CODcr</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4.28</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107.97</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107.97</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107.97</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-4.28</w:t>
                  </w:r>
                </w:p>
              </w:tc>
            </w:tr>
            <w:tr>
              <w:tblPrEx>
                <w:tblLayout w:type="fixed"/>
                <w:tblCellMar>
                  <w:top w:w="0" w:type="dxa"/>
                  <w:left w:w="108" w:type="dxa"/>
                  <w:bottom w:w="0" w:type="dxa"/>
                  <w:right w:w="108" w:type="dxa"/>
                </w:tblCellMar>
              </w:tblPrEx>
              <w:trPr>
                <w:trHeight w:val="336"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BOD</w:t>
                  </w:r>
                  <w:r>
                    <w:rPr>
                      <w:color w:val="000000" w:themeColor="text1"/>
                      <w:szCs w:val="21"/>
                      <w:vertAlign w:val="subscript"/>
                      <w:lang w:val="en-US"/>
                    </w:rPr>
                    <w:t>5</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2.24</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78.53</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78.53</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78.53</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-2.24</w:t>
                  </w:r>
                </w:p>
              </w:tc>
            </w:tr>
            <w:tr>
              <w:tblPrEx>
                <w:tblLayout w:type="fixed"/>
                <w:tblCellMar>
                  <w:top w:w="0" w:type="dxa"/>
                  <w:left w:w="108" w:type="dxa"/>
                  <w:bottom w:w="0" w:type="dxa"/>
                  <w:right w:w="108" w:type="dxa"/>
                </w:tblCellMar>
              </w:tblPrEx>
              <w:trPr>
                <w:trHeight w:val="336"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NH</w:t>
                  </w:r>
                  <w:r>
                    <w:rPr>
                      <w:color w:val="000000" w:themeColor="text1"/>
                      <w:szCs w:val="21"/>
                      <w:vertAlign w:val="subscript"/>
                      <w:lang w:val="en-US"/>
                    </w:rPr>
                    <w:t>3</w:t>
                  </w:r>
                  <w:r>
                    <w:rPr>
                      <w:color w:val="000000" w:themeColor="text1"/>
                      <w:szCs w:val="21"/>
                      <w:lang w:val="en-US"/>
                    </w:rPr>
                    <w:t>-N</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0.04</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29.48</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29.48</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29.48</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-0.04</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SS</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1.10</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58.94</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58.94</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58.94</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-1.10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总磷</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0.54</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3.65</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3.65</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3.65</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-0.54</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总氮</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0.59</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4.00</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4.00</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4.00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-0.59</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动植物油</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0.23</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1.54</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1.54</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1.54</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-0.23</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阴离子表面活性剂</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0.15</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0.46</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0.46</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0.46</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-0.15</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1"/>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1"/>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粪大肠菌群数</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w:t>
                  </w:r>
                </w:p>
              </w:tc>
            </w:tr>
            <w:tr>
              <w:tblPrEx>
                <w:tblLayout w:type="fixed"/>
                <w:tblCellMar>
                  <w:top w:w="0" w:type="dxa"/>
                  <w:left w:w="108" w:type="dxa"/>
                  <w:bottom w:w="0" w:type="dxa"/>
                  <w:right w:w="108" w:type="dxa"/>
                </w:tblCellMar>
              </w:tblPrEx>
              <w:trPr>
                <w:trHeight w:val="300" w:hRule="atLeast"/>
                <w:jc w:val="center"/>
              </w:trPr>
              <w:tc>
                <w:tcPr>
                  <w:tcW w:w="490" w:type="dxa"/>
                  <w:vMerge w:val="restart"/>
                  <w:tcBorders>
                    <w:top w:val="nil"/>
                    <w:left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固废</w:t>
                  </w: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格渣及污水处理污泥</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364.7</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364.7</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猪毛</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21</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21</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生活垃圾</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9</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9</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病死猪</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10-20</w:t>
                  </w:r>
                  <w:r>
                    <w:rPr>
                      <w:color w:val="000000" w:themeColor="text1"/>
                      <w:szCs w:val="21"/>
                    </w:rPr>
                    <w:t>头</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10-20</w:t>
                  </w:r>
                  <w:r>
                    <w:rPr>
                      <w:color w:val="000000" w:themeColor="text1"/>
                      <w:szCs w:val="21"/>
                    </w:rPr>
                    <w:t>头</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沼气池残渣</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150kg/a</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150kg/a</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bottom w:val="single" w:color="auto" w:sz="4" w:space="0"/>
                    <w:right w:val="single" w:color="auto" w:sz="8" w:space="0"/>
                  </w:tcBorders>
                  <w:shd w:val="clear" w:color="auto" w:fill="auto"/>
                  <w:vAlign w:val="center"/>
                </w:tcPr>
                <w:p>
                  <w:pPr>
                    <w:pStyle w:val="31"/>
                    <w:spacing w:line="360" w:lineRule="exact"/>
                    <w:rPr>
                      <w:color w:val="000000" w:themeColor="text1"/>
                      <w:szCs w:val="21"/>
                      <w:lang w:val="en-US"/>
                    </w:rPr>
                  </w:pPr>
                </w:p>
              </w:tc>
              <w:tc>
                <w:tcPr>
                  <w:tcW w:w="1621" w:type="dxa"/>
                  <w:gridSpan w:val="2"/>
                  <w:tcBorders>
                    <w:top w:val="single" w:color="auto" w:sz="8" w:space="0"/>
                    <w:left w:val="nil"/>
                    <w:bottom w:val="single" w:color="auto" w:sz="4" w:space="0"/>
                    <w:right w:val="single" w:color="000000" w:sz="8" w:space="0"/>
                  </w:tcBorders>
                  <w:shd w:val="clear" w:color="auto" w:fill="auto"/>
                  <w:vAlign w:val="center"/>
                </w:tcPr>
                <w:p>
                  <w:pPr>
                    <w:pStyle w:val="31"/>
                    <w:spacing w:line="360" w:lineRule="exact"/>
                    <w:rPr>
                      <w:color w:val="000000" w:themeColor="text1"/>
                      <w:szCs w:val="21"/>
                      <w:lang w:val="en-US"/>
                    </w:rPr>
                  </w:pPr>
                  <w:r>
                    <w:rPr>
                      <w:color w:val="000000" w:themeColor="text1"/>
                      <w:szCs w:val="21"/>
                    </w:rPr>
                    <w:t>医疗废物</w:t>
                  </w:r>
                </w:p>
              </w:tc>
              <w:tc>
                <w:tcPr>
                  <w:tcW w:w="1001"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0.2</w:t>
                  </w:r>
                </w:p>
              </w:tc>
              <w:tc>
                <w:tcPr>
                  <w:tcW w:w="994"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0.2</w:t>
                  </w:r>
                </w:p>
              </w:tc>
              <w:tc>
                <w:tcPr>
                  <w:tcW w:w="992"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1"/>
                    <w:spacing w:line="360" w:lineRule="exact"/>
                    <w:rPr>
                      <w:color w:val="000000" w:themeColor="text1"/>
                      <w:szCs w:val="21"/>
                      <w:lang w:val="en-US"/>
                    </w:rPr>
                  </w:pPr>
                  <w:r>
                    <w:rPr>
                      <w:color w:val="000000" w:themeColor="text1"/>
                      <w:szCs w:val="21"/>
                      <w:lang w:val="en-US"/>
                    </w:rPr>
                    <w:t>0</w:t>
                  </w:r>
                </w:p>
              </w:tc>
            </w:tr>
          </w:tbl>
          <w:p>
            <w:pPr>
              <w:pStyle w:val="39"/>
              <w:spacing w:beforeLines="50"/>
              <w:ind w:firstLine="482"/>
              <w:rPr>
                <w:b/>
                <w:color w:val="000000" w:themeColor="text1"/>
                <w:szCs w:val="21"/>
              </w:rPr>
            </w:pPr>
            <w:r>
              <w:rPr>
                <w:rFonts w:eastAsiaTheme="minorEastAsia"/>
                <w:b/>
                <w:color w:val="000000" w:themeColor="text1"/>
                <w:szCs w:val="24"/>
              </w:rPr>
              <w:t>4.3.2 “以新带老”措施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根据项目的特点，原有项目各环保手续齐全，污染物达标排放。原有项目部分已拆除。因此本环评不再提出“以新带老”措施。</w:t>
            </w:r>
          </w:p>
          <w:p>
            <w:pPr>
              <w:spacing w:line="360" w:lineRule="auto"/>
              <w:ind w:firstLine="482" w:firstLineChars="200"/>
              <w:rPr>
                <w:rFonts w:ascii="Times New Roman" w:hAnsi="Times New Roman" w:cs="Times New Roman"/>
                <w:b/>
                <w:color w:val="000000" w:themeColor="text1"/>
                <w:sz w:val="24"/>
                <w:szCs w:val="24"/>
              </w:rPr>
            </w:pPr>
            <w:bookmarkStart w:id="4" w:name="_Toc72228649"/>
            <w:r>
              <w:rPr>
                <w:rFonts w:ascii="Times New Roman" w:hAnsi="Times New Roman" w:cs="Times New Roman"/>
                <w:b/>
                <w:color w:val="000000" w:themeColor="text1"/>
                <w:sz w:val="24"/>
                <w:szCs w:val="24"/>
              </w:rPr>
              <w:t>4.4 环保投资估算</w:t>
            </w:r>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550万元，其中基建环保投资为156.6万元，占总投资的28.473%。年环保投资运行费用约为18万元，由于该改建项目不进行土建等工程，其施工期主要采取管理措施，因此不再进行投资估算，项目重点对运行期进行投资估算。项目拟采取措施的具体内容、责任主体、实施时段及环境保护投入资金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表4.4-1  项目环保投资一览表 单位：万元</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597"/>
              <w:gridCol w:w="673"/>
              <w:gridCol w:w="1422"/>
              <w:gridCol w:w="2410"/>
              <w:gridCol w:w="850"/>
              <w:gridCol w:w="711"/>
              <w:gridCol w:w="78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restart"/>
                  <w:vAlign w:val="center"/>
                </w:tcPr>
                <w:p>
                  <w:pPr>
                    <w:pStyle w:val="31"/>
                    <w:spacing w:line="360" w:lineRule="exact"/>
                    <w:rPr>
                      <w:color w:val="000000" w:themeColor="text1"/>
                      <w:szCs w:val="21"/>
                    </w:rPr>
                  </w:pPr>
                  <w:r>
                    <w:rPr>
                      <w:color w:val="000000" w:themeColor="text1"/>
                      <w:szCs w:val="21"/>
                    </w:rPr>
                    <w:t>时期</w:t>
                  </w:r>
                </w:p>
              </w:tc>
              <w:tc>
                <w:tcPr>
                  <w:tcW w:w="1270" w:type="dxa"/>
                  <w:gridSpan w:val="2"/>
                  <w:vMerge w:val="restart"/>
                  <w:vAlign w:val="center"/>
                </w:tcPr>
                <w:p>
                  <w:pPr>
                    <w:pStyle w:val="31"/>
                    <w:spacing w:line="360" w:lineRule="exact"/>
                    <w:rPr>
                      <w:color w:val="000000" w:themeColor="text1"/>
                      <w:szCs w:val="21"/>
                    </w:rPr>
                  </w:pPr>
                  <w:r>
                    <w:rPr>
                      <w:color w:val="000000" w:themeColor="text1"/>
                      <w:szCs w:val="21"/>
                    </w:rPr>
                    <w:t>类型</w:t>
                  </w:r>
                </w:p>
              </w:tc>
              <w:tc>
                <w:tcPr>
                  <w:tcW w:w="3832" w:type="dxa"/>
                  <w:gridSpan w:val="2"/>
                  <w:vAlign w:val="center"/>
                </w:tcPr>
                <w:p>
                  <w:pPr>
                    <w:pStyle w:val="31"/>
                    <w:spacing w:line="360" w:lineRule="exact"/>
                    <w:rPr>
                      <w:color w:val="000000" w:themeColor="text1"/>
                      <w:szCs w:val="21"/>
                    </w:rPr>
                  </w:pPr>
                  <w:r>
                    <w:rPr>
                      <w:color w:val="000000" w:themeColor="text1"/>
                      <w:szCs w:val="21"/>
                    </w:rPr>
                    <w:t>环保措施</w:t>
                  </w:r>
                </w:p>
              </w:tc>
              <w:tc>
                <w:tcPr>
                  <w:tcW w:w="1561" w:type="dxa"/>
                  <w:gridSpan w:val="2"/>
                  <w:vAlign w:val="center"/>
                </w:tcPr>
                <w:p>
                  <w:pPr>
                    <w:pStyle w:val="31"/>
                    <w:spacing w:line="360" w:lineRule="exact"/>
                    <w:rPr>
                      <w:color w:val="000000" w:themeColor="text1"/>
                      <w:szCs w:val="21"/>
                    </w:rPr>
                  </w:pPr>
                  <w:r>
                    <w:rPr>
                      <w:color w:val="000000" w:themeColor="text1"/>
                      <w:szCs w:val="21"/>
                    </w:rPr>
                    <w:t>建设期资金投入（万元）</w:t>
                  </w:r>
                </w:p>
              </w:tc>
              <w:tc>
                <w:tcPr>
                  <w:tcW w:w="1490" w:type="dxa"/>
                  <w:gridSpan w:val="2"/>
                  <w:vAlign w:val="center"/>
                </w:tcPr>
                <w:p>
                  <w:pPr>
                    <w:pStyle w:val="31"/>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1270" w:type="dxa"/>
                  <w:gridSpan w:val="2"/>
                  <w:vMerge w:val="continue"/>
                  <w:vAlign w:val="center"/>
                </w:tcPr>
                <w:p>
                  <w:pPr>
                    <w:pStyle w:val="31"/>
                    <w:spacing w:line="360" w:lineRule="exact"/>
                    <w:rPr>
                      <w:color w:val="000000" w:themeColor="text1"/>
                      <w:szCs w:val="21"/>
                    </w:rPr>
                  </w:pPr>
                </w:p>
              </w:tc>
              <w:tc>
                <w:tcPr>
                  <w:tcW w:w="1422" w:type="dxa"/>
                  <w:vAlign w:val="center"/>
                </w:tcPr>
                <w:p>
                  <w:pPr>
                    <w:pStyle w:val="31"/>
                    <w:spacing w:line="360" w:lineRule="exact"/>
                    <w:rPr>
                      <w:color w:val="000000" w:themeColor="text1"/>
                      <w:szCs w:val="21"/>
                    </w:rPr>
                  </w:pPr>
                  <w:r>
                    <w:rPr>
                      <w:color w:val="000000" w:themeColor="text1"/>
                      <w:szCs w:val="21"/>
                    </w:rPr>
                    <w:t>环保项目</w:t>
                  </w:r>
                </w:p>
              </w:tc>
              <w:tc>
                <w:tcPr>
                  <w:tcW w:w="2410" w:type="dxa"/>
                  <w:vAlign w:val="center"/>
                </w:tcPr>
                <w:p>
                  <w:pPr>
                    <w:pStyle w:val="31"/>
                    <w:spacing w:line="360" w:lineRule="exact"/>
                    <w:rPr>
                      <w:color w:val="000000" w:themeColor="text1"/>
                      <w:szCs w:val="21"/>
                    </w:rPr>
                  </w:pPr>
                  <w:r>
                    <w:rPr>
                      <w:color w:val="000000" w:themeColor="text1"/>
                      <w:szCs w:val="21"/>
                    </w:rPr>
                    <w:t>数量</w:t>
                  </w:r>
                </w:p>
              </w:tc>
              <w:tc>
                <w:tcPr>
                  <w:tcW w:w="850" w:type="dxa"/>
                  <w:vAlign w:val="center"/>
                </w:tcPr>
                <w:p>
                  <w:pPr>
                    <w:pStyle w:val="31"/>
                    <w:spacing w:line="360" w:lineRule="exact"/>
                    <w:rPr>
                      <w:color w:val="000000" w:themeColor="text1"/>
                      <w:szCs w:val="21"/>
                    </w:rPr>
                  </w:pPr>
                  <w:r>
                    <w:rPr>
                      <w:color w:val="000000" w:themeColor="text1"/>
                      <w:szCs w:val="21"/>
                    </w:rPr>
                    <w:t>建设费用</w:t>
                  </w:r>
                </w:p>
              </w:tc>
              <w:tc>
                <w:tcPr>
                  <w:tcW w:w="711" w:type="dxa"/>
                  <w:vAlign w:val="center"/>
                </w:tcPr>
                <w:p>
                  <w:pPr>
                    <w:pStyle w:val="31"/>
                    <w:spacing w:line="360" w:lineRule="exact"/>
                    <w:rPr>
                      <w:color w:val="000000" w:themeColor="text1"/>
                      <w:szCs w:val="21"/>
                    </w:rPr>
                  </w:pPr>
                  <w:r>
                    <w:rPr>
                      <w:color w:val="000000" w:themeColor="text1"/>
                      <w:szCs w:val="21"/>
                    </w:rPr>
                    <w:t>责任主体</w:t>
                  </w:r>
                </w:p>
              </w:tc>
              <w:tc>
                <w:tcPr>
                  <w:tcW w:w="782" w:type="dxa"/>
                  <w:vAlign w:val="center"/>
                </w:tcPr>
                <w:p>
                  <w:pPr>
                    <w:pStyle w:val="31"/>
                    <w:spacing w:line="360" w:lineRule="exact"/>
                    <w:rPr>
                      <w:color w:val="000000" w:themeColor="text1"/>
                      <w:szCs w:val="21"/>
                    </w:rPr>
                  </w:pPr>
                  <w:r>
                    <w:rPr>
                      <w:color w:val="000000" w:themeColor="text1"/>
                      <w:szCs w:val="21"/>
                    </w:rPr>
                    <w:t>运行维护费用</w:t>
                  </w:r>
                </w:p>
              </w:tc>
              <w:tc>
                <w:tcPr>
                  <w:tcW w:w="708" w:type="dxa"/>
                  <w:vAlign w:val="center"/>
                </w:tcPr>
                <w:p>
                  <w:pPr>
                    <w:pStyle w:val="31"/>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restart"/>
                  <w:vAlign w:val="center"/>
                </w:tcPr>
                <w:p>
                  <w:pPr>
                    <w:pStyle w:val="31"/>
                    <w:spacing w:line="360" w:lineRule="exact"/>
                    <w:rPr>
                      <w:color w:val="000000" w:themeColor="text1"/>
                      <w:szCs w:val="21"/>
                    </w:rPr>
                  </w:pPr>
                  <w:r>
                    <w:rPr>
                      <w:color w:val="000000" w:themeColor="text1"/>
                      <w:szCs w:val="21"/>
                    </w:rPr>
                    <w:t>运营期污染源</w:t>
                  </w:r>
                </w:p>
              </w:tc>
              <w:tc>
                <w:tcPr>
                  <w:tcW w:w="597" w:type="dxa"/>
                  <w:vMerge w:val="restart"/>
                  <w:vAlign w:val="center"/>
                </w:tcPr>
                <w:p>
                  <w:pPr>
                    <w:pStyle w:val="31"/>
                    <w:spacing w:line="360" w:lineRule="exact"/>
                    <w:rPr>
                      <w:color w:val="000000" w:themeColor="text1"/>
                      <w:szCs w:val="21"/>
                    </w:rPr>
                  </w:pPr>
                  <w:r>
                    <w:rPr>
                      <w:color w:val="000000" w:themeColor="text1"/>
                      <w:szCs w:val="21"/>
                    </w:rPr>
                    <w:t>废水</w:t>
                  </w:r>
                </w:p>
              </w:tc>
              <w:tc>
                <w:tcPr>
                  <w:tcW w:w="2095"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雨污分流</w:t>
                  </w:r>
                </w:p>
              </w:tc>
              <w:tc>
                <w:tcPr>
                  <w:tcW w:w="2410" w:type="dxa"/>
                  <w:vAlign w:val="center"/>
                </w:tcPr>
                <w:p>
                  <w:pPr>
                    <w:pStyle w:val="31"/>
                    <w:spacing w:line="360" w:lineRule="exact"/>
                    <w:ind w:firstLine="210" w:firstLineChars="100"/>
                    <w:jc w:val="left"/>
                    <w:rPr>
                      <w:color w:val="000000" w:themeColor="text1"/>
                      <w:szCs w:val="21"/>
                    </w:rPr>
                  </w:pPr>
                  <w:r>
                    <w:rPr>
                      <w:color w:val="000000" w:themeColor="text1"/>
                      <w:szCs w:val="21"/>
                    </w:rPr>
                    <w:t>雨水管网</w:t>
                  </w:r>
                </w:p>
              </w:tc>
              <w:tc>
                <w:tcPr>
                  <w:tcW w:w="850" w:type="dxa"/>
                  <w:vAlign w:val="center"/>
                </w:tcPr>
                <w:p>
                  <w:pPr>
                    <w:pStyle w:val="31"/>
                    <w:spacing w:line="360" w:lineRule="exact"/>
                    <w:rPr>
                      <w:color w:val="000000" w:themeColor="text1"/>
                      <w:szCs w:val="21"/>
                    </w:rPr>
                  </w:pPr>
                  <w:r>
                    <w:rPr>
                      <w:color w:val="000000" w:themeColor="text1"/>
                      <w:szCs w:val="21"/>
                    </w:rPr>
                    <w:t>--</w:t>
                  </w:r>
                </w:p>
              </w:tc>
              <w:tc>
                <w:tcPr>
                  <w:tcW w:w="711" w:type="dxa"/>
                  <w:vMerge w:val="restart"/>
                  <w:vAlign w:val="center"/>
                </w:tcPr>
                <w:p>
                  <w:pPr>
                    <w:pStyle w:val="31"/>
                    <w:spacing w:line="360" w:lineRule="exact"/>
                    <w:rPr>
                      <w:color w:val="000000" w:themeColor="text1"/>
                      <w:szCs w:val="21"/>
                    </w:rPr>
                  </w:pPr>
                  <w:r>
                    <w:rPr>
                      <w:color w:val="000000" w:themeColor="text1"/>
                      <w:szCs w:val="21"/>
                    </w:rPr>
                    <w:t>施工单位</w:t>
                  </w:r>
                </w:p>
              </w:tc>
              <w:tc>
                <w:tcPr>
                  <w:tcW w:w="782" w:type="dxa"/>
                  <w:vAlign w:val="center"/>
                </w:tcPr>
                <w:p>
                  <w:pPr>
                    <w:pStyle w:val="31"/>
                    <w:spacing w:line="360" w:lineRule="exact"/>
                    <w:rPr>
                      <w:color w:val="000000" w:themeColor="text1"/>
                      <w:szCs w:val="21"/>
                    </w:rPr>
                  </w:pPr>
                  <w:r>
                    <w:rPr>
                      <w:color w:val="000000" w:themeColor="text1"/>
                      <w:szCs w:val="21"/>
                    </w:rPr>
                    <w:t>--</w:t>
                  </w:r>
                </w:p>
              </w:tc>
              <w:tc>
                <w:tcPr>
                  <w:tcW w:w="708" w:type="dxa"/>
                  <w:vMerge w:val="restart"/>
                  <w:vAlign w:val="center"/>
                </w:tcPr>
                <w:p>
                  <w:pPr>
                    <w:jc w:val="left"/>
                    <w:rPr>
                      <w:color w:val="000000" w:themeColor="text1"/>
                    </w:rPr>
                  </w:pPr>
                  <w:r>
                    <w:rPr>
                      <w:color w:val="000000" w:themeColor="text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Merge w:val="continue"/>
                  <w:vAlign w:val="center"/>
                </w:tcPr>
                <w:p>
                  <w:pPr>
                    <w:pStyle w:val="31"/>
                    <w:spacing w:line="360" w:lineRule="exact"/>
                    <w:rPr>
                      <w:color w:val="000000" w:themeColor="text1"/>
                      <w:szCs w:val="21"/>
                    </w:rPr>
                  </w:pPr>
                </w:p>
              </w:tc>
              <w:tc>
                <w:tcPr>
                  <w:tcW w:w="673" w:type="dxa"/>
                  <w:vAlign w:val="center"/>
                </w:tcPr>
                <w:p>
                  <w:pPr>
                    <w:pStyle w:val="31"/>
                    <w:spacing w:line="360" w:lineRule="exact"/>
                    <w:rPr>
                      <w:color w:val="000000" w:themeColor="text1"/>
                      <w:szCs w:val="21"/>
                    </w:rPr>
                  </w:pPr>
                  <w:r>
                    <w:rPr>
                      <w:color w:val="000000" w:themeColor="text1"/>
                      <w:szCs w:val="21"/>
                    </w:rPr>
                    <w:t>初期雨水</w:t>
                  </w:r>
                </w:p>
              </w:tc>
              <w:tc>
                <w:tcPr>
                  <w:tcW w:w="1422" w:type="dxa"/>
                  <w:vAlign w:val="center"/>
                </w:tcPr>
                <w:p>
                  <w:pPr>
                    <w:pStyle w:val="31"/>
                    <w:spacing w:line="360" w:lineRule="exact"/>
                    <w:rPr>
                      <w:color w:val="000000" w:themeColor="text1"/>
                      <w:szCs w:val="21"/>
                    </w:rPr>
                  </w:pPr>
                  <w:r>
                    <w:rPr>
                      <w:color w:val="000000" w:themeColor="text1"/>
                      <w:szCs w:val="21"/>
                    </w:rPr>
                    <w:t>初期雨水收集池</w:t>
                  </w:r>
                </w:p>
              </w:tc>
              <w:tc>
                <w:tcPr>
                  <w:tcW w:w="2410" w:type="dxa"/>
                  <w:vAlign w:val="center"/>
                </w:tcPr>
                <w:p>
                  <w:pPr>
                    <w:pStyle w:val="31"/>
                    <w:spacing w:line="360" w:lineRule="exact"/>
                    <w:ind w:firstLine="210" w:firstLineChars="100"/>
                    <w:jc w:val="left"/>
                    <w:rPr>
                      <w:color w:val="000000" w:themeColor="text1"/>
                      <w:szCs w:val="21"/>
                    </w:rPr>
                  </w:pPr>
                  <w:r>
                    <w:rPr>
                      <w:color w:val="000000" w:themeColor="text1"/>
                      <w:szCs w:val="21"/>
                    </w:rPr>
                    <w:t>1个1</w:t>
                  </w:r>
                  <w:r>
                    <w:rPr>
                      <w:rFonts w:hint="eastAsia"/>
                      <w:color w:val="000000" w:themeColor="text1"/>
                      <w:szCs w:val="21"/>
                    </w:rPr>
                    <w:t>6</w:t>
                  </w:r>
                  <w:r>
                    <w:rPr>
                      <w:color w:val="000000" w:themeColor="text1"/>
                      <w:szCs w:val="21"/>
                    </w:rPr>
                    <w:t>0m³</w:t>
                  </w:r>
                </w:p>
              </w:tc>
              <w:tc>
                <w:tcPr>
                  <w:tcW w:w="850" w:type="dxa"/>
                  <w:vAlign w:val="center"/>
                </w:tcPr>
                <w:p>
                  <w:pPr>
                    <w:pStyle w:val="31"/>
                    <w:spacing w:line="360" w:lineRule="exact"/>
                    <w:rPr>
                      <w:color w:val="000000" w:themeColor="text1"/>
                      <w:szCs w:val="21"/>
                    </w:rPr>
                  </w:pPr>
                  <w:r>
                    <w:rPr>
                      <w:rFonts w:hint="eastAsia"/>
                      <w:color w:val="000000" w:themeColor="text1"/>
                      <w:szCs w:val="21"/>
                    </w:rPr>
                    <w:t>12</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0</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Merge w:val="continue"/>
                  <w:vAlign w:val="center"/>
                </w:tcPr>
                <w:p>
                  <w:pPr>
                    <w:pStyle w:val="31"/>
                    <w:spacing w:line="360" w:lineRule="exact"/>
                    <w:rPr>
                      <w:color w:val="000000" w:themeColor="text1"/>
                      <w:szCs w:val="21"/>
                    </w:rPr>
                  </w:pPr>
                </w:p>
              </w:tc>
              <w:tc>
                <w:tcPr>
                  <w:tcW w:w="673" w:type="dxa"/>
                  <w:vMerge w:val="restart"/>
                  <w:vAlign w:val="center"/>
                </w:tcPr>
                <w:p>
                  <w:pPr>
                    <w:pStyle w:val="31"/>
                    <w:spacing w:line="360" w:lineRule="exact"/>
                    <w:rPr>
                      <w:color w:val="000000" w:themeColor="text1"/>
                      <w:szCs w:val="21"/>
                    </w:rPr>
                  </w:pPr>
                  <w:r>
                    <w:rPr>
                      <w:color w:val="000000" w:themeColor="text1"/>
                      <w:szCs w:val="21"/>
                    </w:rPr>
                    <w:t>生活污水</w:t>
                  </w:r>
                </w:p>
              </w:tc>
              <w:tc>
                <w:tcPr>
                  <w:tcW w:w="1422" w:type="dxa"/>
                  <w:vAlign w:val="center"/>
                </w:tcPr>
                <w:p>
                  <w:pPr>
                    <w:pStyle w:val="31"/>
                    <w:spacing w:line="360" w:lineRule="exact"/>
                    <w:rPr>
                      <w:color w:val="000000" w:themeColor="text1"/>
                      <w:szCs w:val="21"/>
                    </w:rPr>
                  </w:pPr>
                  <w:r>
                    <w:rPr>
                      <w:color w:val="000000" w:themeColor="text1"/>
                      <w:szCs w:val="21"/>
                    </w:rPr>
                    <w:t>化粪池</w:t>
                  </w:r>
                </w:p>
              </w:tc>
              <w:tc>
                <w:tcPr>
                  <w:tcW w:w="2410" w:type="dxa"/>
                  <w:vAlign w:val="center"/>
                </w:tcPr>
                <w:p>
                  <w:pPr>
                    <w:pStyle w:val="31"/>
                    <w:spacing w:line="360" w:lineRule="exact"/>
                    <w:ind w:firstLine="210" w:firstLineChars="100"/>
                    <w:jc w:val="left"/>
                    <w:rPr>
                      <w:color w:val="000000" w:themeColor="text1"/>
                      <w:szCs w:val="21"/>
                    </w:rPr>
                  </w:pPr>
                  <w:r>
                    <w:rPr>
                      <w:rFonts w:hint="eastAsia"/>
                      <w:color w:val="000000" w:themeColor="text1"/>
                      <w:szCs w:val="21"/>
                    </w:rPr>
                    <w:t>1</w:t>
                  </w:r>
                  <w:r>
                    <w:rPr>
                      <w:color w:val="000000" w:themeColor="text1"/>
                      <w:szCs w:val="21"/>
                    </w:rPr>
                    <w:t>个有效容积为</w:t>
                  </w:r>
                  <w:r>
                    <w:rPr>
                      <w:rFonts w:hint="eastAsia"/>
                      <w:color w:val="000000" w:themeColor="text1"/>
                      <w:szCs w:val="21"/>
                    </w:rPr>
                    <w:t>6</w:t>
                  </w:r>
                  <w:r>
                    <w:rPr>
                      <w:color w:val="000000" w:themeColor="text1"/>
                      <w:szCs w:val="21"/>
                    </w:rPr>
                    <w:t>m³</w:t>
                  </w:r>
                </w:p>
              </w:tc>
              <w:tc>
                <w:tcPr>
                  <w:tcW w:w="850" w:type="dxa"/>
                  <w:vAlign w:val="center"/>
                </w:tcPr>
                <w:p>
                  <w:pPr>
                    <w:pStyle w:val="31"/>
                    <w:spacing w:line="360" w:lineRule="exact"/>
                    <w:rPr>
                      <w:color w:val="000000" w:themeColor="text1"/>
                      <w:szCs w:val="21"/>
                    </w:rPr>
                  </w:pPr>
                  <w:r>
                    <w:rPr>
                      <w:color w:val="000000" w:themeColor="text1"/>
                      <w:szCs w:val="21"/>
                    </w:rPr>
                    <w:t>“3.2”</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0</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Merge w:val="continue"/>
                  <w:vAlign w:val="center"/>
                </w:tcPr>
                <w:p>
                  <w:pPr>
                    <w:pStyle w:val="31"/>
                    <w:spacing w:line="360" w:lineRule="exact"/>
                    <w:rPr>
                      <w:color w:val="000000" w:themeColor="text1"/>
                      <w:szCs w:val="21"/>
                    </w:rPr>
                  </w:pPr>
                </w:p>
              </w:tc>
              <w:tc>
                <w:tcPr>
                  <w:tcW w:w="673" w:type="dxa"/>
                  <w:vMerge w:val="continue"/>
                  <w:vAlign w:val="center"/>
                </w:tcPr>
                <w:p>
                  <w:pPr>
                    <w:pStyle w:val="31"/>
                    <w:spacing w:line="360" w:lineRule="exact"/>
                    <w:rPr>
                      <w:color w:val="000000" w:themeColor="text1"/>
                      <w:szCs w:val="21"/>
                    </w:rPr>
                  </w:pPr>
                </w:p>
              </w:tc>
              <w:tc>
                <w:tcPr>
                  <w:tcW w:w="1422" w:type="dxa"/>
                  <w:vAlign w:val="center"/>
                </w:tcPr>
                <w:p>
                  <w:pPr>
                    <w:pStyle w:val="31"/>
                    <w:spacing w:line="360" w:lineRule="exact"/>
                    <w:rPr>
                      <w:color w:val="000000" w:themeColor="text1"/>
                      <w:szCs w:val="21"/>
                    </w:rPr>
                  </w:pPr>
                  <w:r>
                    <w:rPr>
                      <w:rFonts w:hint="eastAsia" w:eastAsiaTheme="minorEastAsia"/>
                      <w:color w:val="000000" w:themeColor="text1"/>
                      <w:szCs w:val="21"/>
                    </w:rPr>
                    <w:t>污水处理站</w:t>
                  </w:r>
                </w:p>
              </w:tc>
              <w:tc>
                <w:tcPr>
                  <w:tcW w:w="2410" w:type="dxa"/>
                  <w:vAlign w:val="center"/>
                </w:tcPr>
                <w:p>
                  <w:pPr>
                    <w:pStyle w:val="31"/>
                    <w:spacing w:line="360" w:lineRule="exact"/>
                    <w:ind w:firstLine="210" w:firstLineChars="100"/>
                    <w:jc w:val="left"/>
                    <w:rPr>
                      <w:color w:val="000000" w:themeColor="text1"/>
                      <w:szCs w:val="21"/>
                    </w:rPr>
                  </w:pPr>
                  <w:r>
                    <w:rPr>
                      <w:color w:val="000000" w:themeColor="text1"/>
                      <w:szCs w:val="21"/>
                    </w:rPr>
                    <w:t>1</w:t>
                  </w:r>
                  <w:r>
                    <w:rPr>
                      <w:rFonts w:hint="eastAsia"/>
                      <w:color w:val="000000" w:themeColor="text1"/>
                      <w:szCs w:val="21"/>
                    </w:rPr>
                    <w:t>个</w:t>
                  </w:r>
                  <w:r>
                    <w:rPr>
                      <w:color w:val="000000" w:themeColor="text1"/>
                      <w:szCs w:val="21"/>
                    </w:rPr>
                    <w:t>处理能力</w:t>
                  </w:r>
                  <w:r>
                    <w:rPr>
                      <w:rFonts w:hint="eastAsia"/>
                      <w:color w:val="000000" w:themeColor="text1"/>
                      <w:szCs w:val="21"/>
                    </w:rPr>
                    <w:t>150</w:t>
                  </w:r>
                  <w:r>
                    <w:rPr>
                      <w:color w:val="000000" w:themeColor="text1"/>
                      <w:szCs w:val="21"/>
                    </w:rPr>
                    <w:t>m³/d</w:t>
                  </w:r>
                </w:p>
              </w:tc>
              <w:tc>
                <w:tcPr>
                  <w:tcW w:w="850" w:type="dxa"/>
                  <w:vAlign w:val="center"/>
                </w:tcPr>
                <w:p>
                  <w:pPr>
                    <w:pStyle w:val="31"/>
                    <w:spacing w:line="360" w:lineRule="exact"/>
                    <w:rPr>
                      <w:color w:val="000000" w:themeColor="text1"/>
                      <w:szCs w:val="21"/>
                    </w:rPr>
                  </w:pPr>
                  <w:r>
                    <w:rPr>
                      <w:rFonts w:hint="eastAsia"/>
                      <w:color w:val="000000" w:themeColor="text1"/>
                      <w:szCs w:val="21"/>
                    </w:rPr>
                    <w:t>120</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7</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1270" w:type="dxa"/>
                  <w:gridSpan w:val="2"/>
                  <w:vMerge w:val="restart"/>
                  <w:vAlign w:val="center"/>
                </w:tcPr>
                <w:p>
                  <w:pPr>
                    <w:pStyle w:val="31"/>
                    <w:spacing w:line="360" w:lineRule="exact"/>
                    <w:rPr>
                      <w:color w:val="000000" w:themeColor="text1"/>
                      <w:szCs w:val="21"/>
                    </w:rPr>
                  </w:pPr>
                  <w:r>
                    <w:rPr>
                      <w:color w:val="000000" w:themeColor="text1"/>
                      <w:szCs w:val="21"/>
                    </w:rPr>
                    <w:t>地下水防渗</w:t>
                  </w:r>
                </w:p>
              </w:tc>
              <w:tc>
                <w:tcPr>
                  <w:tcW w:w="1422" w:type="dxa"/>
                  <w:vAlign w:val="center"/>
                </w:tcPr>
                <w:p>
                  <w:pPr>
                    <w:pStyle w:val="31"/>
                    <w:spacing w:line="360" w:lineRule="exact"/>
                    <w:rPr>
                      <w:color w:val="000000" w:themeColor="text1"/>
                      <w:szCs w:val="21"/>
                    </w:rPr>
                  </w:pPr>
                  <w:r>
                    <w:rPr>
                      <w:color w:val="000000" w:themeColor="text1"/>
                      <w:szCs w:val="21"/>
                    </w:rPr>
                    <w:t>重点防渗区</w:t>
                  </w:r>
                </w:p>
              </w:tc>
              <w:tc>
                <w:tcPr>
                  <w:tcW w:w="2410" w:type="dxa"/>
                  <w:vAlign w:val="center"/>
                </w:tcPr>
                <w:p>
                  <w:pPr>
                    <w:pStyle w:val="31"/>
                    <w:spacing w:line="360" w:lineRule="exact"/>
                    <w:ind w:firstLine="210" w:firstLineChars="100"/>
                    <w:jc w:val="left"/>
                    <w:rPr>
                      <w:color w:val="000000" w:themeColor="text1"/>
                      <w:szCs w:val="21"/>
                      <w:lang w:val="en-US"/>
                    </w:rPr>
                  </w:pPr>
                  <w:r>
                    <w:rPr>
                      <w:color w:val="000000" w:themeColor="text1"/>
                      <w:szCs w:val="21"/>
                    </w:rPr>
                    <w:t>医疗废物暂存间地面</w:t>
                  </w:r>
                  <w:r>
                    <w:rPr>
                      <w:rFonts w:hint="eastAsia"/>
                      <w:color w:val="000000" w:themeColor="text1"/>
                      <w:szCs w:val="21"/>
                    </w:rPr>
                    <w:t>、</w:t>
                  </w:r>
                  <w:r>
                    <w:rPr>
                      <w:color w:val="000000" w:themeColor="text1"/>
                      <w:szCs w:val="21"/>
                    </w:rPr>
                    <w:t>裙墙</w:t>
                  </w:r>
                  <w:r>
                    <w:rPr>
                      <w:rFonts w:hint="eastAsia"/>
                      <w:color w:val="000000" w:themeColor="text1"/>
                      <w:szCs w:val="21"/>
                    </w:rPr>
                    <w:t>以及发酵池内部</w:t>
                  </w:r>
                  <w:r>
                    <w:rPr>
                      <w:color w:val="000000" w:themeColor="text1"/>
                      <w:szCs w:val="21"/>
                    </w:rPr>
                    <w:t>应采用2mm厚的HDPE膜或其他材料进行防渗，其渗透系数≤10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tc>
              <w:tc>
                <w:tcPr>
                  <w:tcW w:w="850" w:type="dxa"/>
                  <w:vAlign w:val="center"/>
                </w:tcPr>
                <w:p>
                  <w:pPr>
                    <w:pStyle w:val="31"/>
                    <w:spacing w:line="360" w:lineRule="exact"/>
                    <w:rPr>
                      <w:color w:val="000000" w:themeColor="text1"/>
                      <w:szCs w:val="21"/>
                    </w:rPr>
                  </w:pPr>
                  <w:r>
                    <w:rPr>
                      <w:rFonts w:hint="eastAsia"/>
                      <w:color w:val="000000" w:themeColor="text1"/>
                      <w:szCs w:val="21"/>
                    </w:rPr>
                    <w:t>1.2</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0</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1270" w:type="dxa"/>
                  <w:gridSpan w:val="2"/>
                  <w:vMerge w:val="continue"/>
                  <w:vAlign w:val="center"/>
                </w:tcPr>
                <w:p>
                  <w:pPr>
                    <w:pStyle w:val="31"/>
                    <w:spacing w:line="360" w:lineRule="exact"/>
                    <w:rPr>
                      <w:color w:val="000000" w:themeColor="text1"/>
                      <w:szCs w:val="21"/>
                    </w:rPr>
                  </w:pPr>
                </w:p>
              </w:tc>
              <w:tc>
                <w:tcPr>
                  <w:tcW w:w="1422" w:type="dxa"/>
                  <w:vAlign w:val="center"/>
                </w:tcPr>
                <w:p>
                  <w:pPr>
                    <w:pStyle w:val="31"/>
                    <w:spacing w:line="360" w:lineRule="exact"/>
                    <w:rPr>
                      <w:color w:val="000000" w:themeColor="text1"/>
                      <w:szCs w:val="21"/>
                    </w:rPr>
                  </w:pPr>
                  <w:r>
                    <w:rPr>
                      <w:color w:val="000000" w:themeColor="text1"/>
                      <w:szCs w:val="21"/>
                    </w:rPr>
                    <w:t>一般防渗区</w:t>
                  </w:r>
                </w:p>
              </w:tc>
              <w:tc>
                <w:tcPr>
                  <w:tcW w:w="2410" w:type="dxa"/>
                  <w:vAlign w:val="center"/>
                </w:tcPr>
                <w:p>
                  <w:pPr>
                    <w:pStyle w:val="31"/>
                    <w:spacing w:line="360" w:lineRule="exact"/>
                    <w:ind w:firstLine="210" w:firstLineChars="100"/>
                    <w:jc w:val="left"/>
                    <w:rPr>
                      <w:color w:val="000000" w:themeColor="text1"/>
                      <w:szCs w:val="21"/>
                      <w:lang w:val="en-US"/>
                    </w:rPr>
                  </w:pPr>
                  <w:r>
                    <w:rPr>
                      <w:rFonts w:hint="eastAsia"/>
                      <w:color w:val="000000" w:themeColor="text1"/>
                      <w:szCs w:val="21"/>
                    </w:rPr>
                    <w:t>一般防渗区中</w:t>
                  </w:r>
                  <w:r>
                    <w:rPr>
                      <w:color w:val="000000" w:themeColor="text1"/>
                      <w:szCs w:val="21"/>
                    </w:rPr>
                    <w:t>屠宰车间地面采取粘土铺底，并在上层铺30cm的混凝土进行硬化，其渗透系数≤1.0×10</w:t>
                  </w:r>
                  <w:r>
                    <w:rPr>
                      <w:color w:val="000000" w:themeColor="text1"/>
                      <w:szCs w:val="21"/>
                      <w:vertAlign w:val="superscript"/>
                    </w:rPr>
                    <w:t>-7</w:t>
                  </w:r>
                  <w:r>
                    <w:rPr>
                      <w:color w:val="000000" w:themeColor="text1"/>
                      <w:szCs w:val="21"/>
                    </w:rPr>
                    <w:t>cm/s</w:t>
                  </w:r>
                  <w:r>
                    <w:rPr>
                      <w:rFonts w:hint="eastAsia"/>
                      <w:color w:val="000000" w:themeColor="text1"/>
                      <w:szCs w:val="21"/>
                    </w:rPr>
                    <w:t>，而</w:t>
                  </w:r>
                  <w:r>
                    <w:rPr>
                      <w:color w:val="000000" w:themeColor="text1"/>
                      <w:szCs w:val="21"/>
                    </w:rPr>
                    <w:t>污水处理站、初期雨水收集池</w:t>
                  </w:r>
                  <w:r>
                    <w:rPr>
                      <w:rFonts w:hint="eastAsia"/>
                      <w:color w:val="000000" w:themeColor="text1"/>
                      <w:szCs w:val="21"/>
                    </w:rPr>
                    <w:t>应采用</w:t>
                  </w:r>
                  <w:r>
                    <w:rPr>
                      <w:color w:val="000000" w:themeColor="text1"/>
                      <w:szCs w:val="21"/>
                    </w:rPr>
                    <w:t>HDPE膜</w:t>
                  </w:r>
                  <w:r>
                    <w:rPr>
                      <w:rFonts w:hint="eastAsia"/>
                      <w:color w:val="000000" w:themeColor="text1"/>
                      <w:szCs w:val="21"/>
                    </w:rPr>
                    <w:t>或其他材料防渗，确保其</w:t>
                  </w:r>
                  <w:r>
                    <w:rPr>
                      <w:color w:val="000000" w:themeColor="text1"/>
                      <w:szCs w:val="21"/>
                    </w:rPr>
                    <w:t>渗透系数≤1.0×10</w:t>
                  </w:r>
                  <w:r>
                    <w:rPr>
                      <w:color w:val="000000" w:themeColor="text1"/>
                      <w:szCs w:val="21"/>
                      <w:vertAlign w:val="superscript"/>
                    </w:rPr>
                    <w:t>-7</w:t>
                  </w:r>
                  <w:r>
                    <w:rPr>
                      <w:color w:val="000000" w:themeColor="text1"/>
                      <w:szCs w:val="21"/>
                    </w:rPr>
                    <w:t>cm/s。</w:t>
                  </w:r>
                </w:p>
              </w:tc>
              <w:tc>
                <w:tcPr>
                  <w:tcW w:w="850" w:type="dxa"/>
                  <w:vAlign w:val="center"/>
                </w:tcPr>
                <w:p>
                  <w:pPr>
                    <w:pStyle w:val="31"/>
                    <w:spacing w:line="360" w:lineRule="exact"/>
                    <w:rPr>
                      <w:color w:val="000000" w:themeColor="text1"/>
                      <w:szCs w:val="21"/>
                    </w:rPr>
                  </w:pPr>
                  <w:r>
                    <w:rPr>
                      <w:rFonts w:hint="eastAsia"/>
                      <w:color w:val="000000" w:themeColor="text1"/>
                      <w:szCs w:val="21"/>
                    </w:rPr>
                    <w:t>2.3</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0</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Align w:val="center"/>
                </w:tcPr>
                <w:p>
                  <w:pPr>
                    <w:pStyle w:val="31"/>
                    <w:spacing w:line="360" w:lineRule="exact"/>
                    <w:rPr>
                      <w:color w:val="000000" w:themeColor="text1"/>
                      <w:szCs w:val="21"/>
                    </w:rPr>
                  </w:pPr>
                  <w:r>
                    <w:rPr>
                      <w:color w:val="000000" w:themeColor="text1"/>
                      <w:szCs w:val="21"/>
                    </w:rPr>
                    <w:t>噪声</w:t>
                  </w:r>
                </w:p>
              </w:tc>
              <w:tc>
                <w:tcPr>
                  <w:tcW w:w="673" w:type="dxa"/>
                  <w:vAlign w:val="center"/>
                </w:tcPr>
                <w:p>
                  <w:pPr>
                    <w:pStyle w:val="31"/>
                    <w:spacing w:line="360" w:lineRule="exact"/>
                    <w:rPr>
                      <w:color w:val="000000" w:themeColor="text1"/>
                      <w:szCs w:val="21"/>
                    </w:rPr>
                  </w:pPr>
                  <w:r>
                    <w:rPr>
                      <w:color w:val="000000" w:themeColor="text1"/>
                      <w:szCs w:val="21"/>
                    </w:rPr>
                    <w:t>设备噪声</w:t>
                  </w:r>
                </w:p>
              </w:tc>
              <w:tc>
                <w:tcPr>
                  <w:tcW w:w="1422" w:type="dxa"/>
                  <w:vAlign w:val="center"/>
                </w:tcPr>
                <w:p>
                  <w:pPr>
                    <w:pStyle w:val="31"/>
                    <w:spacing w:line="360" w:lineRule="exact"/>
                    <w:rPr>
                      <w:color w:val="000000" w:themeColor="text1"/>
                      <w:szCs w:val="21"/>
                    </w:rPr>
                  </w:pPr>
                  <w:r>
                    <w:rPr>
                      <w:color w:val="000000" w:themeColor="text1"/>
                      <w:szCs w:val="21"/>
                    </w:rPr>
                    <w:t>减震垫、消声器等</w:t>
                  </w:r>
                </w:p>
              </w:tc>
              <w:tc>
                <w:tcPr>
                  <w:tcW w:w="2410" w:type="dxa"/>
                  <w:vAlign w:val="center"/>
                </w:tcPr>
                <w:p>
                  <w:pPr>
                    <w:pStyle w:val="31"/>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850" w:type="dxa"/>
                  <w:vAlign w:val="center"/>
                </w:tcPr>
                <w:p>
                  <w:pPr>
                    <w:pStyle w:val="31"/>
                    <w:spacing w:line="360" w:lineRule="exact"/>
                    <w:rPr>
                      <w:color w:val="000000" w:themeColor="text1"/>
                      <w:szCs w:val="21"/>
                    </w:rPr>
                  </w:pPr>
                  <w:r>
                    <w:rPr>
                      <w:rFonts w:hint="eastAsia"/>
                      <w:color w:val="000000" w:themeColor="text1"/>
                      <w:szCs w:val="21"/>
                    </w:rPr>
                    <w:t>0.5</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0</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Merge w:val="restart"/>
                  <w:vAlign w:val="center"/>
                </w:tcPr>
                <w:p>
                  <w:pPr>
                    <w:pStyle w:val="31"/>
                    <w:spacing w:line="360" w:lineRule="exact"/>
                    <w:rPr>
                      <w:color w:val="000000" w:themeColor="text1"/>
                      <w:szCs w:val="21"/>
                    </w:rPr>
                  </w:pPr>
                  <w:r>
                    <w:rPr>
                      <w:color w:val="000000" w:themeColor="text1"/>
                      <w:szCs w:val="21"/>
                    </w:rPr>
                    <w:t>固废</w:t>
                  </w:r>
                </w:p>
              </w:tc>
              <w:tc>
                <w:tcPr>
                  <w:tcW w:w="673" w:type="dxa"/>
                  <w:vAlign w:val="center"/>
                </w:tcPr>
                <w:p>
                  <w:pPr>
                    <w:pStyle w:val="31"/>
                    <w:spacing w:line="360" w:lineRule="exact"/>
                    <w:rPr>
                      <w:color w:val="000000" w:themeColor="text1"/>
                      <w:szCs w:val="21"/>
                    </w:rPr>
                  </w:pPr>
                  <w:r>
                    <w:rPr>
                      <w:rFonts w:hint="eastAsia"/>
                      <w:color w:val="000000" w:themeColor="text1"/>
                      <w:szCs w:val="21"/>
                    </w:rPr>
                    <w:t>医疗</w:t>
                  </w:r>
                  <w:r>
                    <w:rPr>
                      <w:color w:val="000000" w:themeColor="text1"/>
                      <w:szCs w:val="21"/>
                    </w:rPr>
                    <w:t>废物</w:t>
                  </w:r>
                </w:p>
              </w:tc>
              <w:tc>
                <w:tcPr>
                  <w:tcW w:w="1422" w:type="dxa"/>
                  <w:vAlign w:val="center"/>
                </w:tcPr>
                <w:p>
                  <w:pPr>
                    <w:pStyle w:val="31"/>
                    <w:spacing w:line="360" w:lineRule="exact"/>
                    <w:rPr>
                      <w:color w:val="000000" w:themeColor="text1"/>
                      <w:szCs w:val="21"/>
                    </w:rPr>
                  </w:pPr>
                  <w:r>
                    <w:rPr>
                      <w:color w:val="000000" w:themeColor="text1"/>
                      <w:szCs w:val="21"/>
                    </w:rPr>
                    <w:t>医疗废物暂存间</w:t>
                  </w:r>
                </w:p>
              </w:tc>
              <w:tc>
                <w:tcPr>
                  <w:tcW w:w="2410" w:type="dxa"/>
                  <w:vAlign w:val="center"/>
                </w:tcPr>
                <w:p>
                  <w:pPr>
                    <w:pStyle w:val="31"/>
                    <w:spacing w:line="360" w:lineRule="exact"/>
                    <w:ind w:firstLine="210" w:firstLineChars="100"/>
                    <w:jc w:val="left"/>
                    <w:rPr>
                      <w:color w:val="000000" w:themeColor="text1"/>
                      <w:szCs w:val="21"/>
                    </w:rPr>
                  </w:pPr>
                  <w:r>
                    <w:rPr>
                      <w:color w:val="000000" w:themeColor="text1"/>
                      <w:szCs w:val="21"/>
                    </w:rPr>
                    <w:t>1个5m²</w:t>
                  </w:r>
                </w:p>
              </w:tc>
              <w:tc>
                <w:tcPr>
                  <w:tcW w:w="850" w:type="dxa"/>
                  <w:vAlign w:val="center"/>
                </w:tcPr>
                <w:p>
                  <w:pPr>
                    <w:pStyle w:val="31"/>
                    <w:spacing w:line="360" w:lineRule="exact"/>
                    <w:rPr>
                      <w:color w:val="000000" w:themeColor="text1"/>
                      <w:szCs w:val="21"/>
                    </w:rPr>
                  </w:pPr>
                  <w:r>
                    <w:rPr>
                      <w:rFonts w:hint="eastAsia"/>
                      <w:color w:val="000000" w:themeColor="text1"/>
                      <w:szCs w:val="21"/>
                    </w:rPr>
                    <w:t>1.6</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6</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Merge w:val="continue"/>
                  <w:vAlign w:val="center"/>
                </w:tcPr>
                <w:p>
                  <w:pPr>
                    <w:pStyle w:val="31"/>
                    <w:spacing w:line="360" w:lineRule="exact"/>
                    <w:rPr>
                      <w:color w:val="000000" w:themeColor="text1"/>
                      <w:szCs w:val="21"/>
                    </w:rPr>
                  </w:pPr>
                </w:p>
              </w:tc>
              <w:tc>
                <w:tcPr>
                  <w:tcW w:w="673" w:type="dxa"/>
                  <w:vAlign w:val="center"/>
                </w:tcPr>
                <w:p>
                  <w:pPr>
                    <w:pStyle w:val="31"/>
                    <w:spacing w:line="360" w:lineRule="exact"/>
                    <w:rPr>
                      <w:rFonts w:hint="eastAsia"/>
                      <w:color w:val="000000" w:themeColor="text1"/>
                      <w:szCs w:val="21"/>
                    </w:rPr>
                  </w:pPr>
                  <w:r>
                    <w:rPr>
                      <w:rFonts w:hint="eastAsia"/>
                      <w:color w:val="000000" w:themeColor="text1"/>
                      <w:szCs w:val="21"/>
                    </w:rPr>
                    <w:t>病死猪</w:t>
                  </w:r>
                </w:p>
              </w:tc>
              <w:tc>
                <w:tcPr>
                  <w:tcW w:w="1422" w:type="dxa"/>
                  <w:vAlign w:val="center"/>
                </w:tcPr>
                <w:p>
                  <w:pPr>
                    <w:pStyle w:val="31"/>
                    <w:spacing w:line="360" w:lineRule="exact"/>
                    <w:rPr>
                      <w:color w:val="000000" w:themeColor="text1"/>
                      <w:szCs w:val="21"/>
                    </w:rPr>
                  </w:pPr>
                  <w:r>
                    <w:rPr>
                      <w:rFonts w:hint="eastAsia"/>
                      <w:color w:val="000000" w:themeColor="text1"/>
                      <w:szCs w:val="21"/>
                    </w:rPr>
                    <w:t>发酵池</w:t>
                  </w:r>
                </w:p>
              </w:tc>
              <w:tc>
                <w:tcPr>
                  <w:tcW w:w="2410" w:type="dxa"/>
                  <w:vAlign w:val="center"/>
                </w:tcPr>
                <w:p>
                  <w:pPr>
                    <w:pStyle w:val="31"/>
                    <w:spacing w:line="360" w:lineRule="exact"/>
                    <w:ind w:firstLine="210" w:firstLineChars="100"/>
                    <w:jc w:val="left"/>
                    <w:rPr>
                      <w:color w:val="000000" w:themeColor="text1"/>
                      <w:szCs w:val="21"/>
                    </w:rPr>
                  </w:pPr>
                  <w:r>
                    <w:rPr>
                      <w:rFonts w:hint="eastAsia"/>
                      <w:color w:val="000000" w:themeColor="text1"/>
                      <w:szCs w:val="21"/>
                    </w:rPr>
                    <w:t>1个170m³</w:t>
                  </w:r>
                </w:p>
              </w:tc>
              <w:tc>
                <w:tcPr>
                  <w:tcW w:w="850" w:type="dxa"/>
                  <w:vAlign w:val="center"/>
                </w:tcPr>
                <w:p>
                  <w:pPr>
                    <w:pStyle w:val="31"/>
                    <w:spacing w:line="360" w:lineRule="exact"/>
                    <w:rPr>
                      <w:rFonts w:hint="eastAsia"/>
                      <w:color w:val="000000" w:themeColor="text1"/>
                      <w:szCs w:val="21"/>
                    </w:rPr>
                  </w:pPr>
                  <w:r>
                    <w:rPr>
                      <w:rFonts w:hint="eastAsia"/>
                      <w:color w:val="000000" w:themeColor="text1"/>
                      <w:szCs w:val="21"/>
                    </w:rPr>
                    <w:t>16</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rFonts w:hint="eastAsia"/>
                      <w:color w:val="000000" w:themeColor="text1"/>
                      <w:szCs w:val="21"/>
                    </w:rPr>
                    <w:t>3</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Merge w:val="continue"/>
                  <w:vAlign w:val="center"/>
                </w:tcPr>
                <w:p>
                  <w:pPr>
                    <w:pStyle w:val="31"/>
                    <w:spacing w:line="360" w:lineRule="exact"/>
                    <w:rPr>
                      <w:color w:val="000000" w:themeColor="text1"/>
                      <w:szCs w:val="21"/>
                    </w:rPr>
                  </w:pPr>
                </w:p>
              </w:tc>
              <w:tc>
                <w:tcPr>
                  <w:tcW w:w="673" w:type="dxa"/>
                  <w:vAlign w:val="center"/>
                </w:tcPr>
                <w:p>
                  <w:pPr>
                    <w:pStyle w:val="31"/>
                    <w:spacing w:line="360" w:lineRule="exact"/>
                    <w:rPr>
                      <w:color w:val="000000" w:themeColor="text1"/>
                      <w:szCs w:val="21"/>
                    </w:rPr>
                  </w:pPr>
                  <w:r>
                    <w:rPr>
                      <w:color w:val="000000" w:themeColor="text1"/>
                      <w:szCs w:val="21"/>
                    </w:rPr>
                    <w:t>生活垃圾</w:t>
                  </w:r>
                </w:p>
              </w:tc>
              <w:tc>
                <w:tcPr>
                  <w:tcW w:w="1422" w:type="dxa"/>
                  <w:vAlign w:val="center"/>
                </w:tcPr>
                <w:p>
                  <w:pPr>
                    <w:pStyle w:val="31"/>
                    <w:spacing w:line="360" w:lineRule="exact"/>
                    <w:rPr>
                      <w:color w:val="000000" w:themeColor="text1"/>
                      <w:szCs w:val="21"/>
                    </w:rPr>
                  </w:pPr>
                  <w:r>
                    <w:rPr>
                      <w:color w:val="000000" w:themeColor="text1"/>
                      <w:szCs w:val="21"/>
                    </w:rPr>
                    <w:t>生活垃圾桶</w:t>
                  </w:r>
                </w:p>
              </w:tc>
              <w:tc>
                <w:tcPr>
                  <w:tcW w:w="2410" w:type="dxa"/>
                  <w:vAlign w:val="center"/>
                </w:tcPr>
                <w:p>
                  <w:pPr>
                    <w:pStyle w:val="31"/>
                    <w:spacing w:line="360" w:lineRule="exact"/>
                    <w:ind w:firstLine="210" w:firstLineChars="100"/>
                    <w:jc w:val="left"/>
                    <w:rPr>
                      <w:color w:val="000000" w:themeColor="text1"/>
                      <w:szCs w:val="21"/>
                    </w:rPr>
                  </w:pPr>
                  <w:r>
                    <w:rPr>
                      <w:color w:val="000000" w:themeColor="text1"/>
                      <w:szCs w:val="21"/>
                    </w:rPr>
                    <w:t>--</w:t>
                  </w:r>
                </w:p>
              </w:tc>
              <w:tc>
                <w:tcPr>
                  <w:tcW w:w="850" w:type="dxa"/>
                  <w:vAlign w:val="center"/>
                </w:tcPr>
                <w:p>
                  <w:pPr>
                    <w:pStyle w:val="31"/>
                    <w:spacing w:line="360" w:lineRule="exact"/>
                    <w:rPr>
                      <w:color w:val="000000" w:themeColor="text1"/>
                      <w:szCs w:val="21"/>
                    </w:rPr>
                  </w:pPr>
                  <w:r>
                    <w:rPr>
                      <w:color w:val="000000" w:themeColor="text1"/>
                      <w:szCs w:val="21"/>
                    </w:rPr>
                    <w:t>“0.01”</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2</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Align w:val="center"/>
                </w:tcPr>
                <w:p>
                  <w:pPr>
                    <w:pStyle w:val="31"/>
                    <w:spacing w:line="360" w:lineRule="exact"/>
                    <w:rPr>
                      <w:color w:val="000000" w:themeColor="text1"/>
                      <w:szCs w:val="21"/>
                    </w:rPr>
                  </w:pPr>
                  <w:r>
                    <w:rPr>
                      <w:color w:val="000000" w:themeColor="text1"/>
                      <w:szCs w:val="21"/>
                    </w:rPr>
                    <w:t>环境风险</w:t>
                  </w:r>
                </w:p>
              </w:tc>
              <w:tc>
                <w:tcPr>
                  <w:tcW w:w="673" w:type="dxa"/>
                  <w:vAlign w:val="center"/>
                </w:tcPr>
                <w:p>
                  <w:pPr>
                    <w:pStyle w:val="31"/>
                    <w:spacing w:line="360" w:lineRule="exact"/>
                    <w:rPr>
                      <w:color w:val="000000" w:themeColor="text1"/>
                      <w:szCs w:val="21"/>
                    </w:rPr>
                  </w:pPr>
                  <w:r>
                    <w:rPr>
                      <w:color w:val="000000" w:themeColor="text1"/>
                      <w:szCs w:val="21"/>
                    </w:rPr>
                    <w:t>事故废水</w:t>
                  </w:r>
                </w:p>
              </w:tc>
              <w:tc>
                <w:tcPr>
                  <w:tcW w:w="1422" w:type="dxa"/>
                  <w:vAlign w:val="center"/>
                </w:tcPr>
                <w:p>
                  <w:pPr>
                    <w:pStyle w:val="31"/>
                    <w:spacing w:line="360" w:lineRule="exact"/>
                    <w:rPr>
                      <w:color w:val="000000" w:themeColor="text1"/>
                      <w:szCs w:val="21"/>
                    </w:rPr>
                  </w:pPr>
                  <w:r>
                    <w:rPr>
                      <w:color w:val="000000" w:themeColor="text1"/>
                      <w:szCs w:val="21"/>
                    </w:rPr>
                    <w:t>应急池</w:t>
                  </w:r>
                </w:p>
              </w:tc>
              <w:tc>
                <w:tcPr>
                  <w:tcW w:w="2410" w:type="dxa"/>
                  <w:vAlign w:val="center"/>
                </w:tcPr>
                <w:p>
                  <w:pPr>
                    <w:pStyle w:val="31"/>
                    <w:spacing w:line="360" w:lineRule="exact"/>
                    <w:ind w:firstLine="210" w:firstLineChars="100"/>
                    <w:jc w:val="left"/>
                    <w:rPr>
                      <w:color w:val="000000" w:themeColor="text1"/>
                      <w:szCs w:val="21"/>
                    </w:rPr>
                  </w:pPr>
                  <w:r>
                    <w:rPr>
                      <w:color w:val="000000" w:themeColor="text1"/>
                      <w:szCs w:val="21"/>
                    </w:rPr>
                    <w:t>1个有效容积</w:t>
                  </w:r>
                  <w:r>
                    <w:rPr>
                      <w:rFonts w:hint="eastAsia"/>
                      <w:color w:val="000000" w:themeColor="text1"/>
                      <w:szCs w:val="21"/>
                    </w:rPr>
                    <w:t>为20</w:t>
                  </w:r>
                  <w:r>
                    <w:rPr>
                      <w:color w:val="000000" w:themeColor="text1"/>
                      <w:szCs w:val="21"/>
                    </w:rPr>
                    <w:t>m³的应急池</w:t>
                  </w:r>
                </w:p>
              </w:tc>
              <w:tc>
                <w:tcPr>
                  <w:tcW w:w="850" w:type="dxa"/>
                  <w:vAlign w:val="center"/>
                </w:tcPr>
                <w:p>
                  <w:pPr>
                    <w:pStyle w:val="31"/>
                    <w:spacing w:line="360" w:lineRule="exact"/>
                    <w:rPr>
                      <w:color w:val="000000" w:themeColor="text1"/>
                      <w:szCs w:val="21"/>
                    </w:rPr>
                  </w:pPr>
                  <w:r>
                    <w:rPr>
                      <w:color w:val="000000" w:themeColor="text1"/>
                      <w:szCs w:val="21"/>
                    </w:rPr>
                    <w:t>3</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0</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Merge w:val="restart"/>
                  <w:vAlign w:val="center"/>
                </w:tcPr>
                <w:p>
                  <w:pPr>
                    <w:pStyle w:val="31"/>
                    <w:spacing w:line="360" w:lineRule="exact"/>
                    <w:rPr>
                      <w:color w:val="000000" w:themeColor="text1"/>
                      <w:szCs w:val="21"/>
                    </w:rPr>
                  </w:pPr>
                  <w:r>
                    <w:rPr>
                      <w:color w:val="000000" w:themeColor="text1"/>
                      <w:szCs w:val="21"/>
                    </w:rPr>
                    <w:t>其他</w:t>
                  </w:r>
                </w:p>
              </w:tc>
              <w:tc>
                <w:tcPr>
                  <w:tcW w:w="2095" w:type="dxa"/>
                  <w:gridSpan w:val="2"/>
                  <w:vAlign w:val="center"/>
                </w:tcPr>
                <w:p>
                  <w:pPr>
                    <w:pStyle w:val="31"/>
                    <w:spacing w:line="360" w:lineRule="exact"/>
                    <w:rPr>
                      <w:color w:val="000000" w:themeColor="text1"/>
                      <w:szCs w:val="21"/>
                    </w:rPr>
                  </w:pPr>
                  <w:r>
                    <w:rPr>
                      <w:color w:val="000000" w:themeColor="text1"/>
                      <w:szCs w:val="21"/>
                    </w:rPr>
                    <w:t>标识牌</w:t>
                  </w:r>
                </w:p>
              </w:tc>
              <w:tc>
                <w:tcPr>
                  <w:tcW w:w="2410" w:type="dxa"/>
                  <w:vAlign w:val="center"/>
                </w:tcPr>
                <w:p>
                  <w:pPr>
                    <w:pStyle w:val="31"/>
                    <w:spacing w:line="360" w:lineRule="exact"/>
                    <w:ind w:firstLine="210" w:firstLineChars="100"/>
                    <w:jc w:val="left"/>
                    <w:rPr>
                      <w:color w:val="000000" w:themeColor="text1"/>
                      <w:szCs w:val="21"/>
                    </w:rPr>
                  </w:pPr>
                  <w:r>
                    <w:rPr>
                      <w:color w:val="000000" w:themeColor="text1"/>
                      <w:szCs w:val="21"/>
                    </w:rPr>
                    <w:t>--</w:t>
                  </w:r>
                </w:p>
              </w:tc>
              <w:tc>
                <w:tcPr>
                  <w:tcW w:w="850" w:type="dxa"/>
                  <w:vAlign w:val="center"/>
                </w:tcPr>
                <w:p>
                  <w:pPr>
                    <w:pStyle w:val="31"/>
                    <w:spacing w:line="360" w:lineRule="exact"/>
                    <w:rPr>
                      <w:color w:val="000000" w:themeColor="text1"/>
                      <w:szCs w:val="21"/>
                    </w:rPr>
                  </w:pPr>
                  <w:r>
                    <w:rPr>
                      <w:color w:val="000000" w:themeColor="text1"/>
                      <w:szCs w:val="21"/>
                    </w:rPr>
                    <w:t>“0.1”</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0</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1"/>
                    <w:spacing w:line="360" w:lineRule="exact"/>
                    <w:rPr>
                      <w:color w:val="000000" w:themeColor="text1"/>
                      <w:szCs w:val="21"/>
                    </w:rPr>
                  </w:pPr>
                </w:p>
              </w:tc>
              <w:tc>
                <w:tcPr>
                  <w:tcW w:w="597" w:type="dxa"/>
                  <w:vMerge w:val="continue"/>
                  <w:vAlign w:val="center"/>
                </w:tcPr>
                <w:p>
                  <w:pPr>
                    <w:pStyle w:val="31"/>
                    <w:spacing w:line="360" w:lineRule="exact"/>
                    <w:rPr>
                      <w:color w:val="000000" w:themeColor="text1"/>
                      <w:szCs w:val="21"/>
                    </w:rPr>
                  </w:pPr>
                </w:p>
              </w:tc>
              <w:tc>
                <w:tcPr>
                  <w:tcW w:w="2095" w:type="dxa"/>
                  <w:gridSpan w:val="2"/>
                  <w:vAlign w:val="center"/>
                </w:tcPr>
                <w:p>
                  <w:pPr>
                    <w:pStyle w:val="31"/>
                    <w:spacing w:line="360" w:lineRule="exact"/>
                    <w:rPr>
                      <w:color w:val="000000" w:themeColor="text1"/>
                      <w:szCs w:val="21"/>
                    </w:rPr>
                  </w:pPr>
                  <w:r>
                    <w:rPr>
                      <w:color w:val="000000" w:themeColor="text1"/>
                      <w:szCs w:val="21"/>
                    </w:rPr>
                    <w:t>绿化</w:t>
                  </w:r>
                </w:p>
              </w:tc>
              <w:tc>
                <w:tcPr>
                  <w:tcW w:w="2410" w:type="dxa"/>
                  <w:vAlign w:val="center"/>
                </w:tcPr>
                <w:p>
                  <w:pPr>
                    <w:pStyle w:val="31"/>
                    <w:spacing w:line="360" w:lineRule="exact"/>
                    <w:ind w:firstLine="210" w:firstLineChars="100"/>
                    <w:jc w:val="left"/>
                    <w:rPr>
                      <w:color w:val="000000" w:themeColor="text1"/>
                      <w:szCs w:val="21"/>
                    </w:rPr>
                  </w:pPr>
                  <w:r>
                    <w:rPr>
                      <w:rFonts w:hint="eastAsia"/>
                      <w:color w:val="000000" w:themeColor="text1"/>
                      <w:szCs w:val="21"/>
                    </w:rPr>
                    <w:t>50</w:t>
                  </w:r>
                  <w:r>
                    <w:rPr>
                      <w:color w:val="000000" w:themeColor="text1"/>
                      <w:szCs w:val="21"/>
                    </w:rPr>
                    <w:t>0m²</w:t>
                  </w:r>
                </w:p>
              </w:tc>
              <w:tc>
                <w:tcPr>
                  <w:tcW w:w="850" w:type="dxa"/>
                  <w:vAlign w:val="center"/>
                </w:tcPr>
                <w:p>
                  <w:pPr>
                    <w:pStyle w:val="31"/>
                    <w:spacing w:line="360" w:lineRule="exact"/>
                    <w:rPr>
                      <w:color w:val="000000" w:themeColor="text1"/>
                      <w:szCs w:val="21"/>
                    </w:rPr>
                  </w:pPr>
                  <w:r>
                    <w:rPr>
                      <w:color w:val="000000" w:themeColor="text1"/>
                      <w:szCs w:val="21"/>
                    </w:rPr>
                    <w:t>“23”</w:t>
                  </w:r>
                </w:p>
              </w:tc>
              <w:tc>
                <w:tcPr>
                  <w:tcW w:w="711" w:type="dxa"/>
                  <w:vMerge w:val="continue"/>
                  <w:vAlign w:val="center"/>
                </w:tcPr>
                <w:p>
                  <w:pPr>
                    <w:pStyle w:val="31"/>
                    <w:spacing w:line="360" w:lineRule="exact"/>
                    <w:rPr>
                      <w:color w:val="000000" w:themeColor="text1"/>
                      <w:szCs w:val="21"/>
                    </w:rPr>
                  </w:pPr>
                </w:p>
              </w:tc>
              <w:tc>
                <w:tcPr>
                  <w:tcW w:w="782" w:type="dxa"/>
                  <w:vAlign w:val="center"/>
                </w:tcPr>
                <w:p>
                  <w:pPr>
                    <w:pStyle w:val="31"/>
                    <w:spacing w:line="360" w:lineRule="exact"/>
                    <w:rPr>
                      <w:color w:val="000000" w:themeColor="text1"/>
                      <w:szCs w:val="21"/>
                    </w:rPr>
                  </w:pPr>
                  <w:r>
                    <w:rPr>
                      <w:color w:val="000000" w:themeColor="text1"/>
                      <w:szCs w:val="21"/>
                    </w:rPr>
                    <w:t>0</w:t>
                  </w:r>
                </w:p>
              </w:tc>
              <w:tc>
                <w:tcPr>
                  <w:tcW w:w="708"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7" w:type="dxa"/>
                  <w:gridSpan w:val="5"/>
                  <w:vAlign w:val="center"/>
                </w:tcPr>
                <w:p>
                  <w:pPr>
                    <w:pStyle w:val="31"/>
                    <w:spacing w:line="360" w:lineRule="exact"/>
                    <w:rPr>
                      <w:color w:val="000000" w:themeColor="text1"/>
                      <w:szCs w:val="21"/>
                    </w:rPr>
                  </w:pPr>
                  <w:r>
                    <w:rPr>
                      <w:color w:val="000000" w:themeColor="text1"/>
                      <w:szCs w:val="21"/>
                    </w:rPr>
                    <w:t>管理相关费用</w:t>
                  </w:r>
                </w:p>
              </w:tc>
              <w:tc>
                <w:tcPr>
                  <w:tcW w:w="3051" w:type="dxa"/>
                  <w:gridSpan w:val="4"/>
                  <w:vAlign w:val="center"/>
                </w:tcPr>
                <w:p>
                  <w:pPr>
                    <w:pStyle w:val="31"/>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7" w:type="dxa"/>
                  <w:gridSpan w:val="5"/>
                  <w:vAlign w:val="center"/>
                </w:tcPr>
                <w:p>
                  <w:pPr>
                    <w:pStyle w:val="31"/>
                    <w:spacing w:line="360" w:lineRule="exact"/>
                    <w:rPr>
                      <w:color w:val="000000" w:themeColor="text1"/>
                      <w:szCs w:val="21"/>
                    </w:rPr>
                  </w:pPr>
                  <w:r>
                    <w:rPr>
                      <w:color w:val="000000" w:themeColor="text1"/>
                      <w:szCs w:val="21"/>
                    </w:rPr>
                    <w:t>合计</w:t>
                  </w:r>
                </w:p>
              </w:tc>
              <w:tc>
                <w:tcPr>
                  <w:tcW w:w="850" w:type="dxa"/>
                  <w:vAlign w:val="center"/>
                </w:tcPr>
                <w:p>
                  <w:pPr>
                    <w:pStyle w:val="31"/>
                    <w:spacing w:line="360" w:lineRule="exact"/>
                    <w:rPr>
                      <w:color w:val="000000" w:themeColor="text1"/>
                      <w:szCs w:val="21"/>
                    </w:rPr>
                  </w:pPr>
                  <w:r>
                    <w:rPr>
                      <w:color w:val="000000" w:themeColor="text1"/>
                      <w:szCs w:val="21"/>
                    </w:rPr>
                    <w:t>156.6</w:t>
                  </w:r>
                </w:p>
              </w:tc>
              <w:tc>
                <w:tcPr>
                  <w:tcW w:w="711" w:type="dxa"/>
                  <w:vAlign w:val="center"/>
                </w:tcPr>
                <w:p>
                  <w:pPr>
                    <w:pStyle w:val="31"/>
                    <w:spacing w:line="360" w:lineRule="exact"/>
                    <w:rPr>
                      <w:color w:val="000000" w:themeColor="text1"/>
                      <w:szCs w:val="21"/>
                    </w:rPr>
                  </w:pPr>
                  <w:r>
                    <w:rPr>
                      <w:color w:val="000000" w:themeColor="text1"/>
                      <w:szCs w:val="21"/>
                    </w:rPr>
                    <w:t>--</w:t>
                  </w:r>
                </w:p>
              </w:tc>
              <w:tc>
                <w:tcPr>
                  <w:tcW w:w="782" w:type="dxa"/>
                  <w:vAlign w:val="center"/>
                </w:tcPr>
                <w:p>
                  <w:pPr>
                    <w:pStyle w:val="31"/>
                    <w:spacing w:line="360" w:lineRule="exact"/>
                    <w:rPr>
                      <w:color w:val="000000" w:themeColor="text1"/>
                      <w:szCs w:val="21"/>
                    </w:rPr>
                  </w:pPr>
                  <w:r>
                    <w:rPr>
                      <w:color w:val="000000" w:themeColor="text1"/>
                      <w:szCs w:val="21"/>
                    </w:rPr>
                    <w:t>18</w:t>
                  </w:r>
                </w:p>
              </w:tc>
              <w:tc>
                <w:tcPr>
                  <w:tcW w:w="708"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8" w:type="dxa"/>
                  <w:gridSpan w:val="9"/>
                  <w:vAlign w:val="center"/>
                </w:tcPr>
                <w:p>
                  <w:pPr>
                    <w:pStyle w:val="31"/>
                    <w:spacing w:line="360" w:lineRule="exact"/>
                    <w:ind w:firstLine="210" w:firstLineChars="100"/>
                    <w:jc w:val="left"/>
                    <w:rPr>
                      <w:color w:val="000000" w:themeColor="text1"/>
                      <w:szCs w:val="21"/>
                    </w:rPr>
                  </w:pPr>
                  <w:r>
                    <w:rPr>
                      <w:color w:val="000000" w:themeColor="text1"/>
                      <w:szCs w:val="21"/>
                    </w:rPr>
                    <w:t>备注：“”表示原有项目投资或已投资，不计入本次投资范围内。</w:t>
                  </w:r>
                </w:p>
              </w:tc>
            </w:tr>
          </w:tbl>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hint="eastAsia"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1000"/>
        <w:gridCol w:w="853"/>
        <w:gridCol w:w="860"/>
        <w:gridCol w:w="1135"/>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713"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3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大气环境</w:t>
            </w:r>
          </w:p>
        </w:tc>
        <w:tc>
          <w:tcPr>
            <w:tcW w:w="1853" w:type="dxa"/>
            <w:gridSpan w:val="2"/>
            <w:vMerge w:val="restart"/>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待宰间、屠宰间、污水处理系统等区域</w:t>
            </w:r>
          </w:p>
        </w:tc>
        <w:tc>
          <w:tcPr>
            <w:tcW w:w="860" w:type="dxa"/>
            <w:vMerge w:val="restart"/>
            <w:vAlign w:val="center"/>
          </w:tcPr>
          <w:p>
            <w:pPr>
              <w:pStyle w:val="31"/>
              <w:spacing w:line="360" w:lineRule="exact"/>
              <w:rPr>
                <w:color w:val="000000" w:themeColor="text1"/>
                <w:szCs w:val="21"/>
              </w:rPr>
            </w:pPr>
            <w:r>
              <w:rPr>
                <w:color w:val="000000" w:themeColor="text1"/>
                <w:szCs w:val="21"/>
              </w:rPr>
              <w:t>无组织</w:t>
            </w:r>
          </w:p>
        </w:tc>
        <w:tc>
          <w:tcPr>
            <w:tcW w:w="1135" w:type="dxa"/>
            <w:vAlign w:val="center"/>
          </w:tcPr>
          <w:p>
            <w:pPr>
              <w:pStyle w:val="31"/>
              <w:rPr>
                <w:color w:val="000000" w:themeColor="text1"/>
                <w:szCs w:val="21"/>
              </w:rPr>
            </w:pPr>
            <w:r>
              <w:rPr>
                <w:rFonts w:hint="eastAsia"/>
                <w:color w:val="000000" w:themeColor="text1"/>
                <w:szCs w:val="21"/>
              </w:rPr>
              <w:t>氨</w:t>
            </w:r>
          </w:p>
        </w:tc>
        <w:tc>
          <w:tcPr>
            <w:tcW w:w="2983" w:type="dxa"/>
            <w:vMerge w:val="restart"/>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通过加强对屠宰间、待宰间进行清洗，及时及时清运粪便，喷洒除臭剂等方式进行除臭。</w:t>
            </w:r>
          </w:p>
        </w:tc>
        <w:tc>
          <w:tcPr>
            <w:tcW w:w="1719" w:type="dxa"/>
            <w:vMerge w:val="restart"/>
            <w:vAlign w:val="center"/>
          </w:tcPr>
          <w:p>
            <w:pPr>
              <w:pStyle w:val="31"/>
              <w:spacing w:line="360" w:lineRule="exact"/>
              <w:ind w:firstLine="210" w:firstLineChars="100"/>
              <w:jc w:val="both"/>
              <w:rPr>
                <w:color w:val="000000" w:themeColor="text1"/>
                <w:szCs w:val="21"/>
              </w:rPr>
            </w:pPr>
            <w:r>
              <w:rPr>
                <w:color w:val="000000" w:themeColor="text1"/>
                <w:szCs w:val="21"/>
              </w:rPr>
              <w:t>《恶臭污染物排放标准》（GB14554-93）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pStyle w:val="31"/>
              <w:spacing w:line="360" w:lineRule="exact"/>
              <w:rPr>
                <w:rFonts w:eastAsiaTheme="minorEastAsia"/>
                <w:color w:val="000000" w:themeColor="text1"/>
                <w:szCs w:val="21"/>
              </w:rPr>
            </w:pPr>
          </w:p>
        </w:tc>
        <w:tc>
          <w:tcPr>
            <w:tcW w:w="1853" w:type="dxa"/>
            <w:gridSpan w:val="2"/>
            <w:vMerge w:val="continue"/>
            <w:vAlign w:val="center"/>
          </w:tcPr>
          <w:p>
            <w:pPr>
              <w:pStyle w:val="31"/>
              <w:spacing w:line="360" w:lineRule="exact"/>
              <w:rPr>
                <w:rFonts w:eastAsiaTheme="minorEastAsia"/>
                <w:color w:val="000000" w:themeColor="text1"/>
                <w:szCs w:val="21"/>
              </w:rPr>
            </w:pPr>
          </w:p>
        </w:tc>
        <w:tc>
          <w:tcPr>
            <w:tcW w:w="860" w:type="dxa"/>
            <w:vMerge w:val="continue"/>
            <w:vAlign w:val="center"/>
          </w:tcPr>
          <w:p>
            <w:pPr>
              <w:pStyle w:val="31"/>
              <w:spacing w:line="360" w:lineRule="exact"/>
              <w:rPr>
                <w:color w:val="000000" w:themeColor="text1"/>
                <w:szCs w:val="21"/>
              </w:rPr>
            </w:pPr>
          </w:p>
        </w:tc>
        <w:tc>
          <w:tcPr>
            <w:tcW w:w="1135" w:type="dxa"/>
            <w:vAlign w:val="center"/>
          </w:tcPr>
          <w:p>
            <w:pPr>
              <w:pStyle w:val="31"/>
              <w:rPr>
                <w:color w:val="000000" w:themeColor="text1"/>
                <w:szCs w:val="21"/>
              </w:rPr>
            </w:pPr>
            <w:r>
              <w:rPr>
                <w:rFonts w:hint="eastAsia"/>
                <w:color w:val="000000" w:themeColor="text1"/>
                <w:szCs w:val="21"/>
              </w:rPr>
              <w:t>硫化氢</w:t>
            </w:r>
          </w:p>
        </w:tc>
        <w:tc>
          <w:tcPr>
            <w:tcW w:w="2983" w:type="dxa"/>
            <w:vMerge w:val="continue"/>
            <w:vAlign w:val="center"/>
          </w:tcPr>
          <w:p>
            <w:pPr>
              <w:pStyle w:val="31"/>
              <w:spacing w:line="360" w:lineRule="exact"/>
              <w:ind w:firstLine="210" w:firstLineChars="100"/>
              <w:jc w:val="both"/>
              <w:rPr>
                <w:color w:val="000000" w:themeColor="text1"/>
                <w:szCs w:val="21"/>
              </w:rPr>
            </w:pPr>
          </w:p>
        </w:tc>
        <w:tc>
          <w:tcPr>
            <w:tcW w:w="1719" w:type="dxa"/>
            <w:vMerge w:val="continue"/>
            <w:vAlign w:val="center"/>
          </w:tcPr>
          <w:p>
            <w:pPr>
              <w:pStyle w:val="31"/>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 w:hRule="atLeast"/>
          <w:jc w:val="center"/>
        </w:trPr>
        <w:tc>
          <w:tcPr>
            <w:tcW w:w="806" w:type="dxa"/>
            <w:vMerge w:val="continue"/>
            <w:vAlign w:val="center"/>
          </w:tcPr>
          <w:p>
            <w:pPr>
              <w:pStyle w:val="31"/>
              <w:spacing w:line="360" w:lineRule="exact"/>
              <w:rPr>
                <w:rFonts w:eastAsiaTheme="minorEastAsia"/>
                <w:color w:val="000000" w:themeColor="text1"/>
                <w:szCs w:val="21"/>
              </w:rPr>
            </w:pPr>
          </w:p>
        </w:tc>
        <w:tc>
          <w:tcPr>
            <w:tcW w:w="1853" w:type="dxa"/>
            <w:gridSpan w:val="2"/>
            <w:vMerge w:val="continue"/>
            <w:vAlign w:val="center"/>
          </w:tcPr>
          <w:p>
            <w:pPr>
              <w:pStyle w:val="31"/>
              <w:spacing w:line="360" w:lineRule="exact"/>
              <w:rPr>
                <w:rFonts w:eastAsiaTheme="minorEastAsia"/>
                <w:color w:val="000000" w:themeColor="text1"/>
                <w:szCs w:val="21"/>
              </w:rPr>
            </w:pPr>
          </w:p>
        </w:tc>
        <w:tc>
          <w:tcPr>
            <w:tcW w:w="860" w:type="dxa"/>
            <w:vMerge w:val="continue"/>
            <w:vAlign w:val="center"/>
          </w:tcPr>
          <w:p>
            <w:pPr>
              <w:pStyle w:val="31"/>
              <w:spacing w:line="360" w:lineRule="exact"/>
              <w:rPr>
                <w:color w:val="000000" w:themeColor="text1"/>
                <w:szCs w:val="21"/>
              </w:rPr>
            </w:pPr>
          </w:p>
        </w:tc>
        <w:tc>
          <w:tcPr>
            <w:tcW w:w="1135" w:type="dxa"/>
            <w:vAlign w:val="center"/>
          </w:tcPr>
          <w:p>
            <w:pPr>
              <w:pStyle w:val="31"/>
              <w:rPr>
                <w:color w:val="000000" w:themeColor="text1"/>
                <w:szCs w:val="21"/>
              </w:rPr>
            </w:pPr>
            <w:r>
              <w:rPr>
                <w:rFonts w:hint="eastAsia"/>
                <w:color w:val="000000" w:themeColor="text1"/>
                <w:szCs w:val="21"/>
              </w:rPr>
              <w:t>臭气浓度</w:t>
            </w:r>
          </w:p>
        </w:tc>
        <w:tc>
          <w:tcPr>
            <w:tcW w:w="2983" w:type="dxa"/>
            <w:vMerge w:val="continue"/>
            <w:vAlign w:val="center"/>
          </w:tcPr>
          <w:p>
            <w:pPr>
              <w:pStyle w:val="31"/>
              <w:spacing w:line="360" w:lineRule="exact"/>
              <w:ind w:firstLine="210" w:firstLineChars="100"/>
              <w:jc w:val="both"/>
              <w:rPr>
                <w:color w:val="000000" w:themeColor="text1"/>
                <w:szCs w:val="21"/>
              </w:rPr>
            </w:pPr>
          </w:p>
        </w:tc>
        <w:tc>
          <w:tcPr>
            <w:tcW w:w="1719" w:type="dxa"/>
            <w:vMerge w:val="continue"/>
            <w:vAlign w:val="center"/>
          </w:tcPr>
          <w:p>
            <w:pPr>
              <w:pStyle w:val="31"/>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地表水环境</w:t>
            </w:r>
          </w:p>
        </w:tc>
        <w:tc>
          <w:tcPr>
            <w:tcW w:w="1853"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待宰间及屠宰间</w:t>
            </w:r>
          </w:p>
        </w:tc>
        <w:tc>
          <w:tcPr>
            <w:tcW w:w="860"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其他（经处理后土地利用）</w:t>
            </w:r>
          </w:p>
        </w:tc>
        <w:tc>
          <w:tcPr>
            <w:tcW w:w="113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生产废水</w:t>
            </w:r>
          </w:p>
        </w:tc>
        <w:tc>
          <w:tcPr>
            <w:tcW w:w="2983" w:type="dxa"/>
            <w:vAlign w:val="center"/>
          </w:tcPr>
          <w:p>
            <w:pPr>
              <w:pStyle w:val="31"/>
              <w:spacing w:line="360" w:lineRule="exact"/>
              <w:ind w:firstLine="210" w:firstLineChars="100"/>
              <w:jc w:val="both"/>
              <w:rPr>
                <w:color w:val="000000" w:themeColor="text1"/>
                <w:szCs w:val="21"/>
              </w:rPr>
            </w:pPr>
            <w:r>
              <w:rPr>
                <w:color w:val="000000" w:themeColor="text1"/>
                <w:szCs w:val="21"/>
              </w:rPr>
              <w:t>生产废水进入1个处理能力为150m³/d的污水处理站处理，处理后用于项目区周围农田（旱地作物）灌溉，不直接排入环境。</w:t>
            </w:r>
          </w:p>
        </w:tc>
        <w:tc>
          <w:tcPr>
            <w:tcW w:w="1719" w:type="dxa"/>
            <w:vMerge w:val="restart"/>
            <w:vAlign w:val="center"/>
          </w:tcPr>
          <w:p>
            <w:pPr>
              <w:pStyle w:val="31"/>
              <w:spacing w:line="360" w:lineRule="exact"/>
              <w:ind w:firstLine="210" w:firstLineChars="100"/>
              <w:jc w:val="both"/>
              <w:rPr>
                <w:rFonts w:eastAsiaTheme="minorEastAsia"/>
                <w:color w:val="000000" w:themeColor="text1"/>
              </w:rPr>
            </w:pPr>
            <w:r>
              <w:rPr>
                <w:rFonts w:hint="eastAsia"/>
                <w:color w:val="000000" w:themeColor="text1"/>
                <w:szCs w:val="21"/>
              </w:rPr>
              <w:t>《农田灌溉水质标准》（GB5084-2021）中表1中旱地作物标准限值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pStyle w:val="31"/>
              <w:spacing w:line="360" w:lineRule="exact"/>
              <w:rPr>
                <w:rFonts w:eastAsiaTheme="minorEastAsia"/>
                <w:color w:val="000000" w:themeColor="text1"/>
                <w:szCs w:val="21"/>
              </w:rPr>
            </w:pPr>
          </w:p>
        </w:tc>
        <w:tc>
          <w:tcPr>
            <w:tcW w:w="1853"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员工生活</w:t>
            </w:r>
          </w:p>
        </w:tc>
        <w:tc>
          <w:tcPr>
            <w:tcW w:w="860" w:type="dxa"/>
            <w:vMerge w:val="continue"/>
            <w:vAlign w:val="center"/>
          </w:tcPr>
          <w:p>
            <w:pPr>
              <w:pStyle w:val="31"/>
              <w:spacing w:line="360" w:lineRule="exact"/>
              <w:rPr>
                <w:rFonts w:eastAsiaTheme="minorEastAsia"/>
                <w:color w:val="000000" w:themeColor="text1"/>
                <w:szCs w:val="21"/>
              </w:rPr>
            </w:pPr>
          </w:p>
        </w:tc>
        <w:tc>
          <w:tcPr>
            <w:tcW w:w="113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生活污水</w:t>
            </w:r>
          </w:p>
        </w:tc>
        <w:tc>
          <w:tcPr>
            <w:tcW w:w="2983" w:type="dxa"/>
            <w:vAlign w:val="center"/>
          </w:tcPr>
          <w:p>
            <w:pPr>
              <w:pStyle w:val="31"/>
              <w:spacing w:line="360" w:lineRule="exact"/>
              <w:ind w:firstLine="210" w:firstLineChars="100"/>
              <w:jc w:val="both"/>
              <w:rPr>
                <w:color w:val="000000" w:themeColor="text1"/>
                <w:szCs w:val="21"/>
              </w:rPr>
            </w:pPr>
            <w:r>
              <w:rPr>
                <w:color w:val="000000" w:themeColor="text1"/>
                <w:szCs w:val="21"/>
              </w:rPr>
              <w:t>生活污水经1个6m³的化粪池预处理后再进入1个处理能力为150m³/d的污水处理站处理，处理后用于项目区周围农田（旱地作物）灌溉，不直接排入环境。</w:t>
            </w:r>
          </w:p>
        </w:tc>
        <w:tc>
          <w:tcPr>
            <w:tcW w:w="1719" w:type="dxa"/>
            <w:vMerge w:val="continue"/>
            <w:vAlign w:val="center"/>
          </w:tcPr>
          <w:p>
            <w:pPr>
              <w:pStyle w:val="31"/>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pStyle w:val="31"/>
              <w:spacing w:line="360" w:lineRule="exact"/>
              <w:rPr>
                <w:rFonts w:eastAsiaTheme="minorEastAsia"/>
                <w:color w:val="000000" w:themeColor="text1"/>
                <w:szCs w:val="21"/>
              </w:rPr>
            </w:pPr>
          </w:p>
        </w:tc>
        <w:tc>
          <w:tcPr>
            <w:tcW w:w="1853"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消毒区</w:t>
            </w:r>
          </w:p>
        </w:tc>
        <w:tc>
          <w:tcPr>
            <w:tcW w:w="860" w:type="dxa"/>
            <w:vMerge w:val="continue"/>
            <w:vAlign w:val="center"/>
          </w:tcPr>
          <w:p>
            <w:pPr>
              <w:pStyle w:val="31"/>
              <w:spacing w:line="360" w:lineRule="exact"/>
              <w:rPr>
                <w:rFonts w:eastAsiaTheme="minorEastAsia"/>
                <w:color w:val="000000" w:themeColor="text1"/>
                <w:szCs w:val="21"/>
              </w:rPr>
            </w:pPr>
          </w:p>
        </w:tc>
        <w:tc>
          <w:tcPr>
            <w:tcW w:w="113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消毒废水</w:t>
            </w:r>
          </w:p>
        </w:tc>
        <w:tc>
          <w:tcPr>
            <w:tcW w:w="2983" w:type="dxa"/>
            <w:vAlign w:val="center"/>
          </w:tcPr>
          <w:p>
            <w:pPr>
              <w:pStyle w:val="31"/>
              <w:spacing w:line="360" w:lineRule="exact"/>
              <w:ind w:firstLine="210" w:firstLineChars="100"/>
              <w:jc w:val="both"/>
              <w:rPr>
                <w:color w:val="000000" w:themeColor="text1"/>
                <w:szCs w:val="21"/>
              </w:rPr>
            </w:pPr>
            <w:r>
              <w:rPr>
                <w:color w:val="000000" w:themeColor="text1"/>
                <w:szCs w:val="21"/>
              </w:rPr>
              <w:t>消毒废水进入1个处理能力为150m³/d的污水处理站处理，处理后用于项目区周围农田（旱地作物）灌溉，不直接排入环境。</w:t>
            </w:r>
          </w:p>
        </w:tc>
        <w:tc>
          <w:tcPr>
            <w:tcW w:w="1719" w:type="dxa"/>
            <w:vMerge w:val="continue"/>
            <w:vAlign w:val="center"/>
          </w:tcPr>
          <w:p>
            <w:pPr>
              <w:pStyle w:val="31"/>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pStyle w:val="31"/>
              <w:spacing w:line="360" w:lineRule="exact"/>
              <w:rPr>
                <w:rFonts w:eastAsiaTheme="minorEastAsia"/>
                <w:color w:val="000000" w:themeColor="text1"/>
                <w:szCs w:val="21"/>
              </w:rPr>
            </w:pPr>
          </w:p>
        </w:tc>
        <w:tc>
          <w:tcPr>
            <w:tcW w:w="1853" w:type="dxa"/>
            <w:gridSpan w:val="2"/>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厂区范围</w:t>
            </w:r>
          </w:p>
        </w:tc>
        <w:tc>
          <w:tcPr>
            <w:tcW w:w="860" w:type="dxa"/>
            <w:vMerge w:val="continue"/>
            <w:vAlign w:val="center"/>
          </w:tcPr>
          <w:p>
            <w:pPr>
              <w:pStyle w:val="31"/>
              <w:spacing w:line="360" w:lineRule="exact"/>
              <w:rPr>
                <w:rFonts w:eastAsiaTheme="minorEastAsia"/>
                <w:color w:val="000000" w:themeColor="text1"/>
                <w:szCs w:val="21"/>
              </w:rPr>
            </w:pPr>
          </w:p>
        </w:tc>
        <w:tc>
          <w:tcPr>
            <w:tcW w:w="113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初期雨水</w:t>
            </w:r>
          </w:p>
        </w:tc>
        <w:tc>
          <w:tcPr>
            <w:tcW w:w="2983" w:type="dxa"/>
            <w:vAlign w:val="center"/>
          </w:tcPr>
          <w:p>
            <w:pPr>
              <w:pStyle w:val="31"/>
              <w:spacing w:line="360" w:lineRule="exact"/>
              <w:ind w:firstLine="210" w:firstLineChars="100"/>
              <w:jc w:val="both"/>
              <w:rPr>
                <w:color w:val="000000" w:themeColor="text1"/>
                <w:szCs w:val="21"/>
              </w:rPr>
            </w:pPr>
            <w:r>
              <w:rPr>
                <w:color w:val="000000" w:themeColor="text1"/>
                <w:szCs w:val="21"/>
              </w:rPr>
              <w:t>该改建项目拟配套设置了1个160m³的初期雨水收集池，对厂区的初期雨水收集后进入污水处理站处理，处理后用于项目区周围农田（旱地作物）灌溉，不直接排入环境。</w:t>
            </w:r>
          </w:p>
        </w:tc>
        <w:tc>
          <w:tcPr>
            <w:tcW w:w="1719" w:type="dxa"/>
            <w:vMerge w:val="continue"/>
            <w:vAlign w:val="center"/>
          </w:tcPr>
          <w:p>
            <w:pPr>
              <w:pStyle w:val="31"/>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853" w:type="dxa"/>
            <w:gridSpan w:val="2"/>
            <w:vMerge w:val="continue"/>
            <w:vAlign w:val="center"/>
          </w:tcPr>
          <w:p>
            <w:pPr>
              <w:pStyle w:val="31"/>
              <w:spacing w:line="360" w:lineRule="exact"/>
              <w:rPr>
                <w:rFonts w:eastAsiaTheme="minorEastAsia"/>
                <w:color w:val="000000" w:themeColor="text1"/>
                <w:szCs w:val="21"/>
              </w:rPr>
            </w:pPr>
          </w:p>
        </w:tc>
        <w:tc>
          <w:tcPr>
            <w:tcW w:w="86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雨水口</w:t>
            </w:r>
          </w:p>
        </w:tc>
        <w:tc>
          <w:tcPr>
            <w:tcW w:w="113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雨水</w:t>
            </w:r>
          </w:p>
        </w:tc>
        <w:tc>
          <w:tcPr>
            <w:tcW w:w="2983" w:type="dxa"/>
            <w:vAlign w:val="center"/>
          </w:tcPr>
          <w:p>
            <w:pPr>
              <w:pStyle w:val="31"/>
              <w:spacing w:line="360" w:lineRule="exact"/>
              <w:ind w:firstLine="210" w:firstLineChars="100"/>
              <w:jc w:val="both"/>
              <w:rPr>
                <w:color w:val="000000" w:themeColor="text1"/>
                <w:szCs w:val="21"/>
              </w:rPr>
            </w:pPr>
            <w:r>
              <w:rPr>
                <w:color w:val="000000" w:themeColor="text1"/>
                <w:szCs w:val="21"/>
              </w:rPr>
              <w:t>雨水外排。</w:t>
            </w:r>
          </w:p>
        </w:tc>
        <w:tc>
          <w:tcPr>
            <w:tcW w:w="1719" w:type="dxa"/>
            <w:vAlign w:val="center"/>
          </w:tcPr>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1000" w:type="dxa"/>
            <w:vMerge w:val="restart"/>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刺杀</w:t>
            </w:r>
            <w:r>
              <w:rPr>
                <w:rFonts w:ascii="Times New Roman" w:hAnsi="Times New Roman" w:cs="Times New Roman"/>
                <w:bCs/>
                <w:snapToGrid w:val="0"/>
                <w:color w:val="000000" w:themeColor="text1"/>
                <w:kern w:val="32"/>
                <w:lang w:val="zh-CN"/>
              </w:rPr>
              <w:t>放血</w:t>
            </w: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升降机</w:t>
            </w:r>
          </w:p>
        </w:tc>
        <w:tc>
          <w:tcPr>
            <w:tcW w:w="1135" w:type="dxa"/>
            <w:vMerge w:val="restart"/>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LeqdB（A）</w:t>
            </w:r>
          </w:p>
        </w:tc>
        <w:tc>
          <w:tcPr>
            <w:tcW w:w="2983"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w:t>
            </w:r>
            <w:r>
              <w:rPr>
                <w:rFonts w:hint="eastAsia" w:eastAsiaTheme="minorEastAsia"/>
                <w:color w:val="000000" w:themeColor="text1"/>
                <w:szCs w:val="21"/>
              </w:rPr>
              <w:t>2</w:t>
            </w:r>
            <w:r>
              <w:rPr>
                <w:rFonts w:eastAsiaTheme="minorEastAsia"/>
                <w:color w:val="000000" w:themeColor="text1"/>
                <w:szCs w:val="21"/>
              </w:rPr>
              <w:t>类</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喂入装置</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推板式放血自动线</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tcBorders>
              <w:top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褪毛清洗</w:t>
            </w: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tcBorders>
              <w:top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开膛分割</w:t>
            </w: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白条提升机</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tcBorders>
              <w:top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桥式劈半锯</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白条自动切割线</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快速转送机</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污水处理站</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猪叫声</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污水处理站</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格渣及污水处理污泥</w:t>
            </w:r>
          </w:p>
        </w:tc>
        <w:tc>
          <w:tcPr>
            <w:tcW w:w="2983" w:type="dxa"/>
            <w:tcBorders>
              <w:bottom w:val="single" w:color="auto" w:sz="4" w:space="0"/>
            </w:tcBorders>
            <w:vAlign w:val="center"/>
          </w:tcPr>
          <w:p>
            <w:pPr>
              <w:pStyle w:val="31"/>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委托昆明市东川区铜都街道龙洞村民委员会运输至合法处置场所进行无害化焚烧处置</w:t>
            </w:r>
          </w:p>
        </w:tc>
        <w:tc>
          <w:tcPr>
            <w:tcW w:w="1719"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屠宰</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猪毛</w:t>
            </w:r>
          </w:p>
        </w:tc>
        <w:tc>
          <w:tcPr>
            <w:tcW w:w="2983" w:type="dxa"/>
            <w:tcBorders>
              <w:bottom w:val="single" w:color="auto" w:sz="4" w:space="0"/>
            </w:tcBorders>
            <w:vAlign w:val="center"/>
          </w:tcPr>
          <w:p>
            <w:pPr>
              <w:pStyle w:val="31"/>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猪毛统一收集后由收购单位统一收集外卖相关厂家作为生产原料使用。</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检疫区</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医疗废物</w:t>
            </w:r>
          </w:p>
        </w:tc>
        <w:tc>
          <w:tcPr>
            <w:tcW w:w="2983" w:type="dxa"/>
            <w:tcBorders>
              <w:bottom w:val="single" w:color="auto" w:sz="4" w:space="0"/>
            </w:tcBorders>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在医疗废物暂存间暂存</w:t>
            </w:r>
            <w:r>
              <w:rPr>
                <w:rFonts w:hint="eastAsia" w:eastAsiaTheme="minorEastAsia"/>
                <w:color w:val="000000" w:themeColor="text1"/>
                <w:szCs w:val="21"/>
              </w:rPr>
              <w:t>后，</w:t>
            </w:r>
            <w:r>
              <w:rPr>
                <w:rFonts w:eastAsiaTheme="minorEastAsia"/>
                <w:color w:val="000000" w:themeColor="text1"/>
                <w:szCs w:val="21"/>
              </w:rPr>
              <w:t>委托云南正晓环保投资有限公司处理</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办公楼</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生活垃圾</w:t>
            </w:r>
          </w:p>
        </w:tc>
        <w:tc>
          <w:tcPr>
            <w:tcW w:w="2983" w:type="dxa"/>
            <w:tcBorders>
              <w:bottom w:val="single" w:color="auto" w:sz="4" w:space="0"/>
            </w:tcBorders>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tcBorders>
              <w:top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待宰间</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病死猪</w:t>
            </w:r>
          </w:p>
        </w:tc>
        <w:tc>
          <w:tcPr>
            <w:tcW w:w="2983" w:type="dxa"/>
            <w:tcBorders>
              <w:top w:val="single" w:color="auto" w:sz="4" w:space="0"/>
              <w:bottom w:val="single" w:color="auto" w:sz="4" w:space="0"/>
            </w:tcBorders>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设置1个170m³的发酵池对病死猪进行无害化处理</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发酵池</w:t>
            </w:r>
          </w:p>
        </w:tc>
        <w:tc>
          <w:tcPr>
            <w:tcW w:w="1135" w:type="dxa"/>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发酵池产物</w:t>
            </w:r>
          </w:p>
        </w:tc>
        <w:tc>
          <w:tcPr>
            <w:tcW w:w="2983" w:type="dxa"/>
            <w:tcBorders>
              <w:top w:val="single" w:color="auto" w:sz="4" w:space="0"/>
            </w:tcBorders>
            <w:vAlign w:val="center"/>
          </w:tcPr>
          <w:p>
            <w:pPr>
              <w:pStyle w:val="31"/>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定期清运后作为有机肥用于周围农田施肥。</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项目重点防渗区为医疗废物暂存间和发酵池：医疗废物暂存间地面</w:t>
            </w:r>
            <w:r>
              <w:rPr>
                <w:rFonts w:hint="eastAsia" w:eastAsiaTheme="minorEastAsia"/>
                <w:color w:val="000000" w:themeColor="text1"/>
                <w:sz w:val="24"/>
                <w:szCs w:val="21"/>
              </w:rPr>
              <w:t>、</w:t>
            </w:r>
            <w:r>
              <w:rPr>
                <w:rFonts w:eastAsiaTheme="minorEastAsia"/>
                <w:color w:val="000000" w:themeColor="text1"/>
                <w:sz w:val="24"/>
                <w:szCs w:val="21"/>
              </w:rPr>
              <w:t>裙墙</w:t>
            </w:r>
            <w:r>
              <w:rPr>
                <w:rFonts w:hint="eastAsia" w:eastAsiaTheme="minorEastAsia"/>
                <w:color w:val="000000" w:themeColor="text1"/>
                <w:sz w:val="24"/>
                <w:szCs w:val="21"/>
              </w:rPr>
              <w:t>以及发酵池内部</w:t>
            </w:r>
            <w:r>
              <w:rPr>
                <w:rFonts w:eastAsiaTheme="minorEastAsia"/>
                <w:color w:val="000000" w:themeColor="text1"/>
                <w:sz w:val="24"/>
                <w:szCs w:val="21"/>
              </w:rPr>
              <w:t>应采用2mm厚的HDPE膜或其他材料进行防渗，其渗透系数≤10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根据分区防渗规范要求，项目屠宰车间、污水处理站、初期雨水收集池区域划定为一般防渗区，</w:t>
            </w:r>
            <w:r>
              <w:rPr>
                <w:rFonts w:hint="eastAsia" w:eastAsiaTheme="minorEastAsia"/>
                <w:color w:val="000000" w:themeColor="text1"/>
                <w:sz w:val="24"/>
                <w:szCs w:val="21"/>
              </w:rPr>
              <w:t>一般防渗区中</w:t>
            </w:r>
            <w:r>
              <w:rPr>
                <w:rFonts w:eastAsiaTheme="minorEastAsia"/>
                <w:color w:val="000000" w:themeColor="text1"/>
                <w:sz w:val="24"/>
                <w:szCs w:val="21"/>
              </w:rPr>
              <w:t>屠宰车间地面采取粘土铺底，并在上层铺30cm的混凝土进行硬化，其渗透系数≤1.0×10-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r>
              <w:rPr>
                <w:rFonts w:hint="eastAsia" w:eastAsiaTheme="minorEastAsia"/>
                <w:color w:val="000000" w:themeColor="text1"/>
                <w:sz w:val="24"/>
                <w:szCs w:val="21"/>
              </w:rPr>
              <w:t>，而</w:t>
            </w:r>
            <w:r>
              <w:rPr>
                <w:rFonts w:eastAsiaTheme="minorEastAsia"/>
                <w:color w:val="000000" w:themeColor="text1"/>
                <w:sz w:val="24"/>
                <w:szCs w:val="21"/>
              </w:rPr>
              <w:t>污水处理站、初期雨水收集池</w:t>
            </w:r>
            <w:r>
              <w:rPr>
                <w:rFonts w:hint="eastAsia" w:eastAsiaTheme="minorEastAsia"/>
                <w:color w:val="000000" w:themeColor="text1"/>
                <w:sz w:val="24"/>
                <w:szCs w:val="21"/>
              </w:rPr>
              <w:t>应采用</w:t>
            </w:r>
            <w:r>
              <w:rPr>
                <w:rFonts w:eastAsiaTheme="minorEastAsia"/>
                <w:color w:val="000000" w:themeColor="text1"/>
                <w:sz w:val="24"/>
                <w:szCs w:val="21"/>
              </w:rPr>
              <w:t>HDPE膜</w:t>
            </w:r>
            <w:r>
              <w:rPr>
                <w:rFonts w:hint="eastAsia" w:eastAsiaTheme="minorEastAsia"/>
                <w:color w:val="000000" w:themeColor="text1"/>
                <w:sz w:val="24"/>
                <w:szCs w:val="21"/>
              </w:rPr>
              <w:t>或其他材料防渗，确保其</w:t>
            </w:r>
            <w:r>
              <w:rPr>
                <w:rFonts w:eastAsiaTheme="minorEastAsia"/>
                <w:color w:val="000000" w:themeColor="text1"/>
                <w:sz w:val="24"/>
                <w:szCs w:val="21"/>
              </w:rPr>
              <w:t>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1"/>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根据该改建项目环境影响途经，提出以下风险防范措施：</w:t>
            </w:r>
          </w:p>
          <w:p>
            <w:pPr>
              <w:pStyle w:val="31"/>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次氯酸钠入库时，严格检验物品质量、数量、包装情况、有无泄漏。入库后应采取适当的养护措施，在贮存期内，定期检查，发现其品质变化、包装破损、渗漏等，应及时处理。</w:t>
            </w:r>
          </w:p>
          <w:p>
            <w:pPr>
              <w:pStyle w:val="31"/>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项目区配备相应品种的消防器材；</w:t>
            </w:r>
          </w:p>
          <w:p>
            <w:pPr>
              <w:pStyle w:val="31"/>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③</w:t>
            </w:r>
            <w:r>
              <w:rPr>
                <w:rFonts w:eastAsiaTheme="minorEastAsia"/>
                <w:color w:val="000000" w:themeColor="text1"/>
                <w:sz w:val="24"/>
                <w:szCs w:val="21"/>
              </w:rPr>
              <w:t>严格按照安全、消防部门以及安全预评价的要求存储区出入口处设置消防设备。</w:t>
            </w:r>
          </w:p>
          <w:p>
            <w:pPr>
              <w:pStyle w:val="31"/>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④</w:t>
            </w:r>
            <w:r>
              <w:rPr>
                <w:rFonts w:eastAsiaTheme="minorEastAsia"/>
                <w:color w:val="000000" w:themeColor="text1"/>
                <w:sz w:val="24"/>
                <w:szCs w:val="21"/>
              </w:rPr>
              <w:t>强化禁火区域安全管理，严禁烟火，将生产、储存装置区域列为禁火区，区内加强火源管理，严禁吸烟。</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项目</w:t>
            </w:r>
            <w:r>
              <w:rPr>
                <w:rFonts w:hint="eastAsia" w:eastAsiaTheme="minorEastAsia"/>
                <w:color w:val="000000" w:themeColor="text1"/>
                <w:sz w:val="24"/>
                <w:szCs w:val="21"/>
              </w:rPr>
              <w:t>已</w:t>
            </w:r>
            <w:r>
              <w:rPr>
                <w:rFonts w:eastAsiaTheme="minorEastAsia"/>
                <w:color w:val="000000" w:themeColor="text1"/>
                <w:sz w:val="24"/>
                <w:szCs w:val="21"/>
              </w:rPr>
              <w:t>设置</w:t>
            </w:r>
            <w:r>
              <w:rPr>
                <w:rFonts w:hint="eastAsia" w:eastAsiaTheme="minorEastAsia"/>
                <w:color w:val="000000" w:themeColor="text1"/>
                <w:sz w:val="24"/>
                <w:szCs w:val="21"/>
              </w:rPr>
              <w:t>了</w:t>
            </w:r>
            <w:r>
              <w:rPr>
                <w:rFonts w:eastAsiaTheme="minorEastAsia"/>
                <w:color w:val="000000" w:themeColor="text1"/>
                <w:sz w:val="24"/>
                <w:szCs w:val="21"/>
              </w:rPr>
              <w:t>1个有效容积</w:t>
            </w:r>
            <w:r>
              <w:rPr>
                <w:rFonts w:hint="eastAsia" w:eastAsiaTheme="minorEastAsia"/>
                <w:color w:val="000000" w:themeColor="text1"/>
                <w:sz w:val="24"/>
                <w:szCs w:val="21"/>
              </w:rPr>
              <w:t>为20</w:t>
            </w:r>
            <w:r>
              <w:rPr>
                <w:rFonts w:eastAsiaTheme="minorEastAsia"/>
                <w:color w:val="000000" w:themeColor="text1"/>
                <w:sz w:val="24"/>
                <w:szCs w:val="21"/>
              </w:rPr>
              <w:t>m³的应急池</w:t>
            </w:r>
            <w:r>
              <w:rPr>
                <w:rFonts w:hint="eastAsia" w:eastAsiaTheme="minorEastAsia"/>
                <w:color w:val="000000" w:themeColor="text1"/>
                <w:sz w:val="24"/>
                <w:szCs w:val="21"/>
              </w:rPr>
              <w:t>，</w:t>
            </w:r>
            <w:r>
              <w:rPr>
                <w:rFonts w:eastAsiaTheme="minorEastAsia"/>
                <w:color w:val="000000" w:themeColor="text1"/>
                <w:sz w:val="24"/>
                <w:szCs w:val="21"/>
              </w:rPr>
              <w:t>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1"/>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建设单位按照</w:t>
            </w:r>
            <w:r>
              <w:rPr>
                <w:rFonts w:hint="eastAsia" w:eastAsiaTheme="minorEastAsia"/>
                <w:color w:val="000000" w:themeColor="text1"/>
                <w:sz w:val="24"/>
                <w:szCs w:val="21"/>
              </w:rPr>
              <w:t>医疗废物</w:t>
            </w:r>
            <w:r>
              <w:rPr>
                <w:rFonts w:eastAsiaTheme="minorEastAsia"/>
                <w:color w:val="000000" w:themeColor="text1"/>
                <w:sz w:val="24"/>
                <w:szCs w:val="21"/>
              </w:rPr>
              <w:t>管理的规范要求，设置</w:t>
            </w:r>
            <w:r>
              <w:rPr>
                <w:rFonts w:hint="eastAsia" w:eastAsiaTheme="minorEastAsia"/>
                <w:color w:val="000000" w:themeColor="text1"/>
                <w:sz w:val="24"/>
                <w:szCs w:val="21"/>
              </w:rPr>
              <w:t>医疗废物</w:t>
            </w:r>
            <w:r>
              <w:rPr>
                <w:rFonts w:eastAsiaTheme="minorEastAsia"/>
                <w:color w:val="000000" w:themeColor="text1"/>
                <w:sz w:val="24"/>
                <w:szCs w:val="21"/>
              </w:rPr>
              <w:t>识别标志、环境保护图形标志。</w:t>
            </w:r>
          </w:p>
          <w:p>
            <w:pPr>
              <w:pStyle w:val="31"/>
              <w:spacing w:line="360" w:lineRule="auto"/>
              <w:ind w:firstLine="240" w:firstLineChars="100"/>
              <w:jc w:val="both"/>
              <w:rPr>
                <w:rFonts w:hint="eastAsia"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hint="eastAsia"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畜禽屠宰有限公司拟建设的昆明市东川区畜禽屠宰有限公司年屠宰7万头生猪改造项目的建设符合国家产业政策，符合相关规划，选址合理，项目建设满足“三线一单”的管理要求，项目选址区域环境空气、地表水环境和声环境质量现状均可达到相应的质量标准要求，该改建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hint="eastAsia"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1"/>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3"/>
        <w:gridCol w:w="2115"/>
        <w:gridCol w:w="1557"/>
        <w:gridCol w:w="1277"/>
        <w:gridCol w:w="1692"/>
        <w:gridCol w:w="1823"/>
        <w:gridCol w:w="1573"/>
        <w:gridCol w:w="1837"/>
        <w:gridCol w:w="13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1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hint="eastAsia" w:ascii="宋体" w:hAnsi="宋体" w:eastAsia="宋体" w:cs="宋体"/>
                <w:color w:val="000000" w:themeColor="text1"/>
              </w:rPr>
              <w:t>①</w:t>
            </w:r>
          </w:p>
        </w:tc>
        <w:tc>
          <w:tcPr>
            <w:tcW w:w="127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hint="eastAsia" w:ascii="宋体" w:hAnsi="宋体" w:eastAsia="宋体" w:cs="宋体"/>
                <w:color w:val="000000" w:themeColor="text1"/>
              </w:rPr>
              <w:t>②</w:t>
            </w:r>
          </w:p>
        </w:tc>
        <w:tc>
          <w:tcPr>
            <w:tcW w:w="169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hint="eastAsia" w:ascii="宋体" w:hAnsi="宋体" w:eastAsia="宋体" w:cs="宋体"/>
                <w:color w:val="000000" w:themeColor="text1"/>
              </w:rPr>
              <w:t>③</w:t>
            </w:r>
          </w:p>
        </w:tc>
        <w:tc>
          <w:tcPr>
            <w:tcW w:w="182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该改建项目排放量（固体废物产生量）</w:t>
            </w:r>
            <w:r>
              <w:rPr>
                <w:rFonts w:hint="eastAsia" w:ascii="宋体" w:hAnsi="宋体" w:eastAsia="宋体" w:cs="宋体"/>
                <w:color w:val="000000" w:themeColor="text1"/>
              </w:rPr>
              <w:t>④</w:t>
            </w:r>
          </w:p>
        </w:tc>
        <w:tc>
          <w:tcPr>
            <w:tcW w:w="157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hint="eastAsia" w:ascii="宋体" w:hAnsi="宋体" w:eastAsia="宋体" w:cs="宋体"/>
                <w:color w:val="000000" w:themeColor="text1"/>
              </w:rPr>
              <w:t>⑤</w:t>
            </w:r>
          </w:p>
        </w:tc>
        <w:tc>
          <w:tcPr>
            <w:tcW w:w="183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该改建项目建成后全厂排放量（固体废物产生量）</w:t>
            </w:r>
            <w:r>
              <w:rPr>
                <w:rFonts w:hint="eastAsia" w:ascii="宋体" w:hAnsi="宋体" w:eastAsia="宋体" w:cs="宋体"/>
                <w:color w:val="000000" w:themeColor="text1"/>
              </w:rPr>
              <w:t>⑥</w:t>
            </w:r>
          </w:p>
        </w:tc>
        <w:tc>
          <w:tcPr>
            <w:tcW w:w="134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hint="eastAsia" w:ascii="宋体" w:hAnsi="宋体" w:eastAsia="宋体" w:cs="宋体"/>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废气</w:t>
            </w:r>
          </w:p>
        </w:tc>
        <w:tc>
          <w:tcPr>
            <w:tcW w:w="2115" w:type="dxa"/>
            <w:vAlign w:val="center"/>
          </w:tcPr>
          <w:p>
            <w:pPr>
              <w:pStyle w:val="31"/>
              <w:spacing w:line="360" w:lineRule="exact"/>
              <w:rPr>
                <w:color w:val="000000" w:themeColor="text1"/>
                <w:szCs w:val="21"/>
              </w:rPr>
            </w:pPr>
            <w:r>
              <w:rPr>
                <w:color w:val="000000" w:themeColor="text1"/>
                <w:szCs w:val="21"/>
              </w:rPr>
              <w:t>氨</w:t>
            </w:r>
          </w:p>
        </w:tc>
        <w:tc>
          <w:tcPr>
            <w:tcW w:w="1557" w:type="dxa"/>
            <w:vAlign w:val="center"/>
          </w:tcPr>
          <w:p>
            <w:pPr>
              <w:pStyle w:val="31"/>
              <w:spacing w:line="360" w:lineRule="exact"/>
              <w:rPr>
                <w:color w:val="000000" w:themeColor="text1"/>
                <w:szCs w:val="21"/>
              </w:rPr>
            </w:pPr>
            <w:r>
              <w:rPr>
                <w:color w:val="000000" w:themeColor="text1"/>
                <w:szCs w:val="21"/>
              </w:rPr>
              <w:t>0.16mg/m³</w:t>
            </w:r>
          </w:p>
        </w:tc>
        <w:tc>
          <w:tcPr>
            <w:tcW w:w="127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692" w:type="dxa"/>
            <w:vAlign w:val="center"/>
          </w:tcPr>
          <w:p>
            <w:pPr>
              <w:pStyle w:val="31"/>
              <w:spacing w:line="360" w:lineRule="exact"/>
              <w:rPr>
                <w:rFonts w:eastAsiaTheme="minorEastAsia"/>
                <w:color w:val="000000" w:themeColor="text1"/>
                <w:szCs w:val="21"/>
              </w:rPr>
            </w:pPr>
            <w:r>
              <w:rPr>
                <w:rFonts w:hint="eastAsia"/>
                <w:color w:val="000000" w:themeColor="text1"/>
                <w:szCs w:val="21"/>
              </w:rPr>
              <w:t>--</w:t>
            </w:r>
          </w:p>
        </w:tc>
        <w:tc>
          <w:tcPr>
            <w:tcW w:w="1823" w:type="dxa"/>
            <w:vAlign w:val="center"/>
          </w:tcPr>
          <w:p>
            <w:pPr>
              <w:pStyle w:val="31"/>
              <w:spacing w:line="360" w:lineRule="exact"/>
              <w:rPr>
                <w:color w:val="000000" w:themeColor="text1"/>
                <w:szCs w:val="21"/>
              </w:rPr>
            </w:pPr>
            <w:r>
              <w:rPr>
                <w:color w:val="000000" w:themeColor="text1"/>
                <w:szCs w:val="21"/>
              </w:rPr>
              <w:t>0.16mg/m³</w:t>
            </w:r>
          </w:p>
        </w:tc>
        <w:tc>
          <w:tcPr>
            <w:tcW w:w="157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37" w:type="dxa"/>
            <w:vAlign w:val="center"/>
          </w:tcPr>
          <w:p>
            <w:pPr>
              <w:pStyle w:val="31"/>
              <w:spacing w:line="360" w:lineRule="exact"/>
              <w:rPr>
                <w:color w:val="000000" w:themeColor="text1"/>
                <w:szCs w:val="21"/>
              </w:rPr>
            </w:pPr>
            <w:r>
              <w:rPr>
                <w:color w:val="000000" w:themeColor="text1"/>
                <w:szCs w:val="21"/>
              </w:rPr>
              <w:t>0.16mg/m³</w:t>
            </w:r>
          </w:p>
        </w:tc>
        <w:tc>
          <w:tcPr>
            <w:tcW w:w="134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1"/>
              <w:spacing w:line="360" w:lineRule="exact"/>
              <w:rPr>
                <w:rFonts w:eastAsiaTheme="minorEastAsia"/>
                <w:color w:val="000000" w:themeColor="text1"/>
                <w:szCs w:val="21"/>
              </w:rPr>
            </w:pPr>
          </w:p>
        </w:tc>
        <w:tc>
          <w:tcPr>
            <w:tcW w:w="2115" w:type="dxa"/>
            <w:vAlign w:val="center"/>
          </w:tcPr>
          <w:p>
            <w:pPr>
              <w:pStyle w:val="31"/>
              <w:spacing w:line="360" w:lineRule="exact"/>
              <w:rPr>
                <w:color w:val="000000" w:themeColor="text1"/>
                <w:szCs w:val="21"/>
              </w:rPr>
            </w:pPr>
            <w:r>
              <w:rPr>
                <w:color w:val="000000" w:themeColor="text1"/>
                <w:szCs w:val="21"/>
              </w:rPr>
              <w:t>硫化氢</w:t>
            </w:r>
          </w:p>
        </w:tc>
        <w:tc>
          <w:tcPr>
            <w:tcW w:w="1557" w:type="dxa"/>
            <w:vAlign w:val="center"/>
          </w:tcPr>
          <w:p>
            <w:pPr>
              <w:pStyle w:val="31"/>
              <w:spacing w:line="360" w:lineRule="exact"/>
              <w:rPr>
                <w:color w:val="000000" w:themeColor="text1"/>
                <w:szCs w:val="21"/>
              </w:rPr>
            </w:pPr>
            <w:r>
              <w:rPr>
                <w:color w:val="000000" w:themeColor="text1"/>
                <w:szCs w:val="21"/>
              </w:rPr>
              <w:t>0.015mg/m³</w:t>
            </w:r>
          </w:p>
        </w:tc>
        <w:tc>
          <w:tcPr>
            <w:tcW w:w="1277" w:type="dxa"/>
            <w:vAlign w:val="center"/>
          </w:tcPr>
          <w:p>
            <w:pPr>
              <w:pStyle w:val="31"/>
              <w:spacing w:line="360" w:lineRule="exact"/>
              <w:rPr>
                <w:color w:val="000000" w:themeColor="text1"/>
                <w:szCs w:val="21"/>
              </w:rPr>
            </w:pPr>
            <w:r>
              <w:rPr>
                <w:rFonts w:hint="eastAsia"/>
                <w:color w:val="000000" w:themeColor="text1"/>
                <w:szCs w:val="21"/>
              </w:rPr>
              <w:t>--</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color w:val="000000" w:themeColor="text1"/>
                <w:szCs w:val="21"/>
              </w:rPr>
            </w:pPr>
            <w:r>
              <w:rPr>
                <w:color w:val="000000" w:themeColor="text1"/>
                <w:szCs w:val="21"/>
              </w:rPr>
              <w:t>0.015mg/m³</w:t>
            </w:r>
          </w:p>
        </w:tc>
        <w:tc>
          <w:tcPr>
            <w:tcW w:w="1573" w:type="dxa"/>
            <w:vAlign w:val="center"/>
          </w:tcPr>
          <w:p>
            <w:pPr>
              <w:pStyle w:val="31"/>
              <w:spacing w:line="360" w:lineRule="exact"/>
              <w:rPr>
                <w:color w:val="000000" w:themeColor="text1"/>
                <w:szCs w:val="21"/>
              </w:rPr>
            </w:pPr>
            <w:r>
              <w:rPr>
                <w:rFonts w:hint="eastAsia"/>
                <w:color w:val="000000" w:themeColor="text1"/>
                <w:szCs w:val="21"/>
              </w:rPr>
              <w:t>0</w:t>
            </w:r>
          </w:p>
        </w:tc>
        <w:tc>
          <w:tcPr>
            <w:tcW w:w="1837" w:type="dxa"/>
            <w:vAlign w:val="center"/>
          </w:tcPr>
          <w:p>
            <w:pPr>
              <w:pStyle w:val="31"/>
              <w:spacing w:line="360" w:lineRule="exact"/>
              <w:rPr>
                <w:color w:val="000000" w:themeColor="text1"/>
                <w:szCs w:val="21"/>
              </w:rPr>
            </w:pPr>
            <w:r>
              <w:rPr>
                <w:color w:val="000000" w:themeColor="text1"/>
                <w:szCs w:val="21"/>
              </w:rPr>
              <w:t>0.015mg/m³</w:t>
            </w:r>
          </w:p>
        </w:tc>
        <w:tc>
          <w:tcPr>
            <w:tcW w:w="134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1"/>
              <w:spacing w:line="360" w:lineRule="exact"/>
              <w:rPr>
                <w:rFonts w:eastAsiaTheme="minorEastAsia"/>
                <w:color w:val="000000" w:themeColor="text1"/>
                <w:szCs w:val="21"/>
              </w:rPr>
            </w:pPr>
          </w:p>
        </w:tc>
        <w:tc>
          <w:tcPr>
            <w:tcW w:w="2115" w:type="dxa"/>
            <w:vAlign w:val="center"/>
          </w:tcPr>
          <w:p>
            <w:pPr>
              <w:pStyle w:val="31"/>
              <w:spacing w:line="360" w:lineRule="exact"/>
              <w:rPr>
                <w:color w:val="000000" w:themeColor="text1"/>
                <w:szCs w:val="21"/>
              </w:rPr>
            </w:pPr>
            <w:r>
              <w:rPr>
                <w:color w:val="000000" w:themeColor="text1"/>
                <w:szCs w:val="21"/>
              </w:rPr>
              <w:t>臭气浓度</w:t>
            </w:r>
          </w:p>
        </w:tc>
        <w:tc>
          <w:tcPr>
            <w:tcW w:w="1557" w:type="dxa"/>
            <w:vAlign w:val="center"/>
          </w:tcPr>
          <w:p>
            <w:pPr>
              <w:pStyle w:val="31"/>
              <w:spacing w:line="360" w:lineRule="exact"/>
              <w:rPr>
                <w:color w:val="000000" w:themeColor="text1"/>
                <w:szCs w:val="21"/>
              </w:rPr>
            </w:pPr>
            <w:r>
              <w:rPr>
                <w:color w:val="000000" w:themeColor="text1"/>
                <w:szCs w:val="21"/>
              </w:rPr>
              <w:t>14.33（无量纲）</w:t>
            </w:r>
          </w:p>
        </w:tc>
        <w:tc>
          <w:tcPr>
            <w:tcW w:w="1277" w:type="dxa"/>
            <w:vAlign w:val="center"/>
          </w:tcPr>
          <w:p>
            <w:pPr>
              <w:pStyle w:val="31"/>
              <w:spacing w:line="360" w:lineRule="exact"/>
              <w:rPr>
                <w:color w:val="000000" w:themeColor="text1"/>
                <w:szCs w:val="21"/>
              </w:rPr>
            </w:pPr>
            <w:r>
              <w:rPr>
                <w:rFonts w:hint="eastAsia"/>
                <w:color w:val="000000" w:themeColor="text1"/>
                <w:szCs w:val="21"/>
              </w:rPr>
              <w:t>--</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color w:val="000000" w:themeColor="text1"/>
                <w:szCs w:val="21"/>
              </w:rPr>
            </w:pPr>
            <w:r>
              <w:rPr>
                <w:color w:val="000000" w:themeColor="text1"/>
                <w:szCs w:val="21"/>
              </w:rPr>
              <w:t>14.33（无量纲）</w:t>
            </w:r>
          </w:p>
        </w:tc>
        <w:tc>
          <w:tcPr>
            <w:tcW w:w="1573" w:type="dxa"/>
            <w:vAlign w:val="center"/>
          </w:tcPr>
          <w:p>
            <w:pPr>
              <w:pStyle w:val="31"/>
              <w:spacing w:line="360" w:lineRule="exact"/>
              <w:rPr>
                <w:color w:val="000000" w:themeColor="text1"/>
                <w:szCs w:val="21"/>
              </w:rPr>
            </w:pPr>
            <w:r>
              <w:rPr>
                <w:rFonts w:hint="eastAsia"/>
                <w:color w:val="000000" w:themeColor="text1"/>
                <w:szCs w:val="21"/>
              </w:rPr>
              <w:t>0</w:t>
            </w:r>
          </w:p>
        </w:tc>
        <w:tc>
          <w:tcPr>
            <w:tcW w:w="1837" w:type="dxa"/>
            <w:vAlign w:val="center"/>
          </w:tcPr>
          <w:p>
            <w:pPr>
              <w:pStyle w:val="31"/>
              <w:spacing w:line="360" w:lineRule="exact"/>
              <w:rPr>
                <w:color w:val="000000" w:themeColor="text1"/>
                <w:szCs w:val="21"/>
              </w:rPr>
            </w:pPr>
            <w:r>
              <w:rPr>
                <w:color w:val="000000" w:themeColor="text1"/>
                <w:szCs w:val="21"/>
              </w:rPr>
              <w:t>14.33（无量纲）</w:t>
            </w:r>
          </w:p>
        </w:tc>
        <w:tc>
          <w:tcPr>
            <w:tcW w:w="134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1"/>
              <w:spacing w:line="360" w:lineRule="exact"/>
              <w:rPr>
                <w:rFonts w:eastAsiaTheme="minorEastAsia"/>
                <w:color w:val="000000" w:themeColor="text1"/>
                <w:szCs w:val="21"/>
              </w:rPr>
            </w:pPr>
          </w:p>
        </w:tc>
        <w:tc>
          <w:tcPr>
            <w:tcW w:w="2115" w:type="dxa"/>
            <w:vAlign w:val="center"/>
          </w:tcPr>
          <w:p>
            <w:pPr>
              <w:pStyle w:val="31"/>
              <w:spacing w:line="360" w:lineRule="exact"/>
              <w:rPr>
                <w:color w:val="000000" w:themeColor="text1"/>
                <w:szCs w:val="21"/>
                <w:lang w:val="en-US"/>
              </w:rPr>
            </w:pPr>
            <w:r>
              <w:rPr>
                <w:color w:val="000000" w:themeColor="text1"/>
                <w:szCs w:val="21"/>
              </w:rPr>
              <w:t>烟尘</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0.0054</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0.0054</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0.0054</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0.0054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1"/>
              <w:spacing w:line="360" w:lineRule="exact"/>
              <w:rPr>
                <w:rFonts w:eastAsiaTheme="minorEastAsia"/>
                <w:color w:val="000000" w:themeColor="text1"/>
                <w:szCs w:val="21"/>
              </w:rPr>
            </w:pPr>
          </w:p>
        </w:tc>
        <w:tc>
          <w:tcPr>
            <w:tcW w:w="2115" w:type="dxa"/>
            <w:vAlign w:val="center"/>
          </w:tcPr>
          <w:p>
            <w:pPr>
              <w:pStyle w:val="31"/>
              <w:spacing w:line="360" w:lineRule="exact"/>
              <w:rPr>
                <w:color w:val="000000" w:themeColor="text1"/>
                <w:szCs w:val="21"/>
                <w:lang w:val="en-US"/>
              </w:rPr>
            </w:pPr>
            <w:r>
              <w:rPr>
                <w:color w:val="000000" w:themeColor="text1"/>
                <w:szCs w:val="21"/>
                <w:lang w:val="en-US"/>
              </w:rPr>
              <w:t>SO</w:t>
            </w:r>
            <w:r>
              <w:rPr>
                <w:color w:val="000000" w:themeColor="text1"/>
                <w:szCs w:val="21"/>
                <w:vertAlign w:val="subscript"/>
                <w:lang w:val="en-US"/>
              </w:rPr>
              <w:t>2</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0.00864</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0.00864</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0.00864</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0.00864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1"/>
              <w:spacing w:line="360" w:lineRule="exact"/>
              <w:rPr>
                <w:rFonts w:eastAsiaTheme="minorEastAsia"/>
                <w:color w:val="000000" w:themeColor="text1"/>
                <w:szCs w:val="21"/>
              </w:rPr>
            </w:pPr>
          </w:p>
        </w:tc>
        <w:tc>
          <w:tcPr>
            <w:tcW w:w="2115" w:type="dxa"/>
            <w:vAlign w:val="center"/>
          </w:tcPr>
          <w:p>
            <w:pPr>
              <w:pStyle w:val="31"/>
              <w:spacing w:line="360" w:lineRule="exact"/>
              <w:rPr>
                <w:color w:val="000000" w:themeColor="text1"/>
                <w:szCs w:val="21"/>
                <w:lang w:val="en-US"/>
              </w:rPr>
            </w:pPr>
            <w:r>
              <w:rPr>
                <w:color w:val="000000" w:themeColor="text1"/>
                <w:szCs w:val="21"/>
                <w:lang w:val="en-US"/>
              </w:rPr>
              <w:t>NOx</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0.00386</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0.00386</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0.00386</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0.00386</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15" w:type="dxa"/>
            <w:vAlign w:val="center"/>
          </w:tcPr>
          <w:p>
            <w:pPr>
              <w:pStyle w:val="31"/>
              <w:spacing w:line="360" w:lineRule="exact"/>
              <w:rPr>
                <w:color w:val="000000" w:themeColor="text1"/>
                <w:szCs w:val="21"/>
                <w:lang w:val="en-US"/>
              </w:rPr>
            </w:pPr>
            <w:r>
              <w:rPr>
                <w:color w:val="000000" w:themeColor="text1"/>
                <w:szCs w:val="21"/>
              </w:rPr>
              <w:t>废水量</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49777.6m³/a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49777.6m³/a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49777.6m³/a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49777.6m³/a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lang w:val="en-US"/>
              </w:rPr>
              <w:t>pH</w:t>
            </w:r>
          </w:p>
        </w:tc>
        <w:tc>
          <w:tcPr>
            <w:tcW w:w="1557" w:type="dxa"/>
            <w:vAlign w:val="bottom"/>
          </w:tcPr>
          <w:p>
            <w:pPr>
              <w:pStyle w:val="31"/>
              <w:spacing w:line="360" w:lineRule="exact"/>
              <w:rPr>
                <w:color w:val="000000" w:themeColor="text1"/>
                <w:szCs w:val="21"/>
                <w:lang w:val="en-US"/>
              </w:rPr>
            </w:pPr>
            <w:r>
              <w:rPr>
                <w:color w:val="000000" w:themeColor="text1"/>
                <w:szCs w:val="21"/>
                <w:lang w:val="en-US"/>
              </w:rPr>
              <w:t>--</w:t>
            </w:r>
          </w:p>
        </w:tc>
        <w:tc>
          <w:tcPr>
            <w:tcW w:w="1277" w:type="dxa"/>
            <w:vAlign w:val="bottom"/>
          </w:tcPr>
          <w:p>
            <w:pPr>
              <w:pStyle w:val="31"/>
              <w:spacing w:line="360" w:lineRule="exact"/>
              <w:rPr>
                <w:color w:val="000000" w:themeColor="text1"/>
                <w:szCs w:val="21"/>
                <w:lang w:val="en-US"/>
              </w:rPr>
            </w:pPr>
            <w:r>
              <w:rPr>
                <w:color w:val="000000" w:themeColor="text1"/>
                <w:szCs w:val="21"/>
                <w:lang w:val="en-US"/>
              </w:rPr>
              <w:t>--</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573" w:type="dxa"/>
            <w:vAlign w:val="bottom"/>
          </w:tcPr>
          <w:p>
            <w:pPr>
              <w:pStyle w:val="31"/>
              <w:spacing w:line="360" w:lineRule="exact"/>
              <w:rPr>
                <w:color w:val="000000" w:themeColor="text1"/>
                <w:szCs w:val="21"/>
                <w:lang w:val="en-US"/>
              </w:rPr>
            </w:pPr>
            <w:r>
              <w:rPr>
                <w:color w:val="000000" w:themeColor="text1"/>
                <w:szCs w:val="21"/>
                <w:lang w:val="en-US"/>
              </w:rPr>
              <w:t>--</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347" w:type="dxa"/>
            <w:vAlign w:val="bottom"/>
          </w:tcPr>
          <w:p>
            <w:pPr>
              <w:pStyle w:val="31"/>
              <w:spacing w:line="360" w:lineRule="exact"/>
              <w:rPr>
                <w:color w:val="000000" w:themeColor="text1"/>
                <w:szCs w:val="21"/>
                <w:lang w:val="en-US"/>
              </w:rPr>
            </w:pPr>
            <w:r>
              <w:rPr>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lang w:val="en-US"/>
              </w:rPr>
              <w:t>CODcr</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4.28</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4.28</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4.28</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4.28</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lang w:val="en-US"/>
              </w:rPr>
              <w:t>BOD</w:t>
            </w:r>
            <w:r>
              <w:rPr>
                <w:color w:val="000000" w:themeColor="text1"/>
                <w:szCs w:val="21"/>
                <w:vertAlign w:val="subscript"/>
                <w:lang w:val="en-US"/>
              </w:rPr>
              <w:t>5</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2.24</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2.24</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2.24</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2.24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lang w:val="en-US"/>
              </w:rPr>
              <w:t>NH</w:t>
            </w:r>
            <w:r>
              <w:rPr>
                <w:color w:val="000000" w:themeColor="text1"/>
                <w:szCs w:val="21"/>
                <w:vertAlign w:val="subscript"/>
                <w:lang w:val="en-US"/>
              </w:rPr>
              <w:t>3</w:t>
            </w:r>
            <w:r>
              <w:rPr>
                <w:color w:val="000000" w:themeColor="text1"/>
                <w:szCs w:val="21"/>
                <w:lang w:val="en-US"/>
              </w:rPr>
              <w:t>-N</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0.04</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0.04</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0.04</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0.04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lang w:val="en-US"/>
              </w:rPr>
              <w:t>SS</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1.10</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1.10</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1.10</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1.10</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rPr>
              <w:t>总磷</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0.54</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0.54</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0.54</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0.54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rPr>
              <w:t>总氮</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0.59</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0.59</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0.59</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0.59</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rPr>
              <w:t>动植物油</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0.23</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0.23</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0.23</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0.23</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rPr>
              <w:t>阴离子表面活性剂</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0.15</w:t>
            </w:r>
            <w:r>
              <w:rPr>
                <w:rFonts w:hint="eastAsia"/>
                <w:color w:val="000000" w:themeColor="text1"/>
                <w:szCs w:val="21"/>
                <w:lang w:val="en-US"/>
              </w:rPr>
              <w:t>t/a</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0.15</w:t>
            </w:r>
            <w:r>
              <w:rPr>
                <w:rFonts w:hint="eastAsia"/>
                <w:color w:val="000000" w:themeColor="text1"/>
                <w:szCs w:val="21"/>
                <w:lang w:val="en-US"/>
              </w:rPr>
              <w:t>t/a</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0.15</w:t>
            </w:r>
            <w:r>
              <w:rPr>
                <w:rFonts w:hint="eastAsia"/>
                <w:color w:val="000000" w:themeColor="text1"/>
                <w:szCs w:val="21"/>
                <w:lang w:val="en-US"/>
              </w:rPr>
              <w:t>t/a</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1"/>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0.15</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1"/>
              <w:spacing w:line="360" w:lineRule="exact"/>
              <w:rPr>
                <w:color w:val="000000" w:themeColor="text1"/>
                <w:szCs w:val="21"/>
                <w:lang w:val="en-US"/>
              </w:rPr>
            </w:pPr>
            <w:r>
              <w:rPr>
                <w:color w:val="000000" w:themeColor="text1"/>
                <w:szCs w:val="21"/>
              </w:rPr>
              <w:t>粪大肠菌群数</w:t>
            </w:r>
          </w:p>
        </w:tc>
        <w:tc>
          <w:tcPr>
            <w:tcW w:w="1557" w:type="dxa"/>
            <w:vAlign w:val="center"/>
          </w:tcPr>
          <w:p>
            <w:pPr>
              <w:pStyle w:val="31"/>
              <w:spacing w:line="360" w:lineRule="exact"/>
              <w:rPr>
                <w:color w:val="000000" w:themeColor="text1"/>
                <w:szCs w:val="21"/>
                <w:lang w:val="en-US"/>
              </w:rPr>
            </w:pPr>
            <w:r>
              <w:rPr>
                <w:color w:val="000000" w:themeColor="text1"/>
                <w:szCs w:val="21"/>
                <w:lang w:val="en-US"/>
              </w:rPr>
              <w:t>--</w:t>
            </w:r>
          </w:p>
        </w:tc>
        <w:tc>
          <w:tcPr>
            <w:tcW w:w="1277" w:type="dxa"/>
            <w:vAlign w:val="center"/>
          </w:tcPr>
          <w:p>
            <w:pPr>
              <w:pStyle w:val="31"/>
              <w:spacing w:line="360" w:lineRule="exact"/>
              <w:rPr>
                <w:color w:val="000000" w:themeColor="text1"/>
                <w:szCs w:val="21"/>
                <w:lang w:val="en-US"/>
              </w:rPr>
            </w:pPr>
            <w:r>
              <w:rPr>
                <w:color w:val="000000" w:themeColor="text1"/>
                <w:szCs w:val="21"/>
                <w:lang w:val="en-US"/>
              </w:rPr>
              <w:t>--</w:t>
            </w:r>
          </w:p>
        </w:tc>
        <w:tc>
          <w:tcPr>
            <w:tcW w:w="169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573" w:type="dxa"/>
            <w:vAlign w:val="center"/>
          </w:tcPr>
          <w:p>
            <w:pPr>
              <w:pStyle w:val="31"/>
              <w:spacing w:line="360" w:lineRule="exact"/>
              <w:rPr>
                <w:color w:val="000000" w:themeColor="text1"/>
                <w:szCs w:val="21"/>
                <w:lang w:val="en-US"/>
              </w:rPr>
            </w:pPr>
            <w:r>
              <w:rPr>
                <w:color w:val="000000" w:themeColor="text1"/>
                <w:szCs w:val="21"/>
                <w:lang w:val="en-US"/>
              </w:rPr>
              <w:t>--</w:t>
            </w:r>
          </w:p>
        </w:tc>
        <w:tc>
          <w:tcPr>
            <w:tcW w:w="183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347" w:type="dxa"/>
            <w:vAlign w:val="center"/>
          </w:tcPr>
          <w:p>
            <w:pPr>
              <w:pStyle w:val="31"/>
              <w:spacing w:line="360" w:lineRule="exact"/>
              <w:rPr>
                <w:color w:val="000000" w:themeColor="text1"/>
                <w:szCs w:val="21"/>
                <w:lang w:val="en-US"/>
              </w:rPr>
            </w:pPr>
            <w:r>
              <w:rPr>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15" w:type="dxa"/>
            <w:vAlign w:val="center"/>
          </w:tcPr>
          <w:p>
            <w:pPr>
              <w:pStyle w:val="31"/>
              <w:spacing w:line="360" w:lineRule="exact"/>
              <w:rPr>
                <w:color w:val="000000" w:themeColor="text1"/>
                <w:szCs w:val="21"/>
                <w:lang w:val="en-US"/>
              </w:rPr>
            </w:pPr>
            <w:r>
              <w:rPr>
                <w:color w:val="000000" w:themeColor="text1"/>
                <w:szCs w:val="21"/>
              </w:rPr>
              <w:t>格渣及污水处理污泥</w:t>
            </w:r>
          </w:p>
        </w:tc>
        <w:tc>
          <w:tcPr>
            <w:tcW w:w="1557" w:type="dxa"/>
            <w:vAlign w:val="center"/>
          </w:tcPr>
          <w:p>
            <w:pPr>
              <w:pStyle w:val="31"/>
              <w:spacing w:line="360" w:lineRule="exact"/>
              <w:rPr>
                <w:color w:val="000000" w:themeColor="text1"/>
                <w:szCs w:val="21"/>
                <w:lang w:val="en-US"/>
              </w:rPr>
            </w:pPr>
            <w:r>
              <w:rPr>
                <w:rFonts w:hint="eastAsia" w:eastAsiaTheme="minorEastAsia"/>
                <w:color w:val="000000" w:themeColor="text1"/>
                <w:szCs w:val="24"/>
              </w:rPr>
              <w:t>364.7t/a</w:t>
            </w:r>
          </w:p>
        </w:tc>
        <w:tc>
          <w:tcPr>
            <w:tcW w:w="127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1"/>
              <w:spacing w:line="360" w:lineRule="exact"/>
              <w:rPr>
                <w:color w:val="000000" w:themeColor="text1"/>
                <w:szCs w:val="21"/>
                <w:lang w:val="en-US"/>
              </w:rPr>
            </w:pPr>
            <w:r>
              <w:rPr>
                <w:rFonts w:hint="eastAsia" w:eastAsiaTheme="minorEastAsia"/>
                <w:color w:val="000000" w:themeColor="text1"/>
                <w:szCs w:val="24"/>
              </w:rPr>
              <w:t>364.7t/a</w:t>
            </w:r>
          </w:p>
        </w:tc>
        <w:tc>
          <w:tcPr>
            <w:tcW w:w="157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37" w:type="dxa"/>
            <w:vAlign w:val="center"/>
          </w:tcPr>
          <w:p>
            <w:pPr>
              <w:pStyle w:val="31"/>
              <w:spacing w:line="360" w:lineRule="exact"/>
              <w:rPr>
                <w:color w:val="000000" w:themeColor="text1"/>
                <w:szCs w:val="21"/>
                <w:lang w:val="en-US"/>
              </w:rPr>
            </w:pPr>
            <w:r>
              <w:rPr>
                <w:rFonts w:hint="eastAsia" w:eastAsiaTheme="minorEastAsia"/>
                <w:color w:val="000000" w:themeColor="text1"/>
                <w:szCs w:val="24"/>
              </w:rPr>
              <w:t>364.7t/a</w:t>
            </w:r>
          </w:p>
        </w:tc>
        <w:tc>
          <w:tcPr>
            <w:tcW w:w="134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1"/>
              <w:spacing w:line="360" w:lineRule="exact"/>
              <w:rPr>
                <w:rFonts w:eastAsiaTheme="minorEastAsia"/>
                <w:color w:val="000000" w:themeColor="text1"/>
                <w:szCs w:val="21"/>
              </w:rPr>
            </w:pPr>
          </w:p>
        </w:tc>
        <w:tc>
          <w:tcPr>
            <w:tcW w:w="2115" w:type="dxa"/>
            <w:vAlign w:val="center"/>
          </w:tcPr>
          <w:p>
            <w:pPr>
              <w:pStyle w:val="31"/>
              <w:spacing w:line="360" w:lineRule="exact"/>
              <w:rPr>
                <w:color w:val="000000" w:themeColor="text1"/>
                <w:szCs w:val="21"/>
                <w:lang w:val="en-US"/>
              </w:rPr>
            </w:pPr>
            <w:r>
              <w:rPr>
                <w:color w:val="000000" w:themeColor="text1"/>
                <w:szCs w:val="21"/>
              </w:rPr>
              <w:t>猪毛</w:t>
            </w:r>
          </w:p>
        </w:tc>
        <w:tc>
          <w:tcPr>
            <w:tcW w:w="1557" w:type="dxa"/>
            <w:vAlign w:val="center"/>
          </w:tcPr>
          <w:p>
            <w:pPr>
              <w:pStyle w:val="31"/>
              <w:spacing w:line="360" w:lineRule="exact"/>
              <w:rPr>
                <w:color w:val="000000" w:themeColor="text1"/>
                <w:szCs w:val="21"/>
                <w:lang w:val="en-US"/>
              </w:rPr>
            </w:pPr>
            <w:r>
              <w:rPr>
                <w:rFonts w:hint="eastAsia" w:eastAsiaTheme="minorEastAsia"/>
                <w:color w:val="000000" w:themeColor="text1"/>
                <w:szCs w:val="24"/>
              </w:rPr>
              <w:t>21t/a</w:t>
            </w:r>
          </w:p>
        </w:tc>
        <w:tc>
          <w:tcPr>
            <w:tcW w:w="127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1"/>
              <w:spacing w:line="360" w:lineRule="exact"/>
              <w:rPr>
                <w:color w:val="000000" w:themeColor="text1"/>
                <w:szCs w:val="21"/>
                <w:lang w:val="en-US"/>
              </w:rPr>
            </w:pPr>
            <w:r>
              <w:rPr>
                <w:rFonts w:hint="eastAsia" w:eastAsiaTheme="minorEastAsia"/>
                <w:color w:val="000000" w:themeColor="text1"/>
                <w:szCs w:val="24"/>
              </w:rPr>
              <w:t>21t/a</w:t>
            </w:r>
          </w:p>
        </w:tc>
        <w:tc>
          <w:tcPr>
            <w:tcW w:w="157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37" w:type="dxa"/>
            <w:vAlign w:val="center"/>
          </w:tcPr>
          <w:p>
            <w:pPr>
              <w:pStyle w:val="31"/>
              <w:spacing w:line="360" w:lineRule="exact"/>
              <w:rPr>
                <w:color w:val="000000" w:themeColor="text1"/>
                <w:szCs w:val="21"/>
                <w:lang w:val="en-US"/>
              </w:rPr>
            </w:pPr>
            <w:r>
              <w:rPr>
                <w:rFonts w:hint="eastAsia" w:eastAsiaTheme="minorEastAsia"/>
                <w:color w:val="000000" w:themeColor="text1"/>
                <w:szCs w:val="24"/>
              </w:rPr>
              <w:t>21t/a</w:t>
            </w:r>
          </w:p>
        </w:tc>
        <w:tc>
          <w:tcPr>
            <w:tcW w:w="134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1"/>
              <w:spacing w:line="360" w:lineRule="exact"/>
              <w:rPr>
                <w:rFonts w:eastAsiaTheme="minorEastAsia"/>
                <w:color w:val="000000" w:themeColor="text1"/>
                <w:szCs w:val="21"/>
              </w:rPr>
            </w:pPr>
          </w:p>
        </w:tc>
        <w:tc>
          <w:tcPr>
            <w:tcW w:w="2115" w:type="dxa"/>
            <w:vAlign w:val="center"/>
          </w:tcPr>
          <w:p>
            <w:pPr>
              <w:pStyle w:val="31"/>
              <w:spacing w:line="360" w:lineRule="exact"/>
              <w:rPr>
                <w:color w:val="000000" w:themeColor="text1"/>
                <w:szCs w:val="21"/>
                <w:lang w:val="en-US"/>
              </w:rPr>
            </w:pPr>
            <w:r>
              <w:rPr>
                <w:color w:val="000000" w:themeColor="text1"/>
                <w:szCs w:val="21"/>
              </w:rPr>
              <w:t>病死猪</w:t>
            </w:r>
          </w:p>
        </w:tc>
        <w:tc>
          <w:tcPr>
            <w:tcW w:w="1557" w:type="dxa"/>
            <w:vAlign w:val="center"/>
          </w:tcPr>
          <w:p>
            <w:pPr>
              <w:pStyle w:val="31"/>
              <w:spacing w:line="360" w:lineRule="exact"/>
              <w:rPr>
                <w:color w:val="000000" w:themeColor="text1"/>
                <w:szCs w:val="21"/>
                <w:lang w:val="en-US"/>
              </w:rPr>
            </w:pPr>
            <w:r>
              <w:rPr>
                <w:rFonts w:hint="eastAsia"/>
                <w:bCs w:val="0"/>
                <w:color w:val="000000" w:themeColor="text1"/>
              </w:rPr>
              <w:t>50</w:t>
            </w:r>
            <w:r>
              <w:rPr>
                <w:bCs w:val="0"/>
                <w:color w:val="000000" w:themeColor="text1"/>
              </w:rPr>
              <w:t>头</w:t>
            </w:r>
          </w:p>
        </w:tc>
        <w:tc>
          <w:tcPr>
            <w:tcW w:w="127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color w:val="000000" w:themeColor="text1"/>
                <w:szCs w:val="21"/>
                <w:lang w:val="en-US"/>
              </w:rPr>
              <w:t>10-20</w:t>
            </w:r>
            <w:r>
              <w:rPr>
                <w:color w:val="000000" w:themeColor="text1"/>
                <w:szCs w:val="21"/>
              </w:rPr>
              <w:t>头</w:t>
            </w:r>
          </w:p>
        </w:tc>
        <w:tc>
          <w:tcPr>
            <w:tcW w:w="157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837" w:type="dxa"/>
            <w:vAlign w:val="center"/>
          </w:tcPr>
          <w:p>
            <w:pPr>
              <w:pStyle w:val="31"/>
              <w:spacing w:line="360" w:lineRule="exact"/>
              <w:rPr>
                <w:rFonts w:eastAsiaTheme="minorEastAsia"/>
                <w:color w:val="000000" w:themeColor="text1"/>
                <w:szCs w:val="21"/>
              </w:rPr>
            </w:pPr>
            <w:r>
              <w:rPr>
                <w:color w:val="000000" w:themeColor="text1"/>
                <w:szCs w:val="21"/>
                <w:lang w:val="en-US"/>
              </w:rPr>
              <w:t>10-20</w:t>
            </w:r>
            <w:r>
              <w:rPr>
                <w:color w:val="000000" w:themeColor="text1"/>
                <w:szCs w:val="21"/>
              </w:rPr>
              <w:t>头</w:t>
            </w:r>
          </w:p>
        </w:tc>
        <w:tc>
          <w:tcPr>
            <w:tcW w:w="134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-30-40头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1"/>
              <w:spacing w:line="360" w:lineRule="exact"/>
              <w:rPr>
                <w:rFonts w:eastAsiaTheme="minorEastAsia"/>
                <w:color w:val="000000" w:themeColor="text1"/>
                <w:szCs w:val="21"/>
              </w:rPr>
            </w:pPr>
          </w:p>
        </w:tc>
        <w:tc>
          <w:tcPr>
            <w:tcW w:w="2115" w:type="dxa"/>
            <w:vAlign w:val="center"/>
          </w:tcPr>
          <w:p>
            <w:pPr>
              <w:pStyle w:val="31"/>
              <w:spacing w:line="360" w:lineRule="exact"/>
              <w:rPr>
                <w:color w:val="000000" w:themeColor="text1"/>
                <w:szCs w:val="21"/>
                <w:lang w:val="en-US"/>
              </w:rPr>
            </w:pPr>
            <w:r>
              <w:rPr>
                <w:color w:val="000000" w:themeColor="text1"/>
                <w:szCs w:val="21"/>
              </w:rPr>
              <w:t>沼气池残渣</w:t>
            </w:r>
          </w:p>
        </w:tc>
        <w:tc>
          <w:tcPr>
            <w:tcW w:w="1557" w:type="dxa"/>
            <w:vAlign w:val="center"/>
          </w:tcPr>
          <w:p>
            <w:pPr>
              <w:pStyle w:val="31"/>
              <w:spacing w:line="360" w:lineRule="exact"/>
              <w:rPr>
                <w:color w:val="000000" w:themeColor="text1"/>
                <w:szCs w:val="21"/>
                <w:lang w:val="en-US"/>
              </w:rPr>
            </w:pPr>
            <w:r>
              <w:rPr>
                <w:rFonts w:hint="eastAsia"/>
                <w:bCs w:val="0"/>
                <w:color w:val="000000" w:themeColor="text1"/>
              </w:rPr>
              <w:t>40.32t/a</w:t>
            </w:r>
          </w:p>
        </w:tc>
        <w:tc>
          <w:tcPr>
            <w:tcW w:w="127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3" w:type="dxa"/>
            <w:vAlign w:val="center"/>
          </w:tcPr>
          <w:p>
            <w:pPr>
              <w:pStyle w:val="31"/>
              <w:spacing w:line="360" w:lineRule="exact"/>
              <w:rPr>
                <w:rFonts w:eastAsiaTheme="minorEastAsia"/>
                <w:color w:val="000000" w:themeColor="text1"/>
                <w:szCs w:val="21"/>
              </w:rPr>
            </w:pPr>
            <w:r>
              <w:rPr>
                <w:rFonts w:hint="eastAsia"/>
                <w:bCs w:val="0"/>
                <w:color w:val="000000" w:themeColor="text1"/>
              </w:rPr>
              <w:t>40.32t/a</w:t>
            </w:r>
          </w:p>
        </w:tc>
        <w:tc>
          <w:tcPr>
            <w:tcW w:w="183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34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r>
              <w:rPr>
                <w:rFonts w:hint="eastAsia"/>
                <w:bCs w:val="0"/>
                <w:color w:val="000000" w:themeColor="text1"/>
              </w:rPr>
              <w:t>40.32t/a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危险废物</w:t>
            </w:r>
          </w:p>
        </w:tc>
        <w:tc>
          <w:tcPr>
            <w:tcW w:w="2115" w:type="dxa"/>
            <w:vAlign w:val="center"/>
          </w:tcPr>
          <w:p>
            <w:pPr>
              <w:pStyle w:val="31"/>
              <w:spacing w:line="360" w:lineRule="exact"/>
              <w:rPr>
                <w:rFonts w:eastAsiaTheme="minorEastAsia"/>
                <w:color w:val="000000" w:themeColor="text1"/>
                <w:szCs w:val="21"/>
              </w:rPr>
            </w:pPr>
            <w:r>
              <w:rPr>
                <w:color w:val="000000" w:themeColor="text1"/>
                <w:szCs w:val="21"/>
              </w:rPr>
              <w:t>医疗废物</w:t>
            </w:r>
          </w:p>
        </w:tc>
        <w:tc>
          <w:tcPr>
            <w:tcW w:w="1557" w:type="dxa"/>
            <w:vAlign w:val="center"/>
          </w:tcPr>
          <w:p>
            <w:pPr>
              <w:pStyle w:val="31"/>
              <w:spacing w:line="360" w:lineRule="exact"/>
              <w:rPr>
                <w:color w:val="000000" w:themeColor="text1"/>
                <w:szCs w:val="21"/>
                <w:lang w:val="en-US"/>
              </w:rPr>
            </w:pPr>
            <w:r>
              <w:rPr>
                <w:rFonts w:hint="eastAsia"/>
                <w:color w:val="000000" w:themeColor="text1"/>
                <w:szCs w:val="21"/>
                <w:lang w:val="en-US"/>
              </w:rPr>
              <w:t>0</w:t>
            </w:r>
          </w:p>
        </w:tc>
        <w:tc>
          <w:tcPr>
            <w:tcW w:w="127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1"/>
              <w:spacing w:line="360" w:lineRule="exact"/>
              <w:rPr>
                <w:rFonts w:eastAsiaTheme="minorEastAsia"/>
                <w:color w:val="000000" w:themeColor="text1"/>
                <w:szCs w:val="21"/>
              </w:rPr>
            </w:pPr>
            <w:r>
              <w:rPr>
                <w:color w:val="000000" w:themeColor="text1"/>
                <w:szCs w:val="21"/>
                <w:lang w:val="en-US"/>
              </w:rPr>
              <w:t>0.2</w:t>
            </w:r>
            <w:r>
              <w:rPr>
                <w:rFonts w:hint="eastAsia"/>
                <w:bCs w:val="0"/>
                <w:color w:val="000000" w:themeColor="text1"/>
              </w:rPr>
              <w:t>t/a</w:t>
            </w:r>
          </w:p>
        </w:tc>
        <w:tc>
          <w:tcPr>
            <w:tcW w:w="157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37" w:type="dxa"/>
            <w:vAlign w:val="center"/>
          </w:tcPr>
          <w:p>
            <w:pPr>
              <w:pStyle w:val="31"/>
              <w:spacing w:line="360" w:lineRule="exact"/>
              <w:rPr>
                <w:rFonts w:eastAsiaTheme="minorEastAsia"/>
                <w:color w:val="000000" w:themeColor="text1"/>
                <w:szCs w:val="21"/>
              </w:rPr>
            </w:pPr>
            <w:r>
              <w:rPr>
                <w:color w:val="000000" w:themeColor="text1"/>
                <w:szCs w:val="21"/>
                <w:lang w:val="en-US"/>
              </w:rPr>
              <w:t>0.2</w:t>
            </w:r>
            <w:r>
              <w:rPr>
                <w:rFonts w:hint="eastAsia"/>
                <w:bCs w:val="0"/>
                <w:color w:val="000000" w:themeColor="text1"/>
              </w:rPr>
              <w:t>t/a</w:t>
            </w:r>
          </w:p>
        </w:tc>
        <w:tc>
          <w:tcPr>
            <w:tcW w:w="1347" w:type="dxa"/>
            <w:vAlign w:val="center"/>
          </w:tcPr>
          <w:p>
            <w:pPr>
              <w:pStyle w:val="31"/>
              <w:spacing w:line="360" w:lineRule="exact"/>
              <w:rPr>
                <w:rFonts w:eastAsiaTheme="minorEastAsia"/>
                <w:color w:val="000000" w:themeColor="text1"/>
                <w:szCs w:val="21"/>
              </w:rPr>
            </w:pPr>
            <w:r>
              <w:rPr>
                <w:rFonts w:hint="eastAsia"/>
                <w:color w:val="000000" w:themeColor="text1"/>
                <w:szCs w:val="21"/>
                <w:lang w:val="en-US"/>
              </w:rPr>
              <w:t>+</w:t>
            </w:r>
            <w:r>
              <w:rPr>
                <w:color w:val="000000" w:themeColor="text1"/>
                <w:szCs w:val="21"/>
                <w:lang w:val="en-US"/>
              </w:rPr>
              <w:t>0.2</w:t>
            </w:r>
            <w:r>
              <w:rPr>
                <w:rFonts w:hint="eastAsia"/>
                <w:bCs w:val="0"/>
                <w:color w:val="000000" w:themeColor="text1"/>
              </w:rPr>
              <w:t>t/a</w:t>
            </w:r>
          </w:p>
        </w:tc>
      </w:tr>
    </w:tbl>
    <w:p>
      <w:pPr>
        <w:ind w:firstLine="422" w:firstLineChars="200"/>
        <w:jc w:val="left"/>
        <w:rPr>
          <w:rFonts w:hint="eastAsia" w:ascii="宋体" w:hAnsi="宋体" w:eastAsia="宋体" w:cs="宋体"/>
          <w:b/>
          <w:color w:val="000000" w:themeColor="text1"/>
        </w:rPr>
      </w:pPr>
      <w:r>
        <w:rPr>
          <w:rFonts w:ascii="Times New Roman" w:hAnsi="Times New Roman" w:cs="Times New Roman"/>
          <w:b/>
          <w:color w:val="000000" w:themeColor="text1"/>
        </w:rPr>
        <w:t>注：</w:t>
      </w:r>
      <w:r>
        <w:rPr>
          <w:rFonts w:hint="eastAsia" w:ascii="宋体" w:hAnsi="宋体" w:eastAsia="宋体" w:cs="宋体"/>
          <w:b/>
          <w:color w:val="000000" w:themeColor="text1"/>
        </w:rPr>
        <w:t>⑥</w:t>
      </w:r>
      <w:r>
        <w:rPr>
          <w:rFonts w:ascii="Times New Roman" w:hAnsi="Times New Roman" w:cs="Times New Roman"/>
          <w:b/>
          <w:color w:val="000000" w:themeColor="text1"/>
        </w:rPr>
        <w:t>=</w:t>
      </w:r>
      <w:r>
        <w:rPr>
          <w:rFonts w:hint="eastAsia" w:ascii="宋体" w:hAnsi="宋体" w:eastAsia="宋体" w:cs="宋体"/>
          <w:b/>
          <w:color w:val="000000" w:themeColor="text1"/>
        </w:rPr>
        <w:t>①</w:t>
      </w:r>
      <w:r>
        <w:rPr>
          <w:rFonts w:ascii="Times New Roman" w:hAnsi="Times New Roman" w:cs="Times New Roman"/>
          <w:b/>
          <w:color w:val="000000" w:themeColor="text1"/>
        </w:rPr>
        <w:t>+</w:t>
      </w:r>
      <w:r>
        <w:rPr>
          <w:rFonts w:hint="eastAsia" w:ascii="宋体" w:hAnsi="宋体" w:eastAsia="宋体" w:cs="宋体"/>
          <w:b/>
          <w:color w:val="000000" w:themeColor="text1"/>
        </w:rPr>
        <w:t>③</w:t>
      </w:r>
      <w:r>
        <w:rPr>
          <w:rFonts w:ascii="Times New Roman" w:hAnsi="Times New Roman" w:cs="Times New Roman"/>
          <w:b/>
          <w:color w:val="000000" w:themeColor="text1"/>
        </w:rPr>
        <w:t>+</w:t>
      </w:r>
      <w:r>
        <w:rPr>
          <w:rFonts w:hint="eastAsia" w:ascii="宋体" w:hAnsi="宋体" w:eastAsia="宋体" w:cs="宋体"/>
          <w:b/>
          <w:color w:val="000000" w:themeColor="text1"/>
        </w:rPr>
        <w:t>④</w:t>
      </w:r>
      <w:r>
        <w:rPr>
          <w:rFonts w:ascii="Times New Roman" w:hAnsi="Times New Roman" w:cs="Times New Roman"/>
          <w:b/>
          <w:color w:val="000000" w:themeColor="text1"/>
        </w:rPr>
        <w:t>-</w:t>
      </w:r>
      <w:r>
        <w:rPr>
          <w:rFonts w:hint="eastAsia" w:ascii="宋体" w:hAnsi="宋体" w:eastAsia="宋体" w:cs="宋体"/>
          <w:b/>
          <w:color w:val="000000" w:themeColor="text1"/>
        </w:rPr>
        <w:t>⑤</w:t>
      </w:r>
      <w:r>
        <w:rPr>
          <w:rFonts w:ascii="Times New Roman" w:hAnsi="Times New Roman" w:cs="Times New Roman"/>
          <w:b/>
          <w:color w:val="000000" w:themeColor="text1"/>
        </w:rPr>
        <w:t>；</w:t>
      </w:r>
      <w:r>
        <w:rPr>
          <w:rFonts w:hint="eastAsia" w:ascii="宋体" w:hAnsi="宋体" w:eastAsia="宋体" w:cs="宋体"/>
          <w:b/>
          <w:color w:val="000000" w:themeColor="text1"/>
        </w:rPr>
        <w:t>⑦</w:t>
      </w:r>
      <w:r>
        <w:rPr>
          <w:rFonts w:ascii="Times New Roman" w:hAnsi="Times New Roman" w:cs="Times New Roman"/>
          <w:b/>
          <w:color w:val="000000" w:themeColor="text1"/>
        </w:rPr>
        <w:t>=</w:t>
      </w:r>
      <w:r>
        <w:rPr>
          <w:rFonts w:hint="eastAsia" w:ascii="宋体" w:hAnsi="宋体" w:eastAsia="宋体" w:cs="宋体"/>
          <w:b/>
          <w:color w:val="000000" w:themeColor="text1"/>
        </w:rPr>
        <w:t>⑥</w:t>
      </w:r>
      <w:r>
        <w:rPr>
          <w:rFonts w:ascii="Times New Roman" w:hAnsi="Times New Roman" w:cs="Times New Roman"/>
          <w:b/>
          <w:color w:val="000000" w:themeColor="text1"/>
        </w:rPr>
        <w:t>-</w:t>
      </w:r>
      <w:r>
        <w:rPr>
          <w:rFonts w:hint="eastAsia" w:ascii="宋体" w:hAnsi="宋体" w:eastAsia="宋体" w:cs="宋体"/>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63</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qou/kzMqZmU4P0Cgboxz1oy/nKI=" w:salt="OrwCz6luFPsDpefhD6TL0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518"/>
    <w:rsid w:val="0001072D"/>
    <w:rsid w:val="00010A49"/>
    <w:rsid w:val="00010CB7"/>
    <w:rsid w:val="00010E27"/>
    <w:rsid w:val="00012C80"/>
    <w:rsid w:val="00013833"/>
    <w:rsid w:val="00016CE2"/>
    <w:rsid w:val="00020BF9"/>
    <w:rsid w:val="00021721"/>
    <w:rsid w:val="00021988"/>
    <w:rsid w:val="0002285A"/>
    <w:rsid w:val="00026AD2"/>
    <w:rsid w:val="000309AD"/>
    <w:rsid w:val="00031A59"/>
    <w:rsid w:val="00032B08"/>
    <w:rsid w:val="000344EF"/>
    <w:rsid w:val="0003470C"/>
    <w:rsid w:val="00034809"/>
    <w:rsid w:val="00034BCB"/>
    <w:rsid w:val="00035576"/>
    <w:rsid w:val="00035E53"/>
    <w:rsid w:val="0003626F"/>
    <w:rsid w:val="0004072C"/>
    <w:rsid w:val="00040A28"/>
    <w:rsid w:val="00040D99"/>
    <w:rsid w:val="00041527"/>
    <w:rsid w:val="00041801"/>
    <w:rsid w:val="00041A4A"/>
    <w:rsid w:val="00042762"/>
    <w:rsid w:val="00044769"/>
    <w:rsid w:val="000464AC"/>
    <w:rsid w:val="00046D9B"/>
    <w:rsid w:val="00047D57"/>
    <w:rsid w:val="00050973"/>
    <w:rsid w:val="00050E55"/>
    <w:rsid w:val="00052BD5"/>
    <w:rsid w:val="00053C3A"/>
    <w:rsid w:val="00054A03"/>
    <w:rsid w:val="00054F28"/>
    <w:rsid w:val="00055DB8"/>
    <w:rsid w:val="0005744F"/>
    <w:rsid w:val="00057B73"/>
    <w:rsid w:val="00062A4F"/>
    <w:rsid w:val="00062FAD"/>
    <w:rsid w:val="0006358B"/>
    <w:rsid w:val="00065728"/>
    <w:rsid w:val="00066886"/>
    <w:rsid w:val="00067BF4"/>
    <w:rsid w:val="00070F66"/>
    <w:rsid w:val="000740ED"/>
    <w:rsid w:val="00075FFD"/>
    <w:rsid w:val="000760FE"/>
    <w:rsid w:val="00077A07"/>
    <w:rsid w:val="00082602"/>
    <w:rsid w:val="000874EA"/>
    <w:rsid w:val="000915C3"/>
    <w:rsid w:val="000920B1"/>
    <w:rsid w:val="00092D89"/>
    <w:rsid w:val="000937C3"/>
    <w:rsid w:val="00094A5C"/>
    <w:rsid w:val="000954A9"/>
    <w:rsid w:val="00096181"/>
    <w:rsid w:val="000A233F"/>
    <w:rsid w:val="000A300A"/>
    <w:rsid w:val="000A68EF"/>
    <w:rsid w:val="000B04E4"/>
    <w:rsid w:val="000B1397"/>
    <w:rsid w:val="000B35C4"/>
    <w:rsid w:val="000B5F10"/>
    <w:rsid w:val="000B6EE8"/>
    <w:rsid w:val="000B7436"/>
    <w:rsid w:val="000B7547"/>
    <w:rsid w:val="000C1A95"/>
    <w:rsid w:val="000C3E43"/>
    <w:rsid w:val="000C55F6"/>
    <w:rsid w:val="000C74A1"/>
    <w:rsid w:val="000D1B94"/>
    <w:rsid w:val="000D2D41"/>
    <w:rsid w:val="000D3A75"/>
    <w:rsid w:val="000D470A"/>
    <w:rsid w:val="000D4915"/>
    <w:rsid w:val="000D4A13"/>
    <w:rsid w:val="000D4A25"/>
    <w:rsid w:val="000D4D91"/>
    <w:rsid w:val="000D6CBC"/>
    <w:rsid w:val="000E0511"/>
    <w:rsid w:val="000E2BC7"/>
    <w:rsid w:val="000E500A"/>
    <w:rsid w:val="000E6F05"/>
    <w:rsid w:val="000F2BCA"/>
    <w:rsid w:val="000F5394"/>
    <w:rsid w:val="000F5DE9"/>
    <w:rsid w:val="000F6FB2"/>
    <w:rsid w:val="00100F7E"/>
    <w:rsid w:val="0010241D"/>
    <w:rsid w:val="00103773"/>
    <w:rsid w:val="00106838"/>
    <w:rsid w:val="00106BF5"/>
    <w:rsid w:val="00111F14"/>
    <w:rsid w:val="00113083"/>
    <w:rsid w:val="00116200"/>
    <w:rsid w:val="00121AAE"/>
    <w:rsid w:val="00122036"/>
    <w:rsid w:val="001250CA"/>
    <w:rsid w:val="00125B5D"/>
    <w:rsid w:val="00126836"/>
    <w:rsid w:val="00127ECB"/>
    <w:rsid w:val="001304C9"/>
    <w:rsid w:val="001307E7"/>
    <w:rsid w:val="00130FA7"/>
    <w:rsid w:val="001339F3"/>
    <w:rsid w:val="00134859"/>
    <w:rsid w:val="00135F33"/>
    <w:rsid w:val="00137165"/>
    <w:rsid w:val="00141A1D"/>
    <w:rsid w:val="001463C7"/>
    <w:rsid w:val="0015464F"/>
    <w:rsid w:val="001603DF"/>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02B"/>
    <w:rsid w:val="0017654F"/>
    <w:rsid w:val="00176666"/>
    <w:rsid w:val="00177B07"/>
    <w:rsid w:val="0018006A"/>
    <w:rsid w:val="001801DD"/>
    <w:rsid w:val="0018089D"/>
    <w:rsid w:val="00182651"/>
    <w:rsid w:val="00182D5B"/>
    <w:rsid w:val="00182E34"/>
    <w:rsid w:val="00183565"/>
    <w:rsid w:val="00183AD8"/>
    <w:rsid w:val="001864CE"/>
    <w:rsid w:val="00187B44"/>
    <w:rsid w:val="00187D74"/>
    <w:rsid w:val="00197070"/>
    <w:rsid w:val="001977B7"/>
    <w:rsid w:val="00197A97"/>
    <w:rsid w:val="00197C78"/>
    <w:rsid w:val="001A023F"/>
    <w:rsid w:val="001A6330"/>
    <w:rsid w:val="001A70EF"/>
    <w:rsid w:val="001B071C"/>
    <w:rsid w:val="001B0D06"/>
    <w:rsid w:val="001B0D8D"/>
    <w:rsid w:val="001B1EC1"/>
    <w:rsid w:val="001B3F75"/>
    <w:rsid w:val="001B4D27"/>
    <w:rsid w:val="001B7C8F"/>
    <w:rsid w:val="001C04D4"/>
    <w:rsid w:val="001C0A81"/>
    <w:rsid w:val="001C3FC6"/>
    <w:rsid w:val="001D1AA7"/>
    <w:rsid w:val="001D1DBF"/>
    <w:rsid w:val="001D29FB"/>
    <w:rsid w:val="001D36CB"/>
    <w:rsid w:val="001D3CCB"/>
    <w:rsid w:val="001D510D"/>
    <w:rsid w:val="001E143D"/>
    <w:rsid w:val="001E1551"/>
    <w:rsid w:val="001E1D94"/>
    <w:rsid w:val="001E35E6"/>
    <w:rsid w:val="001E5F00"/>
    <w:rsid w:val="001E68D7"/>
    <w:rsid w:val="001E6DE2"/>
    <w:rsid w:val="001E6F65"/>
    <w:rsid w:val="001F03FE"/>
    <w:rsid w:val="001F0A05"/>
    <w:rsid w:val="001F2678"/>
    <w:rsid w:val="001F2DED"/>
    <w:rsid w:val="001F3416"/>
    <w:rsid w:val="001F348B"/>
    <w:rsid w:val="001F3595"/>
    <w:rsid w:val="001F522D"/>
    <w:rsid w:val="001F6029"/>
    <w:rsid w:val="0020168C"/>
    <w:rsid w:val="00203A93"/>
    <w:rsid w:val="00203E7C"/>
    <w:rsid w:val="00204DBF"/>
    <w:rsid w:val="0021020E"/>
    <w:rsid w:val="002210A0"/>
    <w:rsid w:val="00223183"/>
    <w:rsid w:val="00224AFE"/>
    <w:rsid w:val="00233085"/>
    <w:rsid w:val="0024363B"/>
    <w:rsid w:val="002449EE"/>
    <w:rsid w:val="00245CA3"/>
    <w:rsid w:val="0024786E"/>
    <w:rsid w:val="002514B3"/>
    <w:rsid w:val="00252D41"/>
    <w:rsid w:val="00255C35"/>
    <w:rsid w:val="00256712"/>
    <w:rsid w:val="00257C11"/>
    <w:rsid w:val="00262006"/>
    <w:rsid w:val="00262823"/>
    <w:rsid w:val="00264DB3"/>
    <w:rsid w:val="002666BE"/>
    <w:rsid w:val="00271EF2"/>
    <w:rsid w:val="0027221F"/>
    <w:rsid w:val="002735A4"/>
    <w:rsid w:val="002744FF"/>
    <w:rsid w:val="00275CD2"/>
    <w:rsid w:val="00277862"/>
    <w:rsid w:val="00281AA2"/>
    <w:rsid w:val="00282347"/>
    <w:rsid w:val="00283425"/>
    <w:rsid w:val="00283568"/>
    <w:rsid w:val="00283E7B"/>
    <w:rsid w:val="00285287"/>
    <w:rsid w:val="0029185D"/>
    <w:rsid w:val="002931E6"/>
    <w:rsid w:val="0029582A"/>
    <w:rsid w:val="002963A7"/>
    <w:rsid w:val="00296512"/>
    <w:rsid w:val="002A1028"/>
    <w:rsid w:val="002A17DA"/>
    <w:rsid w:val="002A1BFA"/>
    <w:rsid w:val="002A1DB1"/>
    <w:rsid w:val="002A1EAA"/>
    <w:rsid w:val="002A736A"/>
    <w:rsid w:val="002A7A00"/>
    <w:rsid w:val="002A7B69"/>
    <w:rsid w:val="002B2BE4"/>
    <w:rsid w:val="002B40E5"/>
    <w:rsid w:val="002B4C32"/>
    <w:rsid w:val="002B5B05"/>
    <w:rsid w:val="002C07C0"/>
    <w:rsid w:val="002C1E30"/>
    <w:rsid w:val="002C2FBC"/>
    <w:rsid w:val="002C3853"/>
    <w:rsid w:val="002C6C56"/>
    <w:rsid w:val="002D2352"/>
    <w:rsid w:val="002D4D58"/>
    <w:rsid w:val="002D6140"/>
    <w:rsid w:val="002D63AE"/>
    <w:rsid w:val="002E21DE"/>
    <w:rsid w:val="002E25DE"/>
    <w:rsid w:val="002E3C02"/>
    <w:rsid w:val="002E3E71"/>
    <w:rsid w:val="002E3F5D"/>
    <w:rsid w:val="002E4EE2"/>
    <w:rsid w:val="002E4F47"/>
    <w:rsid w:val="002E5628"/>
    <w:rsid w:val="002E75FC"/>
    <w:rsid w:val="002F37F6"/>
    <w:rsid w:val="002F63CC"/>
    <w:rsid w:val="003012BB"/>
    <w:rsid w:val="003015F8"/>
    <w:rsid w:val="003017D4"/>
    <w:rsid w:val="0030385F"/>
    <w:rsid w:val="00304186"/>
    <w:rsid w:val="003041C9"/>
    <w:rsid w:val="0031189D"/>
    <w:rsid w:val="00314239"/>
    <w:rsid w:val="00317F26"/>
    <w:rsid w:val="00322356"/>
    <w:rsid w:val="00322D09"/>
    <w:rsid w:val="00322DCE"/>
    <w:rsid w:val="00322E15"/>
    <w:rsid w:val="00323170"/>
    <w:rsid w:val="003251CD"/>
    <w:rsid w:val="00325224"/>
    <w:rsid w:val="00327766"/>
    <w:rsid w:val="00332BCA"/>
    <w:rsid w:val="00332E06"/>
    <w:rsid w:val="00333894"/>
    <w:rsid w:val="00340DCE"/>
    <w:rsid w:val="0034317D"/>
    <w:rsid w:val="00344B4D"/>
    <w:rsid w:val="00354B52"/>
    <w:rsid w:val="003618C2"/>
    <w:rsid w:val="00361CF9"/>
    <w:rsid w:val="0036211A"/>
    <w:rsid w:val="00365262"/>
    <w:rsid w:val="00365F97"/>
    <w:rsid w:val="0036783D"/>
    <w:rsid w:val="00370963"/>
    <w:rsid w:val="00371986"/>
    <w:rsid w:val="00371B13"/>
    <w:rsid w:val="00372641"/>
    <w:rsid w:val="00372CDD"/>
    <w:rsid w:val="00372FF4"/>
    <w:rsid w:val="00377A08"/>
    <w:rsid w:val="00377DC3"/>
    <w:rsid w:val="003852E6"/>
    <w:rsid w:val="003853E1"/>
    <w:rsid w:val="00385DE6"/>
    <w:rsid w:val="00387588"/>
    <w:rsid w:val="003879AF"/>
    <w:rsid w:val="00390401"/>
    <w:rsid w:val="00394E91"/>
    <w:rsid w:val="003A1A97"/>
    <w:rsid w:val="003A2C94"/>
    <w:rsid w:val="003A4F39"/>
    <w:rsid w:val="003A593B"/>
    <w:rsid w:val="003B149E"/>
    <w:rsid w:val="003B49B7"/>
    <w:rsid w:val="003B69D3"/>
    <w:rsid w:val="003B6B9D"/>
    <w:rsid w:val="003C01B9"/>
    <w:rsid w:val="003C4D0F"/>
    <w:rsid w:val="003D03A2"/>
    <w:rsid w:val="003D15BD"/>
    <w:rsid w:val="003D1CA6"/>
    <w:rsid w:val="003D25E7"/>
    <w:rsid w:val="003D3D16"/>
    <w:rsid w:val="003D4831"/>
    <w:rsid w:val="003D587A"/>
    <w:rsid w:val="003D62F1"/>
    <w:rsid w:val="003D7B53"/>
    <w:rsid w:val="003D7D56"/>
    <w:rsid w:val="003E0E2B"/>
    <w:rsid w:val="003E1314"/>
    <w:rsid w:val="003E1A39"/>
    <w:rsid w:val="003E1A96"/>
    <w:rsid w:val="003E24A1"/>
    <w:rsid w:val="003E2878"/>
    <w:rsid w:val="003E35D9"/>
    <w:rsid w:val="003E4647"/>
    <w:rsid w:val="003E710B"/>
    <w:rsid w:val="003F03B7"/>
    <w:rsid w:val="003F0CB4"/>
    <w:rsid w:val="003F3CAE"/>
    <w:rsid w:val="003F4B40"/>
    <w:rsid w:val="003F5310"/>
    <w:rsid w:val="003F5E3B"/>
    <w:rsid w:val="003F6BE4"/>
    <w:rsid w:val="00402D37"/>
    <w:rsid w:val="004052C1"/>
    <w:rsid w:val="00405DB9"/>
    <w:rsid w:val="00407D01"/>
    <w:rsid w:val="00412056"/>
    <w:rsid w:val="00412CB6"/>
    <w:rsid w:val="0042165D"/>
    <w:rsid w:val="0042483F"/>
    <w:rsid w:val="00431638"/>
    <w:rsid w:val="0043268F"/>
    <w:rsid w:val="004329BC"/>
    <w:rsid w:val="00433B6D"/>
    <w:rsid w:val="004363B5"/>
    <w:rsid w:val="004369B4"/>
    <w:rsid w:val="00442410"/>
    <w:rsid w:val="004431BA"/>
    <w:rsid w:val="00444D85"/>
    <w:rsid w:val="004459AB"/>
    <w:rsid w:val="00445CD5"/>
    <w:rsid w:val="004521CF"/>
    <w:rsid w:val="00452F00"/>
    <w:rsid w:val="00462E38"/>
    <w:rsid w:val="00463176"/>
    <w:rsid w:val="00465080"/>
    <w:rsid w:val="004662C7"/>
    <w:rsid w:val="004670AB"/>
    <w:rsid w:val="00471AD5"/>
    <w:rsid w:val="004726FA"/>
    <w:rsid w:val="00476210"/>
    <w:rsid w:val="00477A89"/>
    <w:rsid w:val="00482CC7"/>
    <w:rsid w:val="00482E80"/>
    <w:rsid w:val="004840C4"/>
    <w:rsid w:val="00484777"/>
    <w:rsid w:val="004857D3"/>
    <w:rsid w:val="00490019"/>
    <w:rsid w:val="0049067C"/>
    <w:rsid w:val="00490ECA"/>
    <w:rsid w:val="004922A1"/>
    <w:rsid w:val="004A0E4C"/>
    <w:rsid w:val="004A1EEA"/>
    <w:rsid w:val="004A2FFF"/>
    <w:rsid w:val="004A30C2"/>
    <w:rsid w:val="004A37C5"/>
    <w:rsid w:val="004A4B08"/>
    <w:rsid w:val="004A4E36"/>
    <w:rsid w:val="004A5C36"/>
    <w:rsid w:val="004A7486"/>
    <w:rsid w:val="004A78E1"/>
    <w:rsid w:val="004B47E3"/>
    <w:rsid w:val="004C0B31"/>
    <w:rsid w:val="004C7D2E"/>
    <w:rsid w:val="004D004C"/>
    <w:rsid w:val="004D07B2"/>
    <w:rsid w:val="004D164D"/>
    <w:rsid w:val="004D2751"/>
    <w:rsid w:val="004D3DA8"/>
    <w:rsid w:val="004D5133"/>
    <w:rsid w:val="004E0B6A"/>
    <w:rsid w:val="004E4F10"/>
    <w:rsid w:val="004E60BF"/>
    <w:rsid w:val="004F046C"/>
    <w:rsid w:val="004F243F"/>
    <w:rsid w:val="004F5E7C"/>
    <w:rsid w:val="004F79F0"/>
    <w:rsid w:val="004F7D4D"/>
    <w:rsid w:val="004F7ED7"/>
    <w:rsid w:val="00502DFB"/>
    <w:rsid w:val="0050351B"/>
    <w:rsid w:val="00505002"/>
    <w:rsid w:val="00511B6E"/>
    <w:rsid w:val="00511C84"/>
    <w:rsid w:val="005123D3"/>
    <w:rsid w:val="005164B3"/>
    <w:rsid w:val="005165ED"/>
    <w:rsid w:val="00516F69"/>
    <w:rsid w:val="00522BBF"/>
    <w:rsid w:val="00524D75"/>
    <w:rsid w:val="0052679C"/>
    <w:rsid w:val="00527BC5"/>
    <w:rsid w:val="00531AD8"/>
    <w:rsid w:val="00531DAA"/>
    <w:rsid w:val="00531E5D"/>
    <w:rsid w:val="00533467"/>
    <w:rsid w:val="005340F1"/>
    <w:rsid w:val="005342CF"/>
    <w:rsid w:val="005344D8"/>
    <w:rsid w:val="00534EF3"/>
    <w:rsid w:val="005356B8"/>
    <w:rsid w:val="00535FDC"/>
    <w:rsid w:val="00536875"/>
    <w:rsid w:val="00540530"/>
    <w:rsid w:val="00542078"/>
    <w:rsid w:val="005420E0"/>
    <w:rsid w:val="00543C10"/>
    <w:rsid w:val="00544F28"/>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069"/>
    <w:rsid w:val="00586942"/>
    <w:rsid w:val="00591B1E"/>
    <w:rsid w:val="00593696"/>
    <w:rsid w:val="00595DFB"/>
    <w:rsid w:val="00595DFF"/>
    <w:rsid w:val="005A040B"/>
    <w:rsid w:val="005A0B8C"/>
    <w:rsid w:val="005A390C"/>
    <w:rsid w:val="005A4253"/>
    <w:rsid w:val="005A468F"/>
    <w:rsid w:val="005A4F7F"/>
    <w:rsid w:val="005A7C25"/>
    <w:rsid w:val="005B0FED"/>
    <w:rsid w:val="005B19F5"/>
    <w:rsid w:val="005B5075"/>
    <w:rsid w:val="005B60E2"/>
    <w:rsid w:val="005C159E"/>
    <w:rsid w:val="005C270F"/>
    <w:rsid w:val="005C3240"/>
    <w:rsid w:val="005C358A"/>
    <w:rsid w:val="005C38F9"/>
    <w:rsid w:val="005C5209"/>
    <w:rsid w:val="005C5A19"/>
    <w:rsid w:val="005C6378"/>
    <w:rsid w:val="005C6ECF"/>
    <w:rsid w:val="005C780A"/>
    <w:rsid w:val="005D1BB5"/>
    <w:rsid w:val="005D2878"/>
    <w:rsid w:val="005D2DAC"/>
    <w:rsid w:val="005D40A7"/>
    <w:rsid w:val="005D45AA"/>
    <w:rsid w:val="005D6D94"/>
    <w:rsid w:val="005D6E98"/>
    <w:rsid w:val="005E209D"/>
    <w:rsid w:val="005E43DF"/>
    <w:rsid w:val="005E5B7D"/>
    <w:rsid w:val="005E7578"/>
    <w:rsid w:val="005F1128"/>
    <w:rsid w:val="006002DA"/>
    <w:rsid w:val="0060416F"/>
    <w:rsid w:val="00606ED5"/>
    <w:rsid w:val="00607B6F"/>
    <w:rsid w:val="00607CB4"/>
    <w:rsid w:val="00611305"/>
    <w:rsid w:val="00613C50"/>
    <w:rsid w:val="00616F4F"/>
    <w:rsid w:val="006179D4"/>
    <w:rsid w:val="00617A01"/>
    <w:rsid w:val="0062045F"/>
    <w:rsid w:val="0062070A"/>
    <w:rsid w:val="00621929"/>
    <w:rsid w:val="0062272B"/>
    <w:rsid w:val="006237D0"/>
    <w:rsid w:val="00623A6B"/>
    <w:rsid w:val="006247CC"/>
    <w:rsid w:val="00625041"/>
    <w:rsid w:val="00634AB7"/>
    <w:rsid w:val="006355A6"/>
    <w:rsid w:val="0063583F"/>
    <w:rsid w:val="00636BF7"/>
    <w:rsid w:val="006379C6"/>
    <w:rsid w:val="00640C77"/>
    <w:rsid w:val="00642BBC"/>
    <w:rsid w:val="00643F02"/>
    <w:rsid w:val="00645F0B"/>
    <w:rsid w:val="0064649D"/>
    <w:rsid w:val="00647C16"/>
    <w:rsid w:val="00647C5E"/>
    <w:rsid w:val="006534EA"/>
    <w:rsid w:val="00655125"/>
    <w:rsid w:val="00663A36"/>
    <w:rsid w:val="00663F4D"/>
    <w:rsid w:val="006641F1"/>
    <w:rsid w:val="006641FE"/>
    <w:rsid w:val="0066506A"/>
    <w:rsid w:val="00667E93"/>
    <w:rsid w:val="00670600"/>
    <w:rsid w:val="006826DF"/>
    <w:rsid w:val="00685451"/>
    <w:rsid w:val="0068707A"/>
    <w:rsid w:val="0068738A"/>
    <w:rsid w:val="00687932"/>
    <w:rsid w:val="00687D0A"/>
    <w:rsid w:val="006946BA"/>
    <w:rsid w:val="006952FD"/>
    <w:rsid w:val="006956DC"/>
    <w:rsid w:val="006A0148"/>
    <w:rsid w:val="006A1718"/>
    <w:rsid w:val="006A2739"/>
    <w:rsid w:val="006A310F"/>
    <w:rsid w:val="006A34AC"/>
    <w:rsid w:val="006A5256"/>
    <w:rsid w:val="006A7586"/>
    <w:rsid w:val="006B30E2"/>
    <w:rsid w:val="006B737C"/>
    <w:rsid w:val="006C0272"/>
    <w:rsid w:val="006C05D4"/>
    <w:rsid w:val="006C0B93"/>
    <w:rsid w:val="006C1364"/>
    <w:rsid w:val="006C1666"/>
    <w:rsid w:val="006C1D02"/>
    <w:rsid w:val="006C1F44"/>
    <w:rsid w:val="006C52A7"/>
    <w:rsid w:val="006C58DC"/>
    <w:rsid w:val="006C640B"/>
    <w:rsid w:val="006D05F7"/>
    <w:rsid w:val="006D1F47"/>
    <w:rsid w:val="006D39FB"/>
    <w:rsid w:val="006D449A"/>
    <w:rsid w:val="006D469B"/>
    <w:rsid w:val="006D4F2D"/>
    <w:rsid w:val="006D7038"/>
    <w:rsid w:val="006D705B"/>
    <w:rsid w:val="006E20AC"/>
    <w:rsid w:val="006E20DA"/>
    <w:rsid w:val="006E2C47"/>
    <w:rsid w:val="006E33DF"/>
    <w:rsid w:val="006E3BBE"/>
    <w:rsid w:val="006E4148"/>
    <w:rsid w:val="006E635C"/>
    <w:rsid w:val="006E69D9"/>
    <w:rsid w:val="006F1F8E"/>
    <w:rsid w:val="006F2015"/>
    <w:rsid w:val="006F2742"/>
    <w:rsid w:val="006F31A9"/>
    <w:rsid w:val="006F37FD"/>
    <w:rsid w:val="006F404F"/>
    <w:rsid w:val="006F6817"/>
    <w:rsid w:val="00702658"/>
    <w:rsid w:val="00702A5D"/>
    <w:rsid w:val="007032E3"/>
    <w:rsid w:val="00706ABC"/>
    <w:rsid w:val="00710575"/>
    <w:rsid w:val="00712452"/>
    <w:rsid w:val="0071387B"/>
    <w:rsid w:val="007146B5"/>
    <w:rsid w:val="00715081"/>
    <w:rsid w:val="00717D7B"/>
    <w:rsid w:val="007205B9"/>
    <w:rsid w:val="00720B5F"/>
    <w:rsid w:val="00724F03"/>
    <w:rsid w:val="00732C49"/>
    <w:rsid w:val="00734F3E"/>
    <w:rsid w:val="00736B7D"/>
    <w:rsid w:val="00740A4F"/>
    <w:rsid w:val="007411A2"/>
    <w:rsid w:val="007431C8"/>
    <w:rsid w:val="00745C1E"/>
    <w:rsid w:val="00746002"/>
    <w:rsid w:val="00751732"/>
    <w:rsid w:val="00751969"/>
    <w:rsid w:val="00755489"/>
    <w:rsid w:val="0075551E"/>
    <w:rsid w:val="00756F3F"/>
    <w:rsid w:val="00760397"/>
    <w:rsid w:val="007620A6"/>
    <w:rsid w:val="0076339E"/>
    <w:rsid w:val="00766209"/>
    <w:rsid w:val="00766AE0"/>
    <w:rsid w:val="00766D22"/>
    <w:rsid w:val="0077006B"/>
    <w:rsid w:val="0077084E"/>
    <w:rsid w:val="00771B0E"/>
    <w:rsid w:val="00771C0E"/>
    <w:rsid w:val="007721B1"/>
    <w:rsid w:val="007752A9"/>
    <w:rsid w:val="007755ED"/>
    <w:rsid w:val="007756CE"/>
    <w:rsid w:val="00775FC8"/>
    <w:rsid w:val="00777089"/>
    <w:rsid w:val="007809B0"/>
    <w:rsid w:val="00785FBC"/>
    <w:rsid w:val="00786705"/>
    <w:rsid w:val="00786DA9"/>
    <w:rsid w:val="0079096A"/>
    <w:rsid w:val="007923CD"/>
    <w:rsid w:val="00793033"/>
    <w:rsid w:val="00793C8B"/>
    <w:rsid w:val="00797D3A"/>
    <w:rsid w:val="007A17E9"/>
    <w:rsid w:val="007A1811"/>
    <w:rsid w:val="007A1C66"/>
    <w:rsid w:val="007A4B48"/>
    <w:rsid w:val="007A6586"/>
    <w:rsid w:val="007B0225"/>
    <w:rsid w:val="007B296B"/>
    <w:rsid w:val="007B5DB7"/>
    <w:rsid w:val="007B6A3A"/>
    <w:rsid w:val="007B741C"/>
    <w:rsid w:val="007C037E"/>
    <w:rsid w:val="007C0DE2"/>
    <w:rsid w:val="007C15A2"/>
    <w:rsid w:val="007C32DA"/>
    <w:rsid w:val="007C48B8"/>
    <w:rsid w:val="007C746A"/>
    <w:rsid w:val="007D01C3"/>
    <w:rsid w:val="007D01EC"/>
    <w:rsid w:val="007D04D8"/>
    <w:rsid w:val="007D28A1"/>
    <w:rsid w:val="007D3FF0"/>
    <w:rsid w:val="007D440B"/>
    <w:rsid w:val="007D66D8"/>
    <w:rsid w:val="007E0A1C"/>
    <w:rsid w:val="007E2B38"/>
    <w:rsid w:val="007E2F6B"/>
    <w:rsid w:val="007E58CE"/>
    <w:rsid w:val="007E62B8"/>
    <w:rsid w:val="007E7373"/>
    <w:rsid w:val="007F1883"/>
    <w:rsid w:val="007F4217"/>
    <w:rsid w:val="007F4C63"/>
    <w:rsid w:val="007F60A3"/>
    <w:rsid w:val="007F7111"/>
    <w:rsid w:val="007F72CF"/>
    <w:rsid w:val="0080017D"/>
    <w:rsid w:val="00800713"/>
    <w:rsid w:val="00800D84"/>
    <w:rsid w:val="0080313A"/>
    <w:rsid w:val="008037FF"/>
    <w:rsid w:val="00804005"/>
    <w:rsid w:val="00804903"/>
    <w:rsid w:val="00804BBD"/>
    <w:rsid w:val="008104AE"/>
    <w:rsid w:val="0081079E"/>
    <w:rsid w:val="00811780"/>
    <w:rsid w:val="008122FD"/>
    <w:rsid w:val="00812DB0"/>
    <w:rsid w:val="0081398F"/>
    <w:rsid w:val="00813D79"/>
    <w:rsid w:val="00814387"/>
    <w:rsid w:val="00820EEF"/>
    <w:rsid w:val="00824EC0"/>
    <w:rsid w:val="008278FC"/>
    <w:rsid w:val="00827D2F"/>
    <w:rsid w:val="0083260C"/>
    <w:rsid w:val="008400C8"/>
    <w:rsid w:val="00841557"/>
    <w:rsid w:val="00844558"/>
    <w:rsid w:val="00844D6A"/>
    <w:rsid w:val="008468FB"/>
    <w:rsid w:val="00847A3B"/>
    <w:rsid w:val="008507CC"/>
    <w:rsid w:val="00850DAA"/>
    <w:rsid w:val="0085166B"/>
    <w:rsid w:val="00852451"/>
    <w:rsid w:val="00853681"/>
    <w:rsid w:val="00854B7E"/>
    <w:rsid w:val="00857DB7"/>
    <w:rsid w:val="00857EDA"/>
    <w:rsid w:val="00861F57"/>
    <w:rsid w:val="00862A78"/>
    <w:rsid w:val="0086307C"/>
    <w:rsid w:val="008710F5"/>
    <w:rsid w:val="00872FEB"/>
    <w:rsid w:val="0087341F"/>
    <w:rsid w:val="00876278"/>
    <w:rsid w:val="0087758A"/>
    <w:rsid w:val="00877A98"/>
    <w:rsid w:val="00877DC6"/>
    <w:rsid w:val="00880454"/>
    <w:rsid w:val="00884880"/>
    <w:rsid w:val="008902AE"/>
    <w:rsid w:val="00892FB6"/>
    <w:rsid w:val="0089429D"/>
    <w:rsid w:val="008948EB"/>
    <w:rsid w:val="0089652B"/>
    <w:rsid w:val="00897E97"/>
    <w:rsid w:val="008A1159"/>
    <w:rsid w:val="008A18A2"/>
    <w:rsid w:val="008A5A49"/>
    <w:rsid w:val="008A6FD6"/>
    <w:rsid w:val="008A7883"/>
    <w:rsid w:val="008B06C1"/>
    <w:rsid w:val="008B21E0"/>
    <w:rsid w:val="008B5F6F"/>
    <w:rsid w:val="008B702B"/>
    <w:rsid w:val="008C08AB"/>
    <w:rsid w:val="008C10CD"/>
    <w:rsid w:val="008C1FB7"/>
    <w:rsid w:val="008C50F0"/>
    <w:rsid w:val="008C6990"/>
    <w:rsid w:val="008C7652"/>
    <w:rsid w:val="008C7F85"/>
    <w:rsid w:val="008D11C2"/>
    <w:rsid w:val="008D15CE"/>
    <w:rsid w:val="008D164F"/>
    <w:rsid w:val="008D1CB6"/>
    <w:rsid w:val="008D35CB"/>
    <w:rsid w:val="008D497F"/>
    <w:rsid w:val="008D63D5"/>
    <w:rsid w:val="008D71B5"/>
    <w:rsid w:val="008E150B"/>
    <w:rsid w:val="008E375A"/>
    <w:rsid w:val="008E4841"/>
    <w:rsid w:val="008E56A4"/>
    <w:rsid w:val="008F337D"/>
    <w:rsid w:val="008F4139"/>
    <w:rsid w:val="008F4CE6"/>
    <w:rsid w:val="008F5F3E"/>
    <w:rsid w:val="008F74C5"/>
    <w:rsid w:val="008F7660"/>
    <w:rsid w:val="008F7AE0"/>
    <w:rsid w:val="009020D0"/>
    <w:rsid w:val="00902115"/>
    <w:rsid w:val="00903A8B"/>
    <w:rsid w:val="00904888"/>
    <w:rsid w:val="009050A1"/>
    <w:rsid w:val="00911390"/>
    <w:rsid w:val="00913BBF"/>
    <w:rsid w:val="00915356"/>
    <w:rsid w:val="009206AC"/>
    <w:rsid w:val="00924B96"/>
    <w:rsid w:val="009252EF"/>
    <w:rsid w:val="00925656"/>
    <w:rsid w:val="00925E63"/>
    <w:rsid w:val="00925EB3"/>
    <w:rsid w:val="00927433"/>
    <w:rsid w:val="00927C70"/>
    <w:rsid w:val="00931F67"/>
    <w:rsid w:val="009330C6"/>
    <w:rsid w:val="00935E07"/>
    <w:rsid w:val="00936AFA"/>
    <w:rsid w:val="009371D8"/>
    <w:rsid w:val="00945C5E"/>
    <w:rsid w:val="009469D7"/>
    <w:rsid w:val="00954268"/>
    <w:rsid w:val="009545F8"/>
    <w:rsid w:val="00955FBB"/>
    <w:rsid w:val="00961096"/>
    <w:rsid w:val="00966221"/>
    <w:rsid w:val="00966C62"/>
    <w:rsid w:val="0096793E"/>
    <w:rsid w:val="0097199A"/>
    <w:rsid w:val="00972136"/>
    <w:rsid w:val="00973DC5"/>
    <w:rsid w:val="00974646"/>
    <w:rsid w:val="00975B1C"/>
    <w:rsid w:val="00975B6E"/>
    <w:rsid w:val="0097785B"/>
    <w:rsid w:val="009800F5"/>
    <w:rsid w:val="00981D79"/>
    <w:rsid w:val="00986814"/>
    <w:rsid w:val="00987B51"/>
    <w:rsid w:val="00987D4A"/>
    <w:rsid w:val="00992423"/>
    <w:rsid w:val="0099249D"/>
    <w:rsid w:val="00993FAE"/>
    <w:rsid w:val="00994933"/>
    <w:rsid w:val="0099505A"/>
    <w:rsid w:val="00997EBB"/>
    <w:rsid w:val="009A28F3"/>
    <w:rsid w:val="009A570D"/>
    <w:rsid w:val="009A5AE9"/>
    <w:rsid w:val="009A6B88"/>
    <w:rsid w:val="009A7332"/>
    <w:rsid w:val="009A76FF"/>
    <w:rsid w:val="009B3CBE"/>
    <w:rsid w:val="009B4A69"/>
    <w:rsid w:val="009B4CB9"/>
    <w:rsid w:val="009B6EB3"/>
    <w:rsid w:val="009B75EA"/>
    <w:rsid w:val="009B7740"/>
    <w:rsid w:val="009C091A"/>
    <w:rsid w:val="009C0F09"/>
    <w:rsid w:val="009C166B"/>
    <w:rsid w:val="009C5216"/>
    <w:rsid w:val="009C573B"/>
    <w:rsid w:val="009C64BE"/>
    <w:rsid w:val="009D27CC"/>
    <w:rsid w:val="009D3066"/>
    <w:rsid w:val="009D368A"/>
    <w:rsid w:val="009D41A3"/>
    <w:rsid w:val="009E0D00"/>
    <w:rsid w:val="009E1F4B"/>
    <w:rsid w:val="009E20A5"/>
    <w:rsid w:val="009E33D7"/>
    <w:rsid w:val="009E461F"/>
    <w:rsid w:val="009E4666"/>
    <w:rsid w:val="009E5130"/>
    <w:rsid w:val="009E64CE"/>
    <w:rsid w:val="009E69BE"/>
    <w:rsid w:val="009F0187"/>
    <w:rsid w:val="009F11FE"/>
    <w:rsid w:val="009F1793"/>
    <w:rsid w:val="009F2273"/>
    <w:rsid w:val="009F2D07"/>
    <w:rsid w:val="00A0047A"/>
    <w:rsid w:val="00A05998"/>
    <w:rsid w:val="00A06B38"/>
    <w:rsid w:val="00A100F9"/>
    <w:rsid w:val="00A14CAB"/>
    <w:rsid w:val="00A158CC"/>
    <w:rsid w:val="00A22965"/>
    <w:rsid w:val="00A23664"/>
    <w:rsid w:val="00A23BE2"/>
    <w:rsid w:val="00A25C25"/>
    <w:rsid w:val="00A264E8"/>
    <w:rsid w:val="00A268CC"/>
    <w:rsid w:val="00A27475"/>
    <w:rsid w:val="00A3032B"/>
    <w:rsid w:val="00A32548"/>
    <w:rsid w:val="00A35FB8"/>
    <w:rsid w:val="00A3685D"/>
    <w:rsid w:val="00A378E7"/>
    <w:rsid w:val="00A37D8D"/>
    <w:rsid w:val="00A402CD"/>
    <w:rsid w:val="00A40F4A"/>
    <w:rsid w:val="00A4202F"/>
    <w:rsid w:val="00A4354F"/>
    <w:rsid w:val="00A4494D"/>
    <w:rsid w:val="00A44C6C"/>
    <w:rsid w:val="00A457BA"/>
    <w:rsid w:val="00A4616E"/>
    <w:rsid w:val="00A46859"/>
    <w:rsid w:val="00A46F3A"/>
    <w:rsid w:val="00A475BE"/>
    <w:rsid w:val="00A52AFE"/>
    <w:rsid w:val="00A53A9D"/>
    <w:rsid w:val="00A53E67"/>
    <w:rsid w:val="00A54DD4"/>
    <w:rsid w:val="00A629E3"/>
    <w:rsid w:val="00A67B2E"/>
    <w:rsid w:val="00A707E4"/>
    <w:rsid w:val="00A719DE"/>
    <w:rsid w:val="00A72B43"/>
    <w:rsid w:val="00A73B5C"/>
    <w:rsid w:val="00A74B4A"/>
    <w:rsid w:val="00A77714"/>
    <w:rsid w:val="00A809E1"/>
    <w:rsid w:val="00A80A3E"/>
    <w:rsid w:val="00A80C65"/>
    <w:rsid w:val="00A853F5"/>
    <w:rsid w:val="00A86079"/>
    <w:rsid w:val="00A923EE"/>
    <w:rsid w:val="00A92F34"/>
    <w:rsid w:val="00A96334"/>
    <w:rsid w:val="00A97D54"/>
    <w:rsid w:val="00AA1BE8"/>
    <w:rsid w:val="00AA1FA5"/>
    <w:rsid w:val="00AA4DC1"/>
    <w:rsid w:val="00AA5A9C"/>
    <w:rsid w:val="00AA7709"/>
    <w:rsid w:val="00AB199B"/>
    <w:rsid w:val="00AB571D"/>
    <w:rsid w:val="00AB68A8"/>
    <w:rsid w:val="00AB6D1E"/>
    <w:rsid w:val="00AC07DE"/>
    <w:rsid w:val="00AC6D60"/>
    <w:rsid w:val="00AD07F8"/>
    <w:rsid w:val="00AD1451"/>
    <w:rsid w:val="00AD1B30"/>
    <w:rsid w:val="00AD5A01"/>
    <w:rsid w:val="00AD70C8"/>
    <w:rsid w:val="00AD7371"/>
    <w:rsid w:val="00AD77D6"/>
    <w:rsid w:val="00AD7C75"/>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B0"/>
    <w:rsid w:val="00B25CC2"/>
    <w:rsid w:val="00B261B1"/>
    <w:rsid w:val="00B26AB9"/>
    <w:rsid w:val="00B26D7C"/>
    <w:rsid w:val="00B27A3D"/>
    <w:rsid w:val="00B301E4"/>
    <w:rsid w:val="00B3109F"/>
    <w:rsid w:val="00B31882"/>
    <w:rsid w:val="00B32710"/>
    <w:rsid w:val="00B32EBF"/>
    <w:rsid w:val="00B33013"/>
    <w:rsid w:val="00B36D8A"/>
    <w:rsid w:val="00B40E23"/>
    <w:rsid w:val="00B40F11"/>
    <w:rsid w:val="00B45096"/>
    <w:rsid w:val="00B4575C"/>
    <w:rsid w:val="00B45987"/>
    <w:rsid w:val="00B45CFC"/>
    <w:rsid w:val="00B46837"/>
    <w:rsid w:val="00B46E0F"/>
    <w:rsid w:val="00B5125D"/>
    <w:rsid w:val="00B53A20"/>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415E"/>
    <w:rsid w:val="00B8599C"/>
    <w:rsid w:val="00B863DF"/>
    <w:rsid w:val="00B87833"/>
    <w:rsid w:val="00B9657F"/>
    <w:rsid w:val="00BA39DB"/>
    <w:rsid w:val="00BA4DC1"/>
    <w:rsid w:val="00BA79D2"/>
    <w:rsid w:val="00BB1999"/>
    <w:rsid w:val="00BB3CA9"/>
    <w:rsid w:val="00BB5F36"/>
    <w:rsid w:val="00BB79EE"/>
    <w:rsid w:val="00BC18B8"/>
    <w:rsid w:val="00BC2BEA"/>
    <w:rsid w:val="00BC42B9"/>
    <w:rsid w:val="00BC4C15"/>
    <w:rsid w:val="00BC5093"/>
    <w:rsid w:val="00BC545B"/>
    <w:rsid w:val="00BC5C9B"/>
    <w:rsid w:val="00BD0523"/>
    <w:rsid w:val="00BD0FFC"/>
    <w:rsid w:val="00BD30CE"/>
    <w:rsid w:val="00BD317E"/>
    <w:rsid w:val="00BE0032"/>
    <w:rsid w:val="00BE0418"/>
    <w:rsid w:val="00BE2390"/>
    <w:rsid w:val="00BE2A10"/>
    <w:rsid w:val="00BE3F4A"/>
    <w:rsid w:val="00BE4393"/>
    <w:rsid w:val="00BE6965"/>
    <w:rsid w:val="00BE716A"/>
    <w:rsid w:val="00BF0309"/>
    <w:rsid w:val="00BF0650"/>
    <w:rsid w:val="00BF117C"/>
    <w:rsid w:val="00BF35B2"/>
    <w:rsid w:val="00BF5489"/>
    <w:rsid w:val="00BF592F"/>
    <w:rsid w:val="00BF739D"/>
    <w:rsid w:val="00BF7C1F"/>
    <w:rsid w:val="00C002F3"/>
    <w:rsid w:val="00C01A74"/>
    <w:rsid w:val="00C023BF"/>
    <w:rsid w:val="00C11EC6"/>
    <w:rsid w:val="00C15E0E"/>
    <w:rsid w:val="00C20469"/>
    <w:rsid w:val="00C20A2D"/>
    <w:rsid w:val="00C20B9A"/>
    <w:rsid w:val="00C21282"/>
    <w:rsid w:val="00C223FA"/>
    <w:rsid w:val="00C23A0D"/>
    <w:rsid w:val="00C23DA0"/>
    <w:rsid w:val="00C2445F"/>
    <w:rsid w:val="00C24771"/>
    <w:rsid w:val="00C277BB"/>
    <w:rsid w:val="00C2790B"/>
    <w:rsid w:val="00C30954"/>
    <w:rsid w:val="00C31F22"/>
    <w:rsid w:val="00C337D6"/>
    <w:rsid w:val="00C36564"/>
    <w:rsid w:val="00C37163"/>
    <w:rsid w:val="00C37EB4"/>
    <w:rsid w:val="00C416AA"/>
    <w:rsid w:val="00C42912"/>
    <w:rsid w:val="00C43C1E"/>
    <w:rsid w:val="00C43DEB"/>
    <w:rsid w:val="00C458C4"/>
    <w:rsid w:val="00C45A52"/>
    <w:rsid w:val="00C466EA"/>
    <w:rsid w:val="00C46C54"/>
    <w:rsid w:val="00C51A7A"/>
    <w:rsid w:val="00C520B8"/>
    <w:rsid w:val="00C53612"/>
    <w:rsid w:val="00C557EE"/>
    <w:rsid w:val="00C5657F"/>
    <w:rsid w:val="00C56BD4"/>
    <w:rsid w:val="00C5703D"/>
    <w:rsid w:val="00C5732C"/>
    <w:rsid w:val="00C62458"/>
    <w:rsid w:val="00C6277E"/>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7C13"/>
    <w:rsid w:val="00C84003"/>
    <w:rsid w:val="00C85CB3"/>
    <w:rsid w:val="00C87811"/>
    <w:rsid w:val="00C916B0"/>
    <w:rsid w:val="00C92875"/>
    <w:rsid w:val="00C92B29"/>
    <w:rsid w:val="00C92CDF"/>
    <w:rsid w:val="00C9314B"/>
    <w:rsid w:val="00C959F8"/>
    <w:rsid w:val="00C9674D"/>
    <w:rsid w:val="00C97765"/>
    <w:rsid w:val="00CA1213"/>
    <w:rsid w:val="00CA2ECA"/>
    <w:rsid w:val="00CA4BB4"/>
    <w:rsid w:val="00CA4DD5"/>
    <w:rsid w:val="00CA6CE9"/>
    <w:rsid w:val="00CB0C3E"/>
    <w:rsid w:val="00CB0CAB"/>
    <w:rsid w:val="00CB20C7"/>
    <w:rsid w:val="00CB2F29"/>
    <w:rsid w:val="00CB6B6A"/>
    <w:rsid w:val="00CB7739"/>
    <w:rsid w:val="00CC2BD0"/>
    <w:rsid w:val="00CC3974"/>
    <w:rsid w:val="00CC50E1"/>
    <w:rsid w:val="00CC5962"/>
    <w:rsid w:val="00CC600C"/>
    <w:rsid w:val="00CD0C29"/>
    <w:rsid w:val="00CD10E5"/>
    <w:rsid w:val="00CD1F33"/>
    <w:rsid w:val="00CD3211"/>
    <w:rsid w:val="00CD42BA"/>
    <w:rsid w:val="00CD485D"/>
    <w:rsid w:val="00CD511C"/>
    <w:rsid w:val="00CD6B47"/>
    <w:rsid w:val="00CE2306"/>
    <w:rsid w:val="00CE3245"/>
    <w:rsid w:val="00CE32C0"/>
    <w:rsid w:val="00CE3876"/>
    <w:rsid w:val="00CE4D56"/>
    <w:rsid w:val="00CF1A82"/>
    <w:rsid w:val="00CF2AC6"/>
    <w:rsid w:val="00CF31B0"/>
    <w:rsid w:val="00CF3D6D"/>
    <w:rsid w:val="00CF40EE"/>
    <w:rsid w:val="00CF5DE2"/>
    <w:rsid w:val="00CF64FE"/>
    <w:rsid w:val="00CF7FB1"/>
    <w:rsid w:val="00D02159"/>
    <w:rsid w:val="00D054A8"/>
    <w:rsid w:val="00D07345"/>
    <w:rsid w:val="00D11373"/>
    <w:rsid w:val="00D11CB4"/>
    <w:rsid w:val="00D11EC0"/>
    <w:rsid w:val="00D132BF"/>
    <w:rsid w:val="00D13852"/>
    <w:rsid w:val="00D13EA8"/>
    <w:rsid w:val="00D1449F"/>
    <w:rsid w:val="00D14861"/>
    <w:rsid w:val="00D14ECA"/>
    <w:rsid w:val="00D2157C"/>
    <w:rsid w:val="00D21A6D"/>
    <w:rsid w:val="00D21E22"/>
    <w:rsid w:val="00D23738"/>
    <w:rsid w:val="00D2536F"/>
    <w:rsid w:val="00D27F81"/>
    <w:rsid w:val="00D329B3"/>
    <w:rsid w:val="00D33433"/>
    <w:rsid w:val="00D33CC5"/>
    <w:rsid w:val="00D33F3C"/>
    <w:rsid w:val="00D426F0"/>
    <w:rsid w:val="00D428EC"/>
    <w:rsid w:val="00D466D7"/>
    <w:rsid w:val="00D4716B"/>
    <w:rsid w:val="00D47800"/>
    <w:rsid w:val="00D50F2B"/>
    <w:rsid w:val="00D517AE"/>
    <w:rsid w:val="00D51EA8"/>
    <w:rsid w:val="00D52226"/>
    <w:rsid w:val="00D54364"/>
    <w:rsid w:val="00D554CF"/>
    <w:rsid w:val="00D56234"/>
    <w:rsid w:val="00D62262"/>
    <w:rsid w:val="00D66B7D"/>
    <w:rsid w:val="00D707F7"/>
    <w:rsid w:val="00D708CF"/>
    <w:rsid w:val="00D71E9C"/>
    <w:rsid w:val="00D72434"/>
    <w:rsid w:val="00D73023"/>
    <w:rsid w:val="00D731D2"/>
    <w:rsid w:val="00D73B45"/>
    <w:rsid w:val="00D83485"/>
    <w:rsid w:val="00D84A5C"/>
    <w:rsid w:val="00D86B2B"/>
    <w:rsid w:val="00D87F06"/>
    <w:rsid w:val="00D911B2"/>
    <w:rsid w:val="00D965D5"/>
    <w:rsid w:val="00D977DD"/>
    <w:rsid w:val="00D97FE5"/>
    <w:rsid w:val="00DA123E"/>
    <w:rsid w:val="00DA1769"/>
    <w:rsid w:val="00DA2FBA"/>
    <w:rsid w:val="00DA4341"/>
    <w:rsid w:val="00DA4AD4"/>
    <w:rsid w:val="00DA4F63"/>
    <w:rsid w:val="00DA6C99"/>
    <w:rsid w:val="00DA707D"/>
    <w:rsid w:val="00DB0213"/>
    <w:rsid w:val="00DB378E"/>
    <w:rsid w:val="00DB3F8F"/>
    <w:rsid w:val="00DB6353"/>
    <w:rsid w:val="00DB680A"/>
    <w:rsid w:val="00DC06F8"/>
    <w:rsid w:val="00DC0C3F"/>
    <w:rsid w:val="00DC1D24"/>
    <w:rsid w:val="00DC20B6"/>
    <w:rsid w:val="00DC2EEA"/>
    <w:rsid w:val="00DC2F9F"/>
    <w:rsid w:val="00DC671C"/>
    <w:rsid w:val="00DC67B5"/>
    <w:rsid w:val="00DD0426"/>
    <w:rsid w:val="00DD2265"/>
    <w:rsid w:val="00DD2721"/>
    <w:rsid w:val="00DD3936"/>
    <w:rsid w:val="00DD515E"/>
    <w:rsid w:val="00DD7A9F"/>
    <w:rsid w:val="00DE4B23"/>
    <w:rsid w:val="00DF28A0"/>
    <w:rsid w:val="00DF31E2"/>
    <w:rsid w:val="00DF42B8"/>
    <w:rsid w:val="00DF5A36"/>
    <w:rsid w:val="00DF7764"/>
    <w:rsid w:val="00E01BE9"/>
    <w:rsid w:val="00E01CDE"/>
    <w:rsid w:val="00E1063F"/>
    <w:rsid w:val="00E13886"/>
    <w:rsid w:val="00E16C03"/>
    <w:rsid w:val="00E2185D"/>
    <w:rsid w:val="00E236DF"/>
    <w:rsid w:val="00E25E37"/>
    <w:rsid w:val="00E271D6"/>
    <w:rsid w:val="00E27815"/>
    <w:rsid w:val="00E303D4"/>
    <w:rsid w:val="00E30FB6"/>
    <w:rsid w:val="00E35AAF"/>
    <w:rsid w:val="00E41921"/>
    <w:rsid w:val="00E4275E"/>
    <w:rsid w:val="00E42D06"/>
    <w:rsid w:val="00E42FBC"/>
    <w:rsid w:val="00E463B2"/>
    <w:rsid w:val="00E47D8B"/>
    <w:rsid w:val="00E47DD5"/>
    <w:rsid w:val="00E519CE"/>
    <w:rsid w:val="00E51BFD"/>
    <w:rsid w:val="00E536F0"/>
    <w:rsid w:val="00E53D2E"/>
    <w:rsid w:val="00E547C6"/>
    <w:rsid w:val="00E55772"/>
    <w:rsid w:val="00E57D98"/>
    <w:rsid w:val="00E60D48"/>
    <w:rsid w:val="00E61CBB"/>
    <w:rsid w:val="00E63B58"/>
    <w:rsid w:val="00E661F8"/>
    <w:rsid w:val="00E66A27"/>
    <w:rsid w:val="00E66D1F"/>
    <w:rsid w:val="00E6708D"/>
    <w:rsid w:val="00E67620"/>
    <w:rsid w:val="00E70BFB"/>
    <w:rsid w:val="00E71356"/>
    <w:rsid w:val="00E73632"/>
    <w:rsid w:val="00E73C73"/>
    <w:rsid w:val="00E7474A"/>
    <w:rsid w:val="00E75441"/>
    <w:rsid w:val="00E75E2F"/>
    <w:rsid w:val="00E84234"/>
    <w:rsid w:val="00E8453C"/>
    <w:rsid w:val="00E87BC1"/>
    <w:rsid w:val="00E914AF"/>
    <w:rsid w:val="00E9156B"/>
    <w:rsid w:val="00E91797"/>
    <w:rsid w:val="00E92C24"/>
    <w:rsid w:val="00E964EA"/>
    <w:rsid w:val="00E9735A"/>
    <w:rsid w:val="00EA0CF8"/>
    <w:rsid w:val="00EA31B4"/>
    <w:rsid w:val="00EA3639"/>
    <w:rsid w:val="00EA3913"/>
    <w:rsid w:val="00EA41B8"/>
    <w:rsid w:val="00EA5A64"/>
    <w:rsid w:val="00EA5BB4"/>
    <w:rsid w:val="00EA7D37"/>
    <w:rsid w:val="00EB0DD5"/>
    <w:rsid w:val="00EB0E32"/>
    <w:rsid w:val="00EB111D"/>
    <w:rsid w:val="00EB160B"/>
    <w:rsid w:val="00EB1CB2"/>
    <w:rsid w:val="00EB21F2"/>
    <w:rsid w:val="00EB297D"/>
    <w:rsid w:val="00EB2C43"/>
    <w:rsid w:val="00EB4E62"/>
    <w:rsid w:val="00EB6104"/>
    <w:rsid w:val="00EB681D"/>
    <w:rsid w:val="00EB6CFB"/>
    <w:rsid w:val="00EC0172"/>
    <w:rsid w:val="00EC0446"/>
    <w:rsid w:val="00EC04E3"/>
    <w:rsid w:val="00EC4FEC"/>
    <w:rsid w:val="00EC7BA2"/>
    <w:rsid w:val="00ED1DD8"/>
    <w:rsid w:val="00ED2EC4"/>
    <w:rsid w:val="00ED35F4"/>
    <w:rsid w:val="00ED3A56"/>
    <w:rsid w:val="00ED71D0"/>
    <w:rsid w:val="00EE14D0"/>
    <w:rsid w:val="00EE334C"/>
    <w:rsid w:val="00EE44A3"/>
    <w:rsid w:val="00EE65E6"/>
    <w:rsid w:val="00EE66D1"/>
    <w:rsid w:val="00EF36F5"/>
    <w:rsid w:val="00EF3C0E"/>
    <w:rsid w:val="00EF4749"/>
    <w:rsid w:val="00EF62C3"/>
    <w:rsid w:val="00F003D2"/>
    <w:rsid w:val="00F020A5"/>
    <w:rsid w:val="00F02D22"/>
    <w:rsid w:val="00F05B9B"/>
    <w:rsid w:val="00F05E66"/>
    <w:rsid w:val="00F07E2C"/>
    <w:rsid w:val="00F12E9C"/>
    <w:rsid w:val="00F1433A"/>
    <w:rsid w:val="00F153FF"/>
    <w:rsid w:val="00F16C7E"/>
    <w:rsid w:val="00F20E4F"/>
    <w:rsid w:val="00F22384"/>
    <w:rsid w:val="00F234D9"/>
    <w:rsid w:val="00F249CA"/>
    <w:rsid w:val="00F2526D"/>
    <w:rsid w:val="00F26899"/>
    <w:rsid w:val="00F31064"/>
    <w:rsid w:val="00F32629"/>
    <w:rsid w:val="00F32982"/>
    <w:rsid w:val="00F33608"/>
    <w:rsid w:val="00F344C5"/>
    <w:rsid w:val="00F34579"/>
    <w:rsid w:val="00F41EA4"/>
    <w:rsid w:val="00F500E4"/>
    <w:rsid w:val="00F53A6F"/>
    <w:rsid w:val="00F55261"/>
    <w:rsid w:val="00F55D69"/>
    <w:rsid w:val="00F600C0"/>
    <w:rsid w:val="00F60F88"/>
    <w:rsid w:val="00F615CE"/>
    <w:rsid w:val="00F6192B"/>
    <w:rsid w:val="00F624A7"/>
    <w:rsid w:val="00F63B25"/>
    <w:rsid w:val="00F6402B"/>
    <w:rsid w:val="00F66265"/>
    <w:rsid w:val="00F66966"/>
    <w:rsid w:val="00F744F4"/>
    <w:rsid w:val="00F754CE"/>
    <w:rsid w:val="00F7596F"/>
    <w:rsid w:val="00F772AB"/>
    <w:rsid w:val="00F80C21"/>
    <w:rsid w:val="00F81460"/>
    <w:rsid w:val="00F82262"/>
    <w:rsid w:val="00F827AD"/>
    <w:rsid w:val="00F82C79"/>
    <w:rsid w:val="00F83B32"/>
    <w:rsid w:val="00F83F93"/>
    <w:rsid w:val="00F90BD7"/>
    <w:rsid w:val="00F91ABB"/>
    <w:rsid w:val="00F91AD7"/>
    <w:rsid w:val="00F924C3"/>
    <w:rsid w:val="00F93088"/>
    <w:rsid w:val="00F97DC0"/>
    <w:rsid w:val="00FA0B2F"/>
    <w:rsid w:val="00FA1481"/>
    <w:rsid w:val="00FA5145"/>
    <w:rsid w:val="00FB01E5"/>
    <w:rsid w:val="00FB1246"/>
    <w:rsid w:val="00FB2A67"/>
    <w:rsid w:val="00FB484A"/>
    <w:rsid w:val="00FB5B45"/>
    <w:rsid w:val="00FB7E10"/>
    <w:rsid w:val="00FC09F8"/>
    <w:rsid w:val="00FC3E3A"/>
    <w:rsid w:val="00FC5C61"/>
    <w:rsid w:val="00FD2BFA"/>
    <w:rsid w:val="00FD5455"/>
    <w:rsid w:val="00FD675C"/>
    <w:rsid w:val="00FD7052"/>
    <w:rsid w:val="00FE1A1E"/>
    <w:rsid w:val="00FE27FD"/>
    <w:rsid w:val="00FE2E68"/>
    <w:rsid w:val="00FE4015"/>
    <w:rsid w:val="00FE596E"/>
    <w:rsid w:val="00FF3D00"/>
    <w:rsid w:val="00FF5C9B"/>
    <w:rsid w:val="00FF6445"/>
    <w:rsid w:val="00FF6DC3"/>
    <w:rsid w:val="00FF727E"/>
    <w:rsid w:val="4611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7"/>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4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1"/>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8"/>
    <w:semiHidden/>
    <w:unhideWhenUsed/>
    <w:uiPriority w:val="99"/>
    <w:rPr>
      <w:rFonts w:ascii="宋体" w:eastAsia="宋体"/>
      <w:sz w:val="20"/>
      <w:szCs w:val="18"/>
    </w:rPr>
  </w:style>
  <w:style w:type="paragraph" w:styleId="8">
    <w:name w:val="annotation text"/>
    <w:basedOn w:val="1"/>
    <w:link w:val="35"/>
    <w:semiHidden/>
    <w:unhideWhenUsed/>
    <w:qFormat/>
    <w:uiPriority w:val="99"/>
    <w:pPr>
      <w:jc w:val="left"/>
    </w:pPr>
  </w:style>
  <w:style w:type="paragraph" w:styleId="9">
    <w:name w:val="Salutation"/>
    <w:basedOn w:val="1"/>
    <w:next w:val="1"/>
    <w:link w:val="57"/>
    <w:semiHidden/>
    <w:unhideWhenUsed/>
    <w:qFormat/>
    <w:uiPriority w:val="99"/>
  </w:style>
  <w:style w:type="paragraph" w:styleId="10">
    <w:name w:val="Body Text"/>
    <w:basedOn w:val="1"/>
    <w:link w:val="44"/>
    <w:semiHidden/>
    <w:unhideWhenUsed/>
    <w:qFormat/>
    <w:uiPriority w:val="99"/>
    <w:pPr>
      <w:spacing w:after="120"/>
    </w:pPr>
  </w:style>
  <w:style w:type="paragraph" w:styleId="11">
    <w:name w:val="Plain Text"/>
    <w:basedOn w:val="1"/>
    <w:next w:val="9"/>
    <w:link w:val="55"/>
    <w:qFormat/>
    <w:uiPriority w:val="5"/>
    <w:pPr>
      <w:spacing w:line="360" w:lineRule="exact"/>
    </w:pPr>
    <w:rPr>
      <w:rFonts w:ascii="宋体" w:hAnsi="Courier New" w:eastAsia="宋体" w:cs="Times New Roman"/>
      <w:szCs w:val="20"/>
    </w:rPr>
  </w:style>
  <w:style w:type="paragraph" w:styleId="12">
    <w:name w:val="Balloon Text"/>
    <w:basedOn w:val="1"/>
    <w:link w:val="27"/>
    <w:unhideWhenUsed/>
    <w:uiPriority w:val="99"/>
    <w:rPr>
      <w:sz w:val="18"/>
      <w:szCs w:val="18"/>
    </w:rPr>
  </w:style>
  <w:style w:type="paragraph" w:styleId="13">
    <w:name w:val="footer"/>
    <w:basedOn w:val="1"/>
    <w:link w:val="30"/>
    <w:semiHidden/>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Body Text Indent 3"/>
    <w:basedOn w:val="1"/>
    <w:link w:val="32"/>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annotation subject"/>
    <w:basedOn w:val="8"/>
    <w:next w:val="8"/>
    <w:link w:val="36"/>
    <w:semiHidden/>
    <w:unhideWhenUsed/>
    <w:qFormat/>
    <w:uiPriority w:val="99"/>
    <w:rPr>
      <w:b/>
      <w:bCs/>
    </w:rPr>
  </w:style>
  <w:style w:type="table" w:styleId="21">
    <w:name w:val="Table Grid"/>
    <w:basedOn w:val="2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basedOn w:val="22"/>
    <w:semiHidden/>
    <w:unhideWhenUsed/>
    <w:uiPriority w:val="99"/>
    <w:rPr>
      <w:color w:val="0000FF"/>
      <w:u w:val="single"/>
    </w:rPr>
  </w:style>
  <w:style w:type="character" w:styleId="26">
    <w:name w:val="annotation reference"/>
    <w:basedOn w:val="22"/>
    <w:semiHidden/>
    <w:unhideWhenUsed/>
    <w:qFormat/>
    <w:uiPriority w:val="99"/>
    <w:rPr>
      <w:sz w:val="21"/>
      <w:szCs w:val="21"/>
    </w:rPr>
  </w:style>
  <w:style w:type="character" w:customStyle="1" w:styleId="27">
    <w:name w:val="批注框文本 Char"/>
    <w:basedOn w:val="22"/>
    <w:link w:val="12"/>
    <w:uiPriority w:val="99"/>
    <w:rPr>
      <w:sz w:val="18"/>
      <w:szCs w:val="18"/>
    </w:rPr>
  </w:style>
  <w:style w:type="character" w:customStyle="1" w:styleId="28">
    <w:name w:val="文档结构图 Char"/>
    <w:basedOn w:val="22"/>
    <w:link w:val="7"/>
    <w:semiHidden/>
    <w:qFormat/>
    <w:uiPriority w:val="99"/>
    <w:rPr>
      <w:rFonts w:ascii="宋体" w:eastAsia="宋体"/>
      <w:sz w:val="20"/>
      <w:szCs w:val="18"/>
    </w:rPr>
  </w:style>
  <w:style w:type="character" w:customStyle="1" w:styleId="29">
    <w:name w:val="页眉 Char"/>
    <w:basedOn w:val="22"/>
    <w:link w:val="14"/>
    <w:qFormat/>
    <w:uiPriority w:val="0"/>
    <w:rPr>
      <w:sz w:val="18"/>
      <w:szCs w:val="18"/>
    </w:rPr>
  </w:style>
  <w:style w:type="character" w:customStyle="1" w:styleId="30">
    <w:name w:val="页脚 Char"/>
    <w:basedOn w:val="22"/>
    <w:link w:val="13"/>
    <w:semiHidden/>
    <w:qFormat/>
    <w:uiPriority w:val="99"/>
    <w:rPr>
      <w:sz w:val="18"/>
      <w:szCs w:val="18"/>
    </w:rPr>
  </w:style>
  <w:style w:type="paragraph" w:customStyle="1" w:styleId="31">
    <w:name w:val="表体"/>
    <w:basedOn w:val="1"/>
    <w:link w:val="43"/>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2">
    <w:name w:val="正文文本缩进 3 Char"/>
    <w:basedOn w:val="22"/>
    <w:link w:val="16"/>
    <w:uiPriority w:val="0"/>
    <w:rPr>
      <w:rFonts w:ascii="Times New Roman" w:hAnsi="Times New Roman" w:eastAsia="宋体" w:cs="Times New Roman"/>
      <w:sz w:val="16"/>
      <w:szCs w:val="16"/>
    </w:rPr>
  </w:style>
  <w:style w:type="paragraph" w:customStyle="1" w:styleId="33">
    <w:name w:val="表头"/>
    <w:basedOn w:val="1"/>
    <w:link w:val="34"/>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4">
    <w:name w:val="表头 Char Char"/>
    <w:link w:val="33"/>
    <w:qFormat/>
    <w:uiPriority w:val="0"/>
    <w:rPr>
      <w:rFonts w:ascii="Times New Roman" w:hAnsi="宋体" w:eastAsia="FangSong_GB2312" w:cs="Times New Roman"/>
      <w:b/>
      <w:kern w:val="0"/>
      <w:sz w:val="28"/>
      <w:szCs w:val="28"/>
    </w:rPr>
  </w:style>
  <w:style w:type="character" w:customStyle="1" w:styleId="35">
    <w:name w:val="批注文字 Char"/>
    <w:basedOn w:val="22"/>
    <w:link w:val="8"/>
    <w:semiHidden/>
    <w:qFormat/>
    <w:uiPriority w:val="99"/>
  </w:style>
  <w:style w:type="character" w:customStyle="1" w:styleId="36">
    <w:name w:val="批注主题 Char"/>
    <w:basedOn w:val="35"/>
    <w:link w:val="19"/>
    <w:semiHidden/>
    <w:qFormat/>
    <w:uiPriority w:val="99"/>
    <w:rPr>
      <w:b/>
      <w:bCs/>
    </w:rPr>
  </w:style>
  <w:style w:type="character" w:customStyle="1" w:styleId="37">
    <w:name w:val="题注1 Char"/>
    <w:link w:val="38"/>
    <w:qFormat/>
    <w:uiPriority w:val="0"/>
    <w:rPr>
      <w:rFonts w:cs="宋体"/>
      <w:b/>
      <w:bCs/>
      <w:spacing w:val="10"/>
      <w:szCs w:val="24"/>
    </w:rPr>
  </w:style>
  <w:style w:type="paragraph" w:customStyle="1" w:styleId="38">
    <w:name w:val="题注1"/>
    <w:basedOn w:val="1"/>
    <w:link w:val="37"/>
    <w:qFormat/>
    <w:uiPriority w:val="0"/>
    <w:pPr>
      <w:spacing w:beforeLines="20" w:afterLines="20"/>
      <w:jc w:val="center"/>
    </w:pPr>
    <w:rPr>
      <w:rFonts w:cs="宋体"/>
      <w:b/>
      <w:bCs/>
      <w:spacing w:val="10"/>
      <w:szCs w:val="24"/>
    </w:rPr>
  </w:style>
  <w:style w:type="paragraph" w:customStyle="1" w:styleId="39">
    <w:name w:val="赵"/>
    <w:basedOn w:val="1"/>
    <w:link w:val="40"/>
    <w:uiPriority w:val="0"/>
    <w:pPr>
      <w:spacing w:line="360" w:lineRule="auto"/>
      <w:ind w:firstLine="200" w:firstLineChars="200"/>
    </w:pPr>
    <w:rPr>
      <w:rFonts w:ascii="Times New Roman" w:hAnsi="Times New Roman" w:eastAsia="宋体" w:cs="Times New Roman"/>
      <w:sz w:val="24"/>
      <w:szCs w:val="30"/>
    </w:rPr>
  </w:style>
  <w:style w:type="character" w:customStyle="1" w:styleId="40">
    <w:name w:val="赵 Char"/>
    <w:basedOn w:val="22"/>
    <w:link w:val="39"/>
    <w:qFormat/>
    <w:uiPriority w:val="0"/>
    <w:rPr>
      <w:rFonts w:ascii="Times New Roman" w:hAnsi="Times New Roman" w:eastAsia="宋体" w:cs="Times New Roman"/>
      <w:sz w:val="24"/>
      <w:szCs w:val="30"/>
    </w:rPr>
  </w:style>
  <w:style w:type="paragraph" w:customStyle="1" w:styleId="41">
    <w:name w:val="【表头】"/>
    <w:basedOn w:val="1"/>
    <w:link w:val="42"/>
    <w:qFormat/>
    <w:uiPriority w:val="0"/>
    <w:pPr>
      <w:jc w:val="center"/>
    </w:pPr>
    <w:rPr>
      <w:rFonts w:ascii="Times New Roman" w:hAnsi="Times New Roman" w:eastAsia="宋体" w:cs="Times New Roman"/>
      <w:b/>
      <w:szCs w:val="24"/>
    </w:rPr>
  </w:style>
  <w:style w:type="character" w:customStyle="1" w:styleId="42">
    <w:name w:val="【表头】 Char"/>
    <w:link w:val="41"/>
    <w:uiPriority w:val="0"/>
    <w:rPr>
      <w:rFonts w:ascii="Times New Roman" w:hAnsi="Times New Roman" w:eastAsia="宋体" w:cs="Times New Roman"/>
      <w:b/>
      <w:szCs w:val="24"/>
    </w:rPr>
  </w:style>
  <w:style w:type="character" w:customStyle="1" w:styleId="43">
    <w:name w:val="表体 Char Char"/>
    <w:link w:val="31"/>
    <w:qFormat/>
    <w:locked/>
    <w:uiPriority w:val="0"/>
    <w:rPr>
      <w:rFonts w:ascii="Times New Roman" w:hAnsi="Times New Roman" w:eastAsia="宋体" w:cs="Times New Roman"/>
      <w:bCs/>
      <w:snapToGrid w:val="0"/>
      <w:color w:val="000000"/>
      <w:kern w:val="32"/>
      <w:szCs w:val="20"/>
      <w:lang w:val="zh-CN"/>
    </w:rPr>
  </w:style>
  <w:style w:type="character" w:customStyle="1" w:styleId="44">
    <w:name w:val="正文文本 Char"/>
    <w:basedOn w:val="22"/>
    <w:link w:val="10"/>
    <w:semiHidden/>
    <w:qFormat/>
    <w:uiPriority w:val="99"/>
  </w:style>
  <w:style w:type="character" w:customStyle="1" w:styleId="45">
    <w:name w:val="标题 2 Char"/>
    <w:basedOn w:val="22"/>
    <w:link w:val="3"/>
    <w:qFormat/>
    <w:uiPriority w:val="0"/>
    <w:rPr>
      <w:rFonts w:ascii="Times New Roman" w:hAnsi="Times New Roman" w:eastAsia="黑体" w:cs="Times New Roman"/>
      <w:color w:val="000000" w:themeColor="text1"/>
      <w:sz w:val="30"/>
      <w:szCs w:val="24"/>
    </w:rPr>
  </w:style>
  <w:style w:type="character" w:customStyle="1" w:styleId="46">
    <w:name w:val="表头 Char1"/>
    <w:basedOn w:val="22"/>
    <w:uiPriority w:val="0"/>
    <w:rPr>
      <w:rFonts w:ascii="Times New Roman" w:hAnsi="Times New Roman" w:eastAsia="宋体" w:cs="Times New Roman"/>
      <w:b/>
      <w:bCs/>
      <w:kern w:val="0"/>
      <w:szCs w:val="28"/>
    </w:rPr>
  </w:style>
  <w:style w:type="character" w:customStyle="1" w:styleId="47">
    <w:name w:val="标题 3 Char"/>
    <w:basedOn w:val="22"/>
    <w:link w:val="4"/>
    <w:qFormat/>
    <w:uiPriority w:val="0"/>
    <w:rPr>
      <w:b/>
      <w:bCs/>
      <w:sz w:val="32"/>
      <w:szCs w:val="32"/>
    </w:rPr>
  </w:style>
  <w:style w:type="table" w:customStyle="1" w:styleId="48">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49">
    <w:name w:val="标题 8 Char"/>
    <w:basedOn w:val="22"/>
    <w:link w:val="5"/>
    <w:uiPriority w:val="99"/>
    <w:rPr>
      <w:rFonts w:asciiTheme="majorHAnsi" w:hAnsiTheme="majorHAnsi" w:eastAsiaTheme="majorEastAsia" w:cstheme="majorBidi"/>
      <w:sz w:val="24"/>
      <w:szCs w:val="24"/>
    </w:rPr>
  </w:style>
  <w:style w:type="paragraph" w:customStyle="1" w:styleId="50">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1">
    <w:name w:val="正文缩进 Char1"/>
    <w:link w:val="6"/>
    <w:qFormat/>
    <w:uiPriority w:val="99"/>
    <w:rPr>
      <w:rFonts w:ascii="Calibri" w:hAnsi="Calibri" w:eastAsia="宋体" w:cs="Times New Roman"/>
      <w:sz w:val="28"/>
      <w:szCs w:val="20"/>
    </w:rPr>
  </w:style>
  <w:style w:type="paragraph" w:customStyle="1" w:styleId="52">
    <w:name w:val="样式1"/>
    <w:basedOn w:val="1"/>
    <w:link w:val="53"/>
    <w:qFormat/>
    <w:uiPriority w:val="0"/>
    <w:pPr>
      <w:spacing w:line="360" w:lineRule="auto"/>
      <w:ind w:firstLine="510"/>
    </w:pPr>
    <w:rPr>
      <w:rFonts w:ascii="Times New Roman" w:hAnsi="Times New Roman" w:eastAsia="宋体" w:cs="Times New Roman"/>
      <w:sz w:val="24"/>
      <w:szCs w:val="20"/>
    </w:rPr>
  </w:style>
  <w:style w:type="character" w:customStyle="1" w:styleId="53">
    <w:name w:val="样式1 Char"/>
    <w:link w:val="52"/>
    <w:qFormat/>
    <w:locked/>
    <w:uiPriority w:val="0"/>
    <w:rPr>
      <w:rFonts w:ascii="Times New Roman" w:hAnsi="Times New Roman" w:eastAsia="宋体" w:cs="Times New Roman"/>
      <w:sz w:val="24"/>
      <w:szCs w:val="20"/>
    </w:rPr>
  </w:style>
  <w:style w:type="paragraph" w:customStyle="1" w:styleId="5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5">
    <w:name w:val="纯文本 Char"/>
    <w:basedOn w:val="22"/>
    <w:link w:val="11"/>
    <w:qFormat/>
    <w:uiPriority w:val="5"/>
    <w:rPr>
      <w:rFonts w:ascii="宋体" w:hAnsi="Courier New" w:eastAsia="宋体" w:cs="Times New Roman"/>
      <w:szCs w:val="20"/>
    </w:rPr>
  </w:style>
  <w:style w:type="character" w:customStyle="1" w:styleId="56">
    <w:name w:val="15"/>
    <w:qFormat/>
    <w:uiPriority w:val="0"/>
    <w:rPr>
      <w:rFonts w:hint="default" w:ascii="Calibri" w:hAnsi="Calibri"/>
      <w:sz w:val="21"/>
      <w:szCs w:val="21"/>
    </w:rPr>
  </w:style>
  <w:style w:type="character" w:customStyle="1" w:styleId="57">
    <w:name w:val="称呼 Char"/>
    <w:basedOn w:val="22"/>
    <w:link w:val="9"/>
    <w:semiHidden/>
    <w:qFormat/>
    <w:uiPriority w:val="99"/>
  </w:style>
  <w:style w:type="paragraph" w:customStyle="1" w:styleId="58">
    <w:name w:val="Default"/>
    <w:link w:val="65"/>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59">
    <w:name w:val="正文1"/>
    <w:basedOn w:val="1"/>
    <w:qFormat/>
    <w:uiPriority w:val="0"/>
    <w:pPr>
      <w:widowControl/>
    </w:pPr>
    <w:rPr>
      <w:rFonts w:ascii="Calibri" w:hAnsi="Calibri" w:eastAsia="宋体" w:cs="宋体"/>
    </w:rPr>
  </w:style>
  <w:style w:type="paragraph" w:customStyle="1" w:styleId="60">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1">
    <w:name w:val="表格文字 Char"/>
    <w:basedOn w:val="22"/>
    <w:link w:val="62"/>
    <w:uiPriority w:val="0"/>
    <w:rPr>
      <w:rFonts w:eastAsia="宋体"/>
      <w:kern w:val="24"/>
      <w:sz w:val="24"/>
    </w:rPr>
  </w:style>
  <w:style w:type="paragraph" w:customStyle="1" w:styleId="62">
    <w:name w:val="表格文字"/>
    <w:basedOn w:val="1"/>
    <w:link w:val="61"/>
    <w:qFormat/>
    <w:uiPriority w:val="0"/>
    <w:pPr>
      <w:adjustRightInd w:val="0"/>
      <w:spacing w:line="400" w:lineRule="atLeast"/>
      <w:jc w:val="center"/>
    </w:pPr>
    <w:rPr>
      <w:rFonts w:eastAsia="宋体"/>
      <w:kern w:val="24"/>
      <w:sz w:val="24"/>
    </w:rPr>
  </w:style>
  <w:style w:type="character" w:customStyle="1" w:styleId="63">
    <w:name w:val="表格 Char Char"/>
    <w:basedOn w:val="22"/>
    <w:qFormat/>
    <w:uiPriority w:val="0"/>
    <w:rPr>
      <w:sz w:val="21"/>
      <w:szCs w:val="21"/>
      <w:lang w:bidi="ar-SA"/>
    </w:rPr>
  </w:style>
  <w:style w:type="paragraph" w:customStyle="1" w:styleId="64">
    <w:name w:val="_Style 17"/>
    <w:basedOn w:val="1"/>
    <w:qFormat/>
    <w:uiPriority w:val="0"/>
    <w:rPr>
      <w:rFonts w:ascii="Times New Roman" w:hAnsi="Times New Roman" w:eastAsia="宋体" w:cs="Times New Roman"/>
      <w:szCs w:val="24"/>
    </w:rPr>
  </w:style>
  <w:style w:type="character" w:customStyle="1" w:styleId="65">
    <w:name w:val="Default Char Char"/>
    <w:link w:val="58"/>
    <w:uiPriority w:val="0"/>
    <w:rPr>
      <w:rFonts w:ascii="Arial Unicode MS" w:eastAsia="Arial Unicode MS" w:cs="Arial Unicode MS"/>
      <w:color w:val="000000"/>
      <w:kern w:val="0"/>
      <w:sz w:val="24"/>
      <w:szCs w:val="24"/>
    </w:rPr>
  </w:style>
  <w:style w:type="character" w:customStyle="1" w:styleId="66">
    <w:name w:val="标题 1 Char"/>
    <w:basedOn w:val="22"/>
    <w:link w:val="2"/>
    <w:qFormat/>
    <w:uiPriority w:val="9"/>
    <w:rPr>
      <w:b/>
      <w:bCs/>
      <w:kern w:val="44"/>
      <w:sz w:val="44"/>
      <w:szCs w:val="44"/>
    </w:rPr>
  </w:style>
  <w:style w:type="character" w:customStyle="1" w:styleId="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AD4B3-4344-4815-8A28-E652664C3D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6946</Words>
  <Characters>39593</Characters>
  <Lines>329</Lines>
  <Paragraphs>92</Paragraphs>
  <TotalTime>10818</TotalTime>
  <ScaleCrop>false</ScaleCrop>
  <LinksUpToDate>false</LinksUpToDate>
  <CharactersWithSpaces>46447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2022-08-01T01:51:08Z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