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年度基层农技推广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eastAsia="zh-CN"/>
        </w:rPr>
        <w:t>体系改革与建设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补助项目农业科技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eastAsia="zh-CN"/>
        </w:rPr>
        <w:t>示范主体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遴选公告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color w:val="333333"/>
          <w:sz w:val="20"/>
          <w:szCs w:val="20"/>
        </w:rPr>
        <w:t xml:space="preserve">  </w:t>
      </w:r>
      <w:r>
        <w:rPr>
          <w:rFonts w:hint="eastAsia" w:eastAsia="仿宋_GB2312"/>
          <w:color w:val="000000"/>
          <w:kern w:val="0"/>
          <w:sz w:val="32"/>
          <w:szCs w:val="32"/>
        </w:rPr>
        <w:t>为</w:t>
      </w:r>
      <w:r>
        <w:rPr>
          <w:rFonts w:eastAsia="仿宋_GB2312"/>
          <w:color w:val="000000"/>
          <w:kern w:val="0"/>
          <w:sz w:val="32"/>
          <w:szCs w:val="32"/>
        </w:rPr>
        <w:t>加强基层农业技术推广体系建设，大力提升基层农业技术推广体系公共服务能力，</w:t>
      </w:r>
      <w:r>
        <w:rPr>
          <w:rFonts w:hint="eastAsia" w:eastAsia="仿宋_GB2312"/>
          <w:color w:val="000000"/>
          <w:kern w:val="0"/>
          <w:sz w:val="32"/>
          <w:szCs w:val="32"/>
        </w:rPr>
        <w:t>充分发挥新型农业经营主体示范引领作用，加快农业科技转化效率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根据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昆明市农业农村局关于做好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年基层农技推广体系改革与建设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项目实施工作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的通知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eastAsia="仿宋_GB2312"/>
          <w:color w:val="000000"/>
          <w:kern w:val="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实际，现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在东川区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公开遴选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个农业科技示范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。现将遴选有关事项公告如下：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     一、遴选条件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</w:t>
      </w:r>
      <w:r>
        <w:rPr>
          <w:rFonts w:hint="eastAsia" w:ascii="仿宋_GB2312" w:hAnsi="仿宋_GB2312" w:eastAsia="仿宋_GB2312" w:cs="仿宋_GB2312"/>
          <w:sz w:val="32"/>
          <w:szCs w:val="32"/>
        </w:rPr>
        <w:t>1、农业科技示范主体为家庭农场、农业专业合作社、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农业龙头企业、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农业科技服务企业等，具有一定的种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2、政治觉悟高。积极拥护和执行党的基本路线、方针、政策，熟悉农业相关法律法规，诚信守法，群众公认度好。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3、帮扶农户。通过向农户传播先进科技知识、致富经验和生产管理技能。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4、创新意识强。具有一定科学文化水平、技术专长，能依靠科技发展生产，能够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积极参加由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（镇）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两级农技推广部门举办的各类科技培训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，提升自己科技种田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、科学养殖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水平。富有改革创新精神，管理水平和生产技能在所在区域居领先水平，有敢于带领群众闯市场的胆识和魄力。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5、示范作用好。有一定产业特色和经营规模，发展前景好，能率先应用农业农村局推广的农业优良品种、先进技术和新型农机具，在实用技术培训、传播、试验、示范、推广实践中得到较好体现和发挥。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6、辐射带动广。具有奉献精神，乐于助人，能发挥智力优势，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向群众和贫困户传播先进科技知识、致富经验和生产管理技能，能帮助、带动周边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共同致富。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7、经济效益好。生产经营适合当地市场需求，具有品牌优势和市场竞争力，发展“名、特、优、新”精品农业思路清晰，擅长农产品营销，年经济收益在本地区同行业中领先。</w:t>
      </w: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8、符合以下条件者优先。一是在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农业农村局备案的合作社；二是承担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以上农业科技项目、科技成果推广项目、科技成果转化项目等；三是近年来，圆满完成省市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有关部门安排的项目。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、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农业科技示范主体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的职责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微软雅黑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1.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农业科技示范主体需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带头推广使用新技术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（特别是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2022年的主推技术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、新品种和新机具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要带动周边农户学科技用科技，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积极传授科技致富经验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带动户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增产增收。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年底带动效果满意率需达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80%以上。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0" w:afterAutospacing="0" w:line="560" w:lineRule="exact"/>
        <w:ind w:firstLine="538"/>
        <w:textAlignment w:val="auto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能解决当地种养殖业发展中的一些实际问题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0" w:afterAutospacing="0" w:line="560" w:lineRule="exact"/>
        <w:ind w:firstLine="538"/>
        <w:textAlignment w:val="auto"/>
        <w:rPr>
          <w:rFonts w:hint="eastAsia" w:ascii="微软雅黑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.积极参加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区农业农村局、乡镇（街道办）等部门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组织的技术培训和现场观摩活动，主动接受特聘农技员的技术指导服务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0" w:afterAutospacing="0" w:line="560" w:lineRule="exact"/>
        <w:ind w:firstLine="538"/>
        <w:textAlignment w:val="auto"/>
        <w:rPr>
          <w:rFonts w:hint="eastAsia" w:ascii="微软雅黑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.充分利用中国农技推广手机APP、农村微课堂、云上智农等网络平台学习；下载使用中国农技推广手机APP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0" w:afterAutospacing="0"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　　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按要求提供有关材料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 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三、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农业科技示范主体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的权利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 对选定的每个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农业科技示范主体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万元补贴，补贴资金可用于购买农药、化肥、种子种苗等新品种、新技术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、带动、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标牌制作等。 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 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    四、公告时间：202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年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月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日至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月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     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五、遴选程序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0" w:afterAutospacing="0" w:line="560" w:lineRule="exact"/>
        <w:ind w:firstLine="47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1．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由农业企业、合作社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自愿申报，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农业科技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示范主体申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（街道办）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审核，报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项目专家组评审，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并通过局党组会审核后，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确定科技示范主体；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0" w:afterAutospacing="0" w:line="560" w:lineRule="exact"/>
        <w:ind w:firstLine="47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农业农村局确定的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示范主体名单通过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微信号、东川区人民政府网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公示；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0" w:afterAutospacing="0" w:line="560" w:lineRule="exact"/>
        <w:ind w:firstLine="476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3．公示无异议后，以正式文件发布。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        联系地址：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东川区农业农村局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    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刘雪梅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 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0871－62121014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年农业科技示范主体申报表</w:t>
      </w:r>
    </w:p>
    <w:p>
      <w:pPr>
        <w:pStyle w:val="4"/>
        <w:shd w:val="clear" w:color="auto" w:fill="FFFFFF"/>
        <w:spacing w:before="0" w:beforeAutospacing="0" w:after="0" w:afterAutospacing="0" w:line="501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after="156" w:afterLine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东川区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年农业科技示范主体申报表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35"/>
        <w:gridCol w:w="3957"/>
        <w:gridCol w:w="1629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经营规模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示范内容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辐射带动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数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45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394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申报人（签字）：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16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乡（镇）政府（章）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农业农村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4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审核单位（章）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GM2OWIxZDU2YTJiMjg5YTBkNzZiMThhNGJlODAifQ=="/>
  </w:docVars>
  <w:rsids>
    <w:rsidRoot w:val="00180F9F"/>
    <w:rsid w:val="00010CE3"/>
    <w:rsid w:val="00067065"/>
    <w:rsid w:val="00087560"/>
    <w:rsid w:val="000926D6"/>
    <w:rsid w:val="00097C86"/>
    <w:rsid w:val="000F2DA8"/>
    <w:rsid w:val="000F6632"/>
    <w:rsid w:val="00113E40"/>
    <w:rsid w:val="00180F9F"/>
    <w:rsid w:val="00230B22"/>
    <w:rsid w:val="00243879"/>
    <w:rsid w:val="002916E5"/>
    <w:rsid w:val="002A5DF8"/>
    <w:rsid w:val="002D24D7"/>
    <w:rsid w:val="002D29FA"/>
    <w:rsid w:val="002F7BFC"/>
    <w:rsid w:val="003345EF"/>
    <w:rsid w:val="00345618"/>
    <w:rsid w:val="00351D27"/>
    <w:rsid w:val="003A1DC6"/>
    <w:rsid w:val="004606E4"/>
    <w:rsid w:val="00581D07"/>
    <w:rsid w:val="00593B97"/>
    <w:rsid w:val="00611B51"/>
    <w:rsid w:val="00662A22"/>
    <w:rsid w:val="006B5758"/>
    <w:rsid w:val="006B7BB2"/>
    <w:rsid w:val="00735F9B"/>
    <w:rsid w:val="0076213E"/>
    <w:rsid w:val="00772C78"/>
    <w:rsid w:val="007762E7"/>
    <w:rsid w:val="00792083"/>
    <w:rsid w:val="00845D74"/>
    <w:rsid w:val="00876B56"/>
    <w:rsid w:val="008B33A8"/>
    <w:rsid w:val="008F6556"/>
    <w:rsid w:val="00916BFE"/>
    <w:rsid w:val="0095641C"/>
    <w:rsid w:val="009E1E6C"/>
    <w:rsid w:val="00AF486B"/>
    <w:rsid w:val="00B159D9"/>
    <w:rsid w:val="00B46E29"/>
    <w:rsid w:val="00B70D42"/>
    <w:rsid w:val="00BF5B8C"/>
    <w:rsid w:val="00C3617D"/>
    <w:rsid w:val="00CC7E3A"/>
    <w:rsid w:val="00CF4C4F"/>
    <w:rsid w:val="00D94D15"/>
    <w:rsid w:val="00DE0DDB"/>
    <w:rsid w:val="00EB49CA"/>
    <w:rsid w:val="00F4621A"/>
    <w:rsid w:val="00F533D7"/>
    <w:rsid w:val="00F54984"/>
    <w:rsid w:val="00F862BA"/>
    <w:rsid w:val="08AA21F8"/>
    <w:rsid w:val="190674A2"/>
    <w:rsid w:val="1E0E24E8"/>
    <w:rsid w:val="22175D0D"/>
    <w:rsid w:val="284E65F7"/>
    <w:rsid w:val="286C7FC4"/>
    <w:rsid w:val="2A747CF0"/>
    <w:rsid w:val="2E445250"/>
    <w:rsid w:val="331F2630"/>
    <w:rsid w:val="39320F4A"/>
    <w:rsid w:val="3F727A0B"/>
    <w:rsid w:val="4304469E"/>
    <w:rsid w:val="487E1525"/>
    <w:rsid w:val="54D2266E"/>
    <w:rsid w:val="5BEB69EA"/>
    <w:rsid w:val="6FCD468B"/>
    <w:rsid w:val="7612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1237</Words>
  <Characters>1284</Characters>
  <Lines>1</Lines>
  <Paragraphs>1</Paragraphs>
  <TotalTime>1</TotalTime>
  <ScaleCrop>false</ScaleCrop>
  <LinksUpToDate>false</LinksUpToDate>
  <CharactersWithSpaces>1460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2021-06-21T07:58:00Z</dcterms:created>
  <dc:creator>admin</dc:creator>
  <cp:lastModifiedBy>snow  white</cp:lastModifiedBy>
  <dcterms:modified xsi:type="dcterms:W3CDTF">2022-07-01T01:40:22Z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0A2AC7837EDF40FBBEC9A9B84963610A</vt:lpwstr>
  </property>
</Properties>
</file>