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sz w:val="28"/>
          <w:szCs w:val="20"/>
        </w:rPr>
      </w:pPr>
      <w:bookmarkStart w:id="14" w:name="_GoBack"/>
      <w:bookmarkEnd w:id="14"/>
      <w:r>
        <w:rPr>
          <w:rFonts w:ascii="Times New Roman" w:hAnsi="Times New Roman" w:cs="Times New Roman"/>
          <w:b/>
          <w:sz w:val="28"/>
          <w:szCs w:val="20"/>
        </w:rPr>
        <w:t>一、建设项目基本情况</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409"/>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建设项目名称</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10万吨/年再生资源综合回收利用建设项目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建设单位</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昆明弘晨新材料科技有限公司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项目代码</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2112-530113-89-01-798222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张</w:t>
            </w:r>
            <w:r>
              <w:rPr>
                <w:rFonts w:hint="eastAsia" w:ascii="Times New Roman" w:hAnsi="Times New Roman" w:cs="Times New Roman"/>
                <w:sz w:val="24"/>
                <w:szCs w:val="24"/>
                <w:lang w:val="en-US" w:eastAsia="zh-CN"/>
              </w:rPr>
              <w:t>*</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139</w:t>
            </w:r>
            <w:r>
              <w:rPr>
                <w:rFonts w:hint="eastAsia" w:ascii="Times New Roman" w:hAnsi="Times New Roman" w:cs="Times New Roman"/>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建设地点</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云南省东川再就业特区天生桥特色产业园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地理坐标</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东经103°14'50.517"，北纬25°38'29.454"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国民经济行业类别</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4210 金属废料和碎屑加工处理</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三十九、废弃资源综合利用业42中“、有色金属废料与碎屑”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☑新建（迁建）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□改建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□扩建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□技术改造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建设项目申报情形</w:t>
            </w:r>
          </w:p>
        </w:tc>
        <w:tc>
          <w:tcPr>
            <w:tcW w:w="3164" w:type="dxa"/>
            <w:tcBorders>
              <w:lef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☑首次申报项目</w:t>
            </w:r>
          </w:p>
          <w:p>
            <w:pPr>
              <w:spacing w:line="360" w:lineRule="auto"/>
              <w:rPr>
                <w:rFonts w:ascii="Times New Roman" w:hAnsi="Times New Roman" w:cs="Times New Roman"/>
                <w:sz w:val="24"/>
                <w:szCs w:val="24"/>
              </w:rPr>
            </w:pPr>
            <w:r>
              <w:rPr>
                <w:rFonts w:ascii="Times New Roman" w:hAnsi="Times New Roman" w:cs="Times New Roman"/>
                <w:sz w:val="24"/>
                <w:szCs w:val="24"/>
              </w:rPr>
              <w:t>□不予批准后再次申报项目</w:t>
            </w:r>
          </w:p>
          <w:p>
            <w:pPr>
              <w:spacing w:line="360" w:lineRule="auto"/>
              <w:rPr>
                <w:rFonts w:ascii="Times New Roman" w:hAnsi="Times New Roman" w:cs="Times New Roman"/>
                <w:sz w:val="24"/>
                <w:szCs w:val="24"/>
              </w:rPr>
            </w:pPr>
            <w:r>
              <w:rPr>
                <w:rFonts w:ascii="Times New Roman" w:hAnsi="Times New Roman" w:cs="Times New Roman"/>
                <w:sz w:val="24"/>
                <w:szCs w:val="24"/>
              </w:rPr>
              <w:t>□超五年重新审核项目</w:t>
            </w:r>
          </w:p>
          <w:p>
            <w:pPr>
              <w:spacing w:line="360" w:lineRule="auto"/>
              <w:rPr>
                <w:rFonts w:ascii="Times New Roman" w:hAnsi="Times New Roman" w:cs="Times New Roman"/>
                <w:sz w:val="24"/>
                <w:szCs w:val="24"/>
              </w:rPr>
            </w:pPr>
            <w:r>
              <w:rPr>
                <w:rFonts w:ascii="Times New Roman" w:hAnsi="Times New Roman" w:cs="Times New Roman"/>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昆明市东川区发展和改革局</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投资项目备案证（项目代码：2112-530113-89-01-798222）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10212.62</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97.11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0.951%</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否</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15204.98m²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根据《建设项目环境影响报告表编制技术指南》（污染影响类）（试行）“表1 专项评价设置原则表”的要求，该项目专项评价设置情况具体如下表所示。</w:t>
            </w:r>
          </w:p>
          <w:p>
            <w:pPr>
              <w:spacing w:beforeLines="50" w:line="360" w:lineRule="auto"/>
              <w:ind w:firstLine="480" w:firstLineChars="200"/>
              <w:rPr>
                <w:rFonts w:ascii="Times New Roman" w:hAnsi="Times New Roman" w:cs="Times New Roman"/>
                <w:sz w:val="24"/>
                <w:szCs w:val="24"/>
              </w:rPr>
            </w:pPr>
          </w:p>
          <w:p>
            <w:pPr>
              <w:jc w:val="center"/>
              <w:rPr>
                <w:rFonts w:ascii="Times New Roman" w:hAnsi="Times New Roman" w:cs="Times New Roman"/>
                <w:b/>
              </w:rPr>
            </w:pPr>
            <w:r>
              <w:rPr>
                <w:rFonts w:ascii="Times New Roman" w:hAnsi="Times New Roman" w:cs="Times New Roman"/>
                <w:b/>
              </w:rPr>
              <w:t>表1-1 专项评价设置情况分析表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auto"/>
                      <w:szCs w:val="21"/>
                    </w:rPr>
                  </w:pPr>
                  <w:r>
                    <w:rPr>
                      <w:rFonts w:eastAsiaTheme="minorEastAsia"/>
                      <w:color w:val="auto"/>
                      <w:szCs w:val="21"/>
                    </w:rPr>
                    <w:t>环境影响因素</w:t>
                  </w:r>
                </w:p>
              </w:tc>
              <w:tc>
                <w:tcPr>
                  <w:tcW w:w="3373" w:type="dxa"/>
                  <w:vAlign w:val="center"/>
                </w:tcPr>
                <w:p>
                  <w:pPr>
                    <w:pStyle w:val="29"/>
                    <w:spacing w:line="360" w:lineRule="exact"/>
                    <w:rPr>
                      <w:rFonts w:eastAsiaTheme="minorEastAsia"/>
                      <w:color w:val="auto"/>
                      <w:szCs w:val="21"/>
                    </w:rPr>
                  </w:pPr>
                  <w:r>
                    <w:rPr>
                      <w:rFonts w:eastAsiaTheme="minorEastAsia"/>
                      <w:color w:val="auto"/>
                      <w:szCs w:val="21"/>
                    </w:rPr>
                    <w:t>专项设置原则</w:t>
                  </w:r>
                </w:p>
              </w:tc>
              <w:tc>
                <w:tcPr>
                  <w:tcW w:w="3685" w:type="dxa"/>
                  <w:vAlign w:val="center"/>
                </w:tcPr>
                <w:p>
                  <w:pPr>
                    <w:pStyle w:val="29"/>
                    <w:spacing w:line="360" w:lineRule="exact"/>
                    <w:rPr>
                      <w:rFonts w:eastAsiaTheme="minorEastAsia"/>
                      <w:color w:val="auto"/>
                      <w:szCs w:val="21"/>
                    </w:rPr>
                  </w:pPr>
                  <w:r>
                    <w:rPr>
                      <w:rFonts w:eastAsiaTheme="minorEastAsia"/>
                      <w:color w:val="auto"/>
                      <w:szCs w:val="21"/>
                    </w:rPr>
                    <w:t>该项目情况</w:t>
                  </w:r>
                </w:p>
              </w:tc>
              <w:tc>
                <w:tcPr>
                  <w:tcW w:w="725" w:type="dxa"/>
                  <w:vAlign w:val="center"/>
                </w:tcPr>
                <w:p>
                  <w:pPr>
                    <w:pStyle w:val="29"/>
                    <w:spacing w:line="360" w:lineRule="exact"/>
                    <w:rPr>
                      <w:rFonts w:eastAsiaTheme="minorEastAsia"/>
                      <w:color w:val="auto"/>
                      <w:szCs w:val="21"/>
                    </w:rPr>
                  </w:pPr>
                  <w:r>
                    <w:rPr>
                      <w:rFonts w:eastAsiaTheme="minorEastAsia"/>
                      <w:color w:val="auto"/>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auto"/>
                      <w:szCs w:val="21"/>
                    </w:rPr>
                  </w:pPr>
                  <w:r>
                    <w:rPr>
                      <w:rFonts w:eastAsiaTheme="minorEastAsia"/>
                      <w:color w:val="auto"/>
                      <w:szCs w:val="21"/>
                    </w:rPr>
                    <w:t>大气</w:t>
                  </w:r>
                </w:p>
              </w:tc>
              <w:tc>
                <w:tcPr>
                  <w:tcW w:w="3373" w:type="dxa"/>
                  <w:vAlign w:val="center"/>
                </w:tcPr>
                <w:p>
                  <w:pPr>
                    <w:pStyle w:val="29"/>
                    <w:spacing w:line="360" w:lineRule="exact"/>
                    <w:ind w:firstLine="210" w:firstLineChars="100"/>
                    <w:jc w:val="both"/>
                    <w:rPr>
                      <w:color w:val="auto"/>
                      <w:szCs w:val="21"/>
                    </w:rPr>
                  </w:pPr>
                  <w:r>
                    <w:rPr>
                      <w:color w:val="auto"/>
                      <w:szCs w:val="21"/>
                    </w:rPr>
                    <w:t>排放废气含有《有毒有害大气污染物名录》的污染物（不包括无排放标准的污染物）、二噁英、苯并[a]芘、氰化物、氯气且厂界外500 米范围内有环境空气保护目标的建设项目。</w:t>
                  </w:r>
                </w:p>
              </w:tc>
              <w:tc>
                <w:tcPr>
                  <w:tcW w:w="3685" w:type="dxa"/>
                  <w:vAlign w:val="center"/>
                </w:tcPr>
                <w:p>
                  <w:pPr>
                    <w:pStyle w:val="29"/>
                    <w:spacing w:line="360" w:lineRule="exact"/>
                    <w:ind w:firstLine="210" w:firstLineChars="100"/>
                    <w:jc w:val="both"/>
                    <w:rPr>
                      <w:color w:val="auto"/>
                      <w:szCs w:val="21"/>
                      <w:highlight w:val="yellow"/>
                    </w:rPr>
                  </w:pPr>
                  <w:r>
                    <w:rPr>
                      <w:color w:val="auto"/>
                      <w:szCs w:val="21"/>
                    </w:rPr>
                    <w:t>该项目排放的大气污染物主要包括粉尘和厨房油烟；不含上述需设置大气专项评价的排放因子，因此不设置大气专项评价。</w:t>
                  </w:r>
                </w:p>
              </w:tc>
              <w:tc>
                <w:tcPr>
                  <w:tcW w:w="725" w:type="dxa"/>
                  <w:vAlign w:val="center"/>
                </w:tcPr>
                <w:p>
                  <w:pPr>
                    <w:pStyle w:val="29"/>
                    <w:spacing w:line="360" w:lineRule="exact"/>
                    <w:rPr>
                      <w:rFonts w:eastAsiaTheme="minorEastAsia"/>
                      <w:color w:val="auto"/>
                      <w:szCs w:val="21"/>
                      <w:lang w:val="en-US"/>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auto"/>
                      <w:szCs w:val="21"/>
                    </w:rPr>
                  </w:pPr>
                  <w:r>
                    <w:rPr>
                      <w:rFonts w:eastAsiaTheme="minorEastAsia"/>
                      <w:color w:val="auto"/>
                      <w:szCs w:val="21"/>
                    </w:rPr>
                    <w:t>地表水</w:t>
                  </w:r>
                </w:p>
              </w:tc>
              <w:tc>
                <w:tcPr>
                  <w:tcW w:w="3373" w:type="dxa"/>
                  <w:vAlign w:val="center"/>
                </w:tcPr>
                <w:p>
                  <w:pPr>
                    <w:pStyle w:val="29"/>
                    <w:spacing w:line="360" w:lineRule="exact"/>
                    <w:ind w:firstLine="210" w:firstLineChars="100"/>
                    <w:jc w:val="both"/>
                    <w:rPr>
                      <w:color w:val="auto"/>
                      <w:szCs w:val="21"/>
                    </w:rPr>
                  </w:pPr>
                  <w:r>
                    <w:rPr>
                      <w:color w:val="auto"/>
                      <w:szCs w:val="21"/>
                    </w:rPr>
                    <w:t>新增工业废水直排建设项目（槽罐车外送污水处理厂的除外）；新增废水直排的污水集中处理厂。</w:t>
                  </w:r>
                </w:p>
              </w:tc>
              <w:tc>
                <w:tcPr>
                  <w:tcW w:w="3685" w:type="dxa"/>
                  <w:vAlign w:val="center"/>
                </w:tcPr>
                <w:p>
                  <w:pPr>
                    <w:pStyle w:val="29"/>
                    <w:spacing w:line="360" w:lineRule="exact"/>
                    <w:ind w:firstLine="210" w:firstLineChars="100"/>
                    <w:jc w:val="both"/>
                    <w:rPr>
                      <w:color w:val="auto"/>
                      <w:szCs w:val="21"/>
                    </w:rPr>
                  </w:pPr>
                  <w:r>
                    <w:rPr>
                      <w:color w:val="auto"/>
                      <w:szCs w:val="21"/>
                    </w:rPr>
                    <w:t>该项目产生的废水类型包括生活污水和初期雨水，生活污水经配套的设施处理后近期（园区污水处理厂建成前），回用于绿化不外排；远期（园区污水处理厂建成后），进入东川再就业特区天生桥特色产业园污水处理厂集中处理；初期雨水不外排；因此不设置地表水专项评价。</w:t>
                  </w:r>
                </w:p>
              </w:tc>
              <w:tc>
                <w:tcPr>
                  <w:tcW w:w="725" w:type="dxa"/>
                  <w:vAlign w:val="center"/>
                </w:tcPr>
                <w:p>
                  <w:pPr>
                    <w:pStyle w:val="29"/>
                    <w:spacing w:line="360" w:lineRule="exact"/>
                    <w:rPr>
                      <w:rFonts w:eastAsiaTheme="minorEastAsia"/>
                      <w:color w:val="auto"/>
                      <w:szCs w:val="21"/>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auto"/>
                      <w:szCs w:val="21"/>
                    </w:rPr>
                  </w:pPr>
                  <w:r>
                    <w:rPr>
                      <w:rFonts w:eastAsiaTheme="minorEastAsia"/>
                      <w:color w:val="auto"/>
                      <w:szCs w:val="21"/>
                    </w:rPr>
                    <w:t>环境风险</w:t>
                  </w:r>
                </w:p>
              </w:tc>
              <w:tc>
                <w:tcPr>
                  <w:tcW w:w="3373" w:type="dxa"/>
                  <w:vAlign w:val="center"/>
                </w:tcPr>
                <w:p>
                  <w:pPr>
                    <w:pStyle w:val="29"/>
                    <w:spacing w:line="360" w:lineRule="exact"/>
                    <w:ind w:firstLine="210" w:firstLineChars="100"/>
                    <w:jc w:val="both"/>
                    <w:rPr>
                      <w:color w:val="auto"/>
                      <w:szCs w:val="21"/>
                    </w:rPr>
                  </w:pPr>
                  <w:r>
                    <w:rPr>
                      <w:color w:val="auto"/>
                      <w:szCs w:val="21"/>
                    </w:rPr>
                    <w:t>有毒有害和易燃易爆危险物质存储量超过临界量的建设项目。</w:t>
                  </w:r>
                </w:p>
              </w:tc>
              <w:tc>
                <w:tcPr>
                  <w:tcW w:w="3685" w:type="dxa"/>
                  <w:vAlign w:val="center"/>
                </w:tcPr>
                <w:p>
                  <w:pPr>
                    <w:pStyle w:val="29"/>
                    <w:spacing w:line="360" w:lineRule="exact"/>
                    <w:ind w:firstLine="210" w:firstLineChars="100"/>
                    <w:jc w:val="both"/>
                    <w:rPr>
                      <w:color w:val="auto"/>
                      <w:szCs w:val="21"/>
                    </w:rPr>
                  </w:pPr>
                  <w:r>
                    <w:rPr>
                      <w:color w:val="auto"/>
                      <w:szCs w:val="21"/>
                    </w:rPr>
                    <w:t>该项目涉及的危险物质包括暂存的废机油，其中废机油最大储存量为0.08t（临界量为2500t）、次氯酸钠最大储存量为0.05t（临界量为5t），则未超过临界量，因此不需设置环境风险评价等级。</w:t>
                  </w:r>
                </w:p>
              </w:tc>
              <w:tc>
                <w:tcPr>
                  <w:tcW w:w="725" w:type="dxa"/>
                  <w:vAlign w:val="center"/>
                </w:tcPr>
                <w:p>
                  <w:pPr>
                    <w:pStyle w:val="29"/>
                    <w:spacing w:line="360" w:lineRule="exact"/>
                    <w:rPr>
                      <w:rFonts w:eastAsiaTheme="minorEastAsia"/>
                      <w:color w:val="auto"/>
                      <w:szCs w:val="21"/>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auto"/>
                      <w:szCs w:val="21"/>
                    </w:rPr>
                  </w:pPr>
                  <w:r>
                    <w:rPr>
                      <w:rFonts w:eastAsiaTheme="minorEastAsia"/>
                      <w:color w:val="auto"/>
                      <w:szCs w:val="21"/>
                    </w:rPr>
                    <w:t>生态</w:t>
                  </w:r>
                </w:p>
              </w:tc>
              <w:tc>
                <w:tcPr>
                  <w:tcW w:w="3373" w:type="dxa"/>
                  <w:vAlign w:val="center"/>
                </w:tcPr>
                <w:p>
                  <w:pPr>
                    <w:pStyle w:val="29"/>
                    <w:spacing w:line="360" w:lineRule="exact"/>
                    <w:ind w:firstLine="210" w:firstLineChars="100"/>
                    <w:jc w:val="both"/>
                    <w:rPr>
                      <w:color w:val="auto"/>
                      <w:szCs w:val="21"/>
                    </w:rPr>
                  </w:pPr>
                  <w:r>
                    <w:rPr>
                      <w:color w:val="auto"/>
                      <w:szCs w:val="21"/>
                    </w:rPr>
                    <w:t>取水口下游500 米范围内有重要水生生物的自然产卵场、索饵场、越冬场和洄游通道的新增河道取水的污染类建设项目。</w:t>
                  </w:r>
                </w:p>
              </w:tc>
              <w:tc>
                <w:tcPr>
                  <w:tcW w:w="3685" w:type="dxa"/>
                  <w:vAlign w:val="center"/>
                </w:tcPr>
                <w:p>
                  <w:pPr>
                    <w:pStyle w:val="29"/>
                    <w:spacing w:line="360" w:lineRule="exact"/>
                    <w:ind w:firstLine="210" w:firstLineChars="100"/>
                    <w:jc w:val="both"/>
                    <w:rPr>
                      <w:color w:val="auto"/>
                      <w:sz w:val="24"/>
                      <w:szCs w:val="24"/>
                      <w:lang w:val="en-US"/>
                    </w:rPr>
                  </w:pPr>
                  <w:r>
                    <w:rPr>
                      <w:color w:val="auto"/>
                      <w:szCs w:val="21"/>
                    </w:rPr>
                    <w:t>该项目用水使用自来水，不涉及河道取水，因此不设置生态专项评价。</w:t>
                  </w:r>
                </w:p>
              </w:tc>
              <w:tc>
                <w:tcPr>
                  <w:tcW w:w="725" w:type="dxa"/>
                  <w:vAlign w:val="center"/>
                </w:tcPr>
                <w:p>
                  <w:pPr>
                    <w:pStyle w:val="29"/>
                    <w:spacing w:line="360" w:lineRule="exact"/>
                    <w:rPr>
                      <w:rFonts w:eastAsiaTheme="minorEastAsia"/>
                      <w:color w:val="auto"/>
                      <w:szCs w:val="21"/>
                      <w:lang w:val="en-US"/>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29"/>
                    <w:spacing w:line="360" w:lineRule="exact"/>
                    <w:rPr>
                      <w:rFonts w:eastAsiaTheme="minorEastAsia"/>
                      <w:color w:val="auto"/>
                      <w:szCs w:val="21"/>
                    </w:rPr>
                  </w:pPr>
                  <w:r>
                    <w:rPr>
                      <w:rFonts w:eastAsiaTheme="minorEastAsia"/>
                      <w:color w:val="auto"/>
                      <w:szCs w:val="21"/>
                    </w:rPr>
                    <w:t>海洋</w:t>
                  </w:r>
                </w:p>
              </w:tc>
              <w:tc>
                <w:tcPr>
                  <w:tcW w:w="3373" w:type="dxa"/>
                  <w:vAlign w:val="center"/>
                </w:tcPr>
                <w:p>
                  <w:pPr>
                    <w:pStyle w:val="29"/>
                    <w:spacing w:line="360" w:lineRule="exact"/>
                    <w:ind w:firstLine="210" w:firstLineChars="100"/>
                    <w:jc w:val="both"/>
                    <w:rPr>
                      <w:color w:val="auto"/>
                      <w:szCs w:val="21"/>
                    </w:rPr>
                  </w:pPr>
                  <w:r>
                    <w:rPr>
                      <w:color w:val="auto"/>
                      <w:szCs w:val="21"/>
                    </w:rPr>
                    <w:t>直接向海排放污染物的海洋工程建设项目。</w:t>
                  </w:r>
                </w:p>
              </w:tc>
              <w:tc>
                <w:tcPr>
                  <w:tcW w:w="3685" w:type="dxa"/>
                  <w:vAlign w:val="center"/>
                </w:tcPr>
                <w:p>
                  <w:pPr>
                    <w:pStyle w:val="29"/>
                    <w:spacing w:line="360" w:lineRule="exact"/>
                    <w:ind w:firstLine="210" w:firstLineChars="100"/>
                    <w:jc w:val="both"/>
                    <w:rPr>
                      <w:color w:val="auto"/>
                      <w:szCs w:val="21"/>
                    </w:rPr>
                  </w:pPr>
                  <w:r>
                    <w:rPr>
                      <w:color w:val="auto"/>
                      <w:szCs w:val="21"/>
                    </w:rPr>
                    <w:t>该项目不涉及海洋，因此不设置海洋专项评价。</w:t>
                  </w:r>
                </w:p>
              </w:tc>
              <w:tc>
                <w:tcPr>
                  <w:tcW w:w="725" w:type="dxa"/>
                  <w:vAlign w:val="center"/>
                </w:tcPr>
                <w:p>
                  <w:pPr>
                    <w:pStyle w:val="29"/>
                    <w:spacing w:line="360" w:lineRule="exact"/>
                    <w:rPr>
                      <w:rFonts w:eastAsiaTheme="minorEastAsia"/>
                      <w:color w:val="auto"/>
                      <w:szCs w:val="21"/>
                      <w:lang w:val="en-US"/>
                    </w:rPr>
                  </w:pPr>
                  <w:r>
                    <w:rPr>
                      <w:rFonts w:eastAsiaTheme="minorEastAsia"/>
                      <w:color w:val="auto"/>
                      <w:szCs w:val="21"/>
                      <w:lang w:val="en-US"/>
                    </w:rPr>
                    <w:t>否</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综上，该项目不设置专项评价。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cs="Times New Roman"/>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cs="Times New Roman"/>
                <w:sz w:val="24"/>
                <w:szCs w:val="24"/>
              </w:rPr>
              <w:t>该项目位于云南省东川再就业特区天生桥特色产业园，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cs="Times New Roman"/>
                <w:sz w:val="24"/>
                <w:szCs w:val="24"/>
              </w:rPr>
              <w:t>规划环境影响评价情况</w:t>
            </w:r>
          </w:p>
        </w:tc>
        <w:tc>
          <w:tcPr>
            <w:tcW w:w="8834" w:type="dxa"/>
            <w:gridSpan w:val="4"/>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云南省东川再就业特区天生桥产业园总体规划（2010-2030）》，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（1）相关规划符合性分析</w:t>
            </w:r>
          </w:p>
          <w:p>
            <w:pPr>
              <w:spacing w:line="360" w:lineRule="auto"/>
              <w:ind w:firstLine="482" w:firstLineChars="200"/>
              <w:rPr>
                <w:rFonts w:ascii="Times New Roman" w:hAnsi="Times New Roman" w:eastAsia="宋体" w:cs="Times New Roman"/>
                <w:b/>
                <w:sz w:val="24"/>
                <w:szCs w:val="24"/>
              </w:rPr>
            </w:pPr>
            <w:r>
              <w:rPr>
                <w:rFonts w:ascii="Times New Roman" w:hAnsi="宋体" w:eastAsia="宋体" w:cs="Times New Roman"/>
                <w:b/>
                <w:sz w:val="24"/>
                <w:szCs w:val="24"/>
              </w:rPr>
              <w:t>①</w:t>
            </w:r>
            <w:r>
              <w:rPr>
                <w:rFonts w:ascii="Times New Roman" w:hAnsi="Times New Roman" w:eastAsia="宋体" w:cs="Times New Roman"/>
                <w:b/>
                <w:sz w:val="24"/>
                <w:szCs w:val="24"/>
              </w:rPr>
              <w:t>规划环评的产业定位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拟选址区域属于云南省东川再就业特区天生桥特色产业园，根据《云南省东川再就业特区天生桥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sz w:val="24"/>
                <w:szCs w:val="24"/>
              </w:rPr>
            </w:pPr>
            <w:r>
              <w:rPr>
                <w:rFonts w:ascii="Times New Roman" w:hAnsi="宋体" w:eastAsia="宋体" w:cs="Times New Roman"/>
                <w:b/>
                <w:sz w:val="24"/>
                <w:szCs w:val="24"/>
              </w:rPr>
              <w:t>②</w:t>
            </w:r>
            <w:r>
              <w:rPr>
                <w:rFonts w:ascii="Times New Roman" w:hAnsi="Times New Roman" w:eastAsia="宋体" w:cs="Times New Roman"/>
                <w:b/>
                <w:sz w:val="24"/>
                <w:szCs w:val="24"/>
              </w:rPr>
              <w:t>规划环评审查意见的产业定位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sz w:val="24"/>
                <w:szCs w:val="24"/>
              </w:rPr>
            </w:pPr>
            <w:r>
              <w:rPr>
                <w:rFonts w:ascii="Times New Roman" w:hAnsi="宋体" w:eastAsia="宋体" w:cs="Times New Roman"/>
                <w:b/>
                <w:sz w:val="24"/>
                <w:szCs w:val="24"/>
              </w:rPr>
              <w:t>③</w:t>
            </w:r>
            <w:r>
              <w:rPr>
                <w:rFonts w:ascii="Times New Roman" w:hAnsi="Times New Roman" w:eastAsia="宋体" w:cs="Times New Roman"/>
                <w:b/>
                <w:sz w:val="24"/>
                <w:szCs w:val="24"/>
              </w:rPr>
              <w:t>项目基本情况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根据附图5 天生桥特色产业园功能区划图可知，该项目位于云南省东川再就业特区天生桥产业园区废旧材料有价利用组团，东川再就业特色产业园区管理委员会对该项目进行严格审核，明确该项目符合园区的总体规划，并于2021年12月6日下发了《东川再就业特色产业园区管理委员会关于昆明弘晨新材料科技有限公司10万吨/年再生资源综合回收利用建设项目的批复》（东特发【2021】101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综上，该项目符合云南省东川再就业特区天生桥特色产业园的产业定位。</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（2）规划环境影响评价结论及审查意见符合性分析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sz w:val="24"/>
              </w:rPr>
            </w:pPr>
            <w:r>
              <w:rPr>
                <w:rFonts w:cs="Times New Roman" w:asciiTheme="minorEastAsia" w:hAnsiTheme="minorEastAsia"/>
                <w:b/>
                <w:sz w:val="24"/>
              </w:rPr>
              <w:t>①</w:t>
            </w:r>
            <w:r>
              <w:rPr>
                <w:rFonts w:ascii="Times New Roman" w:hAnsi="Times New Roman" w:cs="Times New Roman"/>
                <w:b/>
                <w:sz w:val="24"/>
              </w:rPr>
              <w:t>与园区环保措施要求的符合性分析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查阅《云南省东川再就业特区天生桥特色产业园总体规划环境影响报告书》及其审查意见（云环函【2012】340号），针对园区环保措施要求，重点提出了废水和固废处置的要，具体符合性分析如下表所示。</w:t>
            </w:r>
          </w:p>
          <w:p>
            <w:pPr>
              <w:jc w:val="center"/>
              <w:rPr>
                <w:rFonts w:ascii="Times New Roman" w:hAnsi="Times New Roman" w:cs="Times New Roman"/>
                <w:b/>
              </w:rPr>
            </w:pPr>
            <w:r>
              <w:rPr>
                <w:rFonts w:ascii="Times New Roman" w:hAnsi="Times New Roman" w:cs="Times New Roman"/>
                <w:b/>
              </w:rPr>
              <w:t>表1-2 与园区环保措施要求的符合性分析</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3232"/>
              <w:gridCol w:w="3795"/>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29"/>
                    <w:spacing w:line="360" w:lineRule="exact"/>
                    <w:rPr>
                      <w:rFonts w:eastAsiaTheme="minorEastAsia"/>
                      <w:color w:val="auto"/>
                      <w:szCs w:val="21"/>
                    </w:rPr>
                  </w:pPr>
                  <w:r>
                    <w:rPr>
                      <w:rFonts w:eastAsiaTheme="minorEastAsia"/>
                      <w:color w:val="auto"/>
                      <w:szCs w:val="21"/>
                    </w:rPr>
                    <w:t>要求</w:t>
                  </w:r>
                </w:p>
              </w:tc>
              <w:tc>
                <w:tcPr>
                  <w:tcW w:w="3232" w:type="dxa"/>
                  <w:vAlign w:val="center"/>
                </w:tcPr>
                <w:p>
                  <w:pPr>
                    <w:pStyle w:val="29"/>
                    <w:spacing w:line="360" w:lineRule="exact"/>
                    <w:rPr>
                      <w:rFonts w:eastAsiaTheme="minorEastAsia"/>
                      <w:color w:val="auto"/>
                      <w:szCs w:val="21"/>
                    </w:rPr>
                  </w:pPr>
                  <w:r>
                    <w:rPr>
                      <w:rFonts w:eastAsiaTheme="minorEastAsia"/>
                      <w:color w:val="auto"/>
                      <w:szCs w:val="21"/>
                    </w:rPr>
                    <w:t>规划环评及审查意见污染物控制要求</w:t>
                  </w:r>
                </w:p>
              </w:tc>
              <w:tc>
                <w:tcPr>
                  <w:tcW w:w="3795" w:type="dxa"/>
                  <w:vAlign w:val="center"/>
                </w:tcPr>
                <w:p>
                  <w:pPr>
                    <w:pStyle w:val="29"/>
                    <w:spacing w:line="360" w:lineRule="exact"/>
                    <w:rPr>
                      <w:rFonts w:eastAsiaTheme="minorEastAsia"/>
                      <w:color w:val="auto"/>
                      <w:szCs w:val="21"/>
                    </w:rPr>
                  </w:pPr>
                  <w:r>
                    <w:rPr>
                      <w:rFonts w:eastAsiaTheme="minorEastAsia"/>
                      <w:color w:val="auto"/>
                      <w:szCs w:val="21"/>
                    </w:rPr>
                    <w:t>项目实际情况</w:t>
                  </w:r>
                </w:p>
              </w:tc>
              <w:tc>
                <w:tcPr>
                  <w:tcW w:w="820" w:type="dxa"/>
                  <w:vAlign w:val="center"/>
                </w:tcPr>
                <w:p>
                  <w:pPr>
                    <w:pStyle w:val="29"/>
                    <w:spacing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29"/>
                    <w:spacing w:line="360" w:lineRule="exact"/>
                    <w:rPr>
                      <w:rFonts w:eastAsiaTheme="minorEastAsia"/>
                      <w:color w:val="auto"/>
                      <w:szCs w:val="21"/>
                    </w:rPr>
                  </w:pPr>
                  <w:r>
                    <w:rPr>
                      <w:color w:val="auto"/>
                      <w:szCs w:val="21"/>
                    </w:rPr>
                    <w:t>关于园区污水处理及排放问题</w:t>
                  </w:r>
                </w:p>
              </w:tc>
              <w:tc>
                <w:tcPr>
                  <w:tcW w:w="3232" w:type="dxa"/>
                  <w:vAlign w:val="center"/>
                </w:tcPr>
                <w:p>
                  <w:pPr>
                    <w:pStyle w:val="29"/>
                    <w:spacing w:line="360" w:lineRule="exact"/>
                    <w:ind w:firstLine="210" w:firstLineChars="100"/>
                    <w:jc w:val="both"/>
                    <w:rPr>
                      <w:color w:val="auto"/>
                      <w:szCs w:val="21"/>
                    </w:rPr>
                  </w:pPr>
                  <w:r>
                    <w:rPr>
                      <w:color w:val="auto"/>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795" w:type="dxa"/>
                  <w:vAlign w:val="center"/>
                </w:tcPr>
                <w:p>
                  <w:pPr>
                    <w:pStyle w:val="29"/>
                    <w:spacing w:line="360" w:lineRule="exact"/>
                    <w:ind w:firstLine="210" w:firstLineChars="100"/>
                    <w:jc w:val="both"/>
                    <w:rPr>
                      <w:color w:val="auto"/>
                      <w:szCs w:val="21"/>
                    </w:rPr>
                  </w:pPr>
                  <w:r>
                    <w:rPr>
                      <w:color w:val="auto"/>
                      <w:szCs w:val="21"/>
                    </w:rPr>
                    <w:t>根据附图6 项目所在流域位置图可知，该项目位于小江流域，但根据调查，目前规划的东川再就业特区天生桥特色产业园污水处理厂还未建成，因此项目生活污水排放情况分为近期和远期考虑，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A级标准后，进入东川再就业特区天生桥特色产业园污水处理厂集中处理；符合园污水处理及排放管理相关要求。</w:t>
                  </w:r>
                </w:p>
              </w:tc>
              <w:tc>
                <w:tcPr>
                  <w:tcW w:w="820" w:type="dxa"/>
                  <w:vAlign w:val="center"/>
                </w:tcPr>
                <w:p>
                  <w:pPr>
                    <w:pStyle w:val="29"/>
                    <w:spacing w:line="360" w:lineRule="exact"/>
                    <w:rPr>
                      <w:rFonts w:eastAsiaTheme="minorEastAsia"/>
                      <w:color w:val="auto"/>
                      <w:szCs w:val="21"/>
                    </w:rPr>
                  </w:pPr>
                  <w:r>
                    <w:rPr>
                      <w:rFonts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29"/>
                    <w:spacing w:line="360" w:lineRule="exact"/>
                    <w:rPr>
                      <w:rFonts w:eastAsiaTheme="minorEastAsia"/>
                      <w:color w:val="auto"/>
                      <w:szCs w:val="21"/>
                    </w:rPr>
                  </w:pPr>
                  <w:r>
                    <w:rPr>
                      <w:color w:val="auto"/>
                      <w:szCs w:val="21"/>
                    </w:rPr>
                    <w:t>关于固废处置问题</w:t>
                  </w:r>
                </w:p>
              </w:tc>
              <w:tc>
                <w:tcPr>
                  <w:tcW w:w="3232" w:type="dxa"/>
                  <w:vAlign w:val="center"/>
                </w:tcPr>
                <w:p>
                  <w:pPr>
                    <w:pStyle w:val="29"/>
                    <w:spacing w:line="360" w:lineRule="exact"/>
                    <w:ind w:firstLine="210" w:firstLineChars="100"/>
                    <w:jc w:val="both"/>
                    <w:rPr>
                      <w:color w:val="auto"/>
                      <w:szCs w:val="21"/>
                    </w:rPr>
                  </w:pPr>
                  <w:r>
                    <w:rPr>
                      <w:color w:val="auto"/>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795" w:type="dxa"/>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该项目产生的主要固体废物包括：分选废料、收集粉尘、设备维修产生的废机油及废弃沾油抹布、生活垃圾、餐厨废物、隔油池浮油和污水处理设施污泥。</w:t>
                  </w:r>
                </w:p>
                <w:p>
                  <w:pPr>
                    <w:pStyle w:val="29"/>
                    <w:spacing w:line="360" w:lineRule="exact"/>
                    <w:ind w:firstLine="210" w:firstLineChars="100"/>
                    <w:jc w:val="both"/>
                    <w:rPr>
                      <w:color w:val="auto"/>
                      <w:szCs w:val="21"/>
                    </w:rPr>
                  </w:pPr>
                  <w:r>
                    <w:rPr>
                      <w:rFonts w:eastAsiaTheme="minorEastAsia"/>
                      <w:color w:val="auto"/>
                      <w:szCs w:val="24"/>
                    </w:rPr>
                    <w:t>其中分选废料分类收集后暂存于废料暂存库外卖相关回收单位再生利用； 收集粉尘统一收集后，返回生产系统进行分选；废机油委托有资质的单位处理；生活垃圾及废弃沾油抹布集中收集，委托环卫部门定期清运处置；隔油池浮油委托有资质的单位进行清理和处置；污泥委托环卫部门清运处理。项目固体废物处置率为100%，符合园区固体废物管理相关要求。</w:t>
                  </w:r>
                </w:p>
              </w:tc>
              <w:tc>
                <w:tcPr>
                  <w:tcW w:w="820" w:type="dxa"/>
                  <w:vAlign w:val="center"/>
                </w:tcPr>
                <w:p>
                  <w:pPr>
                    <w:pStyle w:val="29"/>
                    <w:spacing w:line="360" w:lineRule="exact"/>
                    <w:rPr>
                      <w:rFonts w:eastAsiaTheme="minorEastAsia"/>
                      <w:color w:val="auto"/>
                      <w:szCs w:val="21"/>
                    </w:rPr>
                  </w:pPr>
                  <w:r>
                    <w:rPr>
                      <w:rFonts w:eastAsiaTheme="minorEastAsia"/>
                      <w:color w:val="auto"/>
                      <w:szCs w:val="21"/>
                    </w:rPr>
                    <w:t>符合</w:t>
                  </w:r>
                </w:p>
              </w:tc>
            </w:tr>
          </w:tbl>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由上表可知，该项目符合云南省东川再就业特区天生桥特色产业园环保措施要求。</w:t>
            </w:r>
          </w:p>
          <w:p>
            <w:pPr>
              <w:spacing w:line="360" w:lineRule="auto"/>
              <w:ind w:firstLine="482" w:firstLineChars="200"/>
              <w:rPr>
                <w:rFonts w:ascii="Times New Roman" w:hAnsi="Times New Roman" w:cs="Times New Roman"/>
                <w:b/>
                <w:sz w:val="24"/>
              </w:rPr>
            </w:pPr>
            <w:r>
              <w:rPr>
                <w:rFonts w:cs="Times New Roman" w:asciiTheme="minorEastAsia" w:hAnsiTheme="minorEastAsia"/>
                <w:b/>
                <w:sz w:val="24"/>
              </w:rPr>
              <w:t>②</w:t>
            </w:r>
            <w:r>
              <w:rPr>
                <w:rFonts w:ascii="Times New Roman" w:hAnsi="Times New Roman" w:cs="Times New Roman"/>
                <w:b/>
                <w:sz w:val="24"/>
              </w:rPr>
              <w:t>与园区准入要求的符合性分析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该项目与云南省东川再就业特区天生桥特色产业园准入要求的符合性分析如下表所示。</w:t>
            </w:r>
          </w:p>
          <w:p>
            <w:pPr>
              <w:jc w:val="center"/>
              <w:rPr>
                <w:rFonts w:ascii="Times New Roman" w:hAnsi="Times New Roman" w:cs="Times New Roman"/>
                <w:b/>
              </w:rPr>
            </w:pPr>
            <w:r>
              <w:rPr>
                <w:rFonts w:ascii="Times New Roman" w:hAnsi="Times New Roman" w:cs="Times New Roman"/>
                <w:b/>
              </w:rPr>
              <w:t>表1-3 与园区准入要求的符合性分析</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0"/>
              <w:gridCol w:w="4393"/>
              <w:gridCol w:w="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29"/>
                    <w:spacing w:before="78" w:line="360" w:lineRule="exact"/>
                    <w:rPr>
                      <w:rFonts w:eastAsiaTheme="minorEastAsia"/>
                      <w:color w:val="auto"/>
                      <w:szCs w:val="21"/>
                    </w:rPr>
                  </w:pPr>
                  <w:r>
                    <w:rPr>
                      <w:rFonts w:eastAsiaTheme="minorEastAsia"/>
                      <w:color w:val="auto"/>
                      <w:szCs w:val="21"/>
                    </w:rPr>
                    <w:t>规划环评及审查意见准入要求</w:t>
                  </w:r>
                </w:p>
              </w:tc>
              <w:tc>
                <w:tcPr>
                  <w:tcW w:w="4393" w:type="dxa"/>
                  <w:vAlign w:val="center"/>
                </w:tcPr>
                <w:p>
                  <w:pPr>
                    <w:pStyle w:val="29"/>
                    <w:spacing w:before="78" w:line="360" w:lineRule="exact"/>
                    <w:rPr>
                      <w:rFonts w:eastAsiaTheme="minorEastAsia"/>
                      <w:color w:val="auto"/>
                      <w:szCs w:val="21"/>
                    </w:rPr>
                  </w:pPr>
                  <w:r>
                    <w:rPr>
                      <w:rFonts w:eastAsiaTheme="minorEastAsia"/>
                      <w:color w:val="auto"/>
                      <w:szCs w:val="21"/>
                    </w:rPr>
                    <w:t>项目实际情况</w:t>
                  </w:r>
                </w:p>
              </w:tc>
              <w:tc>
                <w:tcPr>
                  <w:tcW w:w="815" w:type="dxa"/>
                  <w:vAlign w:val="center"/>
                </w:tcPr>
                <w:p>
                  <w:pPr>
                    <w:pStyle w:val="29"/>
                    <w:spacing w:before="78"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29"/>
                    <w:spacing w:line="360" w:lineRule="exact"/>
                    <w:ind w:firstLine="210" w:firstLineChars="100"/>
                    <w:jc w:val="both"/>
                    <w:rPr>
                      <w:rFonts w:eastAsiaTheme="minorEastAsia"/>
                      <w:color w:val="auto"/>
                      <w:szCs w:val="21"/>
                    </w:rPr>
                  </w:pPr>
                  <w:r>
                    <w:rPr>
                      <w:color w:val="auto"/>
                      <w:szCs w:val="21"/>
                    </w:rPr>
                    <w:t>加强入园企业的控制，对不符合园区功能定位的企业和项目禁止入园。入园企业须满足国家产业政策和环境准入条件，坚持使用清洁能源，严格执行污染物达标排放和总量控制要求。</w:t>
                  </w:r>
                </w:p>
              </w:tc>
              <w:tc>
                <w:tcPr>
                  <w:tcW w:w="4393" w:type="dxa"/>
                  <w:vAlign w:val="center"/>
                </w:tcPr>
                <w:p>
                  <w:pPr>
                    <w:pStyle w:val="29"/>
                    <w:spacing w:line="360" w:lineRule="exact"/>
                    <w:ind w:firstLine="210" w:firstLineChars="100"/>
                    <w:jc w:val="both"/>
                    <w:rPr>
                      <w:color w:val="auto"/>
                      <w:szCs w:val="24"/>
                    </w:rPr>
                  </w:pPr>
                  <w:r>
                    <w:rPr>
                      <w:color w:val="auto"/>
                      <w:szCs w:val="21"/>
                    </w:rPr>
                    <w:t>根据《东川再就业特色产业园区管理委员会关于昆明弘晨新材料科技有限公司10万吨/年再生资源综合回收利用建设项目的批复》（东特发【2021】101号），该项目符合园区功能定位，该项目符合园区功能定位，该项目符合国家产业政策和环境准入条件，同时污染物可达标排放，粉尘可满足控制要求。满足园区政策管理相关要求。</w:t>
                  </w:r>
                </w:p>
              </w:tc>
              <w:tc>
                <w:tcPr>
                  <w:tcW w:w="815" w:type="dxa"/>
                  <w:vAlign w:val="center"/>
                </w:tcPr>
                <w:p>
                  <w:pPr>
                    <w:pStyle w:val="29"/>
                    <w:spacing w:before="78" w:line="360" w:lineRule="exact"/>
                    <w:rPr>
                      <w:rFonts w:eastAsiaTheme="minorEastAsia"/>
                      <w:color w:val="auto"/>
                      <w:szCs w:val="21"/>
                    </w:rPr>
                  </w:pPr>
                  <w:r>
                    <w:rPr>
                      <w:rFonts w:eastAsiaTheme="minorEastAsia"/>
                      <w:color w:val="auto"/>
                      <w:szCs w:val="21"/>
                    </w:rPr>
                    <w:t>符合</w:t>
                  </w:r>
                </w:p>
              </w:tc>
            </w:tr>
          </w:tbl>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由上表可知，该项目符合云南省东川再就业特区天生桥特色产业园环准入要求。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通过上述分析，该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p>
            <w:pPr>
              <w:spacing w:line="360" w:lineRule="auto"/>
              <w:ind w:firstLine="480" w:firstLineChars="200"/>
              <w:rPr>
                <w:rFonts w:ascii="Times New Roman" w:hAnsi="Times New Roman"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（1）“三线一单”符合性分析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①生态保护红线和一般生态空间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该项目位于云南省东川再就业特区天生桥特色产业园，项目所在地属于云南东川再就业特色产业园区重点管控单元，因此项目不属于优先保护单元。</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生态环境分区管控的实施意见》对环境质量底线设定了2025年和2035年两个目标，该项目位于云南省东川再就业特区天生桥特色产业园，环境质量底线和该项目相关的要求及符合性分析如下：</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1 \* GB2 </w:instrText>
            </w:r>
            <w:r>
              <w:rPr>
                <w:rFonts w:ascii="Times New Roman" w:hAnsi="Times New Roman" w:cs="Times New Roman"/>
                <w:b/>
                <w:sz w:val="24"/>
              </w:rPr>
              <w:fldChar w:fldCharType="separate"/>
            </w:r>
            <w:r>
              <w:rPr>
                <w:rFonts w:ascii="Times New Roman" w:hAnsi="Times New Roman" w:cs="Times New Roman"/>
                <w:b/>
                <w:sz w:val="24"/>
              </w:rPr>
              <w:t>⑴</w:t>
            </w:r>
            <w:r>
              <w:rPr>
                <w:rFonts w:ascii="Times New Roman" w:hAnsi="Times New Roman" w:cs="Times New Roman"/>
                <w:b/>
                <w:sz w:val="24"/>
              </w:rPr>
              <w:fldChar w:fldCharType="end"/>
            </w:r>
            <w:r>
              <w:rPr>
                <w:rFonts w:ascii="Times New Roman" w:hAnsi="Times New Roman" w:cs="Times New Roman"/>
                <w:b/>
                <w:sz w:val="24"/>
              </w:rPr>
              <w:t>生态环境质量底线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2 \* GB2 </w:instrText>
            </w:r>
            <w:r>
              <w:rPr>
                <w:rFonts w:ascii="Times New Roman" w:hAnsi="Times New Roman" w:cs="Times New Roman"/>
                <w:b/>
                <w:sz w:val="24"/>
              </w:rPr>
              <w:fldChar w:fldCharType="separate"/>
            </w:r>
            <w:r>
              <w:rPr>
                <w:rFonts w:ascii="Times New Roman" w:hAnsi="Times New Roman" w:cs="Times New Roman"/>
                <w:b/>
                <w:sz w:val="24"/>
              </w:rPr>
              <w:t>⑵</w:t>
            </w:r>
            <w:r>
              <w:rPr>
                <w:rFonts w:ascii="Times New Roman" w:hAnsi="Times New Roman" w:cs="Times New Roman"/>
                <w:b/>
                <w:sz w:val="24"/>
              </w:rPr>
              <w:fldChar w:fldCharType="end"/>
            </w:r>
            <w:r>
              <w:rPr>
                <w:rFonts w:ascii="Times New Roman" w:hAnsi="Times New Roman" w:cs="Times New Roman"/>
                <w:b/>
                <w:sz w:val="24"/>
              </w:rPr>
              <w:t>环境空气环境质量底线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“实施意见”要求：到2025年，全市环境空气质量总体保持优良，主城建成区空气质量优良天数占比达99%以上，二氧化硫（SO</w:t>
            </w:r>
            <w:r>
              <w:rPr>
                <w:rFonts w:ascii="Times New Roman" w:hAnsi="Times New Roman" w:cs="Times New Roman"/>
                <w:sz w:val="24"/>
                <w:vertAlign w:val="subscript"/>
              </w:rPr>
              <w:t>2</w:t>
            </w:r>
            <w:r>
              <w:rPr>
                <w:rFonts w:ascii="Times New Roman" w:hAnsi="Times New Roman" w:cs="Times New Roman"/>
                <w:sz w:val="24"/>
              </w:rPr>
              <w:t>）和氮氧化物（NOx）排放总量控制在省下达的目标以内，主城区空气中颗粒物（PM</w:t>
            </w:r>
            <w:r>
              <w:rPr>
                <w:rFonts w:ascii="Times New Roman" w:hAnsi="Times New Roman" w:cs="Times New Roman"/>
                <w:sz w:val="24"/>
                <w:vertAlign w:val="subscript"/>
              </w:rPr>
              <w:t>10</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根据调查，现目选址区域空气环境可达到《环境空气质量标准》（GB3095-2012）二级标准，属于空气达标区，且该项目的建设不会改变区域环境空气质量功能要求。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3 \* GB2 </w:instrText>
            </w:r>
            <w:r>
              <w:rPr>
                <w:rFonts w:ascii="Times New Roman" w:hAnsi="Times New Roman" w:cs="Times New Roman"/>
                <w:b/>
                <w:sz w:val="24"/>
              </w:rPr>
              <w:fldChar w:fldCharType="separate"/>
            </w:r>
            <w:r>
              <w:rPr>
                <w:rFonts w:ascii="Times New Roman" w:hAnsi="Times New Roman" w:cs="Times New Roman"/>
                <w:b/>
                <w:sz w:val="24"/>
              </w:rPr>
              <w:t>⑶</w:t>
            </w:r>
            <w:r>
              <w:rPr>
                <w:rFonts w:ascii="Times New Roman" w:hAnsi="Times New Roman" w:cs="Times New Roman"/>
                <w:b/>
                <w:sz w:val="24"/>
              </w:rPr>
              <w:fldChar w:fldCharType="end"/>
            </w:r>
            <w:r>
              <w:rPr>
                <w:rFonts w:ascii="Times New Roman" w:hAnsi="Times New Roman" w:cs="Times New Roman"/>
                <w:b/>
                <w:sz w:val="24"/>
              </w:rPr>
              <w:t>地表水环境质量底线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sz w:val="24"/>
              </w:rPr>
              <w:t>Ⅳ</w:t>
            </w:r>
            <w:r>
              <w:rPr>
                <w:rFonts w:ascii="Times New Roman" w:hAnsi="Times New Roman" w:cs="Times New Roman"/>
                <w:sz w:val="24"/>
              </w:rPr>
              <w:t>类，滇池外海水质达</w:t>
            </w:r>
            <w:r>
              <w:rPr>
                <w:rFonts w:ascii="Times New Roman" w:cs="Times New Roman" w:hAnsiTheme="minorEastAsia"/>
                <w:sz w:val="24"/>
              </w:rPr>
              <w:t>Ⅳ</w:t>
            </w:r>
            <w:r>
              <w:rPr>
                <w:rFonts w:ascii="Times New Roman" w:hAnsi="Times New Roman" w:cs="Times New Roman"/>
                <w:sz w:val="24"/>
              </w:rPr>
              <w:t>类（化学需氧量≤40毫克/升），阳宗海水质达</w:t>
            </w:r>
            <w:r>
              <w:rPr>
                <w:rFonts w:ascii="Times New Roman" w:cs="Times New Roman" w:hAnsiTheme="minorEastAsia"/>
                <w:sz w:val="24"/>
              </w:rPr>
              <w:t>Ⅲ</w:t>
            </w:r>
            <w:r>
              <w:rPr>
                <w:rFonts w:ascii="Times New Roman" w:hAnsi="Times New Roman" w:cs="Times New Roman"/>
                <w:sz w:val="24"/>
              </w:rPr>
              <w:t>类，集中式饮用水源水质巩固改善。到2035年，地表水体水质优良率全面提升，各监测断面水质达到水环境功能要求，消除劣V类水体，集中式饮用水水源水质稳定达标。根据调查，甸头大河可达到《地表水环境质量标准》（GB3838-2002）III类标准限值；且项目运行期间无废水外排入环境，不会改变区域地表水环境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4 \* GB2 </w:instrText>
            </w:r>
            <w:r>
              <w:rPr>
                <w:rFonts w:ascii="Times New Roman" w:hAnsi="Times New Roman" w:cs="Times New Roman"/>
                <w:b/>
                <w:sz w:val="24"/>
              </w:rPr>
              <w:fldChar w:fldCharType="separate"/>
            </w:r>
            <w:r>
              <w:rPr>
                <w:rFonts w:ascii="Times New Roman" w:hAnsi="Times New Roman" w:cs="Times New Roman"/>
                <w:b/>
                <w:sz w:val="24"/>
              </w:rPr>
              <w:t>⑷</w:t>
            </w:r>
            <w:r>
              <w:rPr>
                <w:rFonts w:ascii="Times New Roman" w:hAnsi="Times New Roman" w:cs="Times New Roman"/>
                <w:b/>
                <w:sz w:val="24"/>
              </w:rPr>
              <w:fldChar w:fldCharType="end"/>
            </w:r>
            <w:r>
              <w:rPr>
                <w:rFonts w:ascii="Times New Roman" w:hAnsi="Times New Roman" w:cs="Times New Roman"/>
                <w:b/>
                <w:sz w:val="24"/>
              </w:rPr>
              <w:t>土壤环境质量底线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sz w:val="24"/>
              </w:rPr>
            </w:pPr>
            <w:r>
              <w:rPr>
                <w:rFonts w:ascii="Times New Roman" w:cs="Times New Roman" w:hAnsiTheme="minorEastAsia"/>
                <w:b/>
                <w:sz w:val="24"/>
                <w:szCs w:val="24"/>
              </w:rPr>
              <w:t>③</w:t>
            </w:r>
            <w:r>
              <w:rPr>
                <w:rFonts w:ascii="Times New Roman" w:hAnsi="Times New Roman" w:cs="Times New Roman"/>
                <w:b/>
                <w:sz w:val="24"/>
                <w:szCs w:val="24"/>
              </w:rPr>
              <w:t>资源利用上线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根据调查，项目主要用水环节为生活用水，用水量较全市工业用水量占比极小；项目选址位于工业园区，不涉及耕地、基本农田等土地资源，项目能耗较低；因此项目资源利用符合国家相关要求。</w:t>
            </w:r>
          </w:p>
          <w:p>
            <w:pPr>
              <w:spacing w:line="360" w:lineRule="auto"/>
              <w:ind w:firstLine="482" w:firstLineChars="200"/>
              <w:rPr>
                <w:rFonts w:ascii="Times New Roman" w:hAnsi="Times New Roman" w:cs="Times New Roman"/>
                <w:b/>
                <w:sz w:val="24"/>
                <w:szCs w:val="24"/>
              </w:rPr>
            </w:pPr>
            <w:r>
              <w:rPr>
                <w:rFonts w:cs="Times New Roman" w:asciiTheme="minorEastAsia" w:hAnsiTheme="minorEastAsia"/>
                <w:b/>
                <w:sz w:val="24"/>
                <w:szCs w:val="24"/>
              </w:rPr>
              <w:t>④</w:t>
            </w:r>
            <w:r>
              <w:rPr>
                <w:rFonts w:ascii="Times New Roman" w:hAnsi="Times New Roman" w:cs="Times New Roman"/>
                <w:b/>
                <w:sz w:val="24"/>
              </w:rPr>
              <w:t>环境准入负面清单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该项目位于该项目位于云南省东川再就业特区天生桥特色产业园，项目所在地属于云南东川再就业特色产业园区重点管控单元，根据东川区环境管控单元生态环境准入清单的管理要求，该项目环境准入负面清单符合性具体下表所示。</w:t>
            </w:r>
          </w:p>
          <w:p>
            <w:pPr>
              <w:jc w:val="center"/>
              <w:rPr>
                <w:rFonts w:ascii="Times New Roman" w:hAnsi="Times New Roman" w:cs="Times New Roman"/>
                <w:b/>
              </w:rPr>
            </w:pPr>
            <w:r>
              <w:rPr>
                <w:rFonts w:ascii="Times New Roman" w:hAnsi="Times New Roman" w:cs="Times New Roman"/>
                <w:b/>
              </w:rPr>
              <w:t>表1-4 与东川区环境管控单元生态环境准入清单符合性分析一览表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402"/>
              <w:gridCol w:w="3045"/>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29"/>
                    <w:spacing w:line="360" w:lineRule="exact"/>
                    <w:rPr>
                      <w:rFonts w:eastAsiaTheme="minorEastAsia"/>
                      <w:color w:val="auto"/>
                      <w:szCs w:val="21"/>
                    </w:rPr>
                  </w:pPr>
                  <w:r>
                    <w:rPr>
                      <w:rFonts w:eastAsiaTheme="minorEastAsia"/>
                      <w:color w:val="auto"/>
                      <w:szCs w:val="21"/>
                    </w:rPr>
                    <w:t>单元名称</w:t>
                  </w:r>
                </w:p>
              </w:tc>
              <w:tc>
                <w:tcPr>
                  <w:tcW w:w="4133" w:type="dxa"/>
                  <w:gridSpan w:val="2"/>
                  <w:vAlign w:val="center"/>
                </w:tcPr>
                <w:p>
                  <w:pPr>
                    <w:pStyle w:val="29"/>
                    <w:spacing w:line="360" w:lineRule="exact"/>
                    <w:rPr>
                      <w:rFonts w:eastAsiaTheme="minorEastAsia"/>
                      <w:color w:val="auto"/>
                      <w:szCs w:val="21"/>
                    </w:rPr>
                  </w:pPr>
                  <w:r>
                    <w:rPr>
                      <w:rFonts w:eastAsiaTheme="minorEastAsia"/>
                      <w:color w:val="auto"/>
                      <w:szCs w:val="21"/>
                    </w:rPr>
                    <w:t>管控要求</w:t>
                  </w:r>
                </w:p>
              </w:tc>
              <w:tc>
                <w:tcPr>
                  <w:tcW w:w="3045" w:type="dxa"/>
                  <w:vAlign w:val="center"/>
                </w:tcPr>
                <w:p>
                  <w:pPr>
                    <w:pStyle w:val="29"/>
                    <w:spacing w:line="360" w:lineRule="exact"/>
                    <w:rPr>
                      <w:rFonts w:eastAsiaTheme="minorEastAsia"/>
                      <w:color w:val="auto"/>
                      <w:szCs w:val="21"/>
                    </w:rPr>
                  </w:pPr>
                  <w:r>
                    <w:rPr>
                      <w:rFonts w:eastAsiaTheme="minorEastAsia"/>
                      <w:color w:val="auto"/>
                      <w:szCs w:val="21"/>
                    </w:rPr>
                    <w:t>项目实际情况</w:t>
                  </w:r>
                </w:p>
              </w:tc>
              <w:tc>
                <w:tcPr>
                  <w:tcW w:w="714" w:type="dxa"/>
                  <w:vAlign w:val="center"/>
                </w:tcPr>
                <w:p>
                  <w:pPr>
                    <w:pStyle w:val="29"/>
                    <w:spacing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29"/>
                    <w:spacing w:line="360" w:lineRule="exact"/>
                    <w:rPr>
                      <w:rFonts w:eastAsiaTheme="minorEastAsia"/>
                      <w:color w:val="auto"/>
                      <w:szCs w:val="21"/>
                    </w:rPr>
                  </w:pPr>
                  <w:r>
                    <w:rPr>
                      <w:rFonts w:eastAsiaTheme="minorEastAsia"/>
                      <w:color w:val="auto"/>
                      <w:szCs w:val="21"/>
                    </w:rPr>
                    <w:t>重点管控单元</w:t>
                  </w:r>
                </w:p>
              </w:tc>
              <w:tc>
                <w:tcPr>
                  <w:tcW w:w="731" w:type="dxa"/>
                  <w:vAlign w:val="center"/>
                </w:tcPr>
                <w:p>
                  <w:pPr>
                    <w:pStyle w:val="29"/>
                    <w:spacing w:line="360" w:lineRule="exact"/>
                    <w:rPr>
                      <w:rFonts w:eastAsiaTheme="minorEastAsia"/>
                      <w:color w:val="auto"/>
                      <w:szCs w:val="21"/>
                    </w:rPr>
                  </w:pPr>
                  <w:r>
                    <w:rPr>
                      <w:rFonts w:eastAsiaTheme="minorEastAsia"/>
                      <w:color w:val="auto"/>
                      <w:szCs w:val="21"/>
                    </w:rPr>
                    <w:t>空间布局约束</w:t>
                  </w:r>
                </w:p>
              </w:tc>
              <w:tc>
                <w:tcPr>
                  <w:tcW w:w="3402" w:type="dxa"/>
                  <w:vAlign w:val="center"/>
                </w:tcPr>
                <w:p>
                  <w:pPr>
                    <w:pStyle w:val="29"/>
                    <w:spacing w:line="360" w:lineRule="exact"/>
                    <w:ind w:firstLine="210" w:firstLineChars="100"/>
                    <w:jc w:val="both"/>
                    <w:rPr>
                      <w:rFonts w:eastAsiaTheme="minorEastAsia"/>
                      <w:color w:val="auto"/>
                    </w:rPr>
                  </w:pPr>
                  <w:r>
                    <w:rPr>
                      <w:rFonts w:eastAsiaTheme="minorEastAsia"/>
                      <w:color w:val="auto"/>
                    </w:rPr>
                    <w:t>重点发展重化工、有色冶金、铸造、有色金属和稀贵金属加工、机械制造、机电设备、黄金精加工、建筑建材以及食品加工、生物医药行业。</w:t>
                  </w:r>
                </w:p>
              </w:tc>
              <w:tc>
                <w:tcPr>
                  <w:tcW w:w="3045" w:type="dxa"/>
                  <w:vAlign w:val="center"/>
                </w:tcPr>
                <w:p>
                  <w:pPr>
                    <w:pStyle w:val="29"/>
                    <w:spacing w:line="360" w:lineRule="exact"/>
                    <w:ind w:firstLine="210" w:firstLineChars="100"/>
                    <w:jc w:val="both"/>
                    <w:rPr>
                      <w:rFonts w:eastAsiaTheme="minorEastAsia"/>
                      <w:color w:val="auto"/>
                    </w:rPr>
                  </w:pPr>
                  <w:r>
                    <w:rPr>
                      <w:rFonts w:eastAsiaTheme="minorEastAsia"/>
                      <w:color w:val="auto"/>
                    </w:rPr>
                    <w:t>东川再就业特色产业园区管理委员会对该项目进行严格审核，明确该项目符合园区的总体规划，并于2021年12月6日下发了《东川再就业特色产业园区管理委员会关于昆明弘晨新材料科技有限公司10万吨/年再生资源综合回收利用建设项目的批复》（东特发【2021】101号）。</w:t>
                  </w:r>
                </w:p>
              </w:tc>
              <w:tc>
                <w:tcPr>
                  <w:tcW w:w="714" w:type="dxa"/>
                  <w:vAlign w:val="center"/>
                </w:tcPr>
                <w:p>
                  <w:pPr>
                    <w:pStyle w:val="29"/>
                    <w:spacing w:line="360" w:lineRule="exact"/>
                    <w:rPr>
                      <w:rFonts w:eastAsiaTheme="minorEastAsia"/>
                      <w:color w:val="auto"/>
                      <w:szCs w:val="21"/>
                    </w:rPr>
                  </w:pPr>
                  <w:r>
                    <w:rPr>
                      <w:rFonts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29"/>
                    <w:spacing w:line="360" w:lineRule="exact"/>
                    <w:rPr>
                      <w:rFonts w:eastAsiaTheme="minorEastAsia"/>
                      <w:color w:val="auto"/>
                      <w:szCs w:val="21"/>
                    </w:rPr>
                  </w:pPr>
                </w:p>
              </w:tc>
              <w:tc>
                <w:tcPr>
                  <w:tcW w:w="731" w:type="dxa"/>
                  <w:vAlign w:val="center"/>
                </w:tcPr>
                <w:p>
                  <w:pPr>
                    <w:pStyle w:val="29"/>
                    <w:spacing w:line="360" w:lineRule="exact"/>
                    <w:rPr>
                      <w:rFonts w:eastAsiaTheme="minorEastAsia"/>
                      <w:color w:val="auto"/>
                      <w:szCs w:val="21"/>
                    </w:rPr>
                  </w:pPr>
                  <w:r>
                    <w:rPr>
                      <w:rFonts w:eastAsiaTheme="minorEastAsia"/>
                      <w:color w:val="auto"/>
                      <w:szCs w:val="21"/>
                    </w:rPr>
                    <w:t>污染物排放管控</w:t>
                  </w:r>
                </w:p>
              </w:tc>
              <w:tc>
                <w:tcPr>
                  <w:tcW w:w="3402" w:type="dxa"/>
                  <w:vAlign w:val="center"/>
                </w:tcPr>
                <w:p>
                  <w:pPr>
                    <w:pStyle w:val="29"/>
                    <w:spacing w:line="360" w:lineRule="exact"/>
                    <w:ind w:firstLine="210" w:firstLineChars="100"/>
                    <w:jc w:val="both"/>
                    <w:rPr>
                      <w:rFonts w:eastAsiaTheme="minorEastAsia"/>
                      <w:color w:val="auto"/>
                    </w:rPr>
                  </w:pPr>
                  <w:r>
                    <w:rPr>
                      <w:rFonts w:eastAsiaTheme="minorEastAsia"/>
                      <w:color w:val="auto"/>
                    </w:rPr>
                    <w:t>1.四方地组团禁止再安排重污染企业，防止加重该区域的环境污染。</w:t>
                  </w:r>
                </w:p>
                <w:p>
                  <w:pPr>
                    <w:pStyle w:val="29"/>
                    <w:spacing w:line="360" w:lineRule="exact"/>
                    <w:ind w:firstLine="210" w:firstLineChars="100"/>
                    <w:jc w:val="both"/>
                    <w:rPr>
                      <w:rFonts w:eastAsiaTheme="minorEastAsia"/>
                      <w:color w:val="auto"/>
                    </w:rPr>
                  </w:pPr>
                  <w:r>
                    <w:rPr>
                      <w:rFonts w:eastAsiaTheme="minorEastAsia"/>
                      <w:color w:val="auto"/>
                    </w:rPr>
                    <w:t>2.碧谷片区靠近城区一侧安排居住及轻污染的工业项目，该地区地势较低，不得布置空气污染较重的项目。</w:t>
                  </w:r>
                </w:p>
                <w:p>
                  <w:pPr>
                    <w:pStyle w:val="29"/>
                    <w:spacing w:line="360" w:lineRule="exact"/>
                    <w:ind w:firstLine="210" w:firstLineChars="100"/>
                    <w:jc w:val="both"/>
                    <w:rPr>
                      <w:rFonts w:eastAsiaTheme="minorEastAsia"/>
                      <w:color w:val="auto"/>
                    </w:rPr>
                  </w:pPr>
                  <w:r>
                    <w:rPr>
                      <w:rFonts w:eastAsiaTheme="minorEastAsia"/>
                      <w:color w:val="auto"/>
                    </w:rPr>
                    <w:t>3.对门山片区不宜作为工业片区，作为城市服务功能区，靠近城区一侧应营造绿化带和布置低噪声影响项目。</w:t>
                  </w:r>
                </w:p>
                <w:p>
                  <w:pPr>
                    <w:pStyle w:val="29"/>
                    <w:spacing w:line="360" w:lineRule="exact"/>
                    <w:ind w:firstLine="210" w:firstLineChars="100"/>
                    <w:jc w:val="both"/>
                    <w:rPr>
                      <w:rFonts w:eastAsiaTheme="minorEastAsia"/>
                      <w:color w:val="auto"/>
                      <w:szCs w:val="21"/>
                    </w:rPr>
                  </w:pPr>
                  <w:r>
                    <w:rPr>
                      <w:rFonts w:eastAsiaTheme="minorEastAsia"/>
                      <w:color w:val="auto"/>
                    </w:rPr>
                    <w:t>4.阿旺片区不宜布局空气污染大的项目</w:t>
                  </w:r>
                  <w:r>
                    <w:rPr>
                      <w:rFonts w:eastAsiaTheme="minorEastAsia"/>
                      <w:color w:val="auto"/>
                      <w:sz w:val="20"/>
                    </w:rPr>
                    <w:t>。</w:t>
                  </w:r>
                </w:p>
              </w:tc>
              <w:tc>
                <w:tcPr>
                  <w:tcW w:w="3045" w:type="dxa"/>
                  <w:vAlign w:val="center"/>
                </w:tcPr>
                <w:p>
                  <w:pPr>
                    <w:pStyle w:val="29"/>
                    <w:spacing w:line="360" w:lineRule="exact"/>
                    <w:ind w:firstLine="200" w:firstLineChars="100"/>
                    <w:jc w:val="both"/>
                    <w:rPr>
                      <w:rFonts w:eastAsiaTheme="minorEastAsia"/>
                      <w:color w:val="auto"/>
                      <w:szCs w:val="21"/>
                    </w:rPr>
                  </w:pPr>
                  <w:r>
                    <w:rPr>
                      <w:rFonts w:eastAsiaTheme="minorEastAsia"/>
                      <w:color w:val="auto"/>
                      <w:sz w:val="20"/>
                    </w:rPr>
                    <w:t>该项目位于云南省东川再就业特区天生桥特色产业园，不在</w:t>
                  </w:r>
                  <w:r>
                    <w:rPr>
                      <w:rFonts w:eastAsiaTheme="minorEastAsia"/>
                      <w:color w:val="auto"/>
                    </w:rPr>
                    <w:t>四方地组团、碧谷片区、对门山片区和阿旺片区。</w:t>
                  </w:r>
                </w:p>
              </w:tc>
              <w:tc>
                <w:tcPr>
                  <w:tcW w:w="714" w:type="dxa"/>
                  <w:vAlign w:val="center"/>
                </w:tcPr>
                <w:p>
                  <w:pPr>
                    <w:pStyle w:val="29"/>
                    <w:spacing w:line="360" w:lineRule="exact"/>
                    <w:rPr>
                      <w:rFonts w:eastAsiaTheme="minorEastAsia"/>
                      <w:color w:val="auto"/>
                      <w:szCs w:val="21"/>
                    </w:rPr>
                  </w:pPr>
                  <w:r>
                    <w:rPr>
                      <w:rFonts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29"/>
                    <w:spacing w:line="360" w:lineRule="exact"/>
                    <w:rPr>
                      <w:rFonts w:eastAsiaTheme="minorEastAsia"/>
                      <w:color w:val="auto"/>
                      <w:szCs w:val="21"/>
                    </w:rPr>
                  </w:pPr>
                </w:p>
              </w:tc>
              <w:tc>
                <w:tcPr>
                  <w:tcW w:w="731" w:type="dxa"/>
                  <w:vAlign w:val="center"/>
                </w:tcPr>
                <w:p>
                  <w:pPr>
                    <w:pStyle w:val="29"/>
                    <w:spacing w:line="360" w:lineRule="exact"/>
                    <w:rPr>
                      <w:rFonts w:eastAsiaTheme="minorEastAsia"/>
                      <w:color w:val="auto"/>
                      <w:szCs w:val="21"/>
                    </w:rPr>
                  </w:pPr>
                  <w:r>
                    <w:rPr>
                      <w:rFonts w:eastAsiaTheme="minorEastAsia"/>
                      <w:color w:val="auto"/>
                      <w:szCs w:val="21"/>
                    </w:rPr>
                    <w:t>环境风险防控</w:t>
                  </w:r>
                </w:p>
              </w:tc>
              <w:tc>
                <w:tcPr>
                  <w:tcW w:w="3402" w:type="dxa"/>
                  <w:vAlign w:val="center"/>
                </w:tcPr>
                <w:p>
                  <w:pPr>
                    <w:pStyle w:val="29"/>
                    <w:spacing w:line="360" w:lineRule="exact"/>
                    <w:ind w:firstLine="210" w:firstLineChars="100"/>
                    <w:jc w:val="both"/>
                    <w:rPr>
                      <w:rFonts w:eastAsiaTheme="minorEastAsia"/>
                      <w:color w:val="auto"/>
                    </w:rPr>
                  </w:pPr>
                  <w:r>
                    <w:rPr>
                      <w:rFonts w:eastAsiaTheme="minorEastAsia"/>
                      <w:color w:val="auto"/>
                    </w:rPr>
                    <w:t>对门山片区发展生物制药及食品加工业时不得使用氨冷冻方式，以免氨泄露造成风险。</w:t>
                  </w:r>
                </w:p>
              </w:tc>
              <w:tc>
                <w:tcPr>
                  <w:tcW w:w="3045" w:type="dxa"/>
                  <w:vAlign w:val="center"/>
                </w:tcPr>
                <w:p>
                  <w:pPr>
                    <w:pStyle w:val="29"/>
                    <w:spacing w:line="360" w:lineRule="exact"/>
                    <w:ind w:firstLine="200" w:firstLineChars="100"/>
                    <w:jc w:val="both"/>
                    <w:rPr>
                      <w:color w:val="auto"/>
                    </w:rPr>
                  </w:pPr>
                  <w:r>
                    <w:rPr>
                      <w:rFonts w:eastAsiaTheme="minorEastAsia"/>
                      <w:color w:val="auto"/>
                      <w:sz w:val="20"/>
                    </w:rPr>
                    <w:t>该项目位于云南省东川再就业特区天生桥特色产业园，不在</w:t>
                  </w:r>
                  <w:r>
                    <w:rPr>
                      <w:rFonts w:eastAsiaTheme="minorEastAsia"/>
                      <w:color w:val="auto"/>
                    </w:rPr>
                    <w:t>对门山片区。</w:t>
                  </w:r>
                </w:p>
              </w:tc>
              <w:tc>
                <w:tcPr>
                  <w:tcW w:w="714" w:type="dxa"/>
                  <w:vAlign w:val="center"/>
                </w:tcPr>
                <w:p>
                  <w:pPr>
                    <w:pStyle w:val="29"/>
                    <w:spacing w:line="360" w:lineRule="exact"/>
                    <w:rPr>
                      <w:rFonts w:eastAsiaTheme="minorEastAsia"/>
                      <w:color w:val="auto"/>
                      <w:szCs w:val="21"/>
                    </w:rPr>
                  </w:pPr>
                  <w:r>
                    <w:rPr>
                      <w:rFonts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29"/>
                    <w:spacing w:line="360" w:lineRule="exact"/>
                    <w:rPr>
                      <w:rFonts w:eastAsiaTheme="minorEastAsia"/>
                      <w:color w:val="auto"/>
                      <w:szCs w:val="21"/>
                    </w:rPr>
                  </w:pPr>
                </w:p>
              </w:tc>
              <w:tc>
                <w:tcPr>
                  <w:tcW w:w="731" w:type="dxa"/>
                  <w:vAlign w:val="center"/>
                </w:tcPr>
                <w:p>
                  <w:pPr>
                    <w:pStyle w:val="29"/>
                    <w:spacing w:line="360" w:lineRule="exact"/>
                    <w:rPr>
                      <w:rFonts w:eastAsiaTheme="minorEastAsia"/>
                      <w:bCs w:val="0"/>
                      <w:snapToGrid/>
                      <w:color w:val="auto"/>
                    </w:rPr>
                  </w:pPr>
                  <w:r>
                    <w:rPr>
                      <w:rFonts w:eastAsiaTheme="minorEastAsia"/>
                      <w:color w:val="auto"/>
                      <w:szCs w:val="21"/>
                    </w:rPr>
                    <w:t>资源开发效率要求</w:t>
                  </w:r>
                </w:p>
              </w:tc>
              <w:tc>
                <w:tcPr>
                  <w:tcW w:w="3402" w:type="dxa"/>
                  <w:vAlign w:val="center"/>
                </w:tcPr>
                <w:p>
                  <w:pPr>
                    <w:pStyle w:val="29"/>
                    <w:spacing w:line="360" w:lineRule="exact"/>
                    <w:ind w:firstLine="210" w:firstLineChars="100"/>
                    <w:jc w:val="both"/>
                    <w:rPr>
                      <w:rFonts w:eastAsiaTheme="minorEastAsia"/>
                      <w:color w:val="auto"/>
                    </w:rPr>
                  </w:pPr>
                  <w:r>
                    <w:rPr>
                      <w:rFonts w:eastAsiaTheme="minorEastAsia"/>
                      <w:color w:val="auto"/>
                    </w:rPr>
                    <w:t>城市污水再生利用率在20%以上。工业污水处理达标率达到100%。</w:t>
                  </w:r>
                </w:p>
              </w:tc>
              <w:tc>
                <w:tcPr>
                  <w:tcW w:w="3045"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项目无工业废水外排。</w:t>
                  </w:r>
                </w:p>
              </w:tc>
              <w:tc>
                <w:tcPr>
                  <w:tcW w:w="714" w:type="dxa"/>
                  <w:vAlign w:val="center"/>
                </w:tcPr>
                <w:p>
                  <w:pPr>
                    <w:pStyle w:val="29"/>
                    <w:spacing w:line="360" w:lineRule="exact"/>
                    <w:rPr>
                      <w:rFonts w:eastAsiaTheme="minorEastAsia"/>
                      <w:color w:val="auto"/>
                      <w:szCs w:val="21"/>
                    </w:rPr>
                  </w:pPr>
                  <w:r>
                    <w:rPr>
                      <w:rFonts w:eastAsiaTheme="minorEastAsia"/>
                      <w:color w:val="auto"/>
                      <w:szCs w:val="21"/>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由上表可知，项目建设满足东川区环境管控单元生态环境准入清单的相关要求。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综上分析，项目建设符合“三线一单”要求。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（2）与《中华人民共和国长江保护法》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rPr>
            </w:pPr>
            <w:r>
              <w:rPr>
                <w:rFonts w:ascii="Times New Roman" w:hAnsi="Times New Roman" w:cs="Times New Roman"/>
                <w:b/>
              </w:rPr>
              <w:t>表1-5 与《中华人民共和国长江保护法》符合性分析一览表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color w:val="auto"/>
                      <w:kern w:val="0"/>
                      <w:szCs w:val="21"/>
                    </w:rPr>
                  </w:pPr>
                  <w:r>
                    <w:rPr>
                      <w:color w:val="auto"/>
                      <w:kern w:val="0"/>
                      <w:szCs w:val="21"/>
                    </w:rPr>
                    <w:t>序号</w:t>
                  </w:r>
                </w:p>
              </w:tc>
              <w:tc>
                <w:tcPr>
                  <w:tcW w:w="3021" w:type="dxa"/>
                  <w:vAlign w:val="center"/>
                </w:tcPr>
                <w:p>
                  <w:pPr>
                    <w:pStyle w:val="29"/>
                    <w:spacing w:line="360" w:lineRule="exact"/>
                    <w:rPr>
                      <w:color w:val="auto"/>
                      <w:kern w:val="0"/>
                      <w:szCs w:val="21"/>
                    </w:rPr>
                  </w:pPr>
                  <w:r>
                    <w:rPr>
                      <w:color w:val="auto"/>
                      <w:kern w:val="0"/>
                      <w:szCs w:val="21"/>
                    </w:rPr>
                    <w:t>中华人民共和国长江保护法要求</w:t>
                  </w:r>
                </w:p>
              </w:tc>
              <w:tc>
                <w:tcPr>
                  <w:tcW w:w="4308" w:type="dxa"/>
                  <w:vAlign w:val="center"/>
                </w:tcPr>
                <w:p>
                  <w:pPr>
                    <w:pStyle w:val="29"/>
                    <w:spacing w:line="360" w:lineRule="exact"/>
                    <w:rPr>
                      <w:color w:val="auto"/>
                      <w:kern w:val="0"/>
                      <w:szCs w:val="21"/>
                    </w:rPr>
                  </w:pPr>
                  <w:r>
                    <w:rPr>
                      <w:color w:val="auto"/>
                      <w:kern w:val="0"/>
                      <w:szCs w:val="21"/>
                    </w:rPr>
                    <w:t>该项目实际情况</w:t>
                  </w:r>
                </w:p>
              </w:tc>
              <w:tc>
                <w:tcPr>
                  <w:tcW w:w="748" w:type="dxa"/>
                  <w:vAlign w:val="center"/>
                </w:tcPr>
                <w:p>
                  <w:pPr>
                    <w:pStyle w:val="29"/>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color w:val="auto"/>
                      <w:kern w:val="0"/>
                      <w:szCs w:val="21"/>
                    </w:rPr>
                  </w:pPr>
                  <w:r>
                    <w:rPr>
                      <w:color w:val="auto"/>
                      <w:kern w:val="0"/>
                      <w:szCs w:val="21"/>
                    </w:rPr>
                    <w:t>1</w:t>
                  </w:r>
                </w:p>
              </w:tc>
              <w:tc>
                <w:tcPr>
                  <w:tcW w:w="3021" w:type="dxa"/>
                  <w:vAlign w:val="center"/>
                </w:tcPr>
                <w:p>
                  <w:pPr>
                    <w:pStyle w:val="29"/>
                    <w:spacing w:line="360" w:lineRule="exact"/>
                    <w:ind w:firstLine="210" w:firstLineChars="100"/>
                    <w:jc w:val="both"/>
                    <w:rPr>
                      <w:color w:val="auto"/>
                      <w:kern w:val="0"/>
                      <w:szCs w:val="21"/>
                    </w:rPr>
                  </w:pPr>
                  <w:r>
                    <w:rPr>
                      <w:color w:val="auto"/>
                      <w:kern w:val="0"/>
                      <w:szCs w:val="21"/>
                    </w:rPr>
                    <w:t>禁止在长江干支流岸线一公里范围内新建、扩建化工园区和化工项目。</w:t>
                  </w:r>
                </w:p>
              </w:tc>
              <w:tc>
                <w:tcPr>
                  <w:tcW w:w="4308" w:type="dxa"/>
                  <w:vAlign w:val="center"/>
                </w:tcPr>
                <w:p>
                  <w:pPr>
                    <w:pStyle w:val="29"/>
                    <w:spacing w:line="360" w:lineRule="exact"/>
                    <w:ind w:firstLine="210" w:firstLineChars="100"/>
                    <w:jc w:val="both"/>
                    <w:rPr>
                      <w:color w:val="auto"/>
                      <w:kern w:val="0"/>
                      <w:szCs w:val="21"/>
                    </w:rPr>
                  </w:pPr>
                  <w:r>
                    <w:rPr>
                      <w:color w:val="auto"/>
                      <w:kern w:val="0"/>
                      <w:szCs w:val="21"/>
                    </w:rPr>
                    <w:t>该项目对废铝混合料进行破碎分选，属于废弃资源综合利用项目，不属于化工项目。</w:t>
                  </w:r>
                </w:p>
              </w:tc>
              <w:tc>
                <w:tcPr>
                  <w:tcW w:w="748" w:type="dxa"/>
                  <w:vAlign w:val="center"/>
                </w:tcPr>
                <w:p>
                  <w:pPr>
                    <w:pStyle w:val="29"/>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color w:val="auto"/>
                      <w:kern w:val="0"/>
                      <w:szCs w:val="21"/>
                    </w:rPr>
                  </w:pPr>
                  <w:r>
                    <w:rPr>
                      <w:color w:val="auto"/>
                      <w:kern w:val="0"/>
                      <w:szCs w:val="21"/>
                    </w:rPr>
                    <w:t>2</w:t>
                  </w:r>
                </w:p>
              </w:tc>
              <w:tc>
                <w:tcPr>
                  <w:tcW w:w="3021" w:type="dxa"/>
                  <w:vAlign w:val="center"/>
                </w:tcPr>
                <w:p>
                  <w:pPr>
                    <w:pStyle w:val="29"/>
                    <w:spacing w:line="360" w:lineRule="exact"/>
                    <w:ind w:firstLine="210" w:firstLineChars="100"/>
                    <w:jc w:val="both"/>
                    <w:rPr>
                      <w:color w:val="auto"/>
                      <w:kern w:val="0"/>
                      <w:szCs w:val="21"/>
                    </w:rPr>
                  </w:pPr>
                  <w:r>
                    <w:rPr>
                      <w:color w:val="auto"/>
                      <w:kern w:val="0"/>
                      <w:szCs w:val="21"/>
                    </w:rPr>
                    <w:t>严格控制高耗水项目建设。</w:t>
                  </w:r>
                </w:p>
              </w:tc>
              <w:tc>
                <w:tcPr>
                  <w:tcW w:w="4308" w:type="dxa"/>
                  <w:vAlign w:val="center"/>
                </w:tcPr>
                <w:p>
                  <w:pPr>
                    <w:pStyle w:val="29"/>
                    <w:pBdr>
                      <w:bottom w:val="single" w:color="DDDDDD" w:sz="6" w:space="7"/>
                    </w:pBdr>
                    <w:spacing w:line="360" w:lineRule="exact"/>
                    <w:ind w:firstLine="210" w:firstLineChars="100"/>
                    <w:jc w:val="both"/>
                    <w:rPr>
                      <w:color w:val="auto"/>
                      <w:kern w:val="0"/>
                      <w:szCs w:val="21"/>
                    </w:rPr>
                  </w:pPr>
                  <w:r>
                    <w:rPr>
                      <w:color w:val="auto"/>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29"/>
                    <w:pBdr>
                      <w:bottom w:val="single" w:color="DDDDDD" w:sz="6" w:space="7"/>
                    </w:pBdr>
                    <w:spacing w:line="360" w:lineRule="exact"/>
                    <w:ind w:firstLine="210" w:firstLineChars="100"/>
                    <w:jc w:val="both"/>
                    <w:rPr>
                      <w:color w:val="auto"/>
                      <w:kern w:val="0"/>
                      <w:szCs w:val="21"/>
                    </w:rPr>
                  </w:pPr>
                  <w:r>
                    <w:rPr>
                      <w:color w:val="auto"/>
                      <w:kern w:val="0"/>
                      <w:szCs w:val="21"/>
                    </w:rPr>
                    <w:t>该项目属于废弃资源综合利用项目，不属于水利部发布18项传统高耗水行业。</w:t>
                  </w:r>
                </w:p>
              </w:tc>
              <w:tc>
                <w:tcPr>
                  <w:tcW w:w="748" w:type="dxa"/>
                  <w:vAlign w:val="center"/>
                </w:tcPr>
                <w:p>
                  <w:pPr>
                    <w:pStyle w:val="29"/>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color w:val="auto"/>
                      <w:kern w:val="0"/>
                      <w:szCs w:val="21"/>
                    </w:rPr>
                  </w:pPr>
                  <w:r>
                    <w:rPr>
                      <w:color w:val="auto"/>
                      <w:kern w:val="0"/>
                      <w:szCs w:val="21"/>
                    </w:rPr>
                    <w:t>3</w:t>
                  </w:r>
                </w:p>
              </w:tc>
              <w:tc>
                <w:tcPr>
                  <w:tcW w:w="3021" w:type="dxa"/>
                  <w:vAlign w:val="center"/>
                </w:tcPr>
                <w:p>
                  <w:pPr>
                    <w:pStyle w:val="29"/>
                    <w:spacing w:line="360" w:lineRule="exact"/>
                    <w:ind w:firstLine="210" w:firstLineChars="100"/>
                    <w:jc w:val="both"/>
                    <w:rPr>
                      <w:color w:val="auto"/>
                      <w:kern w:val="0"/>
                      <w:szCs w:val="21"/>
                    </w:rPr>
                  </w:pPr>
                  <w:r>
                    <w:rPr>
                      <w:color w:val="auto"/>
                      <w:kern w:val="0"/>
                      <w:szCs w:val="21"/>
                    </w:rPr>
                    <w:t>禁止在长江流域河湖管理范围内倾倒、填埋、堆放、弃置、处理固体废物。</w:t>
                  </w:r>
                </w:p>
              </w:tc>
              <w:tc>
                <w:tcPr>
                  <w:tcW w:w="4308" w:type="dxa"/>
                  <w:vAlign w:val="center"/>
                </w:tcPr>
                <w:p>
                  <w:pPr>
                    <w:pStyle w:val="29"/>
                    <w:spacing w:line="360" w:lineRule="exact"/>
                    <w:ind w:firstLine="210" w:firstLineChars="100"/>
                    <w:jc w:val="both"/>
                    <w:rPr>
                      <w:color w:val="auto"/>
                      <w:kern w:val="0"/>
                      <w:szCs w:val="21"/>
                    </w:rPr>
                  </w:pPr>
                  <w:r>
                    <w:rPr>
                      <w:color w:val="auto"/>
                      <w:kern w:val="0"/>
                      <w:szCs w:val="21"/>
                    </w:rPr>
                    <w:t>该项目位于云南省东川再就业特区天生桥特色产业园，该区域不属于长江流域河湖管理范围。</w:t>
                  </w:r>
                </w:p>
              </w:tc>
              <w:tc>
                <w:tcPr>
                  <w:tcW w:w="748" w:type="dxa"/>
                  <w:vAlign w:val="center"/>
                </w:tcPr>
                <w:p>
                  <w:pPr>
                    <w:pStyle w:val="29"/>
                    <w:spacing w:line="360" w:lineRule="exact"/>
                    <w:rPr>
                      <w:color w:val="auto"/>
                      <w:kern w:val="0"/>
                      <w:szCs w:val="21"/>
                    </w:rPr>
                  </w:pPr>
                  <w:r>
                    <w:rPr>
                      <w:color w:val="auto"/>
                      <w:kern w:val="0"/>
                      <w:szCs w:val="21"/>
                    </w:rPr>
                    <w:t>符合</w:t>
                  </w:r>
                </w:p>
              </w:tc>
            </w:tr>
          </w:tbl>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由上表可知，项目的建设符合《中华人民共和国长江保护法》的相关要求。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（3）与《长江经济带发展负面清单指南》（试行）的符合性分析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2019年1月12日，推动长江经济带发展领导小组办公室发布了《关于发布长江经济带发展负面清单指南（试行）的通知》（第89号），该项目位于云南省东川再就业特区天生桥特色产业园，项目所在地的纳污水体为小江（清水海-入金沙江口段），小江属于长江的上游主要支流。因此，本环评须分析该项目与《长江经济带发展负面清单指南（试行）》的符合性。具体分析如下表所示。</w:t>
            </w:r>
          </w:p>
          <w:p>
            <w:pPr>
              <w:pStyle w:val="14"/>
              <w:spacing w:after="0"/>
              <w:ind w:left="0" w:leftChars="0"/>
              <w:jc w:val="center"/>
              <w:rPr>
                <w:rFonts w:eastAsiaTheme="minorEastAsia"/>
                <w:b/>
                <w:sz w:val="21"/>
                <w:szCs w:val="21"/>
              </w:rPr>
            </w:pPr>
            <w:r>
              <w:rPr>
                <w:rFonts w:eastAsiaTheme="minorEastAsia"/>
                <w:b/>
                <w:sz w:val="21"/>
                <w:szCs w:val="21"/>
              </w:rPr>
              <w:t>表1-6 与《长江经济带发展负面清单指南（试行）》符合性分析一览表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序号</w:t>
                  </w:r>
                </w:p>
              </w:tc>
              <w:tc>
                <w:tcPr>
                  <w:tcW w:w="3596" w:type="dxa"/>
                  <w:vAlign w:val="center"/>
                </w:tcPr>
                <w:p>
                  <w:pPr>
                    <w:pStyle w:val="29"/>
                    <w:spacing w:line="360" w:lineRule="exact"/>
                    <w:rPr>
                      <w:rFonts w:eastAsiaTheme="minorEastAsia"/>
                      <w:color w:val="auto"/>
                      <w:kern w:val="0"/>
                      <w:szCs w:val="21"/>
                    </w:rPr>
                  </w:pPr>
                  <w:r>
                    <w:rPr>
                      <w:rFonts w:eastAsiaTheme="minorEastAsia"/>
                      <w:color w:val="auto"/>
                      <w:szCs w:val="21"/>
                    </w:rPr>
                    <w:t>长江经济带发展负面清单指南（试行）要求</w:t>
                  </w:r>
                </w:p>
              </w:tc>
              <w:tc>
                <w:tcPr>
                  <w:tcW w:w="3665" w:type="dxa"/>
                  <w:vAlign w:val="center"/>
                </w:tcPr>
                <w:p>
                  <w:pPr>
                    <w:pStyle w:val="29"/>
                    <w:spacing w:line="360" w:lineRule="exact"/>
                    <w:rPr>
                      <w:rFonts w:eastAsiaTheme="minorEastAsia"/>
                      <w:color w:val="auto"/>
                      <w:kern w:val="0"/>
                      <w:szCs w:val="21"/>
                    </w:rPr>
                  </w:pPr>
                  <w:r>
                    <w:rPr>
                      <w:rFonts w:eastAsiaTheme="minorEastAsia"/>
                      <w:color w:val="auto"/>
                      <w:kern w:val="0"/>
                      <w:szCs w:val="21"/>
                    </w:rPr>
                    <w:t>该项目实际情况</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1</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该项目位于云南省东川再就业特区天生桥特色产业园，不涉及码头及过江通道。</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2</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该项目位于云南省东川再就业特区天生桥特色产业园，不涉及自然保护区核心区、风景名胜区等特殊敏感区。</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3</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该项目位于云南省东川再就业特区天生桥特色产业园，</w:t>
                  </w:r>
                  <w:r>
                    <w:rPr>
                      <w:color w:val="auto"/>
                      <w:kern w:val="0"/>
                      <w:szCs w:val="21"/>
                    </w:rPr>
                    <w:t>不涉及到饮用水水源地的一级保护区或二级保护区。</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4</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29"/>
                    <w:spacing w:line="360" w:lineRule="exact"/>
                    <w:ind w:firstLine="210" w:firstLineChars="100"/>
                    <w:jc w:val="both"/>
                    <w:rPr>
                      <w:color w:val="auto"/>
                      <w:kern w:val="0"/>
                      <w:szCs w:val="21"/>
                    </w:rPr>
                  </w:pPr>
                  <w:r>
                    <w:rPr>
                      <w:color w:val="auto"/>
                      <w:kern w:val="0"/>
                      <w:szCs w:val="21"/>
                    </w:rPr>
                    <w:t>该项目属于废弃资源综合利用项目，项目建设符合主体功能定位，项目所在地的纳污水体为小江（清水海-入金沙江口段），不属于水产种植资源保护区的岸线和河段范围。</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5</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云南省东川再就业特区天生桥特色产业园，项目所在地的纳污水体为黑泥沟河，该河段不属于《长江岸线保护和开发利用总体规划》划定的岸线保护区，也不属于全国重要江河湖泊水功能区划》划定的河段保护区、保留区。</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6</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w:t>
                  </w:r>
                  <w:r>
                    <w:rPr>
                      <w:rFonts w:eastAsiaTheme="minorEastAsia"/>
                      <w:color w:val="auto"/>
                      <w:szCs w:val="21"/>
                    </w:rPr>
                    <w:t>位于</w:t>
                  </w:r>
                  <w:r>
                    <w:rPr>
                      <w:rFonts w:eastAsiaTheme="minorEastAsia"/>
                      <w:color w:val="auto"/>
                      <w:kern w:val="0"/>
                      <w:szCs w:val="21"/>
                    </w:rPr>
                    <w:t>云南省东川再就业特区天生桥特色产业园，</w:t>
                  </w:r>
                  <w:r>
                    <w:rPr>
                      <w:rFonts w:eastAsiaTheme="minorEastAsia"/>
                      <w:color w:val="auto"/>
                      <w:szCs w:val="21"/>
                    </w:rPr>
                    <w:t>项目建设</w:t>
                  </w:r>
                  <w:r>
                    <w:rPr>
                      <w:rFonts w:eastAsiaTheme="minorEastAsia"/>
                      <w:color w:val="auto"/>
                      <w:kern w:val="0"/>
                      <w:szCs w:val="21"/>
                    </w:rPr>
                    <w:t>不涉及生态保护红线和永久基本农田。</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7</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该项目位于东川区云南省东川再就业特区天生桥特色产业园，根据周边关系可知，距离小江超过10km，项目所在区域不属于禁建范围。</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8</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禁止新建、扩建不符合国家石化、现代煤化工等产业布局规划的项目。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该项目属于废弃资源综合利用项目</w:t>
                  </w:r>
                  <w:r>
                    <w:rPr>
                      <w:color w:val="auto"/>
                      <w:kern w:val="0"/>
                      <w:szCs w:val="21"/>
                    </w:rPr>
                    <w:t>，</w:t>
                  </w:r>
                  <w:r>
                    <w:rPr>
                      <w:rFonts w:eastAsiaTheme="minorEastAsia"/>
                      <w:color w:val="auto"/>
                      <w:kern w:val="0"/>
                      <w:szCs w:val="21"/>
                    </w:rPr>
                    <w:t>不属于不符合国家石化、现代煤化工等产业布局规划的项目。</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9</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禁止新建、扩建法律法规和相关政策明令禁止的落后产能项目。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该项目属于废弃资源综合利用项目，不属于《产业结构调整指导目录（2019年本）》中淘汰类或限制类项目，不属于法律法规和相关政策明令禁止的落后产能项目。</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9"/>
                    <w:spacing w:line="360" w:lineRule="exact"/>
                    <w:rPr>
                      <w:rFonts w:eastAsiaTheme="minorEastAsia"/>
                      <w:color w:val="auto"/>
                      <w:kern w:val="0"/>
                      <w:szCs w:val="21"/>
                    </w:rPr>
                  </w:pPr>
                  <w:r>
                    <w:rPr>
                      <w:rFonts w:eastAsiaTheme="minorEastAsia"/>
                      <w:color w:val="auto"/>
                      <w:kern w:val="0"/>
                      <w:szCs w:val="21"/>
                    </w:rPr>
                    <w:t>10</w:t>
                  </w:r>
                </w:p>
              </w:tc>
              <w:tc>
                <w:tcPr>
                  <w:tcW w:w="3596"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禁止新建、扩建不符合国家产能置换要求的严重过剩产能行业的项目。</w:t>
                  </w:r>
                </w:p>
              </w:tc>
              <w:tc>
                <w:tcPr>
                  <w:tcW w:w="3665" w:type="dxa"/>
                  <w:vAlign w:val="center"/>
                </w:tcPr>
                <w:p>
                  <w:pPr>
                    <w:pStyle w:val="29"/>
                    <w:spacing w:line="360" w:lineRule="exact"/>
                    <w:ind w:firstLine="210" w:firstLineChars="100"/>
                    <w:jc w:val="both"/>
                    <w:rPr>
                      <w:rFonts w:eastAsiaTheme="minorEastAsia"/>
                      <w:color w:val="auto"/>
                      <w:kern w:val="0"/>
                      <w:szCs w:val="21"/>
                    </w:rPr>
                  </w:pPr>
                  <w:r>
                    <w:rPr>
                      <w:rFonts w:eastAsiaTheme="minorEastAsia"/>
                      <w:color w:val="auto"/>
                      <w:kern w:val="0"/>
                      <w:szCs w:val="21"/>
                    </w:rPr>
                    <w:t>该项目属于废弃资源综合利用项目，不属于国家产能置换要求的严重过剩产能行业的项目。</w:t>
                  </w:r>
                </w:p>
              </w:tc>
              <w:tc>
                <w:tcPr>
                  <w:tcW w:w="816" w:type="dxa"/>
                  <w:vAlign w:val="center"/>
                </w:tcPr>
                <w:p>
                  <w:pPr>
                    <w:pStyle w:val="29"/>
                    <w:spacing w:line="360" w:lineRule="exact"/>
                    <w:rPr>
                      <w:rFonts w:eastAsiaTheme="minorEastAsia"/>
                      <w:color w:val="auto"/>
                      <w:kern w:val="0"/>
                      <w:szCs w:val="21"/>
                    </w:rPr>
                  </w:pPr>
                  <w:r>
                    <w:rPr>
                      <w:rFonts w:eastAsiaTheme="minorEastAsia"/>
                      <w:color w:val="auto"/>
                      <w:kern w:val="0"/>
                      <w:szCs w:val="21"/>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由上表可知，该项目的建设符合《长江经济带发展负面清单指南（试行）》的要求。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（4）与《长江经济带生态环境保护规划》符合性分析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该项目属于废弃资源综合利用项目，该项目的建设与《长江经济带生态环境保护规划》的相关要求不相冲突。</w:t>
            </w:r>
          </w:p>
          <w:p>
            <w:pPr>
              <w:spacing w:line="360" w:lineRule="auto"/>
              <w:ind w:firstLine="361" w:firstLineChars="150"/>
              <w:rPr>
                <w:rFonts w:ascii="Times New Roman" w:hAnsi="Times New Roman" w:cs="Times New Roman"/>
                <w:b/>
                <w:sz w:val="24"/>
                <w:szCs w:val="24"/>
              </w:rPr>
            </w:pPr>
            <w:bookmarkStart w:id="0" w:name="_Toc433545018"/>
            <w:r>
              <w:rPr>
                <w:rFonts w:ascii="Times New Roman" w:hAnsi="Times New Roman" w:cs="Times New Roman"/>
                <w:b/>
                <w:sz w:val="24"/>
                <w:szCs w:val="24"/>
              </w:rPr>
              <w:t>（6）产业政策符合性分析</w:t>
            </w:r>
            <w:bookmarkEnd w:id="0"/>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属于废弃资源综合利用项目，对废铝混合料进行破碎分选后外卖；查阅中华人民共和国国家发展和改革委员会第21号令《产业结构调整指导目录（2019年本）》，项目不属于鼓励类、限制类和淘汰类项目。该项目于2021年12月1日取得昆明市东川区发展和改革局下发的《投资项目备案证》（项目代码为：2112-530113-89-01-798222）；因此项目建设符合国家的产业政策。</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二、建设项目工程分析</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建设内容</w:t>
            </w:r>
          </w:p>
        </w:tc>
        <w:tc>
          <w:tcPr>
            <w:tcW w:w="8834"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单位市场调查，市面上通过废品收购站收集的各种含废铝废料，如：废铝合金、废铝型材、废铝板、废铝易拉罐、废铝板下脚料、废铝铸件、废生铝、废铝管材、废铝线、废铝模、废铝边角料等。其数量较大，回收再利用价值较高，因此昆明弘晨新材料科技有限公司拟在云南省东川再就业特区天生桥特色产业园建设10万吨/年再生资源综合回收利用建设项目，该项目主要将收购的废铝混合料通过破碎分选，得到废铝料以及将混合料中各物质分开，从而实现其再利用价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拟规划建设两栋标准厂房，其中2#标准厂房内布设2条生产线对废铝混合料进行破碎分选，而1#标准厂房未来拟规划为铝金属的深加工，但受市场等多方面的影响，1#标准厂房还未进行具体的规划设计，本次仅建设厂房，不布设生产线，若将来建设单位对1#标准厂房生产线进行布设，建设单位应当重新根据相关法律法规及分类管理名录的相关要求办理环保手续。</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2.1 建设内容及规模</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（1）建设规模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该项目建成后，年收集处理10万t废铝混合料。</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（2）建设内容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地块占地面积为15204.98m²，总建筑面积为17891.1m²，建设两栋标准厂房，其中1#标准厂房的面积为9936.16m²，下一步进行规划使用；2#标准厂房的建筑面积为3966.84m²，二#标准厂房内置2条废铝混合料破碎分选生产线；并配套设置办公楼生活区等。同时配套设置供电、给排水、环保设施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项目主要工程内容如下表所示。</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表2.1-1 项目建设内容组成一览表</w:t>
            </w:r>
          </w:p>
          <w:tbl>
            <w:tblPr>
              <w:tblStyle w:val="18"/>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2"/>
              <w:gridCol w:w="182"/>
              <w:gridCol w:w="888"/>
              <w:gridCol w:w="501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pStyle w:val="29"/>
                    <w:spacing w:line="360" w:lineRule="exact"/>
                    <w:rPr>
                      <w:color w:val="auto"/>
                      <w:szCs w:val="21"/>
                    </w:rPr>
                  </w:pPr>
                  <w:r>
                    <w:rPr>
                      <w:color w:val="auto"/>
                      <w:szCs w:val="21"/>
                    </w:rPr>
                    <w:t>类别</w:t>
                  </w:r>
                </w:p>
              </w:tc>
              <w:tc>
                <w:tcPr>
                  <w:tcW w:w="1792" w:type="dxa"/>
                  <w:gridSpan w:val="3"/>
                  <w:vAlign w:val="center"/>
                </w:tcPr>
                <w:p>
                  <w:pPr>
                    <w:pStyle w:val="29"/>
                    <w:spacing w:line="360" w:lineRule="exact"/>
                    <w:rPr>
                      <w:color w:val="auto"/>
                      <w:szCs w:val="21"/>
                    </w:rPr>
                  </w:pPr>
                  <w:r>
                    <w:rPr>
                      <w:color w:val="auto"/>
                      <w:szCs w:val="21"/>
                    </w:rPr>
                    <w:t>工程内容</w:t>
                  </w:r>
                </w:p>
              </w:tc>
              <w:tc>
                <w:tcPr>
                  <w:tcW w:w="5018" w:type="dxa"/>
                  <w:vAlign w:val="center"/>
                </w:tcPr>
                <w:p>
                  <w:pPr>
                    <w:pStyle w:val="29"/>
                    <w:spacing w:line="360" w:lineRule="exact"/>
                    <w:rPr>
                      <w:color w:val="auto"/>
                      <w:szCs w:val="21"/>
                    </w:rPr>
                  </w:pPr>
                  <w:r>
                    <w:rPr>
                      <w:color w:val="auto"/>
                      <w:szCs w:val="21"/>
                    </w:rPr>
                    <w:t>建筑内容及规模</w:t>
                  </w:r>
                </w:p>
              </w:tc>
              <w:tc>
                <w:tcPr>
                  <w:tcW w:w="1064" w:type="dxa"/>
                  <w:vAlign w:val="center"/>
                </w:tcPr>
                <w:p>
                  <w:pPr>
                    <w:pStyle w:val="29"/>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29"/>
                    <w:spacing w:line="360" w:lineRule="exact"/>
                    <w:rPr>
                      <w:color w:val="auto"/>
                      <w:szCs w:val="21"/>
                    </w:rPr>
                  </w:pPr>
                  <w:r>
                    <w:rPr>
                      <w:color w:val="auto"/>
                      <w:szCs w:val="21"/>
                    </w:rPr>
                    <w:t>主体工程</w:t>
                  </w:r>
                </w:p>
              </w:tc>
              <w:tc>
                <w:tcPr>
                  <w:tcW w:w="1792" w:type="dxa"/>
                  <w:gridSpan w:val="3"/>
                  <w:vAlign w:val="center"/>
                </w:tcPr>
                <w:p>
                  <w:pPr>
                    <w:pStyle w:val="29"/>
                    <w:spacing w:line="360" w:lineRule="exact"/>
                    <w:rPr>
                      <w:color w:val="auto"/>
                      <w:szCs w:val="21"/>
                    </w:rPr>
                  </w:pPr>
                  <w:r>
                    <w:rPr>
                      <w:color w:val="auto"/>
                      <w:szCs w:val="21"/>
                    </w:rPr>
                    <w:t>1#标准厂房</w:t>
                  </w:r>
                </w:p>
              </w:tc>
              <w:tc>
                <w:tcPr>
                  <w:tcW w:w="5018" w:type="dxa"/>
                  <w:vAlign w:val="center"/>
                </w:tcPr>
                <w:p>
                  <w:pPr>
                    <w:pStyle w:val="29"/>
                    <w:spacing w:line="360" w:lineRule="exact"/>
                    <w:ind w:firstLine="210" w:firstLineChars="100"/>
                    <w:jc w:val="both"/>
                    <w:rPr>
                      <w:color w:val="auto"/>
                      <w:szCs w:val="24"/>
                    </w:rPr>
                  </w:pPr>
                  <w:r>
                    <w:rPr>
                      <w:color w:val="auto"/>
                      <w:szCs w:val="24"/>
                    </w:rPr>
                    <w:t>根据设计，该项目为了厂区的总体规划，将基础实施一次性建成，因此拟规划建设1栋建筑面积为9936.16m²的标准厂房（编号为1#），该厂房拟规划为铝金属的深加工，但受市场等多方面的影响，但目前未进行具体的规划设计，本次仅建设厂房，不布设生产线，因此该厂房建设施工纳入本次环评，而后续布设生产线，将重新进行环评手续办理。</w:t>
                  </w:r>
                </w:p>
              </w:tc>
              <w:tc>
                <w:tcPr>
                  <w:tcW w:w="1064" w:type="dxa"/>
                  <w:vAlign w:val="center"/>
                </w:tcPr>
                <w:p>
                  <w:pPr>
                    <w:pStyle w:val="29"/>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734" w:type="dxa"/>
                  <w:vMerge w:val="continue"/>
                  <w:vAlign w:val="center"/>
                </w:tcPr>
                <w:p>
                  <w:pPr>
                    <w:pStyle w:val="29"/>
                    <w:spacing w:line="360" w:lineRule="exact"/>
                    <w:rPr>
                      <w:color w:val="auto"/>
                      <w:szCs w:val="21"/>
                    </w:rPr>
                  </w:pPr>
                </w:p>
              </w:tc>
              <w:tc>
                <w:tcPr>
                  <w:tcW w:w="904" w:type="dxa"/>
                  <w:gridSpan w:val="2"/>
                  <w:vAlign w:val="center"/>
                </w:tcPr>
                <w:p>
                  <w:pPr>
                    <w:pStyle w:val="29"/>
                    <w:spacing w:line="360" w:lineRule="exact"/>
                    <w:rPr>
                      <w:color w:val="auto"/>
                      <w:szCs w:val="21"/>
                    </w:rPr>
                  </w:pPr>
                  <w:r>
                    <w:rPr>
                      <w:color w:val="auto"/>
                      <w:szCs w:val="21"/>
                    </w:rPr>
                    <w:t>2#标准厂房</w:t>
                  </w:r>
                </w:p>
              </w:tc>
              <w:tc>
                <w:tcPr>
                  <w:tcW w:w="888" w:type="dxa"/>
                  <w:vAlign w:val="center"/>
                </w:tcPr>
                <w:p>
                  <w:pPr>
                    <w:pStyle w:val="29"/>
                    <w:spacing w:line="360" w:lineRule="exact"/>
                    <w:rPr>
                      <w:color w:val="auto"/>
                      <w:szCs w:val="21"/>
                    </w:rPr>
                  </w:pPr>
                  <w:r>
                    <w:rPr>
                      <w:color w:val="auto"/>
                      <w:szCs w:val="21"/>
                    </w:rPr>
                    <w:t>生产线</w:t>
                  </w:r>
                </w:p>
              </w:tc>
              <w:tc>
                <w:tcPr>
                  <w:tcW w:w="5018" w:type="dxa"/>
                  <w:vAlign w:val="center"/>
                </w:tcPr>
                <w:p>
                  <w:pPr>
                    <w:pStyle w:val="29"/>
                    <w:spacing w:line="360" w:lineRule="exact"/>
                    <w:ind w:firstLine="210" w:firstLineChars="100"/>
                    <w:jc w:val="both"/>
                    <w:rPr>
                      <w:color w:val="auto"/>
                      <w:szCs w:val="24"/>
                    </w:rPr>
                  </w:pPr>
                  <w:r>
                    <w:rPr>
                      <w:color w:val="auto"/>
                      <w:szCs w:val="24"/>
                    </w:rPr>
                    <w:t>根据设计，拟规划建设1栋建筑面积为3966.84m²的标准厂房（编号为2#），2#标准厂房内的中部区域设置2条废铝混合料破碎分选生产线，每条生产线的建筑面积约为656.52m²，每条生产线均配套设置破碎机、磁选机、涡电流分选机、色选机及运输皮带等设备对废铝混合料进行破碎、分选后得到铝料产品。</w:t>
                  </w:r>
                </w:p>
              </w:tc>
              <w:tc>
                <w:tcPr>
                  <w:tcW w:w="1064" w:type="dxa"/>
                  <w:vAlign w:val="center"/>
                </w:tcPr>
                <w:p>
                  <w:pPr>
                    <w:pStyle w:val="29"/>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29"/>
                    <w:spacing w:line="360" w:lineRule="exact"/>
                    <w:rPr>
                      <w:color w:val="auto"/>
                      <w:szCs w:val="21"/>
                    </w:rPr>
                  </w:pPr>
                  <w:r>
                    <w:rPr>
                      <w:color w:val="auto"/>
                      <w:szCs w:val="21"/>
                    </w:rPr>
                    <w:t>储运工程</w:t>
                  </w:r>
                </w:p>
              </w:tc>
              <w:tc>
                <w:tcPr>
                  <w:tcW w:w="1792" w:type="dxa"/>
                  <w:gridSpan w:val="3"/>
                  <w:vAlign w:val="center"/>
                </w:tcPr>
                <w:p>
                  <w:pPr>
                    <w:pStyle w:val="29"/>
                    <w:spacing w:line="360" w:lineRule="exact"/>
                    <w:rPr>
                      <w:color w:val="auto"/>
                      <w:szCs w:val="21"/>
                    </w:rPr>
                  </w:pPr>
                  <w:r>
                    <w:rPr>
                      <w:color w:val="auto"/>
                      <w:szCs w:val="21"/>
                    </w:rPr>
                    <w:t>原料堆存区</w:t>
                  </w:r>
                </w:p>
              </w:tc>
              <w:tc>
                <w:tcPr>
                  <w:tcW w:w="5018" w:type="dxa"/>
                  <w:shd w:val="clear" w:color="auto" w:fill="auto"/>
                  <w:vAlign w:val="center"/>
                </w:tcPr>
                <w:p>
                  <w:pPr>
                    <w:pStyle w:val="29"/>
                    <w:spacing w:line="360" w:lineRule="exact"/>
                    <w:ind w:firstLine="210" w:firstLineChars="100"/>
                    <w:jc w:val="both"/>
                    <w:rPr>
                      <w:color w:val="auto"/>
                      <w:szCs w:val="24"/>
                    </w:rPr>
                  </w:pPr>
                  <w:r>
                    <w:rPr>
                      <w:color w:val="auto"/>
                      <w:szCs w:val="24"/>
                    </w:rPr>
                    <w:t>根据设计，项目2#标准厂房的四周拟规划设计为原料堆存区和产品暂存库，其中厂房内的西北侧及相邻区域设计为原料堆存区，原料堆存区的面积约为1256.35m²。属于全封闭原料堆存区。</w:t>
                  </w:r>
                </w:p>
              </w:tc>
              <w:tc>
                <w:tcPr>
                  <w:tcW w:w="1064" w:type="dxa"/>
                  <w:vAlign w:val="center"/>
                </w:tcPr>
                <w:p>
                  <w:pPr>
                    <w:pStyle w:val="29"/>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29"/>
                    <w:spacing w:line="360" w:lineRule="exact"/>
                    <w:rPr>
                      <w:color w:val="auto"/>
                      <w:szCs w:val="21"/>
                    </w:rPr>
                  </w:pPr>
                </w:p>
              </w:tc>
              <w:tc>
                <w:tcPr>
                  <w:tcW w:w="1792" w:type="dxa"/>
                  <w:gridSpan w:val="3"/>
                  <w:vAlign w:val="center"/>
                </w:tcPr>
                <w:p>
                  <w:pPr>
                    <w:pStyle w:val="29"/>
                    <w:spacing w:line="360" w:lineRule="exact"/>
                    <w:rPr>
                      <w:color w:val="auto"/>
                      <w:szCs w:val="21"/>
                    </w:rPr>
                  </w:pPr>
                  <w:r>
                    <w:rPr>
                      <w:color w:val="auto"/>
                      <w:szCs w:val="21"/>
                    </w:rPr>
                    <w:t>产品暂存库</w:t>
                  </w:r>
                </w:p>
              </w:tc>
              <w:tc>
                <w:tcPr>
                  <w:tcW w:w="5018" w:type="dxa"/>
                  <w:shd w:val="clear" w:color="auto" w:fill="auto"/>
                  <w:vAlign w:val="center"/>
                </w:tcPr>
                <w:p>
                  <w:pPr>
                    <w:pStyle w:val="29"/>
                    <w:spacing w:line="360" w:lineRule="exact"/>
                    <w:ind w:firstLine="210" w:firstLineChars="100"/>
                    <w:jc w:val="both"/>
                    <w:rPr>
                      <w:color w:val="auto"/>
                      <w:szCs w:val="24"/>
                    </w:rPr>
                  </w:pPr>
                  <w:r>
                    <w:rPr>
                      <w:color w:val="auto"/>
                      <w:szCs w:val="24"/>
                    </w:rPr>
                    <w:t>根据设计，项目2#厂房内的东南侧及相邻区域设计为产品暂存库，产品暂存库的面积约为1193.46m²，对分选后得到的主产品铝料，进行暂存后外卖。属于全封闭产品暂存库。</w:t>
                  </w:r>
                </w:p>
              </w:tc>
              <w:tc>
                <w:tcPr>
                  <w:tcW w:w="1064" w:type="dxa"/>
                  <w:vAlign w:val="center"/>
                </w:tcPr>
                <w:p>
                  <w:pPr>
                    <w:pStyle w:val="29"/>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29"/>
                    <w:spacing w:line="360" w:lineRule="exact"/>
                    <w:rPr>
                      <w:color w:val="auto"/>
                      <w:szCs w:val="21"/>
                    </w:rPr>
                  </w:pPr>
                  <w:r>
                    <w:rPr>
                      <w:color w:val="auto"/>
                      <w:szCs w:val="21"/>
                    </w:rPr>
                    <w:t>辅助工程</w:t>
                  </w:r>
                </w:p>
              </w:tc>
              <w:tc>
                <w:tcPr>
                  <w:tcW w:w="1792" w:type="dxa"/>
                  <w:gridSpan w:val="3"/>
                  <w:vAlign w:val="center"/>
                </w:tcPr>
                <w:p>
                  <w:pPr>
                    <w:pStyle w:val="29"/>
                    <w:spacing w:line="360" w:lineRule="exact"/>
                    <w:rPr>
                      <w:color w:val="auto"/>
                      <w:szCs w:val="21"/>
                    </w:rPr>
                  </w:pPr>
                  <w:r>
                    <w:rPr>
                      <w:color w:val="auto"/>
                      <w:szCs w:val="21"/>
                    </w:rPr>
                    <w:t>办公楼</w:t>
                  </w:r>
                </w:p>
              </w:tc>
              <w:tc>
                <w:tcPr>
                  <w:tcW w:w="5018" w:type="dxa"/>
                  <w:shd w:val="clear" w:color="auto" w:fill="auto"/>
                  <w:vAlign w:val="center"/>
                </w:tcPr>
                <w:p>
                  <w:pPr>
                    <w:pStyle w:val="29"/>
                    <w:spacing w:line="360" w:lineRule="exact"/>
                    <w:ind w:firstLine="210" w:firstLineChars="100"/>
                    <w:jc w:val="both"/>
                    <w:rPr>
                      <w:color w:val="auto"/>
                      <w:szCs w:val="24"/>
                    </w:rPr>
                  </w:pPr>
                  <w:r>
                    <w:rPr>
                      <w:color w:val="auto"/>
                      <w:szCs w:val="24"/>
                    </w:rPr>
                    <w:t>根据设计，项目拟设置1栋3456.76m²的办公楼，该办公楼共4层。</w:t>
                  </w:r>
                </w:p>
              </w:tc>
              <w:tc>
                <w:tcPr>
                  <w:tcW w:w="1064" w:type="dxa"/>
                  <w:vAlign w:val="center"/>
                </w:tcPr>
                <w:p>
                  <w:pPr>
                    <w:pStyle w:val="29"/>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29"/>
                    <w:spacing w:line="360" w:lineRule="exact"/>
                    <w:rPr>
                      <w:color w:val="auto"/>
                      <w:szCs w:val="21"/>
                    </w:rPr>
                  </w:pPr>
                </w:p>
              </w:tc>
              <w:tc>
                <w:tcPr>
                  <w:tcW w:w="1792" w:type="dxa"/>
                  <w:gridSpan w:val="3"/>
                  <w:vAlign w:val="center"/>
                </w:tcPr>
                <w:p>
                  <w:pPr>
                    <w:pStyle w:val="29"/>
                    <w:spacing w:line="360" w:lineRule="exact"/>
                    <w:rPr>
                      <w:color w:val="auto"/>
                      <w:szCs w:val="21"/>
                    </w:rPr>
                  </w:pPr>
                  <w:r>
                    <w:rPr>
                      <w:color w:val="auto"/>
                      <w:szCs w:val="21"/>
                    </w:rPr>
                    <w:t>生活区</w:t>
                  </w:r>
                </w:p>
              </w:tc>
              <w:tc>
                <w:tcPr>
                  <w:tcW w:w="5018" w:type="dxa"/>
                  <w:shd w:val="clear" w:color="auto" w:fill="auto"/>
                  <w:vAlign w:val="center"/>
                </w:tcPr>
                <w:p>
                  <w:pPr>
                    <w:pStyle w:val="29"/>
                    <w:spacing w:line="360" w:lineRule="exact"/>
                    <w:ind w:firstLine="210" w:firstLineChars="100"/>
                    <w:jc w:val="both"/>
                    <w:rPr>
                      <w:color w:val="auto"/>
                      <w:szCs w:val="24"/>
                    </w:rPr>
                  </w:pPr>
                  <w:r>
                    <w:rPr>
                      <w:color w:val="auto"/>
                      <w:szCs w:val="24"/>
                    </w:rPr>
                    <w:t>根据设计，项目拟设置1栋2136.98m²的生活区，该生活区共3层，配套设置宿舍和厨房等设施。</w:t>
                  </w:r>
                </w:p>
              </w:tc>
              <w:tc>
                <w:tcPr>
                  <w:tcW w:w="1064" w:type="dxa"/>
                  <w:vAlign w:val="center"/>
                </w:tcPr>
                <w:p>
                  <w:pPr>
                    <w:pStyle w:val="29"/>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29"/>
                    <w:spacing w:line="360" w:lineRule="exact"/>
                    <w:rPr>
                      <w:color w:val="auto"/>
                      <w:szCs w:val="21"/>
                    </w:rPr>
                  </w:pPr>
                </w:p>
              </w:tc>
              <w:tc>
                <w:tcPr>
                  <w:tcW w:w="1792" w:type="dxa"/>
                  <w:gridSpan w:val="3"/>
                  <w:vAlign w:val="center"/>
                </w:tcPr>
                <w:p>
                  <w:pPr>
                    <w:pStyle w:val="29"/>
                    <w:spacing w:line="360" w:lineRule="exact"/>
                    <w:rPr>
                      <w:color w:val="auto"/>
                      <w:szCs w:val="21"/>
                    </w:rPr>
                  </w:pPr>
                  <w:r>
                    <w:rPr>
                      <w:color w:val="auto"/>
                      <w:szCs w:val="21"/>
                    </w:rPr>
                    <w:t>值班室</w:t>
                  </w:r>
                </w:p>
              </w:tc>
              <w:tc>
                <w:tcPr>
                  <w:tcW w:w="5018" w:type="dxa"/>
                  <w:shd w:val="clear" w:color="auto" w:fill="auto"/>
                  <w:vAlign w:val="center"/>
                </w:tcPr>
                <w:p>
                  <w:pPr>
                    <w:pStyle w:val="29"/>
                    <w:spacing w:line="360" w:lineRule="exact"/>
                    <w:ind w:firstLine="210" w:firstLineChars="100"/>
                    <w:jc w:val="both"/>
                    <w:rPr>
                      <w:color w:val="auto"/>
                      <w:szCs w:val="24"/>
                    </w:rPr>
                  </w:pPr>
                  <w:r>
                    <w:rPr>
                      <w:color w:val="auto"/>
                      <w:szCs w:val="24"/>
                    </w:rPr>
                    <w:t>根据设计，项目拟设置1间20m²的值班室。</w:t>
                  </w:r>
                </w:p>
              </w:tc>
              <w:tc>
                <w:tcPr>
                  <w:tcW w:w="1064" w:type="dxa"/>
                  <w:vAlign w:val="center"/>
                </w:tcPr>
                <w:p>
                  <w:pPr>
                    <w:pStyle w:val="29"/>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29"/>
                    <w:spacing w:line="360" w:lineRule="exact"/>
                    <w:rPr>
                      <w:color w:val="auto"/>
                      <w:szCs w:val="21"/>
                    </w:rPr>
                  </w:pPr>
                </w:p>
              </w:tc>
              <w:tc>
                <w:tcPr>
                  <w:tcW w:w="1792" w:type="dxa"/>
                  <w:gridSpan w:val="3"/>
                  <w:vAlign w:val="center"/>
                </w:tcPr>
                <w:p>
                  <w:pPr>
                    <w:pStyle w:val="29"/>
                    <w:spacing w:line="360" w:lineRule="exact"/>
                    <w:rPr>
                      <w:color w:val="auto"/>
                      <w:szCs w:val="21"/>
                    </w:rPr>
                  </w:pPr>
                  <w:r>
                    <w:rPr>
                      <w:color w:val="auto"/>
                      <w:szCs w:val="21"/>
                    </w:rPr>
                    <w:t>磅秤</w:t>
                  </w:r>
                </w:p>
              </w:tc>
              <w:tc>
                <w:tcPr>
                  <w:tcW w:w="5018" w:type="dxa"/>
                  <w:shd w:val="clear" w:color="auto" w:fill="auto"/>
                  <w:vAlign w:val="center"/>
                </w:tcPr>
                <w:p>
                  <w:pPr>
                    <w:pStyle w:val="29"/>
                    <w:spacing w:line="360" w:lineRule="exact"/>
                    <w:ind w:firstLine="210" w:firstLineChars="100"/>
                    <w:jc w:val="both"/>
                    <w:rPr>
                      <w:color w:val="auto"/>
                      <w:szCs w:val="24"/>
                    </w:rPr>
                  </w:pPr>
                  <w:r>
                    <w:rPr>
                      <w:color w:val="auto"/>
                      <w:szCs w:val="24"/>
                    </w:rPr>
                    <w:t>根据设计，项目拟设置2台磅秤，对进出项目区的物料进行称重。</w:t>
                  </w:r>
                </w:p>
              </w:tc>
              <w:tc>
                <w:tcPr>
                  <w:tcW w:w="1064" w:type="dxa"/>
                  <w:vAlign w:val="center"/>
                </w:tcPr>
                <w:p>
                  <w:pPr>
                    <w:pStyle w:val="29"/>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29"/>
                    <w:spacing w:line="360" w:lineRule="exact"/>
                    <w:rPr>
                      <w:color w:val="auto"/>
                      <w:szCs w:val="21"/>
                    </w:rPr>
                  </w:pPr>
                  <w:r>
                    <w:rPr>
                      <w:color w:val="auto"/>
                      <w:szCs w:val="21"/>
                    </w:rPr>
                    <w:t>公用工程</w:t>
                  </w:r>
                </w:p>
              </w:tc>
              <w:tc>
                <w:tcPr>
                  <w:tcW w:w="1792" w:type="dxa"/>
                  <w:gridSpan w:val="3"/>
                  <w:vAlign w:val="center"/>
                </w:tcPr>
                <w:p>
                  <w:pPr>
                    <w:pStyle w:val="29"/>
                    <w:spacing w:line="360" w:lineRule="exact"/>
                    <w:rPr>
                      <w:color w:val="auto"/>
                      <w:szCs w:val="21"/>
                    </w:rPr>
                  </w:pPr>
                  <w:r>
                    <w:rPr>
                      <w:color w:val="auto"/>
                      <w:szCs w:val="21"/>
                    </w:rPr>
                    <w:t>供电</w:t>
                  </w:r>
                </w:p>
              </w:tc>
              <w:tc>
                <w:tcPr>
                  <w:tcW w:w="5018" w:type="dxa"/>
                  <w:vAlign w:val="center"/>
                </w:tcPr>
                <w:p>
                  <w:pPr>
                    <w:pStyle w:val="29"/>
                    <w:spacing w:line="360" w:lineRule="exact"/>
                    <w:ind w:firstLine="210" w:firstLineChars="100"/>
                    <w:jc w:val="both"/>
                    <w:rPr>
                      <w:color w:val="auto"/>
                      <w:szCs w:val="24"/>
                    </w:rPr>
                  </w:pPr>
                  <w:r>
                    <w:rPr>
                      <w:color w:val="auto"/>
                      <w:szCs w:val="24"/>
                    </w:rPr>
                    <w:t>项目各系统均采用电能，供电由电力公司供给。</w:t>
                  </w:r>
                </w:p>
              </w:tc>
              <w:tc>
                <w:tcPr>
                  <w:tcW w:w="1064" w:type="dxa"/>
                  <w:vAlign w:val="center"/>
                </w:tcPr>
                <w:p>
                  <w:pPr>
                    <w:pStyle w:val="29"/>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1792" w:type="dxa"/>
                  <w:gridSpan w:val="3"/>
                  <w:vAlign w:val="center"/>
                </w:tcPr>
                <w:p>
                  <w:pPr>
                    <w:pStyle w:val="29"/>
                    <w:spacing w:line="360" w:lineRule="exact"/>
                    <w:rPr>
                      <w:color w:val="auto"/>
                      <w:szCs w:val="21"/>
                    </w:rPr>
                  </w:pPr>
                  <w:r>
                    <w:rPr>
                      <w:color w:val="auto"/>
                      <w:szCs w:val="21"/>
                    </w:rPr>
                    <w:t>给水</w:t>
                  </w:r>
                </w:p>
              </w:tc>
              <w:tc>
                <w:tcPr>
                  <w:tcW w:w="5018" w:type="dxa"/>
                  <w:vAlign w:val="center"/>
                </w:tcPr>
                <w:p>
                  <w:pPr>
                    <w:pStyle w:val="29"/>
                    <w:spacing w:line="360" w:lineRule="exact"/>
                    <w:ind w:firstLine="210" w:firstLineChars="100"/>
                    <w:jc w:val="both"/>
                    <w:rPr>
                      <w:color w:val="auto"/>
                      <w:szCs w:val="24"/>
                    </w:rPr>
                  </w:pPr>
                  <w:r>
                    <w:rPr>
                      <w:color w:val="auto"/>
                      <w:szCs w:val="24"/>
                    </w:rPr>
                    <w:t>项目生活及生产用水均来源于云南省东川再就业特区天生桥特色产业园给水系统，可满足需要。</w:t>
                  </w:r>
                </w:p>
              </w:tc>
              <w:tc>
                <w:tcPr>
                  <w:tcW w:w="1064" w:type="dxa"/>
                  <w:vAlign w:val="center"/>
                </w:tcPr>
                <w:p>
                  <w:pPr>
                    <w:pStyle w:val="29"/>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1792" w:type="dxa"/>
                  <w:gridSpan w:val="3"/>
                  <w:vAlign w:val="center"/>
                </w:tcPr>
                <w:p>
                  <w:pPr>
                    <w:pStyle w:val="29"/>
                    <w:spacing w:line="360" w:lineRule="exact"/>
                    <w:rPr>
                      <w:color w:val="auto"/>
                      <w:szCs w:val="21"/>
                    </w:rPr>
                  </w:pPr>
                  <w:r>
                    <w:rPr>
                      <w:color w:val="auto"/>
                      <w:szCs w:val="21"/>
                    </w:rPr>
                    <w:t>排水</w:t>
                  </w:r>
                </w:p>
              </w:tc>
              <w:tc>
                <w:tcPr>
                  <w:tcW w:w="5018" w:type="dxa"/>
                  <w:vAlign w:val="center"/>
                </w:tcPr>
                <w:p>
                  <w:pPr>
                    <w:pStyle w:val="29"/>
                    <w:spacing w:line="360" w:lineRule="exact"/>
                    <w:ind w:firstLine="210" w:firstLineChars="100"/>
                    <w:jc w:val="both"/>
                    <w:rPr>
                      <w:color w:val="auto"/>
                      <w:szCs w:val="24"/>
                    </w:rPr>
                  </w:pPr>
                  <w:r>
                    <w:rPr>
                      <w:color w:val="auto"/>
                      <w:szCs w:val="24"/>
                    </w:rPr>
                    <w:t>排水采用雨污分流制。</w:t>
                  </w:r>
                </w:p>
                <w:p>
                  <w:pPr>
                    <w:pStyle w:val="29"/>
                    <w:spacing w:line="360" w:lineRule="exact"/>
                    <w:ind w:firstLine="210" w:firstLineChars="100"/>
                    <w:jc w:val="both"/>
                    <w:rPr>
                      <w:color w:val="auto"/>
                      <w:szCs w:val="24"/>
                    </w:rPr>
                  </w:pPr>
                  <w:r>
                    <w:rPr>
                      <w:rFonts w:ascii="宋体"/>
                      <w:color w:val="auto"/>
                      <w:szCs w:val="24"/>
                    </w:rPr>
                    <w:t>①</w:t>
                  </w:r>
                  <w:r>
                    <w:rPr>
                      <w:color w:val="auto"/>
                      <w:szCs w:val="24"/>
                    </w:rPr>
                    <w:t>生产废水：项目无生产废水产生。</w:t>
                  </w:r>
                </w:p>
                <w:p>
                  <w:pPr>
                    <w:pStyle w:val="29"/>
                    <w:spacing w:line="360" w:lineRule="exact"/>
                    <w:ind w:firstLine="210" w:firstLineChars="100"/>
                    <w:jc w:val="both"/>
                    <w:rPr>
                      <w:color w:val="auto"/>
                      <w:szCs w:val="21"/>
                    </w:rPr>
                  </w:pPr>
                  <w:r>
                    <w:rPr>
                      <w:color w:val="auto"/>
                      <w:szCs w:val="24"/>
                    </w:rPr>
                    <w:t>②生活污水：根据调查，目前规划的东川再就业特区天生桥特色产业园污水处理厂还未建成，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w:t>
                  </w:r>
                </w:p>
              </w:tc>
              <w:tc>
                <w:tcPr>
                  <w:tcW w:w="1064" w:type="dxa"/>
                  <w:vAlign w:val="center"/>
                </w:tcPr>
                <w:p>
                  <w:pPr>
                    <w:pStyle w:val="29"/>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1792" w:type="dxa"/>
                  <w:gridSpan w:val="3"/>
                  <w:vAlign w:val="center"/>
                </w:tcPr>
                <w:p>
                  <w:pPr>
                    <w:pStyle w:val="29"/>
                    <w:spacing w:line="360" w:lineRule="exact"/>
                    <w:rPr>
                      <w:color w:val="auto"/>
                      <w:szCs w:val="21"/>
                    </w:rPr>
                  </w:pPr>
                  <w:r>
                    <w:rPr>
                      <w:color w:val="auto"/>
                      <w:szCs w:val="21"/>
                    </w:rPr>
                    <w:t>消防水池</w:t>
                  </w:r>
                </w:p>
              </w:tc>
              <w:tc>
                <w:tcPr>
                  <w:tcW w:w="5018" w:type="dxa"/>
                  <w:vAlign w:val="center"/>
                </w:tcPr>
                <w:p>
                  <w:pPr>
                    <w:pStyle w:val="29"/>
                    <w:spacing w:line="360" w:lineRule="exact"/>
                    <w:ind w:firstLine="210" w:firstLineChars="100"/>
                    <w:jc w:val="both"/>
                    <w:rPr>
                      <w:color w:val="auto"/>
                      <w:szCs w:val="21"/>
                    </w:rPr>
                  </w:pPr>
                  <w:r>
                    <w:rPr>
                      <w:color w:val="auto"/>
                      <w:szCs w:val="21"/>
                    </w:rPr>
                    <w:t>建设单位拟在项目区南侧设置一个容积为</w:t>
                  </w:r>
                  <w:r>
                    <w:rPr>
                      <w:rFonts w:hint="eastAsia"/>
                      <w:color w:val="auto"/>
                      <w:szCs w:val="21"/>
                    </w:rPr>
                    <w:t>40</w:t>
                  </w:r>
                  <w:r>
                    <w:rPr>
                      <w:color w:val="auto"/>
                      <w:szCs w:val="21"/>
                    </w:rPr>
                    <w:t>0m³的消防水池，供项目区使用。</w:t>
                  </w:r>
                </w:p>
              </w:tc>
              <w:tc>
                <w:tcPr>
                  <w:tcW w:w="1064" w:type="dxa"/>
                  <w:vAlign w:val="center"/>
                </w:tcPr>
                <w:p>
                  <w:pPr>
                    <w:pStyle w:val="29"/>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29"/>
                    <w:spacing w:line="360" w:lineRule="exact"/>
                    <w:rPr>
                      <w:color w:val="auto"/>
                      <w:szCs w:val="21"/>
                    </w:rPr>
                  </w:pPr>
                  <w:r>
                    <w:rPr>
                      <w:color w:val="auto"/>
                      <w:szCs w:val="21"/>
                    </w:rPr>
                    <w:t>环保工程</w:t>
                  </w:r>
                </w:p>
              </w:tc>
              <w:tc>
                <w:tcPr>
                  <w:tcW w:w="722" w:type="dxa"/>
                  <w:vMerge w:val="restart"/>
                  <w:vAlign w:val="center"/>
                </w:tcPr>
                <w:p>
                  <w:pPr>
                    <w:pStyle w:val="29"/>
                    <w:spacing w:line="360" w:lineRule="exact"/>
                    <w:rPr>
                      <w:color w:val="auto"/>
                      <w:szCs w:val="21"/>
                    </w:rPr>
                  </w:pPr>
                  <w:r>
                    <w:rPr>
                      <w:color w:val="auto"/>
                      <w:szCs w:val="21"/>
                    </w:rPr>
                    <w:t>废气</w:t>
                  </w:r>
                </w:p>
              </w:tc>
              <w:tc>
                <w:tcPr>
                  <w:tcW w:w="1070" w:type="dxa"/>
                  <w:gridSpan w:val="2"/>
                  <w:vAlign w:val="center"/>
                </w:tcPr>
                <w:p>
                  <w:pPr>
                    <w:pStyle w:val="29"/>
                    <w:spacing w:line="360" w:lineRule="exact"/>
                    <w:rPr>
                      <w:color w:val="auto"/>
                      <w:szCs w:val="21"/>
                    </w:rPr>
                  </w:pPr>
                  <w:r>
                    <w:rPr>
                      <w:color w:val="auto"/>
                      <w:szCs w:val="21"/>
                    </w:rPr>
                    <w:t>粉尘处理设施</w:t>
                  </w:r>
                </w:p>
              </w:tc>
              <w:tc>
                <w:tcPr>
                  <w:tcW w:w="5018" w:type="dxa"/>
                  <w:vAlign w:val="center"/>
                </w:tcPr>
                <w:p>
                  <w:pPr>
                    <w:pStyle w:val="29"/>
                    <w:spacing w:line="360" w:lineRule="exact"/>
                    <w:ind w:firstLine="210" w:firstLineChars="100"/>
                    <w:jc w:val="both"/>
                    <w:rPr>
                      <w:color w:val="auto"/>
                      <w:szCs w:val="24"/>
                    </w:rPr>
                  </w:pPr>
                  <w:r>
                    <w:rPr>
                      <w:color w:val="auto"/>
                      <w:szCs w:val="24"/>
                    </w:rPr>
                    <w:t>根据设计，项目粉尘</w:t>
                  </w:r>
                  <w:r>
                    <w:rPr>
                      <w:rFonts w:hint="eastAsia"/>
                      <w:color w:val="auto"/>
                      <w:szCs w:val="24"/>
                    </w:rPr>
                    <w:t>主要</w:t>
                  </w:r>
                  <w:r>
                    <w:rPr>
                      <w:color w:val="auto"/>
                      <w:szCs w:val="24"/>
                    </w:rPr>
                    <w:t>产生于破碎工序，项目针对两条生产线破碎工序粉尘，分别对破碎工序产尘点设置集气罩将粉尘进行收集，集气效率不低于92%，并1台处置效率不低于95%的布袋除尘器处理，处理后通过1根高15m、Φ0.4m的排气筒（DA001）外排。具体如下：</w:t>
                  </w:r>
                </w:p>
                <w:p>
                  <w:pPr>
                    <w:pStyle w:val="29"/>
                    <w:spacing w:line="360" w:lineRule="exact"/>
                    <w:ind w:firstLine="210" w:firstLineChars="100"/>
                    <w:jc w:val="both"/>
                    <w:rPr>
                      <w:color w:val="auto"/>
                      <w:szCs w:val="24"/>
                    </w:rPr>
                  </w:pPr>
                  <w:r>
                    <w:rPr>
                      <w:color w:val="auto"/>
                      <w:szCs w:val="24"/>
                    </w:rPr>
                    <w:t>①集气罩：每条生产线各配套设置</w:t>
                  </w:r>
                  <w:r>
                    <w:rPr>
                      <w:rFonts w:hint="eastAsia"/>
                      <w:color w:val="auto"/>
                      <w:szCs w:val="24"/>
                    </w:rPr>
                    <w:t>1</w:t>
                  </w:r>
                  <w:r>
                    <w:rPr>
                      <w:color w:val="auto"/>
                      <w:szCs w:val="24"/>
                    </w:rPr>
                    <w:t>个，合计设置</w:t>
                  </w:r>
                  <w:r>
                    <w:rPr>
                      <w:rFonts w:hint="eastAsia"/>
                      <w:color w:val="auto"/>
                      <w:szCs w:val="24"/>
                    </w:rPr>
                    <w:t>2</w:t>
                  </w:r>
                  <w:r>
                    <w:rPr>
                      <w:color w:val="auto"/>
                      <w:szCs w:val="24"/>
                    </w:rPr>
                    <w:t>个</w:t>
                  </w:r>
                  <w:r>
                    <w:rPr>
                      <w:rFonts w:hint="eastAsia"/>
                      <w:color w:val="auto"/>
                      <w:szCs w:val="24"/>
                    </w:rPr>
                    <w:t>，风机</w:t>
                  </w:r>
                  <w:r>
                    <w:rPr>
                      <w:color w:val="auto"/>
                      <w:szCs w:val="24"/>
                    </w:rPr>
                    <w:t>风量为</w:t>
                  </w:r>
                  <w:r>
                    <w:rPr>
                      <w:rFonts w:hint="eastAsia"/>
                      <w:color w:val="auto"/>
                      <w:szCs w:val="24"/>
                    </w:rPr>
                    <w:t>3</w:t>
                  </w:r>
                  <w:r>
                    <w:rPr>
                      <w:color w:val="auto"/>
                      <w:szCs w:val="24"/>
                    </w:rPr>
                    <w:t>000m³/h</w:t>
                  </w:r>
                  <w:r>
                    <w:rPr>
                      <w:rFonts w:hint="eastAsia"/>
                      <w:color w:val="auto"/>
                      <w:szCs w:val="24"/>
                    </w:rPr>
                    <w:t>·个</w:t>
                  </w:r>
                  <w:r>
                    <w:rPr>
                      <w:color w:val="auto"/>
                      <w:szCs w:val="24"/>
                    </w:rPr>
                    <w:t>，合计风量为</w:t>
                  </w:r>
                  <w:r>
                    <w:rPr>
                      <w:rFonts w:hint="eastAsia"/>
                      <w:color w:val="auto"/>
                      <w:szCs w:val="24"/>
                    </w:rPr>
                    <w:t>6</w:t>
                  </w:r>
                  <w:r>
                    <w:rPr>
                      <w:color w:val="auto"/>
                      <w:szCs w:val="24"/>
                    </w:rPr>
                    <w:t>000m³/h。集气效率不低于92%。</w:t>
                  </w:r>
                </w:p>
                <w:p>
                  <w:pPr>
                    <w:pStyle w:val="29"/>
                    <w:spacing w:line="360" w:lineRule="exact"/>
                    <w:ind w:firstLine="210" w:firstLineChars="100"/>
                    <w:jc w:val="both"/>
                    <w:rPr>
                      <w:color w:val="auto"/>
                      <w:szCs w:val="24"/>
                    </w:rPr>
                  </w:pPr>
                  <w:r>
                    <w:rPr>
                      <w:color w:val="auto"/>
                      <w:szCs w:val="24"/>
                    </w:rPr>
                    <w:t>②布袋除尘器：共设置1台，其粉尘处理效率不低于95%。</w:t>
                  </w:r>
                </w:p>
                <w:p>
                  <w:pPr>
                    <w:pStyle w:val="29"/>
                    <w:spacing w:line="360" w:lineRule="exact"/>
                    <w:ind w:firstLine="210" w:firstLineChars="100"/>
                    <w:jc w:val="both"/>
                    <w:rPr>
                      <w:color w:val="auto"/>
                      <w:szCs w:val="24"/>
                    </w:rPr>
                  </w:pPr>
                  <w:r>
                    <w:rPr>
                      <w:color w:val="auto"/>
                      <w:szCs w:val="24"/>
                    </w:rPr>
                    <w:t>③排气筒：设置1根排气筒，其参数为高15m、Φ0.</w:t>
                  </w:r>
                  <w:r>
                    <w:rPr>
                      <w:rFonts w:hint="eastAsia"/>
                      <w:color w:val="auto"/>
                      <w:szCs w:val="24"/>
                    </w:rPr>
                    <w:t>4</w:t>
                  </w:r>
                  <w:r>
                    <w:rPr>
                      <w:color w:val="auto"/>
                      <w:szCs w:val="24"/>
                    </w:rPr>
                    <w:t>m，编号为DA001。</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color w:val="auto"/>
                      <w:szCs w:val="21"/>
                    </w:rPr>
                  </w:pPr>
                </w:p>
              </w:tc>
              <w:tc>
                <w:tcPr>
                  <w:tcW w:w="1070" w:type="dxa"/>
                  <w:gridSpan w:val="2"/>
                  <w:vAlign w:val="center"/>
                </w:tcPr>
                <w:p>
                  <w:pPr>
                    <w:pStyle w:val="29"/>
                    <w:spacing w:line="360" w:lineRule="exact"/>
                    <w:rPr>
                      <w:color w:val="auto"/>
                      <w:szCs w:val="21"/>
                    </w:rPr>
                  </w:pPr>
                  <w:r>
                    <w:rPr>
                      <w:color w:val="auto"/>
                      <w:szCs w:val="21"/>
                    </w:rPr>
                    <w:t>油烟净化器</w:t>
                  </w:r>
                </w:p>
              </w:tc>
              <w:tc>
                <w:tcPr>
                  <w:tcW w:w="5018" w:type="dxa"/>
                  <w:vAlign w:val="center"/>
                </w:tcPr>
                <w:p>
                  <w:pPr>
                    <w:pStyle w:val="29"/>
                    <w:spacing w:line="360" w:lineRule="exact"/>
                    <w:ind w:firstLine="210" w:firstLineChars="100"/>
                    <w:jc w:val="both"/>
                    <w:rPr>
                      <w:color w:val="auto"/>
                      <w:szCs w:val="24"/>
                    </w:rPr>
                  </w:pPr>
                  <w:r>
                    <w:rPr>
                      <w:color w:val="auto"/>
                      <w:szCs w:val="24"/>
                    </w:rPr>
                    <w:t>根据设计，项目针对员工食堂，拟配套设置1台处理效率不低于60%的油烟净化器，并通过高于房顶1.5m的烟道外排。</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34" w:type="dxa"/>
                  <w:vMerge w:val="continue"/>
                  <w:vAlign w:val="center"/>
                </w:tcPr>
                <w:p>
                  <w:pPr>
                    <w:pStyle w:val="29"/>
                    <w:spacing w:line="360" w:lineRule="exact"/>
                    <w:rPr>
                      <w:color w:val="auto"/>
                      <w:szCs w:val="21"/>
                    </w:rPr>
                  </w:pPr>
                </w:p>
              </w:tc>
              <w:tc>
                <w:tcPr>
                  <w:tcW w:w="1792" w:type="dxa"/>
                  <w:gridSpan w:val="3"/>
                  <w:vAlign w:val="center"/>
                </w:tcPr>
                <w:p>
                  <w:pPr>
                    <w:pStyle w:val="29"/>
                    <w:spacing w:line="360" w:lineRule="exact"/>
                    <w:rPr>
                      <w:color w:val="auto"/>
                      <w:szCs w:val="21"/>
                    </w:rPr>
                  </w:pPr>
                  <w:r>
                    <w:rPr>
                      <w:color w:val="auto"/>
                      <w:szCs w:val="21"/>
                    </w:rPr>
                    <w:t>雨污分流</w:t>
                  </w:r>
                </w:p>
              </w:tc>
              <w:tc>
                <w:tcPr>
                  <w:tcW w:w="5018" w:type="dxa"/>
                  <w:vAlign w:val="center"/>
                </w:tcPr>
                <w:p>
                  <w:pPr>
                    <w:pStyle w:val="29"/>
                    <w:spacing w:line="360" w:lineRule="exact"/>
                    <w:ind w:firstLine="210" w:firstLineChars="100"/>
                    <w:jc w:val="both"/>
                    <w:rPr>
                      <w:color w:val="auto"/>
                      <w:szCs w:val="24"/>
                    </w:rPr>
                  </w:pPr>
                  <w:r>
                    <w:rPr>
                      <w:color w:val="auto"/>
                      <w:szCs w:val="24"/>
                    </w:rPr>
                    <w:t>根据设计，项目区拟设置了雨污分流设施。</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restart"/>
                  <w:vAlign w:val="center"/>
                </w:tcPr>
                <w:p>
                  <w:pPr>
                    <w:pStyle w:val="29"/>
                    <w:spacing w:line="360" w:lineRule="exact"/>
                    <w:rPr>
                      <w:color w:val="auto"/>
                      <w:szCs w:val="21"/>
                    </w:rPr>
                  </w:pPr>
                  <w:r>
                    <w:rPr>
                      <w:color w:val="auto"/>
                      <w:szCs w:val="21"/>
                    </w:rPr>
                    <w:t>废水</w:t>
                  </w:r>
                </w:p>
              </w:tc>
              <w:tc>
                <w:tcPr>
                  <w:tcW w:w="1070" w:type="dxa"/>
                  <w:gridSpan w:val="2"/>
                  <w:vAlign w:val="center"/>
                </w:tcPr>
                <w:p>
                  <w:pPr>
                    <w:pStyle w:val="29"/>
                    <w:spacing w:line="360" w:lineRule="exact"/>
                    <w:rPr>
                      <w:rFonts w:eastAsiaTheme="minorEastAsia"/>
                      <w:color w:val="auto"/>
                      <w:szCs w:val="21"/>
                    </w:rPr>
                  </w:pPr>
                  <w:r>
                    <w:rPr>
                      <w:rFonts w:eastAsiaTheme="minorEastAsia"/>
                      <w:color w:val="auto"/>
                      <w:szCs w:val="21"/>
                    </w:rPr>
                    <w:t>初期雨水收集池</w:t>
                  </w:r>
                </w:p>
              </w:tc>
              <w:tc>
                <w:tcPr>
                  <w:tcW w:w="5018" w:type="dxa"/>
                  <w:vAlign w:val="center"/>
                </w:tcPr>
                <w:p>
                  <w:pPr>
                    <w:pStyle w:val="29"/>
                    <w:spacing w:line="360" w:lineRule="exact"/>
                    <w:ind w:firstLine="210" w:firstLineChars="100"/>
                    <w:jc w:val="both"/>
                    <w:rPr>
                      <w:color w:val="auto"/>
                      <w:szCs w:val="24"/>
                    </w:rPr>
                  </w:pPr>
                  <w:r>
                    <w:rPr>
                      <w:color w:val="auto"/>
                      <w:szCs w:val="24"/>
                    </w:rPr>
                    <w:t>根据设计，该项目拟配套设置了1个10m³的初期雨水收集池，对厂区的初期雨水进行收集沉淀处理后，回用用于项目区绿化，不外排。</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color w:val="auto"/>
                      <w:szCs w:val="21"/>
                    </w:rPr>
                  </w:pPr>
                </w:p>
              </w:tc>
              <w:tc>
                <w:tcPr>
                  <w:tcW w:w="1070" w:type="dxa"/>
                  <w:gridSpan w:val="2"/>
                  <w:vAlign w:val="center"/>
                </w:tcPr>
                <w:p>
                  <w:pPr>
                    <w:pStyle w:val="29"/>
                    <w:spacing w:line="360" w:lineRule="exact"/>
                    <w:rPr>
                      <w:rFonts w:eastAsiaTheme="minorEastAsia"/>
                      <w:color w:val="auto"/>
                      <w:szCs w:val="21"/>
                    </w:rPr>
                  </w:pPr>
                  <w:r>
                    <w:rPr>
                      <w:rFonts w:eastAsiaTheme="minorEastAsia"/>
                      <w:color w:val="auto"/>
                      <w:szCs w:val="21"/>
                    </w:rPr>
                    <w:t>隔油池</w:t>
                  </w:r>
                </w:p>
              </w:tc>
              <w:tc>
                <w:tcPr>
                  <w:tcW w:w="5018" w:type="dxa"/>
                  <w:vAlign w:val="center"/>
                </w:tcPr>
                <w:p>
                  <w:pPr>
                    <w:pStyle w:val="29"/>
                    <w:spacing w:line="360" w:lineRule="exact"/>
                    <w:ind w:firstLine="210" w:firstLineChars="100"/>
                    <w:jc w:val="both"/>
                    <w:rPr>
                      <w:color w:val="auto"/>
                      <w:szCs w:val="24"/>
                    </w:rPr>
                  </w:pPr>
                  <w:r>
                    <w:rPr>
                      <w:color w:val="auto"/>
                      <w:szCs w:val="24"/>
                    </w:rPr>
                    <w:t>根据设计，针对项目厨房废水，项目拟配套设置1个1m³的隔油池对厨房废水进行预处理。</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color w:val="auto"/>
                      <w:szCs w:val="21"/>
                    </w:rPr>
                  </w:pPr>
                </w:p>
              </w:tc>
              <w:tc>
                <w:tcPr>
                  <w:tcW w:w="1070" w:type="dxa"/>
                  <w:gridSpan w:val="2"/>
                  <w:vAlign w:val="center"/>
                </w:tcPr>
                <w:p>
                  <w:pPr>
                    <w:pStyle w:val="29"/>
                    <w:spacing w:line="360" w:lineRule="exact"/>
                    <w:rPr>
                      <w:rFonts w:eastAsiaTheme="minorEastAsia"/>
                      <w:color w:val="auto"/>
                      <w:szCs w:val="21"/>
                    </w:rPr>
                  </w:pPr>
                  <w:r>
                    <w:rPr>
                      <w:rFonts w:eastAsiaTheme="minorEastAsia"/>
                      <w:color w:val="auto"/>
                      <w:szCs w:val="21"/>
                    </w:rPr>
                    <w:t>化粪池</w:t>
                  </w:r>
                </w:p>
              </w:tc>
              <w:tc>
                <w:tcPr>
                  <w:tcW w:w="5018" w:type="dxa"/>
                  <w:vAlign w:val="center"/>
                </w:tcPr>
                <w:p>
                  <w:pPr>
                    <w:pStyle w:val="29"/>
                    <w:spacing w:line="360" w:lineRule="exact"/>
                    <w:ind w:firstLine="210" w:firstLineChars="100"/>
                    <w:jc w:val="both"/>
                    <w:rPr>
                      <w:color w:val="auto"/>
                      <w:szCs w:val="24"/>
                    </w:rPr>
                  </w:pPr>
                  <w:r>
                    <w:rPr>
                      <w:color w:val="auto"/>
                      <w:szCs w:val="24"/>
                    </w:rPr>
                    <w:t>根据设计，项目针对生活污水，项目拟分别在办公楼和生活区各设置1个有效容积不低于4m³的化粪池对生活污水进行预处理。其中生活区化粪池编号1#化粪池，办公楼化粪池编号2#化粪池。</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color w:val="auto"/>
                      <w:szCs w:val="21"/>
                    </w:rPr>
                  </w:pPr>
                </w:p>
              </w:tc>
              <w:tc>
                <w:tcPr>
                  <w:tcW w:w="1070" w:type="dxa"/>
                  <w:gridSpan w:val="2"/>
                  <w:vAlign w:val="center"/>
                </w:tcPr>
                <w:p>
                  <w:pPr>
                    <w:pStyle w:val="29"/>
                    <w:spacing w:line="360" w:lineRule="exact"/>
                    <w:rPr>
                      <w:rFonts w:eastAsiaTheme="minorEastAsia"/>
                      <w:color w:val="auto"/>
                      <w:szCs w:val="21"/>
                    </w:rPr>
                  </w:pPr>
                  <w:r>
                    <w:rPr>
                      <w:rFonts w:eastAsiaTheme="minorEastAsia"/>
                      <w:color w:val="auto"/>
                      <w:szCs w:val="21"/>
                    </w:rPr>
                    <w:t>一体化污水处理设施</w:t>
                  </w:r>
                </w:p>
              </w:tc>
              <w:tc>
                <w:tcPr>
                  <w:tcW w:w="5018" w:type="dxa"/>
                  <w:vAlign w:val="center"/>
                </w:tcPr>
                <w:p>
                  <w:pPr>
                    <w:pStyle w:val="29"/>
                    <w:spacing w:line="360" w:lineRule="exact"/>
                    <w:ind w:firstLine="210" w:firstLineChars="100"/>
                    <w:jc w:val="both"/>
                    <w:rPr>
                      <w:color w:val="auto"/>
                      <w:szCs w:val="24"/>
                    </w:rPr>
                  </w:pPr>
                  <w:r>
                    <w:rPr>
                      <w:color w:val="auto"/>
                      <w:szCs w:val="24"/>
                    </w:rPr>
                    <w:t>根据设计，项目拟设置1套处理能力不低于10m³/d的一体化污水处理设施对项目区产生的生活污水进行处理，处理达到《城市污水再生利用 城市杂用水水质》（GB/T18920-2020）中城市绿化标准后，回用于项目区绿化，不外排。</w:t>
                  </w:r>
                </w:p>
              </w:tc>
              <w:tc>
                <w:tcPr>
                  <w:tcW w:w="1064" w:type="dxa"/>
                  <w:vAlign w:val="center"/>
                </w:tcPr>
                <w:p>
                  <w:pPr>
                    <w:pStyle w:val="29"/>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color w:val="auto"/>
                      <w:szCs w:val="21"/>
                    </w:rPr>
                  </w:pPr>
                </w:p>
              </w:tc>
              <w:tc>
                <w:tcPr>
                  <w:tcW w:w="1070" w:type="dxa"/>
                  <w:gridSpan w:val="2"/>
                  <w:vAlign w:val="center"/>
                </w:tcPr>
                <w:p>
                  <w:pPr>
                    <w:pStyle w:val="29"/>
                    <w:spacing w:line="360" w:lineRule="exact"/>
                    <w:rPr>
                      <w:rFonts w:eastAsiaTheme="minorEastAsia"/>
                      <w:color w:val="auto"/>
                      <w:szCs w:val="21"/>
                    </w:rPr>
                  </w:pPr>
                  <w:r>
                    <w:rPr>
                      <w:rFonts w:eastAsiaTheme="minorEastAsia"/>
                      <w:color w:val="auto"/>
                      <w:szCs w:val="21"/>
                    </w:rPr>
                    <w:t>再生水收集池</w:t>
                  </w:r>
                </w:p>
              </w:tc>
              <w:tc>
                <w:tcPr>
                  <w:tcW w:w="5018" w:type="dxa"/>
                  <w:vAlign w:val="center"/>
                </w:tcPr>
                <w:p>
                  <w:pPr>
                    <w:pStyle w:val="29"/>
                    <w:spacing w:line="360" w:lineRule="exact"/>
                    <w:ind w:firstLine="210" w:firstLineChars="100"/>
                    <w:jc w:val="both"/>
                    <w:rPr>
                      <w:color w:val="auto"/>
                      <w:szCs w:val="24"/>
                    </w:rPr>
                  </w:pPr>
                  <w:r>
                    <w:rPr>
                      <w:color w:val="auto"/>
                      <w:szCs w:val="24"/>
                    </w:rPr>
                    <w:t>根据设计，项目处理后的再生水在雨天无法回用，因此项目拟设置1个10m³的再生水收集池对雨天处理后的再生水进行暂存，用于非雨天绿化。</w:t>
                  </w:r>
                </w:p>
              </w:tc>
              <w:tc>
                <w:tcPr>
                  <w:tcW w:w="1064" w:type="dxa"/>
                  <w:vAlign w:val="center"/>
                </w:tcPr>
                <w:p>
                  <w:pPr>
                    <w:pStyle w:val="29"/>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restart"/>
                  <w:vAlign w:val="center"/>
                </w:tcPr>
                <w:p>
                  <w:pPr>
                    <w:pStyle w:val="29"/>
                    <w:spacing w:line="360" w:lineRule="exact"/>
                    <w:rPr>
                      <w:rFonts w:eastAsiaTheme="minorEastAsia"/>
                      <w:color w:val="auto"/>
                      <w:szCs w:val="21"/>
                    </w:rPr>
                  </w:pPr>
                  <w:r>
                    <w:rPr>
                      <w:rFonts w:eastAsiaTheme="minorEastAsia"/>
                      <w:color w:val="auto"/>
                      <w:szCs w:val="21"/>
                    </w:rPr>
                    <w:t>地下水防渗</w:t>
                  </w:r>
                </w:p>
              </w:tc>
              <w:tc>
                <w:tcPr>
                  <w:tcW w:w="1070" w:type="dxa"/>
                  <w:gridSpan w:val="2"/>
                  <w:vAlign w:val="center"/>
                </w:tcPr>
                <w:p>
                  <w:pPr>
                    <w:pStyle w:val="29"/>
                    <w:spacing w:line="360" w:lineRule="exact"/>
                    <w:rPr>
                      <w:rFonts w:eastAsiaTheme="minorEastAsia"/>
                      <w:color w:val="auto"/>
                      <w:szCs w:val="21"/>
                    </w:rPr>
                  </w:pPr>
                  <w:r>
                    <w:rPr>
                      <w:rFonts w:eastAsiaTheme="minorEastAsia"/>
                      <w:color w:val="auto"/>
                      <w:szCs w:val="21"/>
                    </w:rPr>
                    <w:t>重点防渗区</w:t>
                  </w:r>
                </w:p>
              </w:tc>
              <w:tc>
                <w:tcPr>
                  <w:tcW w:w="5018" w:type="dxa"/>
                  <w:vAlign w:val="center"/>
                </w:tcPr>
                <w:p>
                  <w:pPr>
                    <w:pStyle w:val="29"/>
                    <w:spacing w:line="360" w:lineRule="exact"/>
                    <w:ind w:firstLine="210" w:firstLineChars="100"/>
                    <w:jc w:val="both"/>
                    <w:rPr>
                      <w:color w:val="auto"/>
                      <w:szCs w:val="21"/>
                    </w:rPr>
                  </w:pPr>
                  <w:r>
                    <w:rPr>
                      <w:color w:val="auto"/>
                      <w:szCs w:val="21"/>
                    </w:rPr>
                    <w:t>项目重点防渗区为危险废物贮存间：危险废物贮存间地面和裙墙应采用不低于2mm厚的HDPE膜或其他人工防渗材料进行防渗，使其渗透系数≤10</w:t>
                  </w:r>
                  <w:r>
                    <w:rPr>
                      <w:color w:val="auto"/>
                      <w:szCs w:val="21"/>
                      <w:vertAlign w:val="superscript"/>
                    </w:rPr>
                    <w:t>-10</w:t>
                  </w:r>
                  <w:r>
                    <w:rPr>
                      <w:color w:val="auto"/>
                      <w:szCs w:val="21"/>
                    </w:rPr>
                    <w:t>cm/s；</w:t>
                  </w:r>
                </w:p>
              </w:tc>
              <w:tc>
                <w:tcPr>
                  <w:tcW w:w="1064" w:type="dxa"/>
                  <w:vAlign w:val="center"/>
                </w:tcPr>
                <w:p>
                  <w:pPr>
                    <w:pStyle w:val="29"/>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rFonts w:eastAsiaTheme="minorEastAsia"/>
                      <w:color w:val="auto"/>
                      <w:szCs w:val="21"/>
                    </w:rPr>
                  </w:pPr>
                </w:p>
              </w:tc>
              <w:tc>
                <w:tcPr>
                  <w:tcW w:w="1070" w:type="dxa"/>
                  <w:gridSpan w:val="2"/>
                  <w:vAlign w:val="center"/>
                </w:tcPr>
                <w:p>
                  <w:pPr>
                    <w:pStyle w:val="29"/>
                    <w:spacing w:line="360" w:lineRule="exact"/>
                    <w:rPr>
                      <w:rFonts w:eastAsiaTheme="minorEastAsia"/>
                      <w:color w:val="auto"/>
                      <w:szCs w:val="21"/>
                    </w:rPr>
                  </w:pPr>
                  <w:r>
                    <w:rPr>
                      <w:rFonts w:eastAsiaTheme="minorEastAsia"/>
                      <w:color w:val="auto"/>
                      <w:szCs w:val="21"/>
                    </w:rPr>
                    <w:t>一般防渗区</w:t>
                  </w:r>
                </w:p>
              </w:tc>
              <w:tc>
                <w:tcPr>
                  <w:tcW w:w="5018" w:type="dxa"/>
                  <w:vAlign w:val="center"/>
                </w:tcPr>
                <w:p>
                  <w:pPr>
                    <w:pStyle w:val="29"/>
                    <w:spacing w:line="360" w:lineRule="exact"/>
                    <w:ind w:firstLine="210" w:firstLineChars="100"/>
                    <w:jc w:val="both"/>
                    <w:rPr>
                      <w:color w:val="auto"/>
                      <w:szCs w:val="21"/>
                    </w:rPr>
                  </w:pPr>
                  <w:r>
                    <w:rPr>
                      <w:color w:val="auto"/>
                      <w:szCs w:val="21"/>
                    </w:rPr>
                    <w:t>根据分区防渗规范要求，项目生产车间、各水处理设施区域划定为一般防渗区，一般防渗区措施在地面应采取粘土铺底，并在上层铺30cm的混凝土进行硬化。确保防渗性能，使其渗透系数≤1.0×10</w:t>
                  </w:r>
                  <w:r>
                    <w:rPr>
                      <w:color w:val="auto"/>
                      <w:szCs w:val="21"/>
                      <w:vertAlign w:val="superscript"/>
                    </w:rPr>
                    <w:t>-7</w:t>
                  </w:r>
                  <w:r>
                    <w:rPr>
                      <w:color w:val="auto"/>
                      <w:szCs w:val="21"/>
                    </w:rPr>
                    <w:t>cm/s。</w:t>
                  </w:r>
                </w:p>
              </w:tc>
              <w:tc>
                <w:tcPr>
                  <w:tcW w:w="1064" w:type="dxa"/>
                  <w:vAlign w:val="center"/>
                </w:tcPr>
                <w:p>
                  <w:pPr>
                    <w:pStyle w:val="29"/>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Align w:val="center"/>
                </w:tcPr>
                <w:p>
                  <w:pPr>
                    <w:pStyle w:val="29"/>
                    <w:spacing w:line="360" w:lineRule="exact"/>
                    <w:rPr>
                      <w:color w:val="auto"/>
                      <w:szCs w:val="21"/>
                    </w:rPr>
                  </w:pPr>
                  <w:r>
                    <w:rPr>
                      <w:color w:val="auto"/>
                      <w:szCs w:val="21"/>
                    </w:rPr>
                    <w:t>噪声</w:t>
                  </w:r>
                </w:p>
              </w:tc>
              <w:tc>
                <w:tcPr>
                  <w:tcW w:w="1070" w:type="dxa"/>
                  <w:gridSpan w:val="2"/>
                  <w:vAlign w:val="center"/>
                </w:tcPr>
                <w:p>
                  <w:pPr>
                    <w:pStyle w:val="29"/>
                    <w:spacing w:line="360" w:lineRule="exact"/>
                    <w:rPr>
                      <w:color w:val="auto"/>
                      <w:szCs w:val="21"/>
                    </w:rPr>
                  </w:pPr>
                  <w:r>
                    <w:rPr>
                      <w:color w:val="auto"/>
                      <w:szCs w:val="21"/>
                    </w:rPr>
                    <w:t>设备噪声</w:t>
                  </w:r>
                </w:p>
              </w:tc>
              <w:tc>
                <w:tcPr>
                  <w:tcW w:w="5018" w:type="dxa"/>
                  <w:vAlign w:val="center"/>
                </w:tcPr>
                <w:p>
                  <w:pPr>
                    <w:pStyle w:val="29"/>
                    <w:spacing w:line="360" w:lineRule="exact"/>
                    <w:ind w:firstLine="210" w:firstLineChars="100"/>
                    <w:jc w:val="both"/>
                    <w:rPr>
                      <w:color w:val="auto"/>
                      <w:szCs w:val="21"/>
                    </w:rPr>
                  </w:pPr>
                  <w:r>
                    <w:rPr>
                      <w:color w:val="auto"/>
                      <w:szCs w:val="21"/>
                    </w:rPr>
                    <w:t>根据设计，项目噪声来源于各生产设备，其中破碎设备噪声较大，因此拟对其设置隔音房进行降噪，其他设施设备基础加装减震垫、消声器等。</w:t>
                  </w:r>
                </w:p>
                <w:p>
                  <w:pPr>
                    <w:pStyle w:val="29"/>
                    <w:spacing w:line="360" w:lineRule="exact"/>
                    <w:ind w:firstLine="210" w:firstLineChars="100"/>
                    <w:jc w:val="both"/>
                    <w:rPr>
                      <w:color w:val="auto"/>
                      <w:szCs w:val="21"/>
                    </w:rPr>
                  </w:pPr>
                  <w:r>
                    <w:rPr>
                      <w:color w:val="auto"/>
                      <w:szCs w:val="21"/>
                    </w:rPr>
                    <w:t>合计设置两套隔音房。</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restart"/>
                  <w:vAlign w:val="center"/>
                </w:tcPr>
                <w:p>
                  <w:pPr>
                    <w:pStyle w:val="29"/>
                    <w:spacing w:line="360" w:lineRule="exact"/>
                    <w:rPr>
                      <w:color w:val="auto"/>
                      <w:szCs w:val="21"/>
                    </w:rPr>
                  </w:pPr>
                  <w:r>
                    <w:rPr>
                      <w:color w:val="auto"/>
                      <w:szCs w:val="21"/>
                    </w:rPr>
                    <w:t>固废</w:t>
                  </w:r>
                </w:p>
              </w:tc>
              <w:tc>
                <w:tcPr>
                  <w:tcW w:w="1070" w:type="dxa"/>
                  <w:gridSpan w:val="2"/>
                  <w:vAlign w:val="center"/>
                </w:tcPr>
                <w:p>
                  <w:pPr>
                    <w:pStyle w:val="29"/>
                    <w:spacing w:line="360" w:lineRule="exact"/>
                    <w:rPr>
                      <w:color w:val="auto"/>
                      <w:szCs w:val="21"/>
                    </w:rPr>
                  </w:pPr>
                  <w:r>
                    <w:rPr>
                      <w:color w:val="auto"/>
                      <w:szCs w:val="21"/>
                    </w:rPr>
                    <w:t>危险废物贮存间</w:t>
                  </w:r>
                </w:p>
              </w:tc>
              <w:tc>
                <w:tcPr>
                  <w:tcW w:w="5018" w:type="dxa"/>
                  <w:vAlign w:val="center"/>
                </w:tcPr>
                <w:p>
                  <w:pPr>
                    <w:pStyle w:val="29"/>
                    <w:spacing w:line="360" w:lineRule="exact"/>
                    <w:ind w:firstLine="210" w:firstLineChars="100"/>
                    <w:jc w:val="both"/>
                    <w:rPr>
                      <w:color w:val="auto"/>
                      <w:szCs w:val="21"/>
                    </w:rPr>
                  </w:pPr>
                  <w:r>
                    <w:rPr>
                      <w:color w:val="auto"/>
                      <w:szCs w:val="21"/>
                    </w:rPr>
                    <w:t>项目拟设置一个5m²的危险废物贮存间对设备维护过程产生的废机油等危险废物进行暂存，并委托有资质的单位处理。</w:t>
                  </w:r>
                </w:p>
              </w:tc>
              <w:tc>
                <w:tcPr>
                  <w:tcW w:w="1064" w:type="dxa"/>
                  <w:vAlign w:val="center"/>
                </w:tcPr>
                <w:p>
                  <w:pPr>
                    <w:pStyle w:val="29"/>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color w:val="auto"/>
                      <w:szCs w:val="21"/>
                    </w:rPr>
                  </w:pPr>
                </w:p>
              </w:tc>
              <w:tc>
                <w:tcPr>
                  <w:tcW w:w="1070" w:type="dxa"/>
                  <w:gridSpan w:val="2"/>
                  <w:vAlign w:val="center"/>
                </w:tcPr>
                <w:p>
                  <w:pPr>
                    <w:pStyle w:val="29"/>
                    <w:spacing w:line="360" w:lineRule="exact"/>
                    <w:rPr>
                      <w:color w:val="auto"/>
                      <w:szCs w:val="21"/>
                    </w:rPr>
                  </w:pPr>
                  <w:r>
                    <w:rPr>
                      <w:color w:val="auto"/>
                      <w:szCs w:val="21"/>
                    </w:rPr>
                    <w:t>废料暂存库</w:t>
                  </w:r>
                </w:p>
              </w:tc>
              <w:tc>
                <w:tcPr>
                  <w:tcW w:w="5018" w:type="dxa"/>
                  <w:vAlign w:val="center"/>
                </w:tcPr>
                <w:p>
                  <w:pPr>
                    <w:pStyle w:val="29"/>
                    <w:spacing w:line="360" w:lineRule="exact"/>
                    <w:ind w:firstLine="210" w:firstLineChars="100"/>
                    <w:jc w:val="both"/>
                    <w:rPr>
                      <w:color w:val="auto"/>
                      <w:szCs w:val="24"/>
                    </w:rPr>
                  </w:pPr>
                  <w:r>
                    <w:rPr>
                      <w:color w:val="auto"/>
                      <w:szCs w:val="24"/>
                    </w:rPr>
                    <w:t>根据设计，项目2#厂房内的东北侧区域设计为废料暂存库，废料暂存库的面积约为203.99m²，对分选产生的废铁料、废塑料和废有色金属杂料（铜、锌等）等物料进行分类暂存后外卖。</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color w:val="auto"/>
                      <w:szCs w:val="21"/>
                    </w:rPr>
                  </w:pPr>
                </w:p>
              </w:tc>
              <w:tc>
                <w:tcPr>
                  <w:tcW w:w="1070" w:type="dxa"/>
                  <w:gridSpan w:val="2"/>
                  <w:vAlign w:val="center"/>
                </w:tcPr>
                <w:p>
                  <w:pPr>
                    <w:pStyle w:val="29"/>
                    <w:spacing w:line="360" w:lineRule="exact"/>
                    <w:rPr>
                      <w:color w:val="auto"/>
                      <w:szCs w:val="21"/>
                    </w:rPr>
                  </w:pPr>
                  <w:r>
                    <w:rPr>
                      <w:color w:val="auto"/>
                      <w:szCs w:val="21"/>
                    </w:rPr>
                    <w:t>生活垃圾桶</w:t>
                  </w:r>
                </w:p>
              </w:tc>
              <w:tc>
                <w:tcPr>
                  <w:tcW w:w="5018" w:type="dxa"/>
                  <w:vAlign w:val="center"/>
                </w:tcPr>
                <w:p>
                  <w:pPr>
                    <w:pStyle w:val="29"/>
                    <w:spacing w:line="360" w:lineRule="exact"/>
                    <w:ind w:firstLine="210" w:firstLineChars="100"/>
                    <w:jc w:val="both"/>
                    <w:rPr>
                      <w:color w:val="auto"/>
                      <w:szCs w:val="21"/>
                    </w:rPr>
                  </w:pPr>
                  <w:r>
                    <w:rPr>
                      <w:color w:val="auto"/>
                      <w:szCs w:val="21"/>
                    </w:rPr>
                    <w:t>项目拟设置生活垃圾桶，对生活垃圾收集后委托环卫部门进行处理。</w:t>
                  </w:r>
                </w:p>
              </w:tc>
              <w:tc>
                <w:tcPr>
                  <w:tcW w:w="1064" w:type="dxa"/>
                  <w:vAlign w:val="center"/>
                </w:tcPr>
                <w:p>
                  <w:pPr>
                    <w:pStyle w:val="29"/>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Align w:val="center"/>
                </w:tcPr>
                <w:p>
                  <w:pPr>
                    <w:pStyle w:val="29"/>
                    <w:spacing w:line="360" w:lineRule="exact"/>
                    <w:rPr>
                      <w:color w:val="auto"/>
                      <w:szCs w:val="21"/>
                    </w:rPr>
                  </w:pPr>
                  <w:r>
                    <w:rPr>
                      <w:color w:val="auto"/>
                      <w:szCs w:val="21"/>
                    </w:rPr>
                    <w:t>环境风险</w:t>
                  </w:r>
                </w:p>
              </w:tc>
              <w:tc>
                <w:tcPr>
                  <w:tcW w:w="1070" w:type="dxa"/>
                  <w:gridSpan w:val="2"/>
                  <w:vAlign w:val="center"/>
                </w:tcPr>
                <w:p>
                  <w:pPr>
                    <w:pStyle w:val="29"/>
                    <w:spacing w:line="360" w:lineRule="exact"/>
                    <w:rPr>
                      <w:color w:val="auto"/>
                      <w:szCs w:val="21"/>
                    </w:rPr>
                  </w:pPr>
                  <w:r>
                    <w:rPr>
                      <w:color w:val="auto"/>
                      <w:szCs w:val="21"/>
                    </w:rPr>
                    <w:t>应急池</w:t>
                  </w:r>
                </w:p>
              </w:tc>
              <w:tc>
                <w:tcPr>
                  <w:tcW w:w="5018" w:type="dxa"/>
                  <w:vAlign w:val="center"/>
                </w:tcPr>
                <w:p>
                  <w:pPr>
                    <w:pStyle w:val="29"/>
                    <w:spacing w:line="360" w:lineRule="exact"/>
                    <w:ind w:firstLine="210" w:firstLineChars="100"/>
                    <w:jc w:val="both"/>
                    <w:rPr>
                      <w:color w:val="auto"/>
                      <w:szCs w:val="21"/>
                    </w:rPr>
                  </w:pPr>
                  <w:r>
                    <w:rPr>
                      <w:color w:val="auto"/>
                      <w:szCs w:val="21"/>
                    </w:rPr>
                    <w:t>项目拟设置1个有效容积不低于5m³的应急池，对风险事故废水进行收集，以满足事故状态下收集泄漏物料、污染消防水、污染雨水及生活污水的需要。</w:t>
                  </w:r>
                </w:p>
              </w:tc>
              <w:tc>
                <w:tcPr>
                  <w:tcW w:w="1064" w:type="dxa"/>
                  <w:vAlign w:val="center"/>
                </w:tcPr>
                <w:p>
                  <w:pPr>
                    <w:pStyle w:val="29"/>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restart"/>
                  <w:vAlign w:val="center"/>
                </w:tcPr>
                <w:p>
                  <w:pPr>
                    <w:pStyle w:val="29"/>
                    <w:spacing w:line="360" w:lineRule="exact"/>
                    <w:rPr>
                      <w:color w:val="auto"/>
                      <w:szCs w:val="21"/>
                    </w:rPr>
                  </w:pPr>
                  <w:r>
                    <w:rPr>
                      <w:color w:val="auto"/>
                      <w:szCs w:val="21"/>
                    </w:rPr>
                    <w:t>其他</w:t>
                  </w:r>
                </w:p>
              </w:tc>
              <w:tc>
                <w:tcPr>
                  <w:tcW w:w="1070" w:type="dxa"/>
                  <w:gridSpan w:val="2"/>
                  <w:vAlign w:val="center"/>
                </w:tcPr>
                <w:p>
                  <w:pPr>
                    <w:pStyle w:val="29"/>
                    <w:spacing w:line="360" w:lineRule="exact"/>
                    <w:rPr>
                      <w:color w:val="auto"/>
                      <w:szCs w:val="21"/>
                    </w:rPr>
                  </w:pPr>
                  <w:r>
                    <w:rPr>
                      <w:color w:val="auto"/>
                      <w:szCs w:val="21"/>
                    </w:rPr>
                    <w:t>标识牌</w:t>
                  </w:r>
                </w:p>
              </w:tc>
              <w:tc>
                <w:tcPr>
                  <w:tcW w:w="5018" w:type="dxa"/>
                  <w:vAlign w:val="center"/>
                </w:tcPr>
                <w:p>
                  <w:pPr>
                    <w:pStyle w:val="29"/>
                    <w:spacing w:line="360" w:lineRule="exact"/>
                    <w:ind w:firstLine="210" w:firstLineChars="100"/>
                    <w:jc w:val="both"/>
                    <w:rPr>
                      <w:color w:val="auto"/>
                      <w:szCs w:val="21"/>
                    </w:rPr>
                  </w:pPr>
                  <w:r>
                    <w:rPr>
                      <w:color w:val="auto"/>
                      <w:szCs w:val="21"/>
                    </w:rPr>
                    <w:t>建设单位按照危险废物管理的规范要求，设置危险废物识别标志、环境保护图形标志。</w:t>
                  </w:r>
                </w:p>
              </w:tc>
              <w:tc>
                <w:tcPr>
                  <w:tcW w:w="1064" w:type="dxa"/>
                  <w:vAlign w:val="center"/>
                </w:tcPr>
                <w:p>
                  <w:pPr>
                    <w:pStyle w:val="29"/>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29"/>
                    <w:spacing w:line="360" w:lineRule="exact"/>
                    <w:rPr>
                      <w:color w:val="auto"/>
                      <w:szCs w:val="21"/>
                    </w:rPr>
                  </w:pPr>
                </w:p>
              </w:tc>
              <w:tc>
                <w:tcPr>
                  <w:tcW w:w="722" w:type="dxa"/>
                  <w:vMerge w:val="continue"/>
                  <w:vAlign w:val="center"/>
                </w:tcPr>
                <w:p>
                  <w:pPr>
                    <w:pStyle w:val="29"/>
                    <w:spacing w:line="360" w:lineRule="exact"/>
                    <w:rPr>
                      <w:color w:val="auto"/>
                      <w:szCs w:val="21"/>
                    </w:rPr>
                  </w:pPr>
                </w:p>
              </w:tc>
              <w:tc>
                <w:tcPr>
                  <w:tcW w:w="1070" w:type="dxa"/>
                  <w:gridSpan w:val="2"/>
                  <w:vAlign w:val="center"/>
                </w:tcPr>
                <w:p>
                  <w:pPr>
                    <w:pStyle w:val="29"/>
                    <w:spacing w:line="360" w:lineRule="exact"/>
                    <w:rPr>
                      <w:color w:val="auto"/>
                      <w:szCs w:val="21"/>
                    </w:rPr>
                  </w:pPr>
                  <w:r>
                    <w:rPr>
                      <w:color w:val="auto"/>
                      <w:szCs w:val="21"/>
                    </w:rPr>
                    <w:t>绿化</w:t>
                  </w:r>
                </w:p>
              </w:tc>
              <w:tc>
                <w:tcPr>
                  <w:tcW w:w="5018" w:type="dxa"/>
                  <w:vAlign w:val="center"/>
                </w:tcPr>
                <w:p>
                  <w:pPr>
                    <w:pStyle w:val="29"/>
                    <w:spacing w:line="360" w:lineRule="exact"/>
                    <w:ind w:firstLine="210" w:firstLineChars="100"/>
                    <w:jc w:val="both"/>
                    <w:rPr>
                      <w:color w:val="auto"/>
                      <w:szCs w:val="21"/>
                    </w:rPr>
                  </w:pPr>
                  <w:r>
                    <w:rPr>
                      <w:color w:val="auto"/>
                      <w:szCs w:val="21"/>
                    </w:rPr>
                    <w:t>根据设计，项目区将设置2300m²的绿化区域。</w:t>
                  </w:r>
                </w:p>
              </w:tc>
              <w:tc>
                <w:tcPr>
                  <w:tcW w:w="1064" w:type="dxa"/>
                  <w:vAlign w:val="center"/>
                </w:tcPr>
                <w:p>
                  <w:pPr>
                    <w:pStyle w:val="29"/>
                    <w:spacing w:line="360" w:lineRule="exact"/>
                    <w:rPr>
                      <w:color w:val="auto"/>
                      <w:szCs w:val="21"/>
                    </w:rPr>
                  </w:pPr>
                  <w:r>
                    <w:rPr>
                      <w:color w:val="auto"/>
                      <w:szCs w:val="21"/>
                    </w:rPr>
                    <w:t>设计提出</w:t>
                  </w:r>
                </w:p>
              </w:tc>
            </w:tr>
          </w:tbl>
          <w:p>
            <w:pPr>
              <w:autoSpaceDE w:val="0"/>
              <w:autoSpaceDN w:val="0"/>
              <w:spacing w:beforeLines="50" w:line="360" w:lineRule="auto"/>
              <w:ind w:firstLine="241" w:firstLineChars="100"/>
              <w:rPr>
                <w:rFonts w:ascii="Times New Roman" w:hAnsi="Times New Roman" w:cs="Times New Roman"/>
                <w:b/>
                <w:sz w:val="24"/>
                <w:szCs w:val="24"/>
              </w:rPr>
            </w:pPr>
            <w:bookmarkStart w:id="1" w:name="_Toc493693536"/>
            <w:bookmarkStart w:id="2" w:name="_Toc433544969"/>
            <w:r>
              <w:rPr>
                <w:rFonts w:ascii="Times New Roman" w:hAnsi="Times New Roman" w:cs="Times New Roman"/>
                <w:b/>
                <w:sz w:val="24"/>
                <w:szCs w:val="24"/>
              </w:rPr>
              <w:t>2.2 总平面布置</w:t>
            </w:r>
            <w:bookmarkEnd w:id="1"/>
            <w:bookmarkEnd w:id="2"/>
            <w:r>
              <w:rPr>
                <w:rFonts w:ascii="Times New Roman" w:hAnsi="Times New Roman" w:cs="Times New Roman"/>
                <w:b/>
                <w:sz w:val="24"/>
                <w:szCs w:val="24"/>
              </w:rPr>
              <w:t>及其合理性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1#标准厂房布置于项目区东南侧，2#标准厂房布置于项目区西北侧，而办公楼和生活区分别位于2#标准厂房的南侧和西侧。项目2条废铝混合料破碎分选生产线均位于2#标准厂房内中部位置，原料暂存区、产品暂存库等储运工程位于2#标准厂房内的四周区域。而1#标准厂房后期规划建设使用。项目环保设施隔油池、化粪池、一体化污水处理设施和再生水收集池分别布设于配套的主体工程旁，初期雨水收集池位于项目区西侧区域，布袋除尘器及排气筒（DA001）位于生产车间北侧，根据项目特点，该项目各功能分区从生产工艺及合理用地角度设置合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项目平面布置详见附图2  项目区平面布置示意图。</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2.3 主要产品及产能</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根据设计，项目主要对废铝混合料进行破碎分选，得到铝料。年处理废铝混合料10万吨，其中铝料含量约为60-80%（取70%）。</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具体产品方案如下表所示。</w:t>
            </w:r>
          </w:p>
          <w:p>
            <w:pPr>
              <w:jc w:val="center"/>
              <w:rPr>
                <w:rFonts w:ascii="Times New Roman" w:hAnsi="Times New Roman" w:cs="Times New Roman"/>
                <w:b/>
              </w:rPr>
            </w:pPr>
            <w:r>
              <w:rPr>
                <w:rFonts w:ascii="Times New Roman" w:hAnsi="Times New Roman" w:cs="Times New Roman"/>
                <w:b/>
              </w:rPr>
              <w:t>表2.3-1 项目产品方案一览表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3"/>
              <w:gridCol w:w="2137"/>
              <w:gridCol w:w="2901"/>
              <w:gridCol w:w="27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3" w:type="dxa"/>
                  <w:vAlign w:val="center"/>
                </w:tcPr>
                <w:p>
                  <w:pPr>
                    <w:pStyle w:val="29"/>
                    <w:spacing w:line="360" w:lineRule="exact"/>
                    <w:rPr>
                      <w:color w:val="auto"/>
                      <w:szCs w:val="21"/>
                    </w:rPr>
                  </w:pPr>
                  <w:r>
                    <w:rPr>
                      <w:color w:val="auto"/>
                      <w:szCs w:val="21"/>
                    </w:rPr>
                    <w:t>序号</w:t>
                  </w:r>
                </w:p>
              </w:tc>
              <w:tc>
                <w:tcPr>
                  <w:tcW w:w="2137" w:type="dxa"/>
                  <w:vAlign w:val="center"/>
                </w:tcPr>
                <w:p>
                  <w:pPr>
                    <w:pStyle w:val="29"/>
                    <w:spacing w:line="360" w:lineRule="exact"/>
                    <w:rPr>
                      <w:color w:val="auto"/>
                      <w:szCs w:val="21"/>
                    </w:rPr>
                  </w:pPr>
                  <w:r>
                    <w:rPr>
                      <w:color w:val="auto"/>
                      <w:szCs w:val="21"/>
                    </w:rPr>
                    <w:t>产品名称</w:t>
                  </w:r>
                </w:p>
              </w:tc>
              <w:tc>
                <w:tcPr>
                  <w:tcW w:w="2901" w:type="dxa"/>
                  <w:vAlign w:val="center"/>
                </w:tcPr>
                <w:p>
                  <w:pPr>
                    <w:pStyle w:val="29"/>
                    <w:spacing w:line="360" w:lineRule="exact"/>
                    <w:rPr>
                      <w:color w:val="auto"/>
                      <w:szCs w:val="21"/>
                    </w:rPr>
                  </w:pPr>
                  <w:r>
                    <w:rPr>
                      <w:color w:val="auto"/>
                      <w:szCs w:val="21"/>
                    </w:rPr>
                    <w:t>产量</w:t>
                  </w:r>
                </w:p>
              </w:tc>
              <w:tc>
                <w:tcPr>
                  <w:tcW w:w="2767" w:type="dxa"/>
                  <w:vAlign w:val="center"/>
                </w:tcPr>
                <w:p>
                  <w:pPr>
                    <w:pStyle w:val="29"/>
                    <w:spacing w:line="360" w:lineRule="exact"/>
                    <w:rPr>
                      <w:color w:val="auto"/>
                      <w:szCs w:val="21"/>
                    </w:rPr>
                  </w:pPr>
                  <w:r>
                    <w:rPr>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3" w:type="dxa"/>
                  <w:vAlign w:val="center"/>
                </w:tcPr>
                <w:p>
                  <w:pPr>
                    <w:pStyle w:val="29"/>
                    <w:spacing w:line="360" w:lineRule="exact"/>
                    <w:rPr>
                      <w:color w:val="auto"/>
                      <w:szCs w:val="21"/>
                    </w:rPr>
                  </w:pPr>
                  <w:r>
                    <w:rPr>
                      <w:color w:val="auto"/>
                      <w:szCs w:val="21"/>
                    </w:rPr>
                    <w:t>1</w:t>
                  </w:r>
                </w:p>
              </w:tc>
              <w:tc>
                <w:tcPr>
                  <w:tcW w:w="2137" w:type="dxa"/>
                  <w:vAlign w:val="center"/>
                </w:tcPr>
                <w:p>
                  <w:pPr>
                    <w:pStyle w:val="29"/>
                    <w:spacing w:line="360" w:lineRule="exact"/>
                    <w:rPr>
                      <w:color w:val="auto"/>
                      <w:szCs w:val="21"/>
                    </w:rPr>
                  </w:pPr>
                  <w:r>
                    <w:rPr>
                      <w:color w:val="auto"/>
                      <w:szCs w:val="21"/>
                    </w:rPr>
                    <w:t>铝料</w:t>
                  </w:r>
                </w:p>
              </w:tc>
              <w:tc>
                <w:tcPr>
                  <w:tcW w:w="2901" w:type="dxa"/>
                  <w:vAlign w:val="center"/>
                </w:tcPr>
                <w:p>
                  <w:pPr>
                    <w:pStyle w:val="29"/>
                    <w:spacing w:line="360" w:lineRule="exact"/>
                    <w:rPr>
                      <w:color w:val="auto"/>
                      <w:szCs w:val="21"/>
                    </w:rPr>
                  </w:pPr>
                  <w:r>
                    <w:rPr>
                      <w:color w:val="auto"/>
                      <w:szCs w:val="21"/>
                    </w:rPr>
                    <w:t>7万t/a</w:t>
                  </w:r>
                </w:p>
              </w:tc>
              <w:tc>
                <w:tcPr>
                  <w:tcW w:w="2767" w:type="dxa"/>
                  <w:vAlign w:val="center"/>
                </w:tcPr>
                <w:p>
                  <w:pPr>
                    <w:pStyle w:val="29"/>
                    <w:spacing w:line="360" w:lineRule="exact"/>
                    <w:ind w:firstLine="210" w:firstLineChars="100"/>
                    <w:jc w:val="both"/>
                    <w:rPr>
                      <w:color w:val="auto"/>
                      <w:lang w:val="en-US"/>
                    </w:rPr>
                  </w:pPr>
                  <w:r>
                    <w:rPr>
                      <w:color w:val="auto"/>
                      <w:lang w:val="en-US"/>
                    </w:rPr>
                    <w:t>外卖下游企业</w:t>
                  </w:r>
                </w:p>
              </w:tc>
            </w:tr>
          </w:tbl>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2.4 主要生产单元、主要工艺、生产设施及设施参数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根据设计，项目主要生产单元、主要工艺、生产设施及设施参数如下表所示。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表2.4-1 主要生产单元、主要工艺、生产设施及设施参数表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1410"/>
              <w:gridCol w:w="1843"/>
              <w:gridCol w:w="2268"/>
              <w:gridCol w:w="1280"/>
              <w:gridCol w:w="1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Align w:val="center"/>
                </w:tcPr>
                <w:p>
                  <w:pPr>
                    <w:pStyle w:val="29"/>
                    <w:spacing w:line="360" w:lineRule="exact"/>
                    <w:rPr>
                      <w:color w:val="auto"/>
                      <w:szCs w:val="21"/>
                    </w:rPr>
                  </w:pPr>
                  <w:r>
                    <w:rPr>
                      <w:color w:val="auto"/>
                      <w:szCs w:val="21"/>
                    </w:rPr>
                    <w:t>主要生产单元</w:t>
                  </w:r>
                </w:p>
              </w:tc>
              <w:tc>
                <w:tcPr>
                  <w:tcW w:w="1410" w:type="dxa"/>
                  <w:tcBorders>
                    <w:right w:val="single" w:color="auto" w:sz="4" w:space="0"/>
                  </w:tcBorders>
                  <w:vAlign w:val="center"/>
                </w:tcPr>
                <w:p>
                  <w:pPr>
                    <w:pStyle w:val="29"/>
                    <w:spacing w:line="360" w:lineRule="exact"/>
                    <w:rPr>
                      <w:color w:val="auto"/>
                      <w:szCs w:val="21"/>
                    </w:rPr>
                  </w:pPr>
                  <w:r>
                    <w:rPr>
                      <w:color w:val="auto"/>
                      <w:szCs w:val="21"/>
                    </w:rPr>
                    <w:t>主要工艺</w:t>
                  </w:r>
                </w:p>
              </w:tc>
              <w:tc>
                <w:tcPr>
                  <w:tcW w:w="1843" w:type="dxa"/>
                  <w:tcBorders>
                    <w:right w:val="single" w:color="auto" w:sz="4" w:space="0"/>
                  </w:tcBorders>
                  <w:vAlign w:val="center"/>
                </w:tcPr>
                <w:p>
                  <w:pPr>
                    <w:pStyle w:val="29"/>
                    <w:spacing w:line="360" w:lineRule="exact"/>
                    <w:rPr>
                      <w:color w:val="auto"/>
                      <w:szCs w:val="21"/>
                    </w:rPr>
                  </w:pPr>
                  <w:r>
                    <w:rPr>
                      <w:color w:val="auto"/>
                      <w:szCs w:val="21"/>
                    </w:rPr>
                    <w:t>生产设施</w:t>
                  </w:r>
                </w:p>
              </w:tc>
              <w:tc>
                <w:tcPr>
                  <w:tcW w:w="2268" w:type="dxa"/>
                  <w:tcBorders>
                    <w:left w:val="single" w:color="auto" w:sz="4" w:space="0"/>
                  </w:tcBorders>
                  <w:vAlign w:val="center"/>
                </w:tcPr>
                <w:p>
                  <w:pPr>
                    <w:pStyle w:val="29"/>
                    <w:spacing w:line="360" w:lineRule="exact"/>
                    <w:rPr>
                      <w:color w:val="auto"/>
                      <w:szCs w:val="21"/>
                    </w:rPr>
                  </w:pPr>
                  <w:r>
                    <w:rPr>
                      <w:color w:val="auto"/>
                      <w:szCs w:val="21"/>
                    </w:rPr>
                    <w:t>规格型号</w:t>
                  </w:r>
                </w:p>
              </w:tc>
              <w:tc>
                <w:tcPr>
                  <w:tcW w:w="1280" w:type="dxa"/>
                  <w:vAlign w:val="center"/>
                </w:tcPr>
                <w:p>
                  <w:pPr>
                    <w:pStyle w:val="29"/>
                    <w:spacing w:line="360" w:lineRule="exact"/>
                    <w:rPr>
                      <w:color w:val="auto"/>
                      <w:szCs w:val="21"/>
                    </w:rPr>
                  </w:pPr>
                  <w:r>
                    <w:rPr>
                      <w:color w:val="auto"/>
                      <w:szCs w:val="21"/>
                    </w:rPr>
                    <w:t>设施参数</w:t>
                  </w:r>
                </w:p>
              </w:tc>
              <w:tc>
                <w:tcPr>
                  <w:tcW w:w="1062" w:type="dxa"/>
                  <w:vAlign w:val="center"/>
                </w:tcPr>
                <w:p>
                  <w:pPr>
                    <w:pStyle w:val="29"/>
                    <w:spacing w:line="360" w:lineRule="exact"/>
                    <w:rPr>
                      <w:color w:val="auto"/>
                      <w:szCs w:val="21"/>
                    </w:rPr>
                  </w:pPr>
                  <w:r>
                    <w:rPr>
                      <w:color w:val="auto"/>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auto"/>
                      <w:szCs w:val="21"/>
                    </w:rPr>
                  </w:pPr>
                  <w:r>
                    <w:rPr>
                      <w:color w:val="auto"/>
                      <w:szCs w:val="21"/>
                    </w:rPr>
                    <w:t>主体工程</w:t>
                  </w:r>
                </w:p>
              </w:tc>
              <w:tc>
                <w:tcPr>
                  <w:tcW w:w="1410" w:type="dxa"/>
                  <w:vMerge w:val="restart"/>
                  <w:tcBorders>
                    <w:right w:val="single" w:color="auto" w:sz="4" w:space="0"/>
                  </w:tcBorders>
                  <w:vAlign w:val="center"/>
                </w:tcPr>
                <w:p>
                  <w:pPr>
                    <w:pStyle w:val="29"/>
                    <w:spacing w:line="360" w:lineRule="exact"/>
                    <w:rPr>
                      <w:color w:val="auto"/>
                      <w:szCs w:val="21"/>
                    </w:rPr>
                  </w:pPr>
                  <w:r>
                    <w:rPr>
                      <w:color w:val="auto"/>
                      <w:szCs w:val="21"/>
                    </w:rPr>
                    <w:t>破碎工序</w:t>
                  </w: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上料机</w:t>
                  </w:r>
                </w:p>
              </w:tc>
              <w:tc>
                <w:tcPr>
                  <w:tcW w:w="2268" w:type="dxa"/>
                  <w:tcBorders>
                    <w:left w:val="single" w:color="auto" w:sz="4" w:space="0"/>
                  </w:tcBorders>
                  <w:vAlign w:val="center"/>
                </w:tcPr>
                <w:p>
                  <w:pPr>
                    <w:pStyle w:val="29"/>
                    <w:spacing w:line="360" w:lineRule="exact"/>
                    <w:rPr>
                      <w:color w:val="auto"/>
                      <w:szCs w:val="21"/>
                    </w:rPr>
                  </w:pPr>
                  <w:r>
                    <w:rPr>
                      <w:color w:val="auto"/>
                      <w:szCs w:val="21"/>
                    </w:rPr>
                    <w:t>--</w:t>
                  </w:r>
                </w:p>
              </w:tc>
              <w:tc>
                <w:tcPr>
                  <w:tcW w:w="1280" w:type="dxa"/>
                  <w:vAlign w:val="center"/>
                </w:tcPr>
                <w:p>
                  <w:pPr>
                    <w:pStyle w:val="29"/>
                    <w:spacing w:line="360" w:lineRule="exact"/>
                    <w:rPr>
                      <w:color w:val="auto"/>
                      <w:szCs w:val="21"/>
                    </w:rPr>
                  </w:pPr>
                  <w:r>
                    <w:rPr>
                      <w:color w:val="auto"/>
                      <w:szCs w:val="21"/>
                    </w:rPr>
                    <w:t>6.95t/h</w:t>
                  </w:r>
                </w:p>
              </w:tc>
              <w:tc>
                <w:tcPr>
                  <w:tcW w:w="1062" w:type="dxa"/>
                  <w:vAlign w:val="center"/>
                </w:tcPr>
                <w:p>
                  <w:pPr>
                    <w:pStyle w:val="29"/>
                    <w:spacing w:line="360" w:lineRule="exact"/>
                    <w:rPr>
                      <w:color w:val="auto"/>
                      <w:szCs w:val="21"/>
                    </w:rPr>
                  </w:pPr>
                  <w:r>
                    <w:rPr>
                      <w:color w:val="auto"/>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破碎机</w:t>
                  </w:r>
                </w:p>
              </w:tc>
              <w:tc>
                <w:tcPr>
                  <w:tcW w:w="2268" w:type="dxa"/>
                  <w:tcBorders>
                    <w:left w:val="single" w:color="auto" w:sz="4" w:space="0"/>
                  </w:tcBorders>
                  <w:vAlign w:val="center"/>
                </w:tcPr>
                <w:p>
                  <w:pPr>
                    <w:pStyle w:val="29"/>
                    <w:spacing w:line="360" w:lineRule="exact"/>
                    <w:rPr>
                      <w:color w:val="auto"/>
                      <w:szCs w:val="21"/>
                    </w:rPr>
                  </w:pPr>
                  <w:r>
                    <w:rPr>
                      <w:color w:val="auto"/>
                      <w:szCs w:val="21"/>
                    </w:rPr>
                    <w:t>--</w:t>
                  </w:r>
                </w:p>
              </w:tc>
              <w:tc>
                <w:tcPr>
                  <w:tcW w:w="1280" w:type="dxa"/>
                  <w:vAlign w:val="center"/>
                </w:tcPr>
                <w:p>
                  <w:pPr>
                    <w:pStyle w:val="29"/>
                    <w:spacing w:line="360" w:lineRule="exact"/>
                    <w:rPr>
                      <w:color w:val="auto"/>
                      <w:szCs w:val="21"/>
                    </w:rPr>
                  </w:pPr>
                  <w:r>
                    <w:rPr>
                      <w:color w:val="auto"/>
                      <w:szCs w:val="21"/>
                    </w:rPr>
                    <w:t>6.95t/h</w:t>
                  </w:r>
                </w:p>
              </w:tc>
              <w:tc>
                <w:tcPr>
                  <w:tcW w:w="1062" w:type="dxa"/>
                  <w:vAlign w:val="center"/>
                </w:tcPr>
                <w:p>
                  <w:pPr>
                    <w:pStyle w:val="29"/>
                    <w:spacing w:line="360" w:lineRule="exact"/>
                    <w:rPr>
                      <w:color w:val="auto"/>
                      <w:szCs w:val="21"/>
                    </w:rPr>
                  </w:pPr>
                  <w:r>
                    <w:rPr>
                      <w:color w:val="auto"/>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皮带运输机</w:t>
                  </w:r>
                </w:p>
              </w:tc>
              <w:tc>
                <w:tcPr>
                  <w:tcW w:w="2268" w:type="dxa"/>
                  <w:tcBorders>
                    <w:left w:val="single" w:color="auto" w:sz="4" w:space="0"/>
                  </w:tcBorders>
                  <w:vAlign w:val="center"/>
                </w:tcPr>
                <w:p>
                  <w:pPr>
                    <w:pStyle w:val="29"/>
                    <w:spacing w:line="360" w:lineRule="exact"/>
                    <w:rPr>
                      <w:color w:val="auto"/>
                      <w:szCs w:val="21"/>
                    </w:rPr>
                  </w:pPr>
                  <w:r>
                    <w:rPr>
                      <w:color w:val="auto"/>
                      <w:szCs w:val="21"/>
                    </w:rPr>
                    <w:t>B800</w:t>
                  </w:r>
                </w:p>
              </w:tc>
              <w:tc>
                <w:tcPr>
                  <w:tcW w:w="1280" w:type="dxa"/>
                  <w:vAlign w:val="center"/>
                </w:tcPr>
                <w:p>
                  <w:pPr>
                    <w:pStyle w:val="29"/>
                    <w:spacing w:line="360" w:lineRule="exact"/>
                    <w:rPr>
                      <w:color w:val="auto"/>
                      <w:szCs w:val="21"/>
                    </w:rPr>
                  </w:pPr>
                  <w:r>
                    <w:rPr>
                      <w:color w:val="auto"/>
                      <w:szCs w:val="21"/>
                    </w:rPr>
                    <w:t>--</w:t>
                  </w:r>
                </w:p>
              </w:tc>
              <w:tc>
                <w:tcPr>
                  <w:tcW w:w="1062" w:type="dxa"/>
                  <w:vAlign w:val="center"/>
                </w:tcPr>
                <w:p>
                  <w:pPr>
                    <w:pStyle w:val="29"/>
                    <w:spacing w:line="360" w:lineRule="exact"/>
                    <w:rPr>
                      <w:color w:val="auto"/>
                      <w:szCs w:val="21"/>
                    </w:rPr>
                  </w:pPr>
                  <w:r>
                    <w:rPr>
                      <w:color w:val="auto"/>
                      <w:szCs w:val="21"/>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restart"/>
                  <w:tcBorders>
                    <w:right w:val="single" w:color="auto" w:sz="4" w:space="0"/>
                  </w:tcBorders>
                  <w:vAlign w:val="center"/>
                </w:tcPr>
                <w:p>
                  <w:pPr>
                    <w:pStyle w:val="29"/>
                    <w:spacing w:line="360" w:lineRule="exact"/>
                    <w:rPr>
                      <w:color w:val="auto"/>
                      <w:szCs w:val="21"/>
                    </w:rPr>
                  </w:pPr>
                  <w:r>
                    <w:rPr>
                      <w:color w:val="auto"/>
                      <w:szCs w:val="21"/>
                    </w:rPr>
                    <w:t>分选工序</w:t>
                  </w: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磁选机</w:t>
                  </w:r>
                </w:p>
              </w:tc>
              <w:tc>
                <w:tcPr>
                  <w:tcW w:w="2268" w:type="dxa"/>
                  <w:tcBorders>
                    <w:left w:val="single" w:color="auto" w:sz="4" w:space="0"/>
                  </w:tcBorders>
                  <w:vAlign w:val="center"/>
                </w:tcPr>
                <w:p>
                  <w:pPr>
                    <w:pStyle w:val="29"/>
                    <w:spacing w:line="360" w:lineRule="exact"/>
                    <w:rPr>
                      <w:color w:val="auto"/>
                      <w:szCs w:val="21"/>
                    </w:rPr>
                  </w:pPr>
                  <w:r>
                    <w:rPr>
                      <w:color w:val="auto"/>
                      <w:szCs w:val="21"/>
                    </w:rPr>
                    <w:t>--</w:t>
                  </w:r>
                </w:p>
              </w:tc>
              <w:tc>
                <w:tcPr>
                  <w:tcW w:w="1280" w:type="dxa"/>
                  <w:vAlign w:val="center"/>
                </w:tcPr>
                <w:p>
                  <w:pPr>
                    <w:pStyle w:val="29"/>
                    <w:spacing w:line="360" w:lineRule="exact"/>
                    <w:rPr>
                      <w:color w:val="auto"/>
                      <w:szCs w:val="21"/>
                    </w:rPr>
                  </w:pPr>
                  <w:r>
                    <w:rPr>
                      <w:color w:val="auto"/>
                      <w:szCs w:val="21"/>
                    </w:rPr>
                    <w:t>6.95t/h</w:t>
                  </w:r>
                </w:p>
              </w:tc>
              <w:tc>
                <w:tcPr>
                  <w:tcW w:w="1062" w:type="dxa"/>
                  <w:vAlign w:val="center"/>
                </w:tcPr>
                <w:p>
                  <w:pPr>
                    <w:pStyle w:val="29"/>
                    <w:spacing w:line="360" w:lineRule="exact"/>
                    <w:rPr>
                      <w:color w:val="auto"/>
                      <w:szCs w:val="21"/>
                    </w:rPr>
                  </w:pPr>
                  <w:r>
                    <w:rPr>
                      <w:color w:val="auto"/>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涡电流分选机</w:t>
                  </w:r>
                </w:p>
              </w:tc>
              <w:tc>
                <w:tcPr>
                  <w:tcW w:w="2268" w:type="dxa"/>
                  <w:tcBorders>
                    <w:left w:val="single" w:color="auto" w:sz="4" w:space="0"/>
                  </w:tcBorders>
                  <w:vAlign w:val="center"/>
                </w:tcPr>
                <w:p>
                  <w:pPr>
                    <w:pStyle w:val="29"/>
                    <w:spacing w:line="360" w:lineRule="exact"/>
                    <w:rPr>
                      <w:color w:val="auto"/>
                      <w:szCs w:val="21"/>
                    </w:rPr>
                  </w:pPr>
                  <w:r>
                    <w:rPr>
                      <w:color w:val="auto"/>
                      <w:szCs w:val="21"/>
                    </w:rPr>
                    <w:t>--</w:t>
                  </w:r>
                </w:p>
              </w:tc>
              <w:tc>
                <w:tcPr>
                  <w:tcW w:w="1280" w:type="dxa"/>
                  <w:vAlign w:val="center"/>
                </w:tcPr>
                <w:p>
                  <w:pPr>
                    <w:pStyle w:val="29"/>
                    <w:spacing w:line="360" w:lineRule="exact"/>
                    <w:rPr>
                      <w:color w:val="auto"/>
                      <w:szCs w:val="21"/>
                    </w:rPr>
                  </w:pPr>
                  <w:r>
                    <w:rPr>
                      <w:color w:val="auto"/>
                      <w:szCs w:val="21"/>
                    </w:rPr>
                    <w:t>6.95t/h</w:t>
                  </w:r>
                </w:p>
              </w:tc>
              <w:tc>
                <w:tcPr>
                  <w:tcW w:w="1062" w:type="dxa"/>
                  <w:vAlign w:val="center"/>
                </w:tcPr>
                <w:p>
                  <w:pPr>
                    <w:pStyle w:val="29"/>
                    <w:spacing w:line="360" w:lineRule="exact"/>
                    <w:rPr>
                      <w:color w:val="auto"/>
                      <w:szCs w:val="21"/>
                    </w:rPr>
                  </w:pPr>
                  <w:r>
                    <w:rPr>
                      <w:color w:val="auto"/>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色选机</w:t>
                  </w:r>
                </w:p>
              </w:tc>
              <w:tc>
                <w:tcPr>
                  <w:tcW w:w="2268" w:type="dxa"/>
                  <w:tcBorders>
                    <w:left w:val="single" w:color="auto" w:sz="4" w:space="0"/>
                  </w:tcBorders>
                  <w:vAlign w:val="center"/>
                </w:tcPr>
                <w:p>
                  <w:pPr>
                    <w:pStyle w:val="29"/>
                    <w:spacing w:line="360" w:lineRule="exact"/>
                    <w:rPr>
                      <w:color w:val="auto"/>
                      <w:szCs w:val="21"/>
                    </w:rPr>
                  </w:pPr>
                  <w:r>
                    <w:rPr>
                      <w:color w:val="auto"/>
                      <w:szCs w:val="21"/>
                    </w:rPr>
                    <w:t>HJ-FZSB</w:t>
                  </w:r>
                </w:p>
              </w:tc>
              <w:tc>
                <w:tcPr>
                  <w:tcW w:w="1280" w:type="dxa"/>
                  <w:vAlign w:val="center"/>
                </w:tcPr>
                <w:p>
                  <w:pPr>
                    <w:pStyle w:val="29"/>
                    <w:spacing w:line="360" w:lineRule="exact"/>
                    <w:rPr>
                      <w:color w:val="auto"/>
                      <w:szCs w:val="21"/>
                    </w:rPr>
                  </w:pPr>
                  <w:r>
                    <w:rPr>
                      <w:color w:val="auto"/>
                      <w:szCs w:val="21"/>
                    </w:rPr>
                    <w:t>6.95t/h</w:t>
                  </w:r>
                </w:p>
              </w:tc>
              <w:tc>
                <w:tcPr>
                  <w:tcW w:w="1062" w:type="dxa"/>
                  <w:vAlign w:val="center"/>
                </w:tcPr>
                <w:p>
                  <w:pPr>
                    <w:pStyle w:val="29"/>
                    <w:spacing w:line="360" w:lineRule="exact"/>
                    <w:rPr>
                      <w:color w:val="auto"/>
                      <w:szCs w:val="21"/>
                    </w:rPr>
                  </w:pPr>
                  <w:r>
                    <w:rPr>
                      <w:color w:val="auto"/>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皮带运输机</w:t>
                  </w:r>
                </w:p>
              </w:tc>
              <w:tc>
                <w:tcPr>
                  <w:tcW w:w="2268" w:type="dxa"/>
                  <w:tcBorders>
                    <w:left w:val="single" w:color="auto" w:sz="4" w:space="0"/>
                  </w:tcBorders>
                  <w:vAlign w:val="center"/>
                </w:tcPr>
                <w:p>
                  <w:pPr>
                    <w:pStyle w:val="29"/>
                    <w:spacing w:line="360" w:lineRule="exact"/>
                    <w:rPr>
                      <w:color w:val="auto"/>
                      <w:szCs w:val="21"/>
                    </w:rPr>
                  </w:pPr>
                  <w:r>
                    <w:rPr>
                      <w:color w:val="auto"/>
                      <w:szCs w:val="21"/>
                    </w:rPr>
                    <w:t>B800</w:t>
                  </w:r>
                </w:p>
              </w:tc>
              <w:tc>
                <w:tcPr>
                  <w:tcW w:w="1280" w:type="dxa"/>
                  <w:vAlign w:val="center"/>
                </w:tcPr>
                <w:p>
                  <w:pPr>
                    <w:pStyle w:val="29"/>
                    <w:spacing w:line="360" w:lineRule="exact"/>
                    <w:rPr>
                      <w:color w:val="auto"/>
                      <w:szCs w:val="21"/>
                    </w:rPr>
                  </w:pPr>
                  <w:r>
                    <w:rPr>
                      <w:color w:val="auto"/>
                      <w:szCs w:val="21"/>
                    </w:rPr>
                    <w:t>--</w:t>
                  </w:r>
                </w:p>
              </w:tc>
              <w:tc>
                <w:tcPr>
                  <w:tcW w:w="1062" w:type="dxa"/>
                  <w:vAlign w:val="center"/>
                </w:tcPr>
                <w:p>
                  <w:pPr>
                    <w:pStyle w:val="29"/>
                    <w:spacing w:line="360" w:lineRule="exact"/>
                    <w:rPr>
                      <w:color w:val="auto"/>
                      <w:szCs w:val="21"/>
                    </w:rPr>
                  </w:pPr>
                  <w:r>
                    <w:rPr>
                      <w:color w:val="auto"/>
                      <w:szCs w:val="21"/>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auto"/>
                      <w:szCs w:val="21"/>
                    </w:rPr>
                  </w:pPr>
                  <w:r>
                    <w:rPr>
                      <w:color w:val="auto"/>
                      <w:szCs w:val="21"/>
                    </w:rPr>
                    <w:t>储运工程</w:t>
                  </w:r>
                </w:p>
              </w:tc>
              <w:tc>
                <w:tcPr>
                  <w:tcW w:w="1410" w:type="dxa"/>
                  <w:vMerge w:val="restart"/>
                  <w:tcBorders>
                    <w:right w:val="single" w:color="auto" w:sz="4" w:space="0"/>
                  </w:tcBorders>
                  <w:vAlign w:val="center"/>
                </w:tcPr>
                <w:p>
                  <w:pPr>
                    <w:pStyle w:val="29"/>
                    <w:spacing w:line="360" w:lineRule="exact"/>
                    <w:rPr>
                      <w:color w:val="auto"/>
                      <w:szCs w:val="21"/>
                    </w:rPr>
                  </w:pPr>
                  <w:r>
                    <w:rPr>
                      <w:color w:val="auto"/>
                      <w:szCs w:val="21"/>
                    </w:rPr>
                    <w:t>储运</w:t>
                  </w: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物料收集仓</w:t>
                  </w:r>
                </w:p>
              </w:tc>
              <w:tc>
                <w:tcPr>
                  <w:tcW w:w="2268" w:type="dxa"/>
                  <w:tcBorders>
                    <w:left w:val="single" w:color="auto" w:sz="4" w:space="0"/>
                  </w:tcBorders>
                  <w:vAlign w:val="center"/>
                </w:tcPr>
                <w:p>
                  <w:pPr>
                    <w:pStyle w:val="29"/>
                    <w:spacing w:line="360" w:lineRule="exact"/>
                    <w:rPr>
                      <w:color w:val="auto"/>
                      <w:szCs w:val="21"/>
                    </w:rPr>
                  </w:pPr>
                  <w:r>
                    <w:rPr>
                      <w:color w:val="auto"/>
                      <w:szCs w:val="21"/>
                    </w:rPr>
                    <w:t>10m³</w:t>
                  </w:r>
                </w:p>
              </w:tc>
              <w:tc>
                <w:tcPr>
                  <w:tcW w:w="1280" w:type="dxa"/>
                  <w:vAlign w:val="center"/>
                </w:tcPr>
                <w:p>
                  <w:pPr>
                    <w:pStyle w:val="29"/>
                    <w:spacing w:line="360" w:lineRule="exact"/>
                    <w:rPr>
                      <w:color w:val="auto"/>
                      <w:szCs w:val="21"/>
                    </w:rPr>
                  </w:pPr>
                  <w:r>
                    <w:rPr>
                      <w:color w:val="auto"/>
                      <w:szCs w:val="21"/>
                    </w:rPr>
                    <w:t>--</w:t>
                  </w:r>
                </w:p>
              </w:tc>
              <w:tc>
                <w:tcPr>
                  <w:tcW w:w="1062" w:type="dxa"/>
                  <w:vAlign w:val="center"/>
                </w:tcPr>
                <w:p>
                  <w:pPr>
                    <w:pStyle w:val="29"/>
                    <w:spacing w:line="360" w:lineRule="exact"/>
                    <w:rPr>
                      <w:color w:val="auto"/>
                      <w:szCs w:val="21"/>
                    </w:rPr>
                  </w:pPr>
                  <w:r>
                    <w:rPr>
                      <w:color w:val="auto"/>
                      <w:szCs w:val="21"/>
                    </w:rPr>
                    <w:t>4个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打包机</w:t>
                  </w:r>
                </w:p>
              </w:tc>
              <w:tc>
                <w:tcPr>
                  <w:tcW w:w="2268" w:type="dxa"/>
                  <w:tcBorders>
                    <w:left w:val="single" w:color="auto" w:sz="4" w:space="0"/>
                  </w:tcBorders>
                  <w:vAlign w:val="center"/>
                </w:tcPr>
                <w:p>
                  <w:pPr>
                    <w:pStyle w:val="29"/>
                    <w:spacing w:line="360" w:lineRule="exact"/>
                    <w:rPr>
                      <w:color w:val="auto"/>
                      <w:szCs w:val="21"/>
                    </w:rPr>
                  </w:pPr>
                  <w:r>
                    <w:rPr>
                      <w:color w:val="auto"/>
                      <w:szCs w:val="21"/>
                    </w:rPr>
                    <w:t>--</w:t>
                  </w:r>
                </w:p>
              </w:tc>
              <w:tc>
                <w:tcPr>
                  <w:tcW w:w="1280" w:type="dxa"/>
                  <w:vAlign w:val="center"/>
                </w:tcPr>
                <w:p>
                  <w:pPr>
                    <w:pStyle w:val="29"/>
                    <w:spacing w:line="360" w:lineRule="exact"/>
                    <w:rPr>
                      <w:color w:val="auto"/>
                      <w:szCs w:val="21"/>
                    </w:rPr>
                  </w:pPr>
                  <w:r>
                    <w:rPr>
                      <w:color w:val="auto"/>
                      <w:szCs w:val="21"/>
                    </w:rPr>
                    <w:t>3.5t/h</w:t>
                  </w:r>
                </w:p>
              </w:tc>
              <w:tc>
                <w:tcPr>
                  <w:tcW w:w="1062" w:type="dxa"/>
                  <w:vAlign w:val="center"/>
                </w:tcPr>
                <w:p>
                  <w:pPr>
                    <w:pStyle w:val="29"/>
                    <w:spacing w:line="360" w:lineRule="exact"/>
                    <w:rPr>
                      <w:color w:val="auto"/>
                      <w:szCs w:val="21"/>
                    </w:rPr>
                  </w:pPr>
                  <w:r>
                    <w:rPr>
                      <w:color w:val="auto"/>
                      <w:szCs w:val="21"/>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叉车</w:t>
                  </w:r>
                </w:p>
              </w:tc>
              <w:tc>
                <w:tcPr>
                  <w:tcW w:w="2268" w:type="dxa"/>
                  <w:tcBorders>
                    <w:left w:val="single" w:color="auto" w:sz="4" w:space="0"/>
                  </w:tcBorders>
                  <w:vAlign w:val="center"/>
                </w:tcPr>
                <w:p>
                  <w:pPr>
                    <w:pStyle w:val="29"/>
                    <w:spacing w:line="360" w:lineRule="exact"/>
                    <w:rPr>
                      <w:color w:val="auto"/>
                      <w:szCs w:val="21"/>
                    </w:rPr>
                  </w:pPr>
                  <w:r>
                    <w:rPr>
                      <w:color w:val="auto"/>
                      <w:szCs w:val="21"/>
                    </w:rPr>
                    <w:t>5t</w:t>
                  </w:r>
                </w:p>
              </w:tc>
              <w:tc>
                <w:tcPr>
                  <w:tcW w:w="1280" w:type="dxa"/>
                  <w:vAlign w:val="center"/>
                </w:tcPr>
                <w:p>
                  <w:pPr>
                    <w:pStyle w:val="29"/>
                    <w:spacing w:line="360" w:lineRule="exact"/>
                    <w:rPr>
                      <w:color w:val="auto"/>
                      <w:szCs w:val="21"/>
                    </w:rPr>
                  </w:pPr>
                  <w:r>
                    <w:rPr>
                      <w:color w:val="auto"/>
                      <w:szCs w:val="21"/>
                    </w:rPr>
                    <w:t>--</w:t>
                  </w:r>
                </w:p>
              </w:tc>
              <w:tc>
                <w:tcPr>
                  <w:tcW w:w="1062" w:type="dxa"/>
                  <w:vAlign w:val="center"/>
                </w:tcPr>
                <w:p>
                  <w:pPr>
                    <w:pStyle w:val="29"/>
                    <w:spacing w:line="360" w:lineRule="exact"/>
                    <w:rPr>
                      <w:color w:val="auto"/>
                      <w:szCs w:val="21"/>
                    </w:rPr>
                  </w:pPr>
                  <w:r>
                    <w:rPr>
                      <w:color w:val="auto"/>
                      <w:szCs w:val="21"/>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auto"/>
                      <w:szCs w:val="21"/>
                    </w:rPr>
                  </w:pPr>
                  <w:r>
                    <w:rPr>
                      <w:color w:val="auto"/>
                      <w:szCs w:val="21"/>
                    </w:rPr>
                    <w:t>环保工程</w:t>
                  </w:r>
                </w:p>
              </w:tc>
              <w:tc>
                <w:tcPr>
                  <w:tcW w:w="1410" w:type="dxa"/>
                  <w:vMerge w:val="restart"/>
                  <w:tcBorders>
                    <w:right w:val="single" w:color="auto" w:sz="4" w:space="0"/>
                  </w:tcBorders>
                  <w:vAlign w:val="center"/>
                </w:tcPr>
                <w:p>
                  <w:pPr>
                    <w:pStyle w:val="29"/>
                    <w:spacing w:line="360" w:lineRule="exact"/>
                    <w:rPr>
                      <w:color w:val="auto"/>
                      <w:szCs w:val="21"/>
                    </w:rPr>
                  </w:pPr>
                  <w:r>
                    <w:rPr>
                      <w:color w:val="auto"/>
                      <w:szCs w:val="21"/>
                    </w:rPr>
                    <w:t>废气处理</w:t>
                  </w: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集气罩</w:t>
                  </w:r>
                </w:p>
              </w:tc>
              <w:tc>
                <w:tcPr>
                  <w:tcW w:w="2268" w:type="dxa"/>
                  <w:tcBorders>
                    <w:left w:val="single" w:color="auto" w:sz="4" w:space="0"/>
                  </w:tcBorders>
                  <w:vAlign w:val="center"/>
                </w:tcPr>
                <w:p>
                  <w:pPr>
                    <w:pStyle w:val="29"/>
                    <w:spacing w:line="360" w:lineRule="exact"/>
                    <w:rPr>
                      <w:color w:val="auto"/>
                      <w:szCs w:val="21"/>
                    </w:rPr>
                  </w:pPr>
                  <w:r>
                    <w:rPr>
                      <w:color w:val="auto"/>
                      <w:szCs w:val="21"/>
                    </w:rPr>
                    <w:t>集气效率不低于92%</w:t>
                  </w:r>
                </w:p>
              </w:tc>
              <w:tc>
                <w:tcPr>
                  <w:tcW w:w="1280" w:type="dxa"/>
                  <w:vAlign w:val="center"/>
                </w:tcPr>
                <w:p>
                  <w:pPr>
                    <w:pStyle w:val="29"/>
                    <w:spacing w:line="360" w:lineRule="exact"/>
                    <w:rPr>
                      <w:color w:val="auto"/>
                      <w:szCs w:val="21"/>
                    </w:rPr>
                  </w:pPr>
                  <w:r>
                    <w:rPr>
                      <w:rFonts w:hint="eastAsia"/>
                      <w:color w:val="auto"/>
                      <w:szCs w:val="21"/>
                    </w:rPr>
                    <w:t>6</w:t>
                  </w:r>
                  <w:r>
                    <w:rPr>
                      <w:color w:val="auto"/>
                      <w:szCs w:val="21"/>
                    </w:rPr>
                    <w:t>000m³/h</w:t>
                  </w:r>
                </w:p>
              </w:tc>
              <w:tc>
                <w:tcPr>
                  <w:tcW w:w="1062" w:type="dxa"/>
                  <w:vAlign w:val="center"/>
                </w:tcPr>
                <w:p>
                  <w:pPr>
                    <w:pStyle w:val="29"/>
                    <w:spacing w:line="360" w:lineRule="exact"/>
                    <w:rPr>
                      <w:color w:val="auto"/>
                      <w:szCs w:val="21"/>
                    </w:rPr>
                  </w:pPr>
                  <w:r>
                    <w:rPr>
                      <w:rFonts w:hint="eastAsia"/>
                      <w:color w:val="auto"/>
                      <w:szCs w:val="21"/>
                    </w:rPr>
                    <w:t>2</w:t>
                  </w:r>
                  <w:r>
                    <w:rPr>
                      <w:color w:val="auto"/>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布袋除尘器</w:t>
                  </w:r>
                </w:p>
              </w:tc>
              <w:tc>
                <w:tcPr>
                  <w:tcW w:w="2268" w:type="dxa"/>
                  <w:tcBorders>
                    <w:left w:val="single" w:color="auto" w:sz="4" w:space="0"/>
                  </w:tcBorders>
                  <w:vAlign w:val="center"/>
                </w:tcPr>
                <w:p>
                  <w:pPr>
                    <w:pStyle w:val="29"/>
                    <w:spacing w:line="360" w:lineRule="exact"/>
                    <w:rPr>
                      <w:color w:val="auto"/>
                      <w:szCs w:val="21"/>
                    </w:rPr>
                  </w:pPr>
                  <w:r>
                    <w:rPr>
                      <w:color w:val="auto"/>
                      <w:szCs w:val="21"/>
                    </w:rPr>
                    <w:t>去除效率不低于95%</w:t>
                  </w:r>
                </w:p>
              </w:tc>
              <w:tc>
                <w:tcPr>
                  <w:tcW w:w="1280" w:type="dxa"/>
                  <w:vAlign w:val="center"/>
                </w:tcPr>
                <w:p>
                  <w:pPr>
                    <w:pStyle w:val="29"/>
                    <w:spacing w:line="360" w:lineRule="exact"/>
                    <w:rPr>
                      <w:color w:val="auto"/>
                      <w:szCs w:val="21"/>
                    </w:rPr>
                  </w:pPr>
                  <w:r>
                    <w:rPr>
                      <w:rFonts w:hint="eastAsia"/>
                      <w:color w:val="auto"/>
                      <w:szCs w:val="21"/>
                    </w:rPr>
                    <w:t>6</w:t>
                  </w:r>
                  <w:r>
                    <w:rPr>
                      <w:color w:val="auto"/>
                      <w:szCs w:val="21"/>
                    </w:rPr>
                    <w:t>000m³/h</w:t>
                  </w:r>
                </w:p>
              </w:tc>
              <w:tc>
                <w:tcPr>
                  <w:tcW w:w="1062" w:type="dxa"/>
                  <w:vAlign w:val="center"/>
                </w:tcPr>
                <w:p>
                  <w:pPr>
                    <w:pStyle w:val="29"/>
                    <w:spacing w:line="360" w:lineRule="exact"/>
                    <w:rPr>
                      <w:color w:val="auto"/>
                      <w:szCs w:val="21"/>
                    </w:rPr>
                  </w:pPr>
                  <w:r>
                    <w:rPr>
                      <w:color w:val="auto"/>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1410" w:type="dxa"/>
                  <w:vMerge w:val="continue"/>
                  <w:tcBorders>
                    <w:right w:val="single" w:color="auto" w:sz="4" w:space="0"/>
                  </w:tcBorders>
                  <w:vAlign w:val="center"/>
                </w:tcPr>
                <w:p>
                  <w:pPr>
                    <w:pStyle w:val="29"/>
                    <w:spacing w:line="360" w:lineRule="exact"/>
                    <w:rPr>
                      <w:color w:val="auto"/>
                      <w:szCs w:val="21"/>
                    </w:rPr>
                  </w:pPr>
                </w:p>
              </w:tc>
              <w:tc>
                <w:tcPr>
                  <w:tcW w:w="1843"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排气筒</w:t>
                  </w:r>
                </w:p>
              </w:tc>
              <w:tc>
                <w:tcPr>
                  <w:tcW w:w="2268" w:type="dxa"/>
                  <w:tcBorders>
                    <w:left w:val="single" w:color="auto" w:sz="4" w:space="0"/>
                  </w:tcBorders>
                  <w:vAlign w:val="center"/>
                </w:tcPr>
                <w:p>
                  <w:pPr>
                    <w:pStyle w:val="29"/>
                    <w:spacing w:line="360" w:lineRule="exact"/>
                    <w:rPr>
                      <w:color w:val="auto"/>
                      <w:szCs w:val="21"/>
                    </w:rPr>
                  </w:pPr>
                  <w:r>
                    <w:rPr>
                      <w:color w:val="auto"/>
                      <w:szCs w:val="21"/>
                    </w:rPr>
                    <w:t>高15m、Φ0.</w:t>
                  </w:r>
                  <w:r>
                    <w:rPr>
                      <w:rFonts w:hint="eastAsia"/>
                      <w:color w:val="auto"/>
                      <w:szCs w:val="21"/>
                    </w:rPr>
                    <w:t>4</w:t>
                  </w:r>
                  <w:r>
                    <w:rPr>
                      <w:color w:val="auto"/>
                      <w:szCs w:val="21"/>
                    </w:rPr>
                    <w:t>m</w:t>
                  </w:r>
                </w:p>
              </w:tc>
              <w:tc>
                <w:tcPr>
                  <w:tcW w:w="1280" w:type="dxa"/>
                  <w:vAlign w:val="center"/>
                </w:tcPr>
                <w:p>
                  <w:pPr>
                    <w:pStyle w:val="29"/>
                    <w:spacing w:line="360" w:lineRule="exact"/>
                    <w:rPr>
                      <w:color w:val="auto"/>
                      <w:szCs w:val="21"/>
                    </w:rPr>
                  </w:pPr>
                  <w:r>
                    <w:rPr>
                      <w:color w:val="auto"/>
                      <w:szCs w:val="21"/>
                    </w:rPr>
                    <w:t>--</w:t>
                  </w:r>
                </w:p>
              </w:tc>
              <w:tc>
                <w:tcPr>
                  <w:tcW w:w="1062" w:type="dxa"/>
                  <w:vAlign w:val="center"/>
                </w:tcPr>
                <w:p>
                  <w:pPr>
                    <w:pStyle w:val="29"/>
                    <w:spacing w:line="360" w:lineRule="exact"/>
                    <w:rPr>
                      <w:color w:val="auto"/>
                      <w:szCs w:val="21"/>
                    </w:rPr>
                  </w:pPr>
                  <w:r>
                    <w:rPr>
                      <w:color w:val="auto"/>
                      <w:szCs w:val="21"/>
                    </w:rPr>
                    <w:t>1根</w:t>
                  </w:r>
                </w:p>
              </w:tc>
            </w:tr>
          </w:tbl>
          <w:p>
            <w:pPr>
              <w:autoSpaceDE w:val="0"/>
              <w:autoSpaceDN w:val="0"/>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2.5 原辅料及能源消耗</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2.5.1 原辅料</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该项目主要对废铝混合料进行破碎分选，其种类、来源和处理量具体如下：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（1）废铝混合料种类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可破碎分选包括废铝合金、废铝型材、废铝板、废铝易拉罐、废铝板下脚料、废铝铸件、废生铝、废铝管材、废铝线、废铝模、废铝边角料等各种含废铝物料。根据建设单位市场调查及回收需求，其回收的废铝混合料的各物质成分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表2.5.1- 1 废铝混合料各物质成分一览表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88"/>
              <w:gridCol w:w="1854"/>
              <w:gridCol w:w="1722"/>
              <w:gridCol w:w="1722"/>
              <w:gridCol w:w="17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8" w:type="dxa"/>
                </w:tcPr>
                <w:p>
                  <w:pPr>
                    <w:pStyle w:val="29"/>
                    <w:spacing w:line="360" w:lineRule="exact"/>
                    <w:rPr>
                      <w:color w:val="auto"/>
                      <w:szCs w:val="21"/>
                    </w:rPr>
                  </w:pPr>
                  <w:r>
                    <w:rPr>
                      <w:color w:val="auto"/>
                      <w:szCs w:val="21"/>
                    </w:rPr>
                    <w:t>物质</w:t>
                  </w:r>
                </w:p>
              </w:tc>
              <w:tc>
                <w:tcPr>
                  <w:tcW w:w="1854" w:type="dxa"/>
                </w:tcPr>
                <w:p>
                  <w:pPr>
                    <w:pStyle w:val="29"/>
                    <w:spacing w:line="360" w:lineRule="exact"/>
                    <w:rPr>
                      <w:color w:val="auto"/>
                      <w:szCs w:val="21"/>
                    </w:rPr>
                  </w:pPr>
                  <w:r>
                    <w:rPr>
                      <w:color w:val="auto"/>
                      <w:szCs w:val="21"/>
                    </w:rPr>
                    <w:t>铝料</w:t>
                  </w:r>
                </w:p>
              </w:tc>
              <w:tc>
                <w:tcPr>
                  <w:tcW w:w="1722" w:type="dxa"/>
                </w:tcPr>
                <w:p>
                  <w:pPr>
                    <w:pStyle w:val="29"/>
                    <w:spacing w:line="360" w:lineRule="exact"/>
                    <w:rPr>
                      <w:color w:val="auto"/>
                      <w:szCs w:val="21"/>
                    </w:rPr>
                  </w:pPr>
                  <w:r>
                    <w:rPr>
                      <w:color w:val="auto"/>
                      <w:szCs w:val="21"/>
                    </w:rPr>
                    <w:t>铁料</w:t>
                  </w:r>
                </w:p>
              </w:tc>
              <w:tc>
                <w:tcPr>
                  <w:tcW w:w="1722" w:type="dxa"/>
                </w:tcPr>
                <w:p>
                  <w:pPr>
                    <w:pStyle w:val="29"/>
                    <w:spacing w:line="360" w:lineRule="exact"/>
                    <w:rPr>
                      <w:color w:val="auto"/>
                      <w:szCs w:val="21"/>
                    </w:rPr>
                  </w:pPr>
                  <w:r>
                    <w:rPr>
                      <w:color w:val="auto"/>
                      <w:szCs w:val="21"/>
                    </w:rPr>
                    <w:t>塑料</w:t>
                  </w:r>
                </w:p>
              </w:tc>
              <w:tc>
                <w:tcPr>
                  <w:tcW w:w="1722" w:type="dxa"/>
                </w:tcPr>
                <w:p>
                  <w:pPr>
                    <w:pStyle w:val="29"/>
                    <w:spacing w:line="360" w:lineRule="exact"/>
                    <w:rPr>
                      <w:color w:val="auto"/>
                      <w:szCs w:val="21"/>
                    </w:rPr>
                  </w:pPr>
                  <w:r>
                    <w:rPr>
                      <w:color w:val="auto"/>
                      <w:szCs w:val="21"/>
                    </w:rPr>
                    <w:t>锌、铜等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8" w:type="dxa"/>
                </w:tcPr>
                <w:p>
                  <w:pPr>
                    <w:pStyle w:val="29"/>
                    <w:spacing w:line="360" w:lineRule="exact"/>
                    <w:rPr>
                      <w:color w:val="auto"/>
                      <w:szCs w:val="21"/>
                    </w:rPr>
                  </w:pPr>
                  <w:r>
                    <w:rPr>
                      <w:color w:val="auto"/>
                      <w:szCs w:val="21"/>
                    </w:rPr>
                    <w:t>含量比例</w:t>
                  </w:r>
                </w:p>
              </w:tc>
              <w:tc>
                <w:tcPr>
                  <w:tcW w:w="1854" w:type="dxa"/>
                </w:tcPr>
                <w:p>
                  <w:pPr>
                    <w:pStyle w:val="29"/>
                    <w:spacing w:line="360" w:lineRule="exact"/>
                    <w:rPr>
                      <w:color w:val="auto"/>
                      <w:szCs w:val="21"/>
                    </w:rPr>
                  </w:pPr>
                  <w:r>
                    <w:rPr>
                      <w:color w:val="auto"/>
                      <w:szCs w:val="21"/>
                    </w:rPr>
                    <w:t>60-80%（70%）</w:t>
                  </w:r>
                </w:p>
              </w:tc>
              <w:tc>
                <w:tcPr>
                  <w:tcW w:w="1722" w:type="dxa"/>
                </w:tcPr>
                <w:p>
                  <w:pPr>
                    <w:pStyle w:val="29"/>
                    <w:spacing w:line="360" w:lineRule="exact"/>
                    <w:rPr>
                      <w:color w:val="auto"/>
                      <w:szCs w:val="21"/>
                    </w:rPr>
                  </w:pPr>
                  <w:r>
                    <w:rPr>
                      <w:color w:val="auto"/>
                      <w:szCs w:val="21"/>
                    </w:rPr>
                    <w:t>10-20%（15%）</w:t>
                  </w:r>
                </w:p>
              </w:tc>
              <w:tc>
                <w:tcPr>
                  <w:tcW w:w="1722" w:type="dxa"/>
                </w:tcPr>
                <w:p>
                  <w:pPr>
                    <w:pStyle w:val="29"/>
                    <w:spacing w:line="360" w:lineRule="exact"/>
                    <w:rPr>
                      <w:color w:val="auto"/>
                      <w:szCs w:val="21"/>
                    </w:rPr>
                  </w:pPr>
                  <w:r>
                    <w:rPr>
                      <w:color w:val="auto"/>
                      <w:szCs w:val="21"/>
                    </w:rPr>
                    <w:t>5-10%（8%）</w:t>
                  </w:r>
                </w:p>
              </w:tc>
              <w:tc>
                <w:tcPr>
                  <w:tcW w:w="1722" w:type="dxa"/>
                </w:tcPr>
                <w:p>
                  <w:pPr>
                    <w:pStyle w:val="29"/>
                    <w:spacing w:line="360" w:lineRule="exact"/>
                    <w:rPr>
                      <w:color w:val="auto"/>
                      <w:szCs w:val="21"/>
                    </w:rPr>
                  </w:pPr>
                  <w:r>
                    <w:rPr>
                      <w:color w:val="auto"/>
                      <w:szCs w:val="21"/>
                    </w:rPr>
                    <w:t>5-10%（7%）</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市场上收集并已打包后的废铝混合料如下图所示。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drawing>
                <wp:inline distT="0" distB="0" distL="0" distR="0">
                  <wp:extent cx="4792980" cy="3599815"/>
                  <wp:effectExtent l="19050" t="0" r="7217" b="0"/>
                  <wp:docPr id="32" name="图片 32" descr="C:\Users\ADMINI~1\AppData\Local\Temp\WeChat Files\682300698b0f1972b816f6b3af19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1\AppData\Local\Temp\WeChat Files\682300698b0f1972b816f6b3af19633.jpg"/>
                          <pic:cNvPicPr>
                            <a:picLocks noChangeAspect="1" noChangeArrowheads="1"/>
                          </pic:cNvPicPr>
                        </pic:nvPicPr>
                        <pic:blipFill>
                          <a:blip r:embed="rId5"/>
                          <a:srcRect/>
                          <a:stretch>
                            <a:fillRect/>
                          </a:stretch>
                        </pic:blipFill>
                        <pic:spPr>
                          <a:xfrm>
                            <a:off x="0" y="0"/>
                            <a:ext cx="4793383" cy="3600000"/>
                          </a:xfrm>
                          <a:prstGeom prst="rect">
                            <a:avLst/>
                          </a:prstGeom>
                          <a:noFill/>
                          <a:ln w="9525">
                            <a:noFill/>
                            <a:miter lim="800000"/>
                            <a:headEnd/>
                            <a:tailEnd/>
                          </a:ln>
                        </pic:spPr>
                      </pic:pic>
                    </a:graphicData>
                  </a:graphic>
                </wp:inline>
              </w:drawing>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废品收购站收集并打包好的各种废铝混合料</w:t>
            </w:r>
          </w:p>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（2）废铝混合料来源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项目收集的废铝混合料全部由公司渠道部从市场采购，主要来源于废品收购站。</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（3）废铝混合料处理量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项目废铝混合料处理量设计能力为10万t/a。</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2.5.2 一体化污水处理设施消毒剂用量及性质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根据一体化污水处理设施的设计及其参数，使用次氯酸钠作为消毒剂，年使用量为50kg；由于其遇碱会发生反应，且用量极少，因此单独暂存于办公区内。其性质如下表所示。</w:t>
            </w:r>
          </w:p>
          <w:p>
            <w:pPr>
              <w:jc w:val="center"/>
              <w:rPr>
                <w:rFonts w:ascii="Times New Roman" w:hAnsi="Times New Roman" w:cs="Times New Roman"/>
                <w:b/>
                <w:szCs w:val="24"/>
              </w:rPr>
            </w:pPr>
            <w:r>
              <w:rPr>
                <w:rFonts w:ascii="Times New Roman" w:hAnsi="Times New Roman" w:cs="Times New Roman"/>
                <w:b/>
                <w:szCs w:val="24"/>
              </w:rPr>
              <w:t>表2.5.2-1 次氯酸钠物质特性一览表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705"/>
              <w:gridCol w:w="1091"/>
              <w:gridCol w:w="1599"/>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次氯酸钠</w:t>
                  </w: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文别名：</w:t>
                  </w:r>
                </w:p>
              </w:tc>
              <w:tc>
                <w:tcPr>
                  <w:tcW w:w="10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次氯酸钠</w:t>
                  </w:r>
                </w:p>
              </w:tc>
              <w:tc>
                <w:tcPr>
                  <w:tcW w:w="159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英文名称：</w:t>
                  </w:r>
                </w:p>
              </w:tc>
              <w:tc>
                <w:tcPr>
                  <w:tcW w:w="319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CAS号：</w:t>
                  </w:r>
                </w:p>
              </w:tc>
              <w:tc>
                <w:tcPr>
                  <w:tcW w:w="10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7681-52-9</w:t>
                  </w:r>
                </w:p>
              </w:tc>
              <w:tc>
                <w:tcPr>
                  <w:tcW w:w="1599" w:type="dxa"/>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UN号：</w:t>
                  </w:r>
                </w:p>
              </w:tc>
              <w:tc>
                <w:tcPr>
                  <w:tcW w:w="319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危险性类别：</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GHS警示词：</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危险性说明：</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理化特性：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燃烧与爆炸危险性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活性反应：</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禁忌物：</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毒性：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LD50：8500mg/kg（大鼠腹腔）</w:t>
                  </w:r>
                </w:p>
              </w:tc>
            </w:tr>
          </w:tbl>
          <w:p>
            <w:pPr>
              <w:autoSpaceDE w:val="0"/>
              <w:autoSpaceDN w:val="0"/>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2.5.3 能源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项目使用能源主要电能。根据可研报告，项目用电量为36万kW.h/a。</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2.6 水平衡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根据项目建设内容及生产工艺，该项目不进行设备清洗等，项目用水类型主要为生活用水和绿化用水，而废水产生类型包括生活污水和初期雨水。具体产排情况核算如下：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①生活污水产排核算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特点，该项目拟设置员工32人，在项目区食宿。根据《云南省地方标准用水定额》（DB53/T168-2019），在项目食宿员工用水量取100L/d·人，则生活用水量3.2m³/d，合计为960m³/a；废水率按80%计，则废水量为2.56m³/d，合计为768m³/a；其中食堂废水约为1.6m³/d，合计为384m³/a。</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根据类比调查，生活污水水质如下表所示。</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bCs/>
                <w:kern w:val="0"/>
              </w:rPr>
            </w:pPr>
            <w:r>
              <w:rPr>
                <w:rFonts w:ascii="Times New Roman" w:hAnsi="Times New Roman" w:cs="Times New Roman"/>
                <w:b/>
                <w:bCs/>
                <w:kern w:val="0"/>
              </w:rPr>
              <w:t>表2.6-1 生活污水水质指标一览表 mg/L</w:t>
            </w:r>
          </w:p>
          <w:tbl>
            <w:tblPr>
              <w:tblStyle w:val="18"/>
              <w:tblW w:w="8603" w:type="dxa"/>
              <w:jc w:val="center"/>
              <w:tblInd w:w="0" w:type="dxa"/>
              <w:tblLayout w:type="fixed"/>
              <w:tblCellMar>
                <w:top w:w="0" w:type="dxa"/>
                <w:left w:w="108" w:type="dxa"/>
                <w:bottom w:w="0" w:type="dxa"/>
                <w:right w:w="108" w:type="dxa"/>
              </w:tblCellMar>
            </w:tblPr>
            <w:tblGrid>
              <w:gridCol w:w="736"/>
              <w:gridCol w:w="790"/>
              <w:gridCol w:w="823"/>
              <w:gridCol w:w="730"/>
              <w:gridCol w:w="560"/>
              <w:gridCol w:w="842"/>
              <w:gridCol w:w="553"/>
              <w:gridCol w:w="546"/>
              <w:gridCol w:w="675"/>
              <w:gridCol w:w="1070"/>
              <w:gridCol w:w="1278"/>
            </w:tblGrid>
            <w:tr>
              <w:tblPrEx>
                <w:tblLayout w:type="fixed"/>
                <w:tblCellMar>
                  <w:top w:w="0" w:type="dxa"/>
                  <w:left w:w="108" w:type="dxa"/>
                  <w:bottom w:w="0" w:type="dxa"/>
                  <w:right w:w="108" w:type="dxa"/>
                </w:tblCellMar>
              </w:tblPrEx>
              <w:trPr>
                <w:trHeight w:val="149" w:hRule="atLeast"/>
                <w:jc w:val="center"/>
              </w:trPr>
              <w:tc>
                <w:tcPr>
                  <w:tcW w:w="736" w:type="dxa"/>
                  <w:vMerge w:val="restart"/>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污染物</w:t>
                  </w:r>
                </w:p>
              </w:tc>
              <w:tc>
                <w:tcPr>
                  <w:tcW w:w="7867" w:type="dxa"/>
                  <w:gridSpan w:val="10"/>
                  <w:tcBorders>
                    <w:top w:val="single" w:color="auto" w:sz="8" w:space="0"/>
                    <w:left w:val="nil"/>
                    <w:bottom w:val="single" w:color="auto" w:sz="8"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污染物（mg/L）</w:t>
                  </w:r>
                </w:p>
              </w:tc>
            </w:tr>
            <w:tr>
              <w:tblPrEx>
                <w:tblLayout w:type="fixed"/>
                <w:tblCellMar>
                  <w:top w:w="0" w:type="dxa"/>
                  <w:left w:w="108" w:type="dxa"/>
                  <w:bottom w:w="0" w:type="dxa"/>
                  <w:right w:w="108" w:type="dxa"/>
                </w:tblCellMar>
              </w:tblPrEx>
              <w:trPr>
                <w:trHeight w:val="285" w:hRule="atLeast"/>
                <w:jc w:val="center"/>
              </w:trPr>
              <w:tc>
                <w:tcPr>
                  <w:tcW w:w="736"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790"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pH</w:t>
                  </w:r>
                </w:p>
              </w:tc>
              <w:tc>
                <w:tcPr>
                  <w:tcW w:w="823"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CODcr</w:t>
                  </w:r>
                </w:p>
              </w:tc>
              <w:tc>
                <w:tcPr>
                  <w:tcW w:w="730"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560"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SS</w:t>
                  </w:r>
                </w:p>
              </w:tc>
              <w:tc>
                <w:tcPr>
                  <w:tcW w:w="842"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553"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TN</w:t>
                  </w:r>
                </w:p>
              </w:tc>
              <w:tc>
                <w:tcPr>
                  <w:tcW w:w="546" w:type="dxa"/>
                  <w:tcBorders>
                    <w:top w:val="nil"/>
                    <w:left w:val="nil"/>
                    <w:bottom w:val="single" w:color="auto" w:sz="8"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TP</w:t>
                  </w:r>
                </w:p>
              </w:tc>
              <w:tc>
                <w:tcPr>
                  <w:tcW w:w="675" w:type="dxa"/>
                  <w:tcBorders>
                    <w:top w:val="nil"/>
                    <w:left w:val="nil"/>
                    <w:bottom w:val="single" w:color="auto" w:sz="8"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动植物油</w:t>
                  </w:r>
                </w:p>
              </w:tc>
              <w:tc>
                <w:tcPr>
                  <w:tcW w:w="1070" w:type="dxa"/>
                  <w:tcBorders>
                    <w:top w:val="nil"/>
                    <w:left w:val="nil"/>
                    <w:bottom w:val="single" w:color="auto" w:sz="8"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阴离子表面活性剂</w:t>
                  </w:r>
                </w:p>
              </w:tc>
              <w:tc>
                <w:tcPr>
                  <w:tcW w:w="1278" w:type="dxa"/>
                  <w:tcBorders>
                    <w:top w:val="nil"/>
                    <w:left w:val="nil"/>
                    <w:bottom w:val="single" w:color="auto" w:sz="8"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736" w:type="dxa"/>
                  <w:tcBorders>
                    <w:top w:val="nil"/>
                    <w:left w:val="single" w:color="auto" w:sz="8" w:space="0"/>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生活污水</w:t>
                  </w:r>
                </w:p>
              </w:tc>
              <w:tc>
                <w:tcPr>
                  <w:tcW w:w="790"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6-9</w:t>
                  </w:r>
                </w:p>
              </w:tc>
              <w:tc>
                <w:tcPr>
                  <w:tcW w:w="823"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350</w:t>
                  </w:r>
                </w:p>
              </w:tc>
              <w:tc>
                <w:tcPr>
                  <w:tcW w:w="730"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220</w:t>
                  </w:r>
                </w:p>
              </w:tc>
              <w:tc>
                <w:tcPr>
                  <w:tcW w:w="560"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300</w:t>
                  </w:r>
                </w:p>
              </w:tc>
              <w:tc>
                <w:tcPr>
                  <w:tcW w:w="842"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38</w:t>
                  </w:r>
                </w:p>
              </w:tc>
              <w:tc>
                <w:tcPr>
                  <w:tcW w:w="553" w:type="dxa"/>
                  <w:tcBorders>
                    <w:top w:val="nil"/>
                    <w:left w:val="nil"/>
                    <w:bottom w:val="single" w:color="auto" w:sz="8" w:space="0"/>
                    <w:right w:val="single" w:color="auto" w:sz="8" w:space="0"/>
                  </w:tcBorders>
                  <w:vAlign w:val="center"/>
                </w:tcPr>
                <w:p>
                  <w:pPr>
                    <w:pStyle w:val="29"/>
                    <w:spacing w:line="360" w:lineRule="exact"/>
                    <w:rPr>
                      <w:rFonts w:eastAsiaTheme="minorEastAsia"/>
                      <w:color w:val="auto"/>
                      <w:szCs w:val="21"/>
                    </w:rPr>
                  </w:pPr>
                  <w:r>
                    <w:rPr>
                      <w:rFonts w:eastAsiaTheme="minorEastAsia"/>
                      <w:color w:val="auto"/>
                      <w:szCs w:val="21"/>
                    </w:rPr>
                    <w:t>45</w:t>
                  </w:r>
                </w:p>
              </w:tc>
              <w:tc>
                <w:tcPr>
                  <w:tcW w:w="546" w:type="dxa"/>
                  <w:tcBorders>
                    <w:top w:val="nil"/>
                    <w:left w:val="nil"/>
                    <w:bottom w:val="single" w:color="auto" w:sz="8"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8</w:t>
                  </w:r>
                </w:p>
              </w:tc>
              <w:tc>
                <w:tcPr>
                  <w:tcW w:w="675" w:type="dxa"/>
                  <w:tcBorders>
                    <w:top w:val="nil"/>
                    <w:left w:val="nil"/>
                    <w:bottom w:val="single" w:color="auto" w:sz="8"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100</w:t>
                  </w:r>
                </w:p>
              </w:tc>
              <w:tc>
                <w:tcPr>
                  <w:tcW w:w="1070"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w:t>
                  </w:r>
                </w:p>
              </w:tc>
              <w:tc>
                <w:tcPr>
                  <w:tcW w:w="127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16000</w:t>
                  </w:r>
                </w:p>
              </w:tc>
            </w:tr>
          </w:tbl>
          <w:p>
            <w:pPr>
              <w:spacing w:beforeLines="50"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②绿化用水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程内容可知，该项目绿化面积2300m²；根据《云南省地方标准用水定额》（DB53/T168-2019），绿化用水定额约为3L/（m²·次），则绿化用水量约为6.9m³/次，其中雨天不浇灌，非雨天1天1次，项目区域非雨天以255d计，则绿化用水量为1759.5m³/a。</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③初期雨水产排核算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rPr>
              <w:t>项目区初期雨水产生量按下述公式进行计算：</w:t>
            </w:r>
          </w:p>
          <w:p>
            <w:pPr>
              <w:spacing w:line="360" w:lineRule="auto"/>
              <w:jc w:val="center"/>
              <w:rPr>
                <w:rFonts w:ascii="Times New Roman" w:hAnsi="Times New Roman" w:cs="Times New Roman"/>
                <w:sz w:val="24"/>
              </w:rPr>
            </w:pPr>
            <w:r>
              <w:rPr>
                <w:rFonts w:ascii="Times New Roman" w:hAnsi="Times New Roman" w:cs="Times New Roman"/>
                <w:sz w:val="24"/>
              </w:rPr>
              <w:t>Qm=F·Hm·Ψ÷1000</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式中：Qm：最大径流量（m³）；</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F：汇水面积（m²）；</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Hm：降雨量（mm）；</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Ψ：径流系数，取0.6；</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汇水面积取雨水直接落到地面上的占地面积，该项目占地为15204.98m²，生产区域可能受污染区的占地面积约9123m²，考虑到项目区场地的硬化程度，径流系数取0.6。该区30年一遇最大日降雨量153.3mm，经计算项目区最大日雨水量为839.13m³，初期雨水主要产生于暴雨前15min，经计算，项目初期雨水产生量约为8.7m³/次，初期雨水的主要污染物为CODcr和SS，CODcr产生浓度约60mg/L、SS产生浓度约400mg/L。</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综上，该项目用排水情况详见下表。</w:t>
            </w:r>
          </w:p>
          <w:p>
            <w:pPr>
              <w:jc w:val="center"/>
              <w:rPr>
                <w:rFonts w:ascii="Times New Roman" w:hAnsi="Times New Roman" w:cs="Times New Roman"/>
                <w:b/>
                <w:bCs/>
                <w:kern w:val="0"/>
              </w:rPr>
            </w:pPr>
            <w:r>
              <w:rPr>
                <w:rFonts w:ascii="Times New Roman" w:hAnsi="Times New Roman" w:cs="Times New Roman"/>
                <w:b/>
                <w:bCs/>
                <w:kern w:val="0"/>
              </w:rPr>
              <w:t>表2.6-2  项目供排水情况一览表</w:t>
            </w:r>
          </w:p>
          <w:tbl>
            <w:tblPr>
              <w:tblStyle w:val="18"/>
              <w:tblW w:w="8598" w:type="dxa"/>
              <w:jc w:val="center"/>
              <w:tblInd w:w="0" w:type="dxa"/>
              <w:tblLayout w:type="fixed"/>
              <w:tblCellMar>
                <w:top w:w="0" w:type="dxa"/>
                <w:left w:w="108" w:type="dxa"/>
                <w:bottom w:w="0" w:type="dxa"/>
                <w:right w:w="108" w:type="dxa"/>
              </w:tblCellMar>
            </w:tblPr>
            <w:tblGrid>
              <w:gridCol w:w="1453"/>
              <w:gridCol w:w="1264"/>
              <w:gridCol w:w="1593"/>
              <w:gridCol w:w="1065"/>
              <w:gridCol w:w="1074"/>
              <w:gridCol w:w="1079"/>
              <w:gridCol w:w="1070"/>
            </w:tblGrid>
            <w:tr>
              <w:tblPrEx>
                <w:tblLayout w:type="fixed"/>
                <w:tblCellMar>
                  <w:top w:w="0" w:type="dxa"/>
                  <w:left w:w="108" w:type="dxa"/>
                  <w:bottom w:w="0" w:type="dxa"/>
                  <w:right w:w="108" w:type="dxa"/>
                </w:tblCellMar>
              </w:tblPrEx>
              <w:trPr>
                <w:trHeight w:val="67" w:hRule="atLeast"/>
                <w:jc w:val="center"/>
              </w:trPr>
              <w:tc>
                <w:tcPr>
                  <w:tcW w:w="14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用水单元</w:t>
                  </w:r>
                </w:p>
              </w:tc>
              <w:tc>
                <w:tcPr>
                  <w:tcW w:w="12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规模</w:t>
                  </w:r>
                </w:p>
              </w:tc>
              <w:tc>
                <w:tcPr>
                  <w:tcW w:w="15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用水定额</w:t>
                  </w:r>
                </w:p>
              </w:tc>
              <w:tc>
                <w:tcPr>
                  <w:tcW w:w="2139" w:type="dxa"/>
                  <w:gridSpan w:val="2"/>
                  <w:tcBorders>
                    <w:top w:val="single" w:color="auto" w:sz="8" w:space="0"/>
                    <w:left w:val="nil"/>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用水量</w:t>
                  </w:r>
                </w:p>
              </w:tc>
              <w:tc>
                <w:tcPr>
                  <w:tcW w:w="2149" w:type="dxa"/>
                  <w:gridSpan w:val="2"/>
                  <w:tcBorders>
                    <w:top w:val="single" w:color="auto" w:sz="8" w:space="0"/>
                    <w:left w:val="nil"/>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废水量</w:t>
                  </w:r>
                </w:p>
              </w:tc>
            </w:tr>
            <w:tr>
              <w:tblPrEx>
                <w:tblLayout w:type="fixed"/>
                <w:tblCellMar>
                  <w:top w:w="0" w:type="dxa"/>
                  <w:left w:w="108" w:type="dxa"/>
                  <w:bottom w:w="0" w:type="dxa"/>
                  <w:right w:w="108" w:type="dxa"/>
                </w:tblCellMar>
              </w:tblPrEx>
              <w:trPr>
                <w:trHeight w:val="285" w:hRule="atLeast"/>
                <w:jc w:val="center"/>
              </w:trPr>
              <w:tc>
                <w:tcPr>
                  <w:tcW w:w="1453" w:type="dxa"/>
                  <w:vMerge w:val="continue"/>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auto"/>
                    </w:rPr>
                  </w:pPr>
                </w:p>
              </w:tc>
              <w:tc>
                <w:tcPr>
                  <w:tcW w:w="1264"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p>
              </w:tc>
              <w:tc>
                <w:tcPr>
                  <w:tcW w:w="1593"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m³/d</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m³/a</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m³/d</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m³/a</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auto"/>
                    </w:rPr>
                  </w:pPr>
                  <w:r>
                    <w:rPr>
                      <w:rFonts w:eastAsiaTheme="minorEastAsia"/>
                      <w:color w:val="auto"/>
                    </w:rPr>
                    <w:t>生活用水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r>
                    <w:rPr>
                      <w:rFonts w:eastAsiaTheme="minorEastAsia"/>
                      <w:color w:val="auto"/>
                    </w:rPr>
                    <w:t>32人</w:t>
                  </w:r>
                </w:p>
              </w:tc>
              <w:tc>
                <w:tcPr>
                  <w:tcW w:w="1593"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r>
                    <w:rPr>
                      <w:rFonts w:eastAsiaTheme="minorEastAsia"/>
                      <w:color w:val="auto"/>
                    </w:rPr>
                    <w:t>100L/d·人</w:t>
                  </w: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3.2</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960</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2.56</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768</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auto"/>
                    </w:rPr>
                  </w:pPr>
                  <w:r>
                    <w:rPr>
                      <w:rFonts w:eastAsiaTheme="minorEastAsia"/>
                      <w:color w:val="auto"/>
                    </w:rPr>
                    <w:t>绿化用水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r>
                    <w:rPr>
                      <w:rFonts w:eastAsiaTheme="minorEastAsia"/>
                      <w:color w:val="auto"/>
                    </w:rPr>
                    <w:t>2300m²</w:t>
                  </w:r>
                </w:p>
              </w:tc>
              <w:tc>
                <w:tcPr>
                  <w:tcW w:w="1593"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r>
                    <w:rPr>
                      <w:rFonts w:eastAsiaTheme="minorEastAsia"/>
                      <w:color w:val="auto"/>
                    </w:rPr>
                    <w:t>3L/（m²·次）</w:t>
                  </w: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6.9</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1759.5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0</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初期雨水</w:t>
                  </w:r>
                </w:p>
              </w:tc>
              <w:tc>
                <w:tcPr>
                  <w:tcW w:w="2857" w:type="dxa"/>
                  <w:gridSpan w:val="2"/>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可能受污染区9123m²</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0</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0</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8.7m³/次</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w:t>
                  </w:r>
                </w:p>
              </w:tc>
            </w:tr>
            <w:tr>
              <w:tblPrEx>
                <w:tblLayout w:type="fixed"/>
                <w:tblCellMar>
                  <w:top w:w="0" w:type="dxa"/>
                  <w:left w:w="108" w:type="dxa"/>
                  <w:bottom w:w="0" w:type="dxa"/>
                  <w:right w:w="108" w:type="dxa"/>
                </w:tblCellMar>
              </w:tblPrEx>
              <w:trPr>
                <w:trHeight w:val="330" w:hRule="atLeast"/>
                <w:jc w:val="center"/>
              </w:trPr>
              <w:tc>
                <w:tcPr>
                  <w:tcW w:w="14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合计</w:t>
                  </w:r>
                </w:p>
              </w:tc>
              <w:tc>
                <w:tcPr>
                  <w:tcW w:w="126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w:t>
                  </w:r>
                </w:p>
              </w:tc>
              <w:tc>
                <w:tcPr>
                  <w:tcW w:w="1593"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10.1</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2719.5</w:t>
                  </w:r>
                </w:p>
              </w:tc>
              <w:tc>
                <w:tcPr>
                  <w:tcW w:w="1079" w:type="dxa"/>
                  <w:tcBorders>
                    <w:top w:val="single" w:color="auto" w:sz="8" w:space="0"/>
                    <w:left w:val="nil"/>
                    <w:bottom w:val="single" w:color="auto" w:sz="8" w:space="0"/>
                    <w:right w:val="single" w:color="auto" w:sz="4" w:space="0"/>
                  </w:tcBorders>
                  <w:shd w:val="clear" w:color="auto" w:fill="auto"/>
                  <w:vAlign w:val="center"/>
                </w:tcPr>
                <w:p>
                  <w:pPr>
                    <w:pStyle w:val="29"/>
                    <w:spacing w:line="360" w:lineRule="exact"/>
                    <w:rPr>
                      <w:rFonts w:eastAsiaTheme="minorEastAsia"/>
                      <w:color w:val="auto"/>
                    </w:rPr>
                  </w:pPr>
                  <w:r>
                    <w:rPr>
                      <w:rFonts w:eastAsiaTheme="minorEastAsia"/>
                      <w:color w:val="auto"/>
                    </w:rPr>
                    <w:t>2.56</w:t>
                  </w:r>
                </w:p>
              </w:tc>
              <w:tc>
                <w:tcPr>
                  <w:tcW w:w="1070"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768</w:t>
                  </w:r>
                </w:p>
              </w:tc>
            </w:tr>
          </w:tbl>
          <w:p>
            <w:pPr>
              <w:pStyle w:val="37"/>
              <w:spacing w:beforeLines="50"/>
              <w:ind w:firstLine="480"/>
              <w:rPr>
                <w:rFonts w:eastAsiaTheme="minorEastAsia"/>
                <w:szCs w:val="24"/>
              </w:rPr>
            </w:pPr>
            <w:r>
              <w:rPr>
                <w:rFonts w:eastAsiaTheme="minorEastAsia"/>
                <w:szCs w:val="24"/>
              </w:rPr>
              <w:fldChar w:fldCharType="begin"/>
            </w:r>
            <w:r>
              <w:rPr>
                <w:rFonts w:eastAsiaTheme="minorEastAsia"/>
                <w:szCs w:val="24"/>
              </w:rPr>
              <w:instrText xml:space="preserve"> = 1 \* GB2 </w:instrText>
            </w:r>
            <w:r>
              <w:rPr>
                <w:rFonts w:eastAsiaTheme="minorEastAsia"/>
                <w:szCs w:val="24"/>
              </w:rPr>
              <w:fldChar w:fldCharType="separate"/>
            </w:r>
            <w:r>
              <w:rPr>
                <w:rFonts w:eastAsiaTheme="minorEastAsia"/>
                <w:szCs w:val="24"/>
              </w:rPr>
              <w:t>⑴</w:t>
            </w:r>
            <w:r>
              <w:rPr>
                <w:rFonts w:eastAsiaTheme="minorEastAsia"/>
                <w:szCs w:val="24"/>
              </w:rPr>
              <w:fldChar w:fldCharType="end"/>
            </w:r>
            <w:r>
              <w:rPr>
                <w:rFonts w:eastAsiaTheme="minorEastAsia"/>
                <w:szCs w:val="24"/>
              </w:rPr>
              <w:t>非雨天水平衡如下图所示。</w:t>
            </w:r>
          </w:p>
          <w:p>
            <w:pPr>
              <w:jc w:val="center"/>
              <w:rPr>
                <w:rFonts w:ascii="Times New Roman" w:hAnsi="Times New Roman" w:cs="Times New Roman"/>
                <w:b/>
                <w:bCs/>
                <w:kern w:val="0"/>
              </w:rPr>
            </w:pPr>
            <w:r>
              <w:rPr>
                <w:rFonts w:ascii="Times New Roman" w:hAnsi="Times New Roman" w:cs="Times New Roman"/>
              </w:rPr>
              <w:object>
                <v:shape id="_x0000_i1025" o:spt="75" type="#_x0000_t75" style="height:235.8pt;width:414.6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center"/>
              <w:rPr>
                <w:rFonts w:ascii="Times New Roman" w:hAnsi="Times New Roman" w:cs="Times New Roman"/>
                <w:b/>
                <w:bCs/>
                <w:kern w:val="0"/>
              </w:rPr>
            </w:pPr>
            <w:r>
              <w:rPr>
                <w:rFonts w:ascii="Times New Roman" w:hAnsi="Times New Roman" w:cs="Times New Roman"/>
                <w:b/>
                <w:bCs/>
                <w:kern w:val="0"/>
              </w:rPr>
              <w:t>图2.6-1 项目非雨天水平衡水平衡图 m³/d</w:t>
            </w:r>
          </w:p>
          <w:p>
            <w:pPr>
              <w:pStyle w:val="37"/>
              <w:spacing w:beforeLines="50"/>
              <w:ind w:firstLine="480"/>
              <w:rPr>
                <w:rFonts w:eastAsiaTheme="minorEastAsia"/>
                <w:szCs w:val="24"/>
              </w:rPr>
            </w:pPr>
            <w:r>
              <w:rPr>
                <w:rFonts w:eastAsiaTheme="minorEastAsia"/>
                <w:szCs w:val="24"/>
              </w:rPr>
              <w:fldChar w:fldCharType="begin"/>
            </w:r>
            <w:r>
              <w:rPr>
                <w:rFonts w:eastAsiaTheme="minorEastAsia"/>
                <w:szCs w:val="24"/>
              </w:rPr>
              <w:instrText xml:space="preserve"> = 2 \* GB2 </w:instrText>
            </w:r>
            <w:r>
              <w:rPr>
                <w:rFonts w:eastAsiaTheme="minorEastAsia"/>
                <w:szCs w:val="24"/>
              </w:rPr>
              <w:fldChar w:fldCharType="separate"/>
            </w:r>
            <w:r>
              <w:rPr>
                <w:rFonts w:eastAsiaTheme="minorEastAsia"/>
                <w:szCs w:val="24"/>
              </w:rPr>
              <w:t>⑵</w:t>
            </w:r>
            <w:r>
              <w:rPr>
                <w:rFonts w:eastAsiaTheme="minorEastAsia"/>
                <w:szCs w:val="24"/>
              </w:rPr>
              <w:fldChar w:fldCharType="end"/>
            </w:r>
            <w:r>
              <w:rPr>
                <w:rFonts w:eastAsiaTheme="minorEastAsia"/>
                <w:szCs w:val="24"/>
              </w:rPr>
              <w:t>雨天水平衡如下图所示。</w:t>
            </w:r>
          </w:p>
          <w:p>
            <w:pPr>
              <w:jc w:val="center"/>
              <w:rPr>
                <w:rFonts w:ascii="Times New Roman" w:hAnsi="Times New Roman" w:cs="Times New Roman"/>
                <w:b/>
                <w:bCs/>
                <w:kern w:val="0"/>
              </w:rPr>
            </w:pPr>
            <w:r>
              <w:rPr>
                <w:rFonts w:ascii="Times New Roman" w:hAnsi="Times New Roman" w:cs="Times New Roman"/>
                <w:b/>
                <w:bCs/>
                <w:kern w:val="0"/>
              </w:rPr>
              <w:object>
                <v:shape id="_x0000_i1026" o:spt="75" type="#_x0000_t75" style="height:324pt;width:414.6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jc w:val="center"/>
              <w:rPr>
                <w:rFonts w:ascii="Times New Roman" w:hAnsi="Times New Roman" w:cs="Times New Roman"/>
                <w:b/>
                <w:bCs/>
                <w:kern w:val="0"/>
              </w:rPr>
            </w:pPr>
            <w:r>
              <w:rPr>
                <w:rFonts w:ascii="Times New Roman" w:hAnsi="Times New Roman" w:cs="Times New Roman"/>
                <w:b/>
                <w:bCs/>
                <w:kern w:val="0"/>
              </w:rPr>
              <w:t>图2.6-2 项目雨天水平衡图 m³/d</w:t>
            </w:r>
          </w:p>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2.7 劳动定员及工作制度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根据设计，该项目劳动定员为32人，每天生产24h，分3班值，每班8h；年生产300d；员工在项目区食宿。</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2.8 项目建设进度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项目根据各项手续的办理情况，拟定建设时间为2022年8月-2023年9月，建设期为12个月。</w:t>
            </w: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2.9 工艺流程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2.9.1 施工期工艺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该项目施工期工艺流程及产污节点如下图所示：</w:t>
            </w:r>
          </w:p>
          <w:p>
            <w:pPr>
              <w:jc w:val="center"/>
              <w:rPr>
                <w:rFonts w:ascii="Times New Roman" w:hAnsi="Times New Roman" w:cs="Times New Roman"/>
              </w:rPr>
            </w:pPr>
            <w:r>
              <w:rPr>
                <w:rFonts w:ascii="Times New Roman" w:hAnsi="Times New Roman" w:cs="Times New Roman"/>
              </w:rPr>
              <w:object>
                <v:shape id="_x0000_i1027" o:spt="75" type="#_x0000_t75" style="height:142.8pt;width:418.8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pPr>
              <w:jc w:val="center"/>
              <w:rPr>
                <w:rFonts w:ascii="Times New Roman" w:hAnsi="Times New Roman" w:eastAsia="宋体" w:cs="Times New Roman"/>
                <w:b/>
                <w:szCs w:val="24"/>
              </w:rPr>
            </w:pPr>
            <w:r>
              <w:rPr>
                <w:rFonts w:ascii="Times New Roman" w:hAnsi="Times New Roman" w:eastAsia="宋体" w:cs="Times New Roman"/>
                <w:b/>
                <w:szCs w:val="24"/>
              </w:rPr>
              <w:t>图2.8.1-1  施工阶段程序及污染流程图</w:t>
            </w:r>
          </w:p>
          <w:p>
            <w:pPr>
              <w:spacing w:beforeLines="50"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施工工艺流程简述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施工期包括场地平整，生产车间建设、办公楼及环保设施建设等。主要为施工废气、施工废水、施工噪声、施工固废等。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2.9.2 运营期生产工艺</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项目工艺流程图示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根据设计，该项目工艺流程如下图所示。</w:t>
            </w:r>
          </w:p>
          <w:p>
            <w:pPr>
              <w:jc w:val="center"/>
              <w:rPr>
                <w:rFonts w:ascii="Times New Roman" w:hAnsi="Times New Roman" w:cs="Times New Roman"/>
                <w:b/>
                <w:bCs/>
                <w:kern w:val="0"/>
              </w:rPr>
            </w:pPr>
            <w:r>
              <w:object>
                <v:shape id="_x0000_i1028" o:spt="75" type="#_x0000_t75" style="height:277.2pt;width:361.2pt;" o:ole="t" filled="f" o:preferrelative="t" stroked="f" coordsize="21600,21600">
                  <v:path/>
                  <v:fill on="f" focussize="0,0"/>
                  <v:stroke on="f" joinstyle="miter"/>
                  <v:imagedata r:id="rId13" o:title=""/>
                  <o:lock v:ext="edit" aspectratio="t"/>
                  <w10:wrap type="none"/>
                  <w10:anchorlock/>
                </v:shape>
                <o:OLEObject Type="Embed" ProgID="Visio.Drawing.11" ShapeID="_x0000_i1028" DrawAspect="Content" ObjectID="_1468075728" r:id="rId12">
                  <o:LockedField>false</o:LockedField>
                </o:OLEObject>
              </w:object>
            </w:r>
          </w:p>
          <w:p>
            <w:pPr>
              <w:jc w:val="center"/>
              <w:rPr>
                <w:rFonts w:ascii="Times New Roman" w:hAnsi="Times New Roman" w:cs="Times New Roman"/>
                <w:b/>
                <w:bCs/>
                <w:kern w:val="0"/>
              </w:rPr>
            </w:pPr>
            <w:r>
              <w:rPr>
                <w:rFonts w:ascii="Times New Roman" w:hAnsi="Times New Roman" w:cs="Times New Roman"/>
                <w:b/>
                <w:bCs/>
                <w:kern w:val="0"/>
              </w:rPr>
              <w:t>图2.9.2-1  该项目生产工艺及产污流程示意图</w:t>
            </w:r>
          </w:p>
          <w:p>
            <w:pPr>
              <w:spacing w:beforeLines="50"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项目生产工艺简述：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项目主要工艺具体如下：</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（1）破碎</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的主要目的为废铝回收，项目从废品收购站收集各种含废铝废料，包括废铝合金、废铝型材、废铝板、废铝易拉罐、废铝板下脚料、废铝铸件、废生铝、废铝管材、废铝线、废铝模、废铝边角料等各种含废铝物料。项目共设置两条生产线，每条生产线设置1套破碎机将含废铝物料破碎至一定尺寸，成分离状态。</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破碎工序主要污染物为粉尘和噪声，针对破碎工序粉尘，项目拟对其产尘点设置集气罩将粉尘进行收集并进入1台处置效率不低于95%的布袋除尘器处理，处理后通过1根高15m、Φ0.4m的排气筒（DA001）外排。针对破碎噪声，项目拟对该工序设置隔音房进行降噪。</w:t>
            </w:r>
          </w:p>
          <w:p>
            <w:pPr>
              <w:spacing w:line="360" w:lineRule="auto"/>
              <w:ind w:firstLine="361" w:firstLineChars="150"/>
              <w:rPr>
                <w:rFonts w:ascii="Times New Roman" w:hAnsi="Times New Roman" w:cs="Times New Roman"/>
                <w:b/>
                <w:bCs/>
                <w:sz w:val="24"/>
                <w:szCs w:val="24"/>
              </w:rPr>
            </w:pPr>
            <w:r>
              <w:rPr>
                <w:rFonts w:hint="eastAsia" w:ascii="Times New Roman" w:hAnsi="Times New Roman" w:cs="Times New Roman"/>
                <w:b/>
                <w:bCs/>
                <w:sz w:val="24"/>
                <w:szCs w:val="24"/>
              </w:rPr>
              <w:t>（2）筛分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由于项目经</w:t>
            </w:r>
            <w:r>
              <w:rPr>
                <w:rFonts w:ascii="Times New Roman" w:hAnsi="Times New Roman" w:cs="Times New Roman"/>
                <w:sz w:val="24"/>
                <w:szCs w:val="24"/>
              </w:rPr>
              <w:t>破碎机</w:t>
            </w:r>
            <w:r>
              <w:rPr>
                <w:rFonts w:hint="eastAsia" w:ascii="Times New Roman" w:hAnsi="Times New Roman" w:cs="Times New Roman"/>
                <w:sz w:val="24"/>
                <w:szCs w:val="24"/>
              </w:rPr>
              <w:t>破碎后的块状</w:t>
            </w:r>
            <w:r>
              <w:rPr>
                <w:rFonts w:ascii="Times New Roman" w:hAnsi="Times New Roman" w:cs="Times New Roman"/>
                <w:sz w:val="24"/>
                <w:szCs w:val="24"/>
              </w:rPr>
              <w:t>含废铝物料尺寸</w:t>
            </w:r>
            <w:r>
              <w:rPr>
                <w:rFonts w:hint="eastAsia" w:ascii="Times New Roman" w:hAnsi="Times New Roman" w:cs="Times New Roman"/>
                <w:sz w:val="24"/>
                <w:szCs w:val="24"/>
              </w:rPr>
              <w:t>大小不一，大料不利于分选，因此项目拟设置1台筛分对破碎后的物料进行筛分，筛分后的大料返回破碎工序，小料则</w:t>
            </w:r>
            <w:r>
              <w:rPr>
                <w:rFonts w:ascii="Times New Roman" w:hAnsi="Times New Roman" w:cs="Times New Roman"/>
                <w:sz w:val="24"/>
                <w:szCs w:val="24"/>
              </w:rPr>
              <w:t>由对应分选设备对废铝进行分选</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项目筛分设置属于全密闭式筛分设备，物料在设备内部进行筛分，因此筛分工序基本无粉尘外溢，该工序污染物主要为噪声。</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w:t>
            </w:r>
            <w:r>
              <w:rPr>
                <w:rFonts w:hint="eastAsia" w:ascii="Times New Roman" w:hAnsi="Times New Roman" w:cs="Times New Roman"/>
                <w:b/>
                <w:bCs/>
                <w:sz w:val="24"/>
                <w:szCs w:val="24"/>
              </w:rPr>
              <w:t>3</w:t>
            </w:r>
            <w:r>
              <w:rPr>
                <w:rFonts w:ascii="Times New Roman" w:hAnsi="Times New Roman" w:cs="Times New Roman"/>
                <w:b/>
                <w:bCs/>
                <w:sz w:val="24"/>
                <w:szCs w:val="24"/>
              </w:rPr>
              <w:t>）磁选</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由于项目原料为废料，其原料中含有钢铁、塑料及其他有色金属等杂物，因此项目每条生产线设置1套磁选机对破碎后的废料进行磁吸，去除物料中的废铁料。</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磁选工序主要污染物</w:t>
            </w:r>
            <w:r>
              <w:rPr>
                <w:rFonts w:hint="eastAsia" w:ascii="Times New Roman" w:hAnsi="Times New Roman" w:cs="Times New Roman"/>
                <w:bCs/>
                <w:sz w:val="24"/>
                <w:szCs w:val="24"/>
              </w:rPr>
              <w:t>为</w:t>
            </w:r>
            <w:r>
              <w:rPr>
                <w:rFonts w:ascii="Times New Roman" w:hAnsi="Times New Roman" w:cs="Times New Roman"/>
                <w:bCs/>
                <w:sz w:val="24"/>
                <w:szCs w:val="24"/>
              </w:rPr>
              <w:t>废铁料，废铁料外卖相关回收公司作为生产原料再利用。</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w:t>
            </w:r>
            <w:r>
              <w:rPr>
                <w:rFonts w:hint="eastAsia" w:ascii="Times New Roman" w:hAnsi="Times New Roman" w:cs="Times New Roman"/>
                <w:b/>
                <w:bCs/>
                <w:sz w:val="24"/>
                <w:szCs w:val="24"/>
              </w:rPr>
              <w:t>4</w:t>
            </w:r>
            <w:r>
              <w:rPr>
                <w:rFonts w:ascii="Times New Roman" w:hAnsi="Times New Roman" w:cs="Times New Roman"/>
                <w:b/>
                <w:bCs/>
                <w:sz w:val="24"/>
                <w:szCs w:val="24"/>
              </w:rPr>
              <w:t>）涡电流分选</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经磁选后的废铝混合料中的主要成分为有色金属和塑料，项目每条生产线拟设置1套涡电流分选机进行有色金属和塑料分离。涡电流分选原理是废铝混合料碎料以一定的速度通过设备内的交变磁场时，非磁导体金属屑中会产生感应涡流。利用物料流与磁场的相对运动速度，从而对产生涡流的金属片、块产生推力的原理，使有色金属从</w:t>
            </w:r>
            <w:r>
              <w:fldChar w:fldCharType="begin"/>
            </w:r>
            <w:r>
              <w:instrText xml:space="preserve"> HYPERLINK "https://baike.sogou.com/lemma/ShowInnerLink.htm?lemmaId=117064&amp;ss_c=ssc.citiao.link" \t "_blank" </w:instrText>
            </w:r>
            <w:r>
              <w:fldChar w:fldCharType="separate"/>
            </w:r>
            <w:r>
              <w:rPr>
                <w:rFonts w:ascii="Times New Roman" w:hAnsi="Times New Roman" w:cs="Times New Roman"/>
                <w:bCs/>
                <w:sz w:val="24"/>
                <w:szCs w:val="24"/>
              </w:rPr>
              <w:t>混合物料</w:t>
            </w:r>
            <w:r>
              <w:rPr>
                <w:rFonts w:ascii="Times New Roman" w:hAnsi="Times New Roman" w:cs="Times New Roman"/>
                <w:bCs/>
                <w:sz w:val="24"/>
                <w:szCs w:val="24"/>
              </w:rPr>
              <w:fldChar w:fldCharType="end"/>
            </w:r>
            <w:r>
              <w:rPr>
                <w:rFonts w:ascii="Times New Roman" w:hAnsi="Times New Roman" w:cs="Times New Roman"/>
                <w:bCs/>
                <w:sz w:val="24"/>
                <w:szCs w:val="24"/>
              </w:rPr>
              <w:t>中分离出来。</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涡电流分选工序主要污染物</w:t>
            </w:r>
            <w:r>
              <w:rPr>
                <w:rFonts w:hint="eastAsia" w:ascii="Times New Roman" w:hAnsi="Times New Roman" w:cs="Times New Roman"/>
                <w:bCs/>
                <w:sz w:val="24"/>
                <w:szCs w:val="24"/>
              </w:rPr>
              <w:t>为</w:t>
            </w:r>
            <w:r>
              <w:rPr>
                <w:rFonts w:ascii="Times New Roman" w:hAnsi="Times New Roman" w:cs="Times New Roman"/>
                <w:bCs/>
                <w:sz w:val="24"/>
                <w:szCs w:val="24"/>
              </w:rPr>
              <w:t>废塑料，废塑料外卖相关回收公司作为生产原料再利用。</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w:t>
            </w:r>
            <w:r>
              <w:rPr>
                <w:rFonts w:hint="eastAsia" w:ascii="Times New Roman" w:hAnsi="Times New Roman" w:cs="Times New Roman"/>
                <w:b/>
                <w:bCs/>
                <w:sz w:val="24"/>
                <w:szCs w:val="24"/>
              </w:rPr>
              <w:t>5</w:t>
            </w:r>
            <w:r>
              <w:rPr>
                <w:rFonts w:ascii="Times New Roman" w:hAnsi="Times New Roman" w:cs="Times New Roman"/>
                <w:b/>
                <w:bCs/>
                <w:sz w:val="24"/>
                <w:szCs w:val="24"/>
              </w:rPr>
              <w:t>）色选</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经涡电流分选后的废铝混合料中的主要成分为有色金属（含铝、铜、锌等），项目每条生产线拟设置1套色选机进行铝料和其他有色金属分离。色选是利用材料本身的色差，通过光电检测技术，进入色选机内分选室观察区的废铝混合料，在光源照射的条件下被高清相机捕捉，然后将图像传输到后台进行分析，与数据库铝料颜色进行比较，异色信号会触发电磁阀，空气压缩机中的空气从吹嘴中迅速吹出，打击异色物料，被击中的异色颗粒都会改变其运动轨迹，从而和铝料进行分离。经过上述各分选工序后即可得到铝料产品，外卖相关单位作为生产原料使用。</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色选工序主要污染物</w:t>
            </w:r>
            <w:r>
              <w:rPr>
                <w:rFonts w:hint="eastAsia" w:ascii="Times New Roman" w:hAnsi="Times New Roman" w:cs="Times New Roman"/>
                <w:bCs/>
                <w:sz w:val="24"/>
                <w:szCs w:val="24"/>
              </w:rPr>
              <w:t>为</w:t>
            </w:r>
            <w:r>
              <w:rPr>
                <w:rFonts w:ascii="Times New Roman" w:hAnsi="Times New Roman" w:cs="Times New Roman"/>
                <w:bCs/>
                <w:sz w:val="24"/>
                <w:szCs w:val="24"/>
              </w:rPr>
              <w:t>废有色金属杂料（铜、锌等），废有色金属杂料（铜、锌等）外卖相关回收公司作为生产原料再利用。</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2.10 产排污环节</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2.10.1 施工期产污环节</w:t>
            </w:r>
          </w:p>
          <w:p>
            <w:pPr>
              <w:spacing w:line="360" w:lineRule="auto"/>
              <w:ind w:firstLine="480" w:firstLineChars="200"/>
              <w:rPr>
                <w:rFonts w:ascii="Times New Roman" w:hAnsi="Times New Roman" w:cs="Times New Roman"/>
                <w:bCs/>
              </w:rPr>
            </w:pPr>
            <w:r>
              <w:rPr>
                <w:rFonts w:ascii="Times New Roman" w:hAnsi="Times New Roman" w:cs="Times New Roman"/>
                <w:bCs/>
                <w:sz w:val="24"/>
                <w:szCs w:val="24"/>
              </w:rPr>
              <w:t>施工期包括场地平整，生产车间建设、办公及生活设施改造，环保设施建设等。主要为施工废气、施工废水、施工噪声、施工固废等。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2.10.2 运营期产污环节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根据项目工艺流程可知，该项目运营期产污环节具体如下。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（1）运营期废气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根据项目建设内容及生产工艺，根据项目建设内容及生产工艺</w:t>
            </w:r>
            <w:r>
              <w:rPr>
                <w:rFonts w:hint="eastAsia" w:ascii="Times New Roman" w:hAnsi="Times New Roman" w:cs="Times New Roman"/>
                <w:sz w:val="24"/>
                <w:szCs w:val="24"/>
              </w:rPr>
              <w:t>，项目筛分设置属于全密闭式筛分设备，物料在设备内部进行筛分，因此筛分工序基本无粉尘外溢，</w:t>
            </w:r>
            <w:r>
              <w:rPr>
                <w:rFonts w:ascii="Times New Roman" w:hAnsi="Times New Roman" w:cs="Times New Roman"/>
                <w:sz w:val="24"/>
                <w:szCs w:val="24"/>
              </w:rPr>
              <w:t>项目产生的主要废气为破碎</w:t>
            </w:r>
            <w:r>
              <w:rPr>
                <w:rFonts w:hint="eastAsia" w:ascii="Times New Roman" w:hAnsi="Times New Roman" w:cs="Times New Roman"/>
                <w:sz w:val="24"/>
                <w:szCs w:val="24"/>
              </w:rPr>
              <w:t>工序</w:t>
            </w:r>
            <w:r>
              <w:rPr>
                <w:rFonts w:ascii="Times New Roman" w:hAnsi="Times New Roman" w:cs="Times New Roman"/>
                <w:sz w:val="24"/>
                <w:szCs w:val="24"/>
              </w:rPr>
              <w:t>产生的粉尘以及生活区产生的厨房油烟</w:t>
            </w:r>
            <w:r>
              <w:rPr>
                <w:rFonts w:hint="eastAsia" w:ascii="Times New Roman" w:hAnsi="Times New Roman" w:cs="Times New Roman"/>
                <w:sz w:val="24"/>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（2）运营期废水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根据项目建设内容及生产工艺，该项目不进行设备清洗等，项目用水类型主要为生活用水和绿化用水，而废水产生类型包括生活污水和初期雨水。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（3）运营期噪声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根据项目建设内容及生产工艺，项目噪声污染源主要为设备噪声。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（4）运营期固体废物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根据项目工程内容及生产工艺，项目主要固体废物包括：分选废料、收集粉尘、设备维修产生的废机油及废弃沾油抹布、生活垃圾、餐厨废物、隔油池浮油和污水处理设施污泥。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与项目有关的原有环境污染问题</w:t>
            </w:r>
          </w:p>
        </w:tc>
        <w:tc>
          <w:tcPr>
            <w:tcW w:w="8834"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该项目位于云南省东川再就业特区天生桥特色产业园区，根据调查，项目选址区域属于工业用地，但还未开发利用，基本无与该项目有关的环境问题。</w:t>
            </w: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三、区域环境质量现状、环境保护目标及评价标准</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3.1 环境质量现状</w:t>
            </w:r>
          </w:p>
          <w:p>
            <w:pPr>
              <w:pStyle w:val="37"/>
              <w:ind w:firstLine="482"/>
              <w:rPr>
                <w:rFonts w:eastAsiaTheme="minorEastAsia"/>
                <w:b/>
                <w:szCs w:val="24"/>
              </w:rPr>
            </w:pPr>
            <w:r>
              <w:rPr>
                <w:rFonts w:eastAsiaTheme="minorEastAsia"/>
                <w:b/>
                <w:szCs w:val="24"/>
              </w:rPr>
              <w:t>3.1.1 环境空气质量现状</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（1）常规污染物达标情况</w:t>
            </w:r>
          </w:p>
          <w:p>
            <w:pPr>
              <w:pStyle w:val="37"/>
              <w:ind w:firstLine="480"/>
              <w:rPr>
                <w:rFonts w:eastAsiaTheme="minorEastAsia"/>
                <w:szCs w:val="24"/>
              </w:rPr>
            </w:pPr>
            <w:r>
              <w:rPr>
                <w:rFonts w:eastAsiaTheme="minorEastAsia"/>
                <w:szCs w:val="24"/>
              </w:rPr>
              <w:t>该项目位于云南省东川再就业特区天生桥特色产业园，属于环境空气二类区，执行《环境空气质量标准》（GB3095-2012）二级标准。该园区属于东川区管辖的异地工业园区，该区域位于寻甸县境内；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（2）特征污染物达标情况</w:t>
            </w:r>
          </w:p>
          <w:p>
            <w:pPr>
              <w:pStyle w:val="37"/>
              <w:ind w:firstLine="480"/>
              <w:rPr>
                <w:rFonts w:eastAsiaTheme="minorEastAsia"/>
                <w:szCs w:val="24"/>
              </w:rPr>
            </w:pPr>
            <w:r>
              <w:rPr>
                <w:rFonts w:eastAsiaTheme="minorEastAsia"/>
                <w:szCs w:val="24"/>
              </w:rPr>
              <w:t>根据项目特点，该项目排放的特征污染物为TSP；根据《建设项目环境影响报告表编制技术指南》（污染影响类）（试行）的要求：“排放国家、地方环境空气质量标准中有标准限值要求的特征污染物时，引用建设项目周边5 千米范围内近3 年的现有监测数据”进行现状评价，</w:t>
            </w:r>
            <w:r>
              <w:rPr>
                <w:szCs w:val="24"/>
              </w:rPr>
              <w:t>根据调查，云南奥路土工材料有限公司位于本项目东南侧675m，该公司委托云南亚明环境监测科技有限公司于2020年6月26日至7月3日对项目区域TSP进行了环境质量现状监测，共设置了两个监测点位，1#监测点位位于项目东南侧725m处，2#监测点位位于项目区东侧986m处，满足引用条件，因此本环评引用其进行现状评价，其监测结果如下表所示。</w:t>
            </w:r>
          </w:p>
          <w:p>
            <w:pPr>
              <w:jc w:val="center"/>
              <w:rPr>
                <w:rFonts w:ascii="Times New Roman" w:hAnsi="Times New Roman" w:cs="Times New Roman"/>
                <w:b/>
                <w:szCs w:val="24"/>
              </w:rPr>
            </w:pPr>
            <w:r>
              <w:rPr>
                <w:rFonts w:ascii="Times New Roman" w:hAnsi="Times New Roman" w:cs="Times New Roman"/>
                <w:b/>
                <w:szCs w:val="24"/>
              </w:rPr>
              <w:t>表3.1.1-1 项目区域TSP日均值检测结果一览表   单位：mg/m³</w:t>
            </w:r>
          </w:p>
          <w:tbl>
            <w:tblPr>
              <w:tblStyle w:val="18"/>
              <w:tblW w:w="86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2181"/>
              <w:gridCol w:w="2388"/>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849" w:type="dxa"/>
                  <w:tcMar>
                    <w:top w:w="15" w:type="dxa"/>
                    <w:left w:w="15" w:type="dxa"/>
                    <w:bottom w:w="15" w:type="dxa"/>
                    <w:right w:w="15" w:type="dxa"/>
                  </w:tcMar>
                  <w:vAlign w:val="center"/>
                </w:tcPr>
                <w:p>
                  <w:pPr>
                    <w:pStyle w:val="29"/>
                    <w:spacing w:line="360" w:lineRule="exact"/>
                    <w:rPr>
                      <w:color w:val="auto"/>
                    </w:rPr>
                  </w:pPr>
                  <w:r>
                    <w:rPr>
                      <w:color w:val="auto"/>
                    </w:rPr>
                    <w:t>检测点位</w:t>
                  </w:r>
                </w:p>
              </w:tc>
              <w:tc>
                <w:tcPr>
                  <w:tcW w:w="2181" w:type="dxa"/>
                  <w:tcMar>
                    <w:top w:w="15" w:type="dxa"/>
                    <w:left w:w="15" w:type="dxa"/>
                    <w:bottom w:w="15" w:type="dxa"/>
                    <w:right w:w="15" w:type="dxa"/>
                  </w:tcMar>
                  <w:vAlign w:val="center"/>
                </w:tcPr>
                <w:p>
                  <w:pPr>
                    <w:pStyle w:val="29"/>
                    <w:spacing w:line="360" w:lineRule="exact"/>
                    <w:rPr>
                      <w:color w:val="auto"/>
                    </w:rPr>
                  </w:pPr>
                  <w:r>
                    <w:rPr>
                      <w:color w:val="auto"/>
                    </w:rPr>
                    <w:t>采样日期</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时间</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restart"/>
                  <w:tcMar>
                    <w:top w:w="15" w:type="dxa"/>
                    <w:left w:w="15" w:type="dxa"/>
                    <w:bottom w:w="15" w:type="dxa"/>
                    <w:right w:w="15" w:type="dxa"/>
                  </w:tcMar>
                  <w:vAlign w:val="center"/>
                </w:tcPr>
                <w:p>
                  <w:pPr>
                    <w:pStyle w:val="29"/>
                    <w:spacing w:line="360" w:lineRule="exact"/>
                    <w:rPr>
                      <w:color w:val="auto"/>
                    </w:rPr>
                  </w:pPr>
                  <w:r>
                    <w:rPr>
                      <w:rFonts w:eastAsiaTheme="minorEastAsia"/>
                      <w:color w:val="auto"/>
                      <w:szCs w:val="24"/>
                    </w:rPr>
                    <w:t>云南奥路土工材料有限公司厂界内（本项目东南侧725m处）</w:t>
                  </w: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2020/6/26-27</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10:10-（次日）10:10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2020/6/27-28</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10:15-（次日）10:15</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2020/6/28-29</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10:20-（次日）10:20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2020/6/29-30</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10:30-（次日）10:30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2020/6/30-7/1</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10:35-（次日）10:35</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2020/7/1-2</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10:45-（次日）10:45</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2020/7/2-3</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10:50-（次日）10:50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restart"/>
                  <w:tcMar>
                    <w:top w:w="15" w:type="dxa"/>
                    <w:left w:w="15" w:type="dxa"/>
                    <w:bottom w:w="15" w:type="dxa"/>
                    <w:right w:w="15" w:type="dxa"/>
                  </w:tcMar>
                  <w:vAlign w:val="center"/>
                </w:tcPr>
                <w:p>
                  <w:pPr>
                    <w:pStyle w:val="29"/>
                    <w:spacing w:line="360" w:lineRule="exact"/>
                    <w:rPr>
                      <w:color w:val="auto"/>
                    </w:rPr>
                  </w:pPr>
                  <w:r>
                    <w:rPr>
                      <w:color w:val="auto"/>
                    </w:rPr>
                    <w:t>黑泥沟村</w:t>
                  </w: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2020/6/26-27</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11:00-（次日）11:00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2020/6/27-28</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11:10-（次日）11:10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2020/6/28-29</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11:20-（次日）11:20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2020/6/29-30</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11:25-（次日）11:25</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2020/6/30-7/1</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11:30-（次日）11:30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2020/7/1-2</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11:40-（次日）11:40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29"/>
                    <w:spacing w:line="360" w:lineRule="exact"/>
                    <w:rPr>
                      <w:color w:val="auto"/>
                    </w:rPr>
                  </w:pPr>
                </w:p>
              </w:tc>
              <w:tc>
                <w:tcPr>
                  <w:tcW w:w="2181" w:type="dxa"/>
                  <w:tcMar>
                    <w:top w:w="15" w:type="dxa"/>
                    <w:left w:w="15" w:type="dxa"/>
                    <w:bottom w:w="15" w:type="dxa"/>
                    <w:right w:w="15" w:type="dxa"/>
                  </w:tcMar>
                  <w:vAlign w:val="center"/>
                </w:tcPr>
                <w:p>
                  <w:pPr>
                    <w:pStyle w:val="29"/>
                    <w:spacing w:line="360" w:lineRule="exact"/>
                    <w:rPr>
                      <w:color w:val="auto"/>
                    </w:rPr>
                  </w:pPr>
                  <w:r>
                    <w:rPr>
                      <w:color w:val="auto"/>
                    </w:rPr>
                    <w:t>2020/7/2-3</w:t>
                  </w:r>
                </w:p>
              </w:tc>
              <w:tc>
                <w:tcPr>
                  <w:tcW w:w="2388" w:type="dxa"/>
                  <w:tcMar>
                    <w:top w:w="15" w:type="dxa"/>
                    <w:left w:w="15" w:type="dxa"/>
                    <w:bottom w:w="15" w:type="dxa"/>
                    <w:right w:w="15" w:type="dxa"/>
                  </w:tcMar>
                  <w:vAlign w:val="center"/>
                </w:tcPr>
                <w:p>
                  <w:pPr>
                    <w:pStyle w:val="29"/>
                    <w:spacing w:line="360" w:lineRule="exact"/>
                    <w:rPr>
                      <w:color w:val="auto"/>
                    </w:rPr>
                  </w:pPr>
                  <w:r>
                    <w:rPr>
                      <w:color w:val="auto"/>
                    </w:rPr>
                    <w:t>11:50-（次日）11:50</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18" w:type="dxa"/>
                  <w:gridSpan w:val="3"/>
                  <w:tcMar>
                    <w:top w:w="15" w:type="dxa"/>
                    <w:left w:w="15" w:type="dxa"/>
                    <w:bottom w:w="15" w:type="dxa"/>
                    <w:right w:w="15" w:type="dxa"/>
                  </w:tcMar>
                  <w:vAlign w:val="center"/>
                </w:tcPr>
                <w:p>
                  <w:pPr>
                    <w:pStyle w:val="29"/>
                    <w:spacing w:line="360" w:lineRule="exact"/>
                    <w:rPr>
                      <w:color w:val="auto"/>
                    </w:rPr>
                  </w:pPr>
                  <w:r>
                    <w:rPr>
                      <w:color w:val="auto"/>
                    </w:rPr>
                    <w:t>标准值</w:t>
                  </w:r>
                </w:p>
              </w:tc>
              <w:tc>
                <w:tcPr>
                  <w:tcW w:w="2190" w:type="dxa"/>
                  <w:tcMar>
                    <w:top w:w="15" w:type="dxa"/>
                    <w:left w:w="15" w:type="dxa"/>
                    <w:bottom w:w="15" w:type="dxa"/>
                    <w:right w:w="15" w:type="dxa"/>
                  </w:tcMar>
                  <w:vAlign w:val="center"/>
                </w:tcPr>
                <w:p>
                  <w:pPr>
                    <w:pStyle w:val="29"/>
                    <w:spacing w:line="360" w:lineRule="exact"/>
                    <w:rPr>
                      <w:color w:val="auto"/>
                    </w:rPr>
                  </w:pPr>
                  <w:r>
                    <w:rPr>
                      <w:color w:val="auto"/>
                    </w:rPr>
                    <w:t>0.3</w:t>
                  </w:r>
                </w:p>
              </w:tc>
            </w:tr>
          </w:tbl>
          <w:p>
            <w:pPr>
              <w:pStyle w:val="37"/>
              <w:spacing w:beforeLines="50"/>
              <w:ind w:firstLine="480"/>
              <w:rPr>
                <w:szCs w:val="24"/>
              </w:rPr>
            </w:pPr>
            <w:r>
              <w:rPr>
                <w:szCs w:val="24"/>
              </w:rPr>
              <w:t>根据以上监测结果可知，项目评价范围内TSP可达到《环境空气质量标准》（GB3095-2012）二级标准限值要求。</w:t>
            </w:r>
          </w:p>
          <w:p>
            <w:pPr>
              <w:pStyle w:val="37"/>
              <w:ind w:firstLine="482"/>
              <w:rPr>
                <w:rFonts w:eastAsiaTheme="minorEastAsia"/>
                <w:b/>
                <w:szCs w:val="24"/>
              </w:rPr>
            </w:pPr>
            <w:r>
              <w:rPr>
                <w:rFonts w:eastAsiaTheme="minorEastAsia"/>
                <w:b/>
                <w:szCs w:val="24"/>
              </w:rPr>
              <w:t>3.1.2 地表水环境质量现状</w:t>
            </w:r>
          </w:p>
          <w:p>
            <w:pPr>
              <w:pStyle w:val="37"/>
              <w:ind w:firstLine="480"/>
              <w:rPr>
                <w:szCs w:val="24"/>
              </w:rPr>
            </w:pPr>
            <w:r>
              <w:rPr>
                <w:szCs w:val="24"/>
              </w:rPr>
              <w:t>项目所在区域属于黑泥沟的汇水范围，该沟渠位于项目北侧625m处，黑泥沟地表水通过甸头大河最终汇入小江，甸头大河为小江（清水海-入金沙江口段）的支流，区域地表水最终汇集于小江；根据云南省水利厅发布的《云南省水功能区划》（2014版），小江（清水海-入金沙江口段）到2030年的水质目标为III类水体，执行《地表水环境质量标准》（GB3838-2002）</w:t>
            </w:r>
            <w:r>
              <w:rPr>
                <w:szCs w:val="24"/>
              </w:rPr>
              <w:fldChar w:fldCharType="begin"/>
            </w:r>
            <w:r>
              <w:rPr>
                <w:szCs w:val="24"/>
              </w:rPr>
              <w:instrText xml:space="preserve"> = 3 \* ROMAN </w:instrText>
            </w:r>
            <w:r>
              <w:rPr>
                <w:szCs w:val="24"/>
              </w:rPr>
              <w:fldChar w:fldCharType="separate"/>
            </w:r>
            <w:r>
              <w:rPr>
                <w:szCs w:val="24"/>
              </w:rPr>
              <w:t>II</w:t>
            </w:r>
            <w:r>
              <w:rPr>
                <w:szCs w:val="24"/>
              </w:rPr>
              <w:fldChar w:fldCharType="end"/>
            </w:r>
            <w:r>
              <w:rPr>
                <w:szCs w:val="24"/>
              </w:rPr>
              <w:t>I类标准。黑泥沟、甸头大河均无环境功能区划，根据水功能区划原则，参照执行小江河段的功能区划，亦执行《地表水环境质量标准》（GB3838-2002）III类水标准。在环评编制期间，收集了东川区监测站2019年12月对小江姑海断面的环境现状监测统计数据，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表3.1.2-1 小江姑海断面水质检测结果一览表   单位：mg/L</w:t>
            </w:r>
          </w:p>
          <w:tbl>
            <w:tblPr>
              <w:tblStyle w:val="18"/>
              <w:tblW w:w="8608" w:type="dxa"/>
              <w:jc w:val="center"/>
              <w:tblInd w:w="0" w:type="dxa"/>
              <w:tblLayout w:type="fixed"/>
              <w:tblCellMar>
                <w:top w:w="0" w:type="dxa"/>
                <w:left w:w="108" w:type="dxa"/>
                <w:bottom w:w="0" w:type="dxa"/>
                <w:right w:w="108" w:type="dxa"/>
              </w:tblCellMar>
            </w:tblPr>
            <w:tblGrid>
              <w:gridCol w:w="1139"/>
              <w:gridCol w:w="2034"/>
              <w:gridCol w:w="1866"/>
              <w:gridCol w:w="1634"/>
              <w:gridCol w:w="1935"/>
            </w:tblGrid>
            <w:tr>
              <w:tblPrEx>
                <w:tblLayout w:type="fixed"/>
                <w:tblCellMar>
                  <w:top w:w="0" w:type="dxa"/>
                  <w:left w:w="108" w:type="dxa"/>
                  <w:bottom w:w="0" w:type="dxa"/>
                  <w:right w:w="108" w:type="dxa"/>
                </w:tblCellMar>
              </w:tblPrEx>
              <w:trPr>
                <w:trHeight w:val="1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序号</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监测项目</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姑海</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标准值</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达标情况</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1</w:t>
                  </w:r>
                </w:p>
              </w:tc>
              <w:tc>
                <w:tcPr>
                  <w:tcW w:w="20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pH（无量纲）</w:t>
                  </w:r>
                </w:p>
              </w:tc>
              <w:tc>
                <w:tcPr>
                  <w:tcW w:w="1866"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8.20</w:t>
                  </w:r>
                </w:p>
              </w:tc>
              <w:tc>
                <w:tcPr>
                  <w:tcW w:w="16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6-9</w:t>
                  </w:r>
                </w:p>
              </w:tc>
              <w:tc>
                <w:tcPr>
                  <w:tcW w:w="1935"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2</w:t>
                  </w:r>
                </w:p>
              </w:tc>
              <w:tc>
                <w:tcPr>
                  <w:tcW w:w="20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CODcr</w:t>
                  </w:r>
                </w:p>
              </w:tc>
              <w:tc>
                <w:tcPr>
                  <w:tcW w:w="1866"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6</w:t>
                  </w:r>
                </w:p>
              </w:tc>
              <w:tc>
                <w:tcPr>
                  <w:tcW w:w="16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≤20</w:t>
                  </w:r>
                </w:p>
              </w:tc>
              <w:tc>
                <w:tcPr>
                  <w:tcW w:w="1935"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3</w:t>
                  </w:r>
                </w:p>
              </w:tc>
              <w:tc>
                <w:tcPr>
                  <w:tcW w:w="20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BOD</w:t>
                  </w:r>
                  <w:r>
                    <w:rPr>
                      <w:color w:val="auto"/>
                      <w:szCs w:val="21"/>
                      <w:vertAlign w:val="subscript"/>
                    </w:rPr>
                    <w:t>5</w:t>
                  </w:r>
                </w:p>
              </w:tc>
              <w:tc>
                <w:tcPr>
                  <w:tcW w:w="1866"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2</w:t>
                  </w:r>
                </w:p>
              </w:tc>
              <w:tc>
                <w:tcPr>
                  <w:tcW w:w="16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≤4</w:t>
                  </w:r>
                </w:p>
              </w:tc>
              <w:tc>
                <w:tcPr>
                  <w:tcW w:w="1935"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5</w:t>
                  </w:r>
                </w:p>
              </w:tc>
              <w:tc>
                <w:tcPr>
                  <w:tcW w:w="20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NH</w:t>
                  </w:r>
                  <w:r>
                    <w:rPr>
                      <w:color w:val="auto"/>
                      <w:szCs w:val="21"/>
                      <w:vertAlign w:val="subscript"/>
                    </w:rPr>
                    <w:t>3</w:t>
                  </w:r>
                  <w:r>
                    <w:rPr>
                      <w:color w:val="auto"/>
                      <w:szCs w:val="21"/>
                    </w:rPr>
                    <w:t>-N</w:t>
                  </w:r>
                </w:p>
              </w:tc>
              <w:tc>
                <w:tcPr>
                  <w:tcW w:w="1866"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0.08</w:t>
                  </w:r>
                </w:p>
              </w:tc>
              <w:tc>
                <w:tcPr>
                  <w:tcW w:w="16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≤1.0</w:t>
                  </w:r>
                </w:p>
              </w:tc>
              <w:tc>
                <w:tcPr>
                  <w:tcW w:w="1935"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6</w:t>
                  </w:r>
                </w:p>
              </w:tc>
              <w:tc>
                <w:tcPr>
                  <w:tcW w:w="20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TP</w:t>
                  </w:r>
                </w:p>
              </w:tc>
              <w:tc>
                <w:tcPr>
                  <w:tcW w:w="1866"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0.05</w:t>
                  </w:r>
                </w:p>
              </w:tc>
              <w:tc>
                <w:tcPr>
                  <w:tcW w:w="16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≤0.2</w:t>
                  </w:r>
                </w:p>
              </w:tc>
              <w:tc>
                <w:tcPr>
                  <w:tcW w:w="1935"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7</w:t>
                  </w:r>
                </w:p>
              </w:tc>
              <w:tc>
                <w:tcPr>
                  <w:tcW w:w="20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阴离子表面活性剂</w:t>
                  </w:r>
                </w:p>
              </w:tc>
              <w:tc>
                <w:tcPr>
                  <w:tcW w:w="1866"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0.05L</w:t>
                  </w:r>
                </w:p>
              </w:tc>
              <w:tc>
                <w:tcPr>
                  <w:tcW w:w="1634"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≤0.2</w:t>
                  </w:r>
                </w:p>
              </w:tc>
              <w:tc>
                <w:tcPr>
                  <w:tcW w:w="1935" w:type="dxa"/>
                  <w:tcBorders>
                    <w:top w:val="nil"/>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8</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锌</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0.05L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≤1.0</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9</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氟化物</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0.20</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≤1.0</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10</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砷</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0.0003L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≤0.05</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11</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汞</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0.0004L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≤0.0001</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12</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镉</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0.0001L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≤0.005</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13</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六价铬</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0.004L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≤0.05</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14</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铅</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0.002L</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≤0.05</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15</w:t>
                  </w:r>
                </w:p>
              </w:tc>
              <w:tc>
                <w:tcPr>
                  <w:tcW w:w="20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粪大肠菌群</w:t>
                  </w:r>
                </w:p>
              </w:tc>
              <w:tc>
                <w:tcPr>
                  <w:tcW w:w="1866"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500</w:t>
                  </w:r>
                </w:p>
              </w:tc>
              <w:tc>
                <w:tcPr>
                  <w:tcW w:w="1634"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20000个/L</w:t>
                  </w:r>
                </w:p>
              </w:tc>
              <w:tc>
                <w:tcPr>
                  <w:tcW w:w="1935" w:type="dxa"/>
                  <w:tcBorders>
                    <w:top w:val="single" w:color="auto" w:sz="4" w:space="0"/>
                    <w:left w:val="nil"/>
                    <w:bottom w:val="single" w:color="auto" w:sz="4" w:space="0"/>
                    <w:right w:val="single" w:color="auto" w:sz="4" w:space="0"/>
                  </w:tcBorders>
                  <w:vAlign w:val="center"/>
                </w:tcPr>
                <w:p>
                  <w:pPr>
                    <w:pStyle w:val="29"/>
                    <w:spacing w:line="360" w:lineRule="exact"/>
                    <w:rPr>
                      <w:color w:val="auto"/>
                      <w:szCs w:val="21"/>
                    </w:rPr>
                  </w:pPr>
                  <w:r>
                    <w:rPr>
                      <w:color w:val="auto"/>
                      <w:szCs w:val="21"/>
                    </w:rPr>
                    <w:t>达标</w:t>
                  </w:r>
                </w:p>
              </w:tc>
            </w:tr>
          </w:tbl>
          <w:p>
            <w:pPr>
              <w:pStyle w:val="37"/>
              <w:spacing w:beforeLines="50"/>
              <w:ind w:firstLine="480"/>
              <w:rPr>
                <w:szCs w:val="24"/>
              </w:rPr>
            </w:pPr>
            <w:r>
              <w:rPr>
                <w:szCs w:val="24"/>
              </w:rPr>
              <w:t>由上表可知，小江姑海断面上述监测指标可达到《地表水环境质量标准》（GB3838-2002）III类标准限值要求。</w:t>
            </w:r>
          </w:p>
          <w:p>
            <w:pPr>
              <w:pStyle w:val="37"/>
              <w:ind w:firstLine="482"/>
              <w:rPr>
                <w:rFonts w:eastAsiaTheme="minorEastAsia"/>
                <w:b/>
                <w:szCs w:val="24"/>
              </w:rPr>
            </w:pPr>
            <w:r>
              <w:rPr>
                <w:rFonts w:eastAsiaTheme="minorEastAsia"/>
                <w:b/>
                <w:szCs w:val="24"/>
              </w:rPr>
              <w:t>3.1.3 声环境质量现状</w:t>
            </w:r>
          </w:p>
          <w:p>
            <w:pPr>
              <w:pStyle w:val="37"/>
              <w:ind w:firstLine="480"/>
              <w:rPr>
                <w:rFonts w:eastAsiaTheme="minorEastAsia"/>
                <w:szCs w:val="24"/>
              </w:rPr>
            </w:pPr>
            <w:r>
              <w:rPr>
                <w:rFonts w:eastAsiaTheme="minorEastAsia"/>
                <w:szCs w:val="24"/>
              </w:rPr>
              <w:t>该项目位于云南省东川再就业特区天生桥特色产业园，按照《声环境功能区划分技术规范》（GB/T15190-2014）的划分要求，项目区域为3类区。在项目区50m范围内无声环境保护目标；根据《建设项目环境影响报告表编制技术指南》（污染影响类）（试行）的要求，可不进行声环境质量现状调查。</w:t>
            </w:r>
          </w:p>
          <w:p>
            <w:pPr>
              <w:pStyle w:val="37"/>
              <w:ind w:firstLine="482"/>
              <w:rPr>
                <w:rFonts w:eastAsiaTheme="minorEastAsia"/>
                <w:b/>
                <w:szCs w:val="24"/>
              </w:rPr>
            </w:pPr>
            <w:bookmarkStart w:id="3" w:name="_Toc248077256"/>
            <w:r>
              <w:rPr>
                <w:rFonts w:eastAsiaTheme="minorEastAsia"/>
                <w:b/>
                <w:szCs w:val="24"/>
              </w:rPr>
              <w:t>3.1.4 生态环境质量现状</w:t>
            </w:r>
            <w:bookmarkEnd w:id="3"/>
          </w:p>
          <w:p>
            <w:pPr>
              <w:pStyle w:val="37"/>
              <w:ind w:firstLine="480"/>
              <w:rPr>
                <w:rFonts w:eastAsiaTheme="minorEastAsia"/>
                <w:szCs w:val="24"/>
              </w:rPr>
            </w:pPr>
            <w:r>
              <w:rPr>
                <w:rFonts w:eastAsiaTheme="minorEastAsia"/>
                <w:szCs w:val="24"/>
              </w:rPr>
              <w:t>该项目位于云南省东川再就业特区天生桥特色产业园，根据现场调查，厂区范围主要为人工生态系统，该区域的天然植被已较少，总体来说该区域地表植被种类较少，生物多样性较差，生态环境自身调控能力较低。项目区无国家级和省级保护物种分布，无珍稀濒危物种，无当地特有物种，无古树名木分布。</w:t>
            </w:r>
          </w:p>
          <w:p>
            <w:pPr>
              <w:pStyle w:val="37"/>
              <w:ind w:firstLine="482"/>
              <w:rPr>
                <w:rFonts w:eastAsiaTheme="minorEastAsia"/>
                <w:b/>
                <w:szCs w:val="24"/>
              </w:rPr>
            </w:pPr>
            <w:r>
              <w:rPr>
                <w:rFonts w:eastAsiaTheme="minorEastAsia"/>
                <w:b/>
                <w:szCs w:val="24"/>
              </w:rPr>
              <w:t>3.1.5 地下水、土壤环境</w:t>
            </w:r>
          </w:p>
          <w:p>
            <w:pPr>
              <w:pStyle w:val="37"/>
              <w:ind w:firstLine="480"/>
              <w:rPr>
                <w:rFonts w:eastAsiaTheme="minorEastAsia"/>
                <w:szCs w:val="24"/>
              </w:rPr>
            </w:pPr>
            <w:r>
              <w:rPr>
                <w:rFonts w:eastAsiaTheme="minorEastAsia"/>
                <w:szCs w:val="24"/>
              </w:rPr>
              <w:t>该项目废铝混合料进行破碎分选，基本上不存在地下水、土壤环境污染途径，且厂界外500m范围内不涉及集中式饮用水水源和热水、矿泉水、温泉等特殊地下水资源，项目不开展地下水和土壤环境质量现状调查。</w:t>
            </w: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p>
            <w:pPr>
              <w:pStyle w:val="37"/>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环境保护目标</w:t>
            </w:r>
          </w:p>
        </w:tc>
        <w:tc>
          <w:tcPr>
            <w:tcW w:w="8834" w:type="dxa"/>
          </w:tcPr>
          <w:p>
            <w:pPr>
              <w:pStyle w:val="37"/>
              <w:spacing w:beforeLines="50"/>
              <w:ind w:firstLine="480"/>
              <w:rPr>
                <w:rFonts w:eastAsiaTheme="minorEastAsia"/>
                <w:szCs w:val="24"/>
              </w:rPr>
            </w:pPr>
            <w:r>
              <w:rPr>
                <w:rFonts w:eastAsiaTheme="minorEastAsia"/>
                <w:szCs w:val="24"/>
              </w:rPr>
              <w:t>根据《建设项目环境影响报告表编制技术指南》（污染影响类）（试行）的要求，编制报告表的建设项目环境保护目标类别包括大气环境、声环境、地下水环境和生态环境。该项目设置的环境保护目标具体如下。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3.2 环境保护目标</w:t>
            </w:r>
          </w:p>
          <w:p>
            <w:pPr>
              <w:pStyle w:val="37"/>
              <w:ind w:firstLine="482"/>
              <w:rPr>
                <w:rFonts w:eastAsiaTheme="minorEastAsia"/>
                <w:b/>
                <w:szCs w:val="24"/>
              </w:rPr>
            </w:pPr>
            <w:r>
              <w:rPr>
                <w:rFonts w:eastAsiaTheme="minorEastAsia"/>
                <w:b/>
                <w:szCs w:val="24"/>
              </w:rPr>
              <w:t>3.2.1 大气环境保护目标</w:t>
            </w:r>
          </w:p>
          <w:p>
            <w:pPr>
              <w:pStyle w:val="37"/>
              <w:ind w:firstLine="480"/>
              <w:rPr>
                <w:rFonts w:eastAsiaTheme="minorEastAsia"/>
                <w:szCs w:val="24"/>
              </w:rPr>
            </w:pPr>
            <w:r>
              <w:rPr>
                <w:rFonts w:eastAsiaTheme="minorEastAsia"/>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7"/>
              <w:ind w:firstLine="480"/>
              <w:rPr>
                <w:rFonts w:eastAsiaTheme="minorEastAsia"/>
                <w:szCs w:val="24"/>
              </w:rPr>
            </w:pPr>
            <w:r>
              <w:rPr>
                <w:rFonts w:eastAsiaTheme="minorEastAsia"/>
                <w:szCs w:val="24"/>
              </w:rPr>
              <w:t>根据调查，该项目主要大气环境保护目标如下表所示。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表3.2.1-1 环境空气保护目标</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394"/>
              <w:gridCol w:w="1418"/>
              <w:gridCol w:w="830"/>
              <w:gridCol w:w="1012"/>
              <w:gridCol w:w="1385"/>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restart"/>
                  <w:vAlign w:val="center"/>
                </w:tcPr>
                <w:p>
                  <w:pPr>
                    <w:pStyle w:val="29"/>
                    <w:spacing w:line="360" w:lineRule="exact"/>
                    <w:rPr>
                      <w:color w:val="auto"/>
                      <w:kern w:val="0"/>
                      <w:szCs w:val="21"/>
                    </w:rPr>
                  </w:pPr>
                  <w:r>
                    <w:rPr>
                      <w:color w:val="auto"/>
                      <w:kern w:val="0"/>
                      <w:szCs w:val="21"/>
                    </w:rPr>
                    <w:t>名称</w:t>
                  </w:r>
                </w:p>
              </w:tc>
              <w:tc>
                <w:tcPr>
                  <w:tcW w:w="2812" w:type="dxa"/>
                  <w:gridSpan w:val="2"/>
                  <w:vAlign w:val="center"/>
                </w:tcPr>
                <w:p>
                  <w:pPr>
                    <w:pStyle w:val="29"/>
                    <w:spacing w:line="360" w:lineRule="exact"/>
                    <w:rPr>
                      <w:color w:val="auto"/>
                      <w:kern w:val="0"/>
                      <w:szCs w:val="21"/>
                    </w:rPr>
                  </w:pPr>
                  <w:r>
                    <w:rPr>
                      <w:color w:val="auto"/>
                      <w:kern w:val="0"/>
                      <w:szCs w:val="21"/>
                    </w:rPr>
                    <w:t>坐标/m</w:t>
                  </w:r>
                </w:p>
              </w:tc>
              <w:tc>
                <w:tcPr>
                  <w:tcW w:w="830" w:type="dxa"/>
                  <w:vMerge w:val="restart"/>
                  <w:vAlign w:val="center"/>
                </w:tcPr>
                <w:p>
                  <w:pPr>
                    <w:pStyle w:val="29"/>
                    <w:spacing w:line="360" w:lineRule="exact"/>
                    <w:rPr>
                      <w:color w:val="auto"/>
                      <w:kern w:val="0"/>
                      <w:szCs w:val="21"/>
                    </w:rPr>
                  </w:pPr>
                  <w:r>
                    <w:rPr>
                      <w:color w:val="auto"/>
                      <w:kern w:val="0"/>
                      <w:szCs w:val="21"/>
                    </w:rPr>
                    <w:t>保护对象</w:t>
                  </w:r>
                </w:p>
              </w:tc>
              <w:tc>
                <w:tcPr>
                  <w:tcW w:w="1012" w:type="dxa"/>
                  <w:vMerge w:val="restart"/>
                  <w:vAlign w:val="center"/>
                </w:tcPr>
                <w:p>
                  <w:pPr>
                    <w:pStyle w:val="29"/>
                    <w:spacing w:line="360" w:lineRule="exact"/>
                    <w:rPr>
                      <w:color w:val="auto"/>
                      <w:kern w:val="0"/>
                      <w:szCs w:val="21"/>
                    </w:rPr>
                  </w:pPr>
                  <w:r>
                    <w:rPr>
                      <w:color w:val="auto"/>
                      <w:kern w:val="0"/>
                      <w:szCs w:val="21"/>
                    </w:rPr>
                    <w:t>保护内容</w:t>
                  </w:r>
                </w:p>
              </w:tc>
              <w:tc>
                <w:tcPr>
                  <w:tcW w:w="1385" w:type="dxa"/>
                  <w:vMerge w:val="restart"/>
                  <w:vAlign w:val="center"/>
                </w:tcPr>
                <w:p>
                  <w:pPr>
                    <w:pStyle w:val="29"/>
                    <w:spacing w:line="360" w:lineRule="exact"/>
                    <w:rPr>
                      <w:color w:val="auto"/>
                      <w:kern w:val="0"/>
                      <w:szCs w:val="21"/>
                    </w:rPr>
                  </w:pPr>
                  <w:r>
                    <w:rPr>
                      <w:color w:val="auto"/>
                      <w:kern w:val="0"/>
                      <w:szCs w:val="21"/>
                    </w:rPr>
                    <w:t>保护级别</w:t>
                  </w:r>
                </w:p>
              </w:tc>
              <w:tc>
                <w:tcPr>
                  <w:tcW w:w="734" w:type="dxa"/>
                  <w:vMerge w:val="restart"/>
                  <w:vAlign w:val="center"/>
                </w:tcPr>
                <w:p>
                  <w:pPr>
                    <w:pStyle w:val="29"/>
                    <w:spacing w:line="360" w:lineRule="exact"/>
                    <w:rPr>
                      <w:color w:val="auto"/>
                      <w:kern w:val="0"/>
                      <w:szCs w:val="21"/>
                    </w:rPr>
                  </w:pPr>
                  <w:r>
                    <w:rPr>
                      <w:color w:val="auto"/>
                      <w:kern w:val="0"/>
                      <w:szCs w:val="21"/>
                    </w:rPr>
                    <w:t>相对厂址方位</w:t>
                  </w:r>
                </w:p>
              </w:tc>
              <w:tc>
                <w:tcPr>
                  <w:tcW w:w="932" w:type="dxa"/>
                  <w:vMerge w:val="restart"/>
                  <w:vAlign w:val="center"/>
                </w:tcPr>
                <w:p>
                  <w:pPr>
                    <w:pStyle w:val="29"/>
                    <w:spacing w:line="360" w:lineRule="exact"/>
                    <w:rPr>
                      <w:color w:val="auto"/>
                      <w:kern w:val="0"/>
                      <w:szCs w:val="21"/>
                    </w:rPr>
                  </w:pPr>
                  <w:r>
                    <w:rPr>
                      <w:color w:val="auto"/>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29"/>
                    <w:spacing w:line="360" w:lineRule="exact"/>
                    <w:rPr>
                      <w:color w:val="auto"/>
                      <w:kern w:val="0"/>
                      <w:szCs w:val="21"/>
                    </w:rPr>
                  </w:pPr>
                </w:p>
              </w:tc>
              <w:tc>
                <w:tcPr>
                  <w:tcW w:w="1394" w:type="dxa"/>
                  <w:vAlign w:val="center"/>
                </w:tcPr>
                <w:p>
                  <w:pPr>
                    <w:pStyle w:val="29"/>
                    <w:spacing w:line="360" w:lineRule="exact"/>
                    <w:rPr>
                      <w:color w:val="auto"/>
                      <w:kern w:val="0"/>
                      <w:szCs w:val="21"/>
                    </w:rPr>
                  </w:pPr>
                  <w:r>
                    <w:rPr>
                      <w:color w:val="auto"/>
                      <w:kern w:val="0"/>
                      <w:szCs w:val="21"/>
                    </w:rPr>
                    <w:t>X</w:t>
                  </w:r>
                </w:p>
              </w:tc>
              <w:tc>
                <w:tcPr>
                  <w:tcW w:w="1418" w:type="dxa"/>
                  <w:vAlign w:val="center"/>
                </w:tcPr>
                <w:p>
                  <w:pPr>
                    <w:pStyle w:val="29"/>
                    <w:spacing w:line="360" w:lineRule="exact"/>
                    <w:rPr>
                      <w:color w:val="auto"/>
                      <w:kern w:val="0"/>
                      <w:szCs w:val="21"/>
                    </w:rPr>
                  </w:pPr>
                  <w:r>
                    <w:rPr>
                      <w:color w:val="auto"/>
                      <w:kern w:val="0"/>
                      <w:szCs w:val="21"/>
                    </w:rPr>
                    <w:t>Y</w:t>
                  </w:r>
                </w:p>
              </w:tc>
              <w:tc>
                <w:tcPr>
                  <w:tcW w:w="830" w:type="dxa"/>
                  <w:vMerge w:val="continue"/>
                  <w:vAlign w:val="center"/>
                </w:tcPr>
                <w:p>
                  <w:pPr>
                    <w:pStyle w:val="29"/>
                    <w:spacing w:line="360" w:lineRule="exact"/>
                    <w:rPr>
                      <w:color w:val="auto"/>
                      <w:kern w:val="0"/>
                      <w:szCs w:val="21"/>
                    </w:rPr>
                  </w:pPr>
                </w:p>
              </w:tc>
              <w:tc>
                <w:tcPr>
                  <w:tcW w:w="1012" w:type="dxa"/>
                  <w:vMerge w:val="continue"/>
                  <w:vAlign w:val="center"/>
                </w:tcPr>
                <w:p>
                  <w:pPr>
                    <w:pStyle w:val="29"/>
                    <w:spacing w:line="360" w:lineRule="exact"/>
                    <w:rPr>
                      <w:color w:val="auto"/>
                      <w:kern w:val="0"/>
                      <w:szCs w:val="21"/>
                    </w:rPr>
                  </w:pPr>
                </w:p>
              </w:tc>
              <w:tc>
                <w:tcPr>
                  <w:tcW w:w="1385" w:type="dxa"/>
                  <w:vMerge w:val="continue"/>
                  <w:vAlign w:val="center"/>
                </w:tcPr>
                <w:p>
                  <w:pPr>
                    <w:pStyle w:val="29"/>
                    <w:spacing w:line="360" w:lineRule="exact"/>
                    <w:rPr>
                      <w:color w:val="auto"/>
                      <w:kern w:val="0"/>
                      <w:szCs w:val="21"/>
                    </w:rPr>
                  </w:pPr>
                </w:p>
              </w:tc>
              <w:tc>
                <w:tcPr>
                  <w:tcW w:w="734" w:type="dxa"/>
                  <w:vMerge w:val="continue"/>
                  <w:vAlign w:val="center"/>
                </w:tcPr>
                <w:p>
                  <w:pPr>
                    <w:pStyle w:val="29"/>
                    <w:spacing w:line="360" w:lineRule="exact"/>
                    <w:rPr>
                      <w:color w:val="auto"/>
                      <w:kern w:val="0"/>
                      <w:szCs w:val="21"/>
                    </w:rPr>
                  </w:pPr>
                </w:p>
              </w:tc>
              <w:tc>
                <w:tcPr>
                  <w:tcW w:w="932" w:type="dxa"/>
                  <w:vMerge w:val="continue"/>
                  <w:vAlign w:val="center"/>
                </w:tcPr>
                <w:p>
                  <w:pPr>
                    <w:pStyle w:val="29"/>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29"/>
                    <w:spacing w:line="360" w:lineRule="exact"/>
                    <w:rPr>
                      <w:color w:val="auto"/>
                      <w:kern w:val="0"/>
                      <w:szCs w:val="21"/>
                    </w:rPr>
                  </w:pPr>
                  <w:r>
                    <w:rPr>
                      <w:color w:val="auto"/>
                      <w:kern w:val="0"/>
                      <w:szCs w:val="21"/>
                    </w:rPr>
                    <w:t>散户居民</w:t>
                  </w:r>
                </w:p>
              </w:tc>
              <w:tc>
                <w:tcPr>
                  <w:tcW w:w="1394" w:type="dxa"/>
                  <w:vAlign w:val="center"/>
                </w:tcPr>
                <w:p>
                  <w:pPr>
                    <w:pStyle w:val="29"/>
                    <w:spacing w:line="360" w:lineRule="exact"/>
                    <w:rPr>
                      <w:color w:val="auto"/>
                      <w:kern w:val="0"/>
                      <w:szCs w:val="21"/>
                    </w:rPr>
                  </w:pPr>
                  <w:r>
                    <w:rPr>
                      <w:color w:val="auto"/>
                      <w:kern w:val="0"/>
                      <w:szCs w:val="21"/>
                    </w:rPr>
                    <w:t>103.245923″</w:t>
                  </w:r>
                </w:p>
              </w:tc>
              <w:tc>
                <w:tcPr>
                  <w:tcW w:w="1418" w:type="dxa"/>
                  <w:vAlign w:val="center"/>
                </w:tcPr>
                <w:p>
                  <w:pPr>
                    <w:pStyle w:val="29"/>
                    <w:spacing w:line="360" w:lineRule="exact"/>
                    <w:rPr>
                      <w:color w:val="auto"/>
                      <w:kern w:val="0"/>
                      <w:szCs w:val="21"/>
                    </w:rPr>
                  </w:pPr>
                  <w:r>
                    <w:rPr>
                      <w:color w:val="auto"/>
                      <w:kern w:val="0"/>
                      <w:szCs w:val="21"/>
                    </w:rPr>
                    <w:t>25.642637″</w:t>
                  </w:r>
                </w:p>
              </w:tc>
              <w:tc>
                <w:tcPr>
                  <w:tcW w:w="830" w:type="dxa"/>
                  <w:vAlign w:val="center"/>
                </w:tcPr>
                <w:p>
                  <w:pPr>
                    <w:pStyle w:val="29"/>
                    <w:spacing w:line="360" w:lineRule="exact"/>
                    <w:rPr>
                      <w:color w:val="auto"/>
                      <w:kern w:val="0"/>
                      <w:szCs w:val="21"/>
                    </w:rPr>
                  </w:pPr>
                  <w:r>
                    <w:rPr>
                      <w:color w:val="auto"/>
                      <w:kern w:val="0"/>
                      <w:szCs w:val="21"/>
                    </w:rPr>
                    <w:t>居民区</w:t>
                  </w:r>
                </w:p>
              </w:tc>
              <w:tc>
                <w:tcPr>
                  <w:tcW w:w="1012" w:type="dxa"/>
                  <w:vAlign w:val="center"/>
                </w:tcPr>
                <w:p>
                  <w:pPr>
                    <w:pStyle w:val="29"/>
                    <w:spacing w:line="360" w:lineRule="exact"/>
                    <w:rPr>
                      <w:color w:val="auto"/>
                      <w:kern w:val="0"/>
                      <w:szCs w:val="21"/>
                    </w:rPr>
                  </w:pPr>
                  <w:r>
                    <w:rPr>
                      <w:color w:val="auto"/>
                      <w:kern w:val="0"/>
                      <w:szCs w:val="21"/>
                    </w:rPr>
                    <w:t>6户/21人</w:t>
                  </w:r>
                </w:p>
              </w:tc>
              <w:tc>
                <w:tcPr>
                  <w:tcW w:w="1385" w:type="dxa"/>
                  <w:vAlign w:val="center"/>
                </w:tcPr>
                <w:p>
                  <w:pPr>
                    <w:pStyle w:val="29"/>
                    <w:spacing w:line="360" w:lineRule="exact"/>
                    <w:rPr>
                      <w:color w:val="auto"/>
                      <w:kern w:val="0"/>
                      <w:szCs w:val="21"/>
                    </w:rPr>
                  </w:pPr>
                  <w:r>
                    <w:rPr>
                      <w:color w:val="auto"/>
                      <w:kern w:val="0"/>
                      <w:szCs w:val="21"/>
                    </w:rPr>
                    <w:t>《环境空气质量标准》（GB3095- 2012）二级</w:t>
                  </w:r>
                </w:p>
              </w:tc>
              <w:tc>
                <w:tcPr>
                  <w:tcW w:w="734" w:type="dxa"/>
                  <w:vAlign w:val="center"/>
                </w:tcPr>
                <w:p>
                  <w:pPr>
                    <w:pStyle w:val="29"/>
                    <w:spacing w:line="360" w:lineRule="exact"/>
                    <w:rPr>
                      <w:color w:val="auto"/>
                      <w:kern w:val="0"/>
                      <w:szCs w:val="21"/>
                    </w:rPr>
                  </w:pPr>
                  <w:r>
                    <w:rPr>
                      <w:color w:val="auto"/>
                      <w:kern w:val="0"/>
                      <w:szCs w:val="21"/>
                    </w:rPr>
                    <w:t>南侧</w:t>
                  </w:r>
                </w:p>
              </w:tc>
              <w:tc>
                <w:tcPr>
                  <w:tcW w:w="932" w:type="dxa"/>
                  <w:vAlign w:val="center"/>
                </w:tcPr>
                <w:p>
                  <w:pPr>
                    <w:pStyle w:val="29"/>
                    <w:spacing w:line="360" w:lineRule="exact"/>
                    <w:rPr>
                      <w:color w:val="auto"/>
                      <w:kern w:val="0"/>
                      <w:szCs w:val="21"/>
                    </w:rPr>
                  </w:pPr>
                  <w:r>
                    <w:rPr>
                      <w:color w:val="auto"/>
                      <w:kern w:val="0"/>
                      <w:szCs w:val="21"/>
                    </w:rPr>
                    <w:t>118m</w:t>
                  </w:r>
                </w:p>
              </w:tc>
            </w:tr>
          </w:tbl>
          <w:p>
            <w:pPr>
              <w:pStyle w:val="37"/>
              <w:spacing w:beforeLines="50"/>
              <w:ind w:firstLine="482"/>
              <w:rPr>
                <w:rFonts w:eastAsiaTheme="minorEastAsia"/>
                <w:b/>
                <w:szCs w:val="24"/>
              </w:rPr>
            </w:pPr>
            <w:r>
              <w:rPr>
                <w:rFonts w:eastAsiaTheme="minorEastAsia"/>
                <w:b/>
                <w:szCs w:val="24"/>
              </w:rPr>
              <w:t>3.2.2 地表水环境保护目标</w:t>
            </w:r>
          </w:p>
          <w:p>
            <w:pPr>
              <w:pStyle w:val="37"/>
              <w:ind w:firstLine="480"/>
              <w:rPr>
                <w:rFonts w:eastAsiaTheme="minorEastAsia"/>
                <w:szCs w:val="24"/>
              </w:rPr>
            </w:pPr>
            <w:r>
              <w:rPr>
                <w:rFonts w:eastAsiaTheme="minorEastAsia"/>
                <w:szCs w:val="24"/>
              </w:rPr>
              <w:t>根据《建设项目环境影响报告表编制技术指南》（污染影响类）（试行）的要求，未要求设施地表水环境保护目标；根据调查，该项目区属于黑泥沟的汇水范围，因此拟将黑泥沟列入该项目水环境保护目标。具体如下表所示。</w:t>
            </w:r>
          </w:p>
          <w:p>
            <w:pPr>
              <w:pStyle w:val="31"/>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表3.2.2-1 地表水环境保护目标及保护级别一览表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43"/>
              <w:gridCol w:w="2667"/>
              <w:gridCol w:w="1314"/>
              <w:gridCol w:w="79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类别</w:t>
                  </w:r>
                </w:p>
              </w:tc>
              <w:tc>
                <w:tcPr>
                  <w:tcW w:w="943"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保护目标</w:t>
                  </w:r>
                </w:p>
              </w:tc>
              <w:tc>
                <w:tcPr>
                  <w:tcW w:w="2667"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坐标</w:t>
                  </w:r>
                </w:p>
              </w:tc>
              <w:tc>
                <w:tcPr>
                  <w:tcW w:w="1314"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与项目区的方位及距离</w:t>
                  </w:r>
                </w:p>
              </w:tc>
              <w:tc>
                <w:tcPr>
                  <w:tcW w:w="79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高差</w:t>
                  </w:r>
                </w:p>
              </w:tc>
              <w:tc>
                <w:tcPr>
                  <w:tcW w:w="2132"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3" w:type="dxa"/>
                  <w:tcBorders>
                    <w:top w:val="single" w:color="auto" w:sz="4" w:space="0"/>
                    <w:left w:val="single" w:color="auto" w:sz="4" w:space="0"/>
                    <w:right w:val="single" w:color="auto" w:sz="4" w:space="0"/>
                  </w:tcBorders>
                  <w:vAlign w:val="center"/>
                </w:tcPr>
                <w:p>
                  <w:pPr>
                    <w:pStyle w:val="29"/>
                    <w:spacing w:line="360" w:lineRule="exact"/>
                    <w:rPr>
                      <w:color w:val="auto"/>
                      <w:szCs w:val="21"/>
                    </w:rPr>
                  </w:pPr>
                  <w:r>
                    <w:rPr>
                      <w:color w:val="auto"/>
                      <w:szCs w:val="21"/>
                    </w:rPr>
                    <w:t>地表水</w:t>
                  </w:r>
                </w:p>
              </w:tc>
              <w:tc>
                <w:tcPr>
                  <w:tcW w:w="943"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黑泥沟、甸头大河、小江</w:t>
                  </w:r>
                </w:p>
              </w:tc>
              <w:tc>
                <w:tcPr>
                  <w:tcW w:w="2667" w:type="dxa"/>
                  <w:tcBorders>
                    <w:top w:val="single" w:color="auto" w:sz="4" w:space="0"/>
                    <w:left w:val="single" w:color="auto" w:sz="4" w:space="0"/>
                    <w:right w:val="single" w:color="auto" w:sz="4" w:space="0"/>
                  </w:tcBorders>
                  <w:vAlign w:val="center"/>
                </w:tcPr>
                <w:p>
                  <w:pPr>
                    <w:pStyle w:val="29"/>
                    <w:spacing w:line="360" w:lineRule="exact"/>
                    <w:ind w:firstLine="210" w:firstLineChars="100"/>
                    <w:jc w:val="left"/>
                    <w:rPr>
                      <w:color w:val="auto"/>
                      <w:szCs w:val="21"/>
                    </w:rPr>
                  </w:pPr>
                  <w:r>
                    <w:rPr>
                      <w:color w:val="auto"/>
                      <w:szCs w:val="21"/>
                    </w:rPr>
                    <w:t>起点：东经103°15′10.21″，北纬25°38′46.98″</w:t>
                  </w:r>
                </w:p>
                <w:p>
                  <w:pPr>
                    <w:pStyle w:val="29"/>
                    <w:spacing w:line="360" w:lineRule="exact"/>
                    <w:ind w:firstLine="210" w:firstLineChars="100"/>
                    <w:jc w:val="left"/>
                    <w:rPr>
                      <w:color w:val="auto"/>
                      <w:szCs w:val="21"/>
                    </w:rPr>
                  </w:pPr>
                  <w:r>
                    <w:rPr>
                      <w:color w:val="auto"/>
                      <w:szCs w:val="21"/>
                    </w:rPr>
                    <w:t>终点：东经103°15′01.11″，北纬25°39′04.52″</w:t>
                  </w:r>
                </w:p>
              </w:tc>
              <w:tc>
                <w:tcPr>
                  <w:tcW w:w="1314"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北侧625m</w:t>
                  </w:r>
                </w:p>
              </w:tc>
              <w:tc>
                <w:tcPr>
                  <w:tcW w:w="799" w:type="dxa"/>
                  <w:tcBorders>
                    <w:top w:val="single" w:color="auto" w:sz="4" w:space="0"/>
                    <w:left w:val="single" w:color="auto" w:sz="4" w:space="0"/>
                    <w:bottom w:val="single" w:color="auto" w:sz="4" w:space="0"/>
                    <w:right w:val="single" w:color="auto" w:sz="4" w:space="0"/>
                  </w:tcBorders>
                  <w:vAlign w:val="center"/>
                </w:tcPr>
                <w:p>
                  <w:pPr>
                    <w:pStyle w:val="29"/>
                    <w:spacing w:line="360" w:lineRule="exact"/>
                    <w:rPr>
                      <w:color w:val="auto"/>
                      <w:szCs w:val="21"/>
                    </w:rPr>
                  </w:pPr>
                  <w:r>
                    <w:rPr>
                      <w:color w:val="auto"/>
                      <w:szCs w:val="21"/>
                    </w:rPr>
                    <w:t>9m</w:t>
                  </w:r>
                </w:p>
              </w:tc>
              <w:tc>
                <w:tcPr>
                  <w:tcW w:w="2132" w:type="dxa"/>
                  <w:tcBorders>
                    <w:top w:val="single" w:color="auto" w:sz="4" w:space="0"/>
                    <w:left w:val="single" w:color="auto" w:sz="4" w:space="0"/>
                    <w:right w:val="single" w:color="auto" w:sz="4" w:space="0"/>
                  </w:tcBorders>
                  <w:vAlign w:val="center"/>
                </w:tcPr>
                <w:p>
                  <w:pPr>
                    <w:pStyle w:val="29"/>
                    <w:spacing w:line="360" w:lineRule="exact"/>
                    <w:ind w:firstLine="210" w:firstLineChars="100"/>
                    <w:jc w:val="left"/>
                    <w:rPr>
                      <w:color w:val="auto"/>
                      <w:szCs w:val="21"/>
                    </w:rPr>
                  </w:pPr>
                  <w:r>
                    <w:rPr>
                      <w:color w:val="auto"/>
                      <w:szCs w:val="21"/>
                    </w:rPr>
                    <w:t>《地表水环境质量标准》（GB3838-2002）III类标准</w:t>
                  </w:r>
                </w:p>
              </w:tc>
            </w:tr>
          </w:tbl>
          <w:p>
            <w:pPr>
              <w:pStyle w:val="37"/>
              <w:spacing w:beforeLines="50"/>
              <w:ind w:firstLine="482"/>
              <w:rPr>
                <w:rFonts w:eastAsiaTheme="minorEastAsia"/>
                <w:b/>
                <w:szCs w:val="24"/>
              </w:rPr>
            </w:pPr>
            <w:r>
              <w:rPr>
                <w:rFonts w:eastAsiaTheme="minorEastAsia"/>
                <w:b/>
                <w:szCs w:val="24"/>
              </w:rPr>
              <w:t>3.2.3 地下水环境保护目标</w:t>
            </w:r>
          </w:p>
          <w:p>
            <w:pPr>
              <w:pStyle w:val="37"/>
              <w:ind w:firstLine="480"/>
              <w:rPr>
                <w:rFonts w:eastAsiaTheme="minorEastAsia"/>
                <w:szCs w:val="24"/>
              </w:rPr>
            </w:pPr>
            <w:r>
              <w:rPr>
                <w:rFonts w:eastAsiaTheme="minorEastAsia"/>
                <w:szCs w:val="24"/>
              </w:rPr>
              <w:t>根据《建设项目环境影响报告表编制技术指南》（污染影响类）（试行）的要求，地表水环境保护目标为厂界外500m范围内的地下水集中式饮用水水源和热水、矿泉水、温泉等特殊地下水资源。根据调查，该项目位于云南省东川再就业特区天生桥特色产业园，该项目选址不涉及到地下水集中式饮用水水源和热水、矿泉水、温泉等特殊地下水资源。</w:t>
            </w:r>
          </w:p>
          <w:p>
            <w:pPr>
              <w:pStyle w:val="37"/>
              <w:ind w:firstLine="482"/>
              <w:rPr>
                <w:rFonts w:eastAsiaTheme="minorEastAsia"/>
                <w:b/>
                <w:szCs w:val="24"/>
              </w:rPr>
            </w:pPr>
            <w:r>
              <w:rPr>
                <w:rFonts w:eastAsiaTheme="minorEastAsia"/>
                <w:b/>
                <w:szCs w:val="24"/>
              </w:rPr>
              <w:t>3.2.4 声环境环境保护目标</w:t>
            </w:r>
          </w:p>
          <w:p>
            <w:pPr>
              <w:pStyle w:val="37"/>
              <w:ind w:firstLine="480"/>
              <w:rPr>
                <w:rFonts w:eastAsiaTheme="minorEastAsia"/>
                <w:szCs w:val="24"/>
              </w:rPr>
            </w:pPr>
            <w:r>
              <w:rPr>
                <w:rFonts w:eastAsiaTheme="minorEastAsia"/>
                <w:szCs w:val="24"/>
              </w:rPr>
              <w:t>根据《建设项目环境影响报告表编制技术指南》（污染影响类）（试行）的要求，该项目声环境评价范围为50m，根据现场调查，该项目50m范围内无声环境保护目标。</w:t>
            </w:r>
          </w:p>
          <w:p>
            <w:pPr>
              <w:pStyle w:val="37"/>
              <w:ind w:firstLine="482"/>
              <w:rPr>
                <w:rFonts w:eastAsiaTheme="minorEastAsia"/>
                <w:b/>
                <w:szCs w:val="24"/>
              </w:rPr>
            </w:pPr>
            <w:r>
              <w:rPr>
                <w:rFonts w:eastAsiaTheme="minorEastAsia"/>
                <w:b/>
                <w:szCs w:val="24"/>
              </w:rPr>
              <w:t>3.2.5 生态环境保护目标</w:t>
            </w:r>
          </w:p>
          <w:p>
            <w:pPr>
              <w:pStyle w:val="37"/>
              <w:ind w:firstLine="480"/>
              <w:rPr>
                <w:rFonts w:eastAsiaTheme="minorEastAsia"/>
                <w:szCs w:val="24"/>
              </w:rPr>
            </w:pPr>
            <w:r>
              <w:rPr>
                <w:rFonts w:eastAsiaTheme="minorEastAsia"/>
                <w:szCs w:val="24"/>
              </w:rPr>
              <w:t>根据《建设项目环境影响报告表编制技术指南》（污染影响类）（试行）的要求，生态环境保护目标主要为在产业园区外建设项目新增用地范围内的生态环境保护目标。该项目位于云南省东川再就业特区天生桥特色产业园，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污染物排放控制标准</w:t>
            </w:r>
          </w:p>
        </w:tc>
        <w:tc>
          <w:tcPr>
            <w:tcW w:w="8834" w:type="dxa"/>
          </w:tcPr>
          <w:p>
            <w:pPr>
              <w:pStyle w:val="37"/>
              <w:spacing w:beforeLines="50"/>
              <w:ind w:firstLine="480"/>
              <w:rPr>
                <w:rFonts w:eastAsiaTheme="minorEastAsia"/>
                <w:szCs w:val="24"/>
              </w:rPr>
            </w:pPr>
            <w:r>
              <w:rPr>
                <w:rFonts w:eastAsiaTheme="minorEastAsia"/>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3.3 污染物排放控制标准</w:t>
            </w:r>
          </w:p>
          <w:p>
            <w:pPr>
              <w:pStyle w:val="37"/>
              <w:ind w:firstLine="482"/>
              <w:rPr>
                <w:rFonts w:eastAsiaTheme="minorEastAsia"/>
                <w:b/>
                <w:szCs w:val="24"/>
              </w:rPr>
            </w:pPr>
            <w:r>
              <w:rPr>
                <w:rFonts w:eastAsiaTheme="minorEastAsia"/>
                <w:b/>
                <w:szCs w:val="24"/>
              </w:rPr>
              <w:t>3.3.1 废气排放标准</w:t>
            </w:r>
          </w:p>
          <w:p>
            <w:pPr>
              <w:pStyle w:val="37"/>
              <w:ind w:firstLine="361" w:firstLineChars="150"/>
              <w:rPr>
                <w:rFonts w:eastAsiaTheme="minorEastAsia"/>
                <w:b/>
              </w:rPr>
            </w:pPr>
            <w:r>
              <w:rPr>
                <w:rFonts w:eastAsiaTheme="minorEastAsia"/>
                <w:b/>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施工期大气污染物排放执行《大气污染物综合排放标准》（GB16297-1996）表2中无组织排放浓度排放限值。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标准值如下表所示。</w:t>
            </w:r>
          </w:p>
          <w:p>
            <w:pPr>
              <w:jc w:val="center"/>
              <w:rPr>
                <w:rFonts w:ascii="Times New Roman" w:hAnsi="Times New Roman" w:cs="Times New Roman"/>
                <w:b/>
                <w:szCs w:val="24"/>
              </w:rPr>
            </w:pPr>
            <w:r>
              <w:rPr>
                <w:rFonts w:ascii="Times New Roman" w:hAnsi="Times New Roman" w:cs="Times New Roman"/>
                <w:b/>
                <w:szCs w:val="24"/>
              </w:rPr>
              <w:t>表3.3.1-1  大气污染物排放限值  单位：mg/m³</w:t>
            </w:r>
          </w:p>
          <w:tbl>
            <w:tblPr>
              <w:tblStyle w:val="18"/>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29"/>
                    <w:spacing w:line="360" w:lineRule="exact"/>
                    <w:rPr>
                      <w:color w:val="auto"/>
                      <w:szCs w:val="21"/>
                    </w:rPr>
                  </w:pPr>
                  <w:r>
                    <w:rPr>
                      <w:color w:val="auto"/>
                      <w:szCs w:val="21"/>
                    </w:rPr>
                    <w:t>污染物</w:t>
                  </w:r>
                </w:p>
              </w:tc>
              <w:tc>
                <w:tcPr>
                  <w:tcW w:w="3387" w:type="dxa"/>
                </w:tcPr>
                <w:p>
                  <w:pPr>
                    <w:pStyle w:val="29"/>
                    <w:spacing w:line="360" w:lineRule="exact"/>
                    <w:rPr>
                      <w:color w:val="auto"/>
                      <w:szCs w:val="21"/>
                    </w:rPr>
                  </w:pPr>
                  <w:r>
                    <w:rPr>
                      <w:color w:val="auto"/>
                      <w:szCs w:val="21"/>
                    </w:rPr>
                    <w:t>最高允许排放浓度</w:t>
                  </w:r>
                </w:p>
              </w:tc>
              <w:tc>
                <w:tcPr>
                  <w:tcW w:w="3151" w:type="dxa"/>
                </w:tcPr>
                <w:p>
                  <w:pPr>
                    <w:pStyle w:val="29"/>
                    <w:spacing w:line="360" w:lineRule="exact"/>
                    <w:rPr>
                      <w:color w:val="auto"/>
                      <w:szCs w:val="21"/>
                    </w:rPr>
                  </w:pPr>
                  <w:r>
                    <w:rPr>
                      <w:color w:val="auto"/>
                      <w:szCs w:val="21"/>
                    </w:rPr>
                    <w:tab/>
                  </w:r>
                  <w:r>
                    <w:rPr>
                      <w:color w:val="auto"/>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29"/>
                    <w:spacing w:line="360" w:lineRule="exact"/>
                    <w:rPr>
                      <w:color w:val="auto"/>
                      <w:szCs w:val="21"/>
                    </w:rPr>
                  </w:pPr>
                  <w:r>
                    <w:rPr>
                      <w:color w:val="auto"/>
                      <w:szCs w:val="21"/>
                    </w:rPr>
                    <w:t>颗粒物</w:t>
                  </w:r>
                </w:p>
              </w:tc>
              <w:tc>
                <w:tcPr>
                  <w:tcW w:w="3387" w:type="dxa"/>
                </w:tcPr>
                <w:p>
                  <w:pPr>
                    <w:pStyle w:val="29"/>
                    <w:spacing w:line="360" w:lineRule="exact"/>
                    <w:rPr>
                      <w:color w:val="auto"/>
                      <w:szCs w:val="21"/>
                    </w:rPr>
                  </w:pPr>
                  <w:r>
                    <w:rPr>
                      <w:color w:val="auto"/>
                      <w:szCs w:val="21"/>
                    </w:rPr>
                    <w:t>--</w:t>
                  </w:r>
                </w:p>
              </w:tc>
              <w:tc>
                <w:tcPr>
                  <w:tcW w:w="3151" w:type="dxa"/>
                </w:tcPr>
                <w:p>
                  <w:pPr>
                    <w:pStyle w:val="29"/>
                    <w:spacing w:line="360" w:lineRule="exact"/>
                    <w:rPr>
                      <w:color w:val="auto"/>
                      <w:szCs w:val="21"/>
                    </w:rPr>
                  </w:pPr>
                  <w:r>
                    <w:rPr>
                      <w:color w:val="auto"/>
                      <w:szCs w:val="21"/>
                    </w:rPr>
                    <w:t>1.0</w:t>
                  </w:r>
                </w:p>
              </w:tc>
            </w:tr>
          </w:tbl>
          <w:p>
            <w:pPr>
              <w:pStyle w:val="37"/>
              <w:spacing w:beforeLines="50"/>
              <w:ind w:firstLine="361" w:firstLineChars="150"/>
              <w:rPr>
                <w:rFonts w:eastAsiaTheme="minorEastAsia"/>
                <w:b/>
              </w:rPr>
            </w:pPr>
            <w:r>
              <w:rPr>
                <w:rFonts w:eastAsiaTheme="minorEastAsia"/>
                <w:b/>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项目粉尘</w:t>
            </w:r>
            <w:r>
              <w:rPr>
                <w:rFonts w:hint="eastAsia" w:ascii="Times New Roman" w:hAnsi="Times New Roman" w:cs="Times New Roman"/>
                <w:sz w:val="24"/>
                <w:szCs w:val="24"/>
              </w:rPr>
              <w:t>主要</w:t>
            </w:r>
            <w:r>
              <w:rPr>
                <w:rFonts w:ascii="Times New Roman" w:hAnsi="Times New Roman" w:cs="Times New Roman"/>
                <w:sz w:val="24"/>
                <w:szCs w:val="24"/>
              </w:rPr>
              <w:t>产生于破碎工序，项目针对两条生产线破碎工序粉尘，分别对破碎工序产尘点设置集气罩将粉尘进行收集，集气效率不低于92%，并1台处置效率不低于95%的布袋除尘器处理，处理后通过1根高15m、Φ0.4m的排气筒（DA001）外排。执行《大气污染物综合排放标准》（GB16297-1996）表2中的二级排放标准及无组织排放监控浓度限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标准值如下表所示。</w:t>
            </w:r>
          </w:p>
          <w:p>
            <w:pPr>
              <w:jc w:val="center"/>
              <w:rPr>
                <w:rFonts w:ascii="Times New Roman" w:hAnsi="Times New Roman" w:cs="Times New Roman"/>
                <w:b/>
                <w:szCs w:val="24"/>
              </w:rPr>
            </w:pPr>
            <w:r>
              <w:rPr>
                <w:rFonts w:ascii="Times New Roman" w:hAnsi="Times New Roman" w:cs="Times New Roman"/>
                <w:b/>
                <w:szCs w:val="24"/>
              </w:rPr>
              <w:t>表3.3.1-2 大气污染物浓度限值</w:t>
            </w:r>
          </w:p>
          <w:tbl>
            <w:tblPr>
              <w:tblStyle w:val="18"/>
              <w:tblW w:w="86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2543"/>
              <w:gridCol w:w="2287"/>
              <w:gridCol w:w="24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79" w:type="dxa"/>
                  <w:vMerge w:val="restart"/>
                  <w:vAlign w:val="center"/>
                </w:tcPr>
                <w:p>
                  <w:pPr>
                    <w:pStyle w:val="29"/>
                    <w:spacing w:line="360" w:lineRule="exact"/>
                    <w:rPr>
                      <w:color w:val="auto"/>
                      <w:szCs w:val="21"/>
                    </w:rPr>
                  </w:pPr>
                  <w:r>
                    <w:rPr>
                      <w:color w:val="auto"/>
                      <w:szCs w:val="21"/>
                    </w:rPr>
                    <w:t>污染物</w:t>
                  </w:r>
                </w:p>
              </w:tc>
              <w:tc>
                <w:tcPr>
                  <w:tcW w:w="4830" w:type="dxa"/>
                  <w:gridSpan w:val="2"/>
                  <w:vAlign w:val="center"/>
                </w:tcPr>
                <w:p>
                  <w:pPr>
                    <w:pStyle w:val="29"/>
                    <w:spacing w:line="360" w:lineRule="exact"/>
                    <w:rPr>
                      <w:color w:val="auto"/>
                      <w:szCs w:val="21"/>
                    </w:rPr>
                  </w:pPr>
                  <w:r>
                    <w:rPr>
                      <w:color w:val="auto"/>
                      <w:szCs w:val="21"/>
                    </w:rPr>
                    <w:t>有组织排放标准</w:t>
                  </w:r>
                </w:p>
              </w:tc>
              <w:tc>
                <w:tcPr>
                  <w:tcW w:w="2493" w:type="dxa"/>
                  <w:vAlign w:val="center"/>
                </w:tcPr>
                <w:p>
                  <w:pPr>
                    <w:pStyle w:val="29"/>
                    <w:spacing w:line="360" w:lineRule="exact"/>
                    <w:rPr>
                      <w:color w:val="auto"/>
                      <w:szCs w:val="21"/>
                    </w:rPr>
                  </w:pPr>
                  <w:r>
                    <w:rPr>
                      <w:color w:val="auto"/>
                      <w:szCs w:val="21"/>
                    </w:rPr>
                    <w:t>无组织排放监控限值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79" w:type="dxa"/>
                  <w:vMerge w:val="continue"/>
                  <w:vAlign w:val="center"/>
                </w:tcPr>
                <w:p>
                  <w:pPr>
                    <w:pStyle w:val="29"/>
                    <w:spacing w:line="360" w:lineRule="exact"/>
                    <w:rPr>
                      <w:color w:val="auto"/>
                      <w:szCs w:val="21"/>
                    </w:rPr>
                  </w:pPr>
                </w:p>
              </w:tc>
              <w:tc>
                <w:tcPr>
                  <w:tcW w:w="2543" w:type="dxa"/>
                  <w:vAlign w:val="center"/>
                </w:tcPr>
                <w:p>
                  <w:pPr>
                    <w:pStyle w:val="29"/>
                    <w:spacing w:line="360" w:lineRule="exact"/>
                    <w:rPr>
                      <w:color w:val="auto"/>
                      <w:szCs w:val="21"/>
                    </w:rPr>
                  </w:pPr>
                  <w:r>
                    <w:rPr>
                      <w:color w:val="auto"/>
                      <w:szCs w:val="21"/>
                    </w:rPr>
                    <w:t>15m高排气筒排放速率（kg/h）</w:t>
                  </w:r>
                </w:p>
              </w:tc>
              <w:tc>
                <w:tcPr>
                  <w:tcW w:w="2287" w:type="dxa"/>
                  <w:vAlign w:val="center"/>
                </w:tcPr>
                <w:p>
                  <w:pPr>
                    <w:pStyle w:val="29"/>
                    <w:spacing w:line="360" w:lineRule="exact"/>
                    <w:rPr>
                      <w:color w:val="auto"/>
                      <w:szCs w:val="21"/>
                    </w:rPr>
                  </w:pPr>
                  <w:r>
                    <w:rPr>
                      <w:color w:val="auto"/>
                      <w:szCs w:val="21"/>
                    </w:rPr>
                    <w:t>最高允许排放浓度（mg/m³）</w:t>
                  </w:r>
                </w:p>
              </w:tc>
              <w:tc>
                <w:tcPr>
                  <w:tcW w:w="2493" w:type="dxa"/>
                  <w:vAlign w:val="center"/>
                </w:tcPr>
                <w:p>
                  <w:pPr>
                    <w:pStyle w:val="29"/>
                    <w:spacing w:line="360" w:lineRule="exact"/>
                    <w:rPr>
                      <w:color w:val="auto"/>
                      <w:szCs w:val="21"/>
                    </w:rPr>
                  </w:pPr>
                  <w:r>
                    <w:rPr>
                      <w:color w:val="auto"/>
                      <w:szCs w:val="21"/>
                    </w:rPr>
                    <w:t>周界外浓度最高点（mg/m³）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79" w:type="dxa"/>
                  <w:vAlign w:val="center"/>
                </w:tcPr>
                <w:p>
                  <w:pPr>
                    <w:pStyle w:val="29"/>
                    <w:spacing w:line="360" w:lineRule="exact"/>
                    <w:rPr>
                      <w:color w:val="auto"/>
                      <w:szCs w:val="21"/>
                    </w:rPr>
                  </w:pPr>
                  <w:r>
                    <w:rPr>
                      <w:color w:val="auto"/>
                      <w:szCs w:val="21"/>
                    </w:rPr>
                    <w:t>颗粒物</w:t>
                  </w:r>
                </w:p>
              </w:tc>
              <w:tc>
                <w:tcPr>
                  <w:tcW w:w="2543" w:type="dxa"/>
                  <w:vAlign w:val="center"/>
                </w:tcPr>
                <w:p>
                  <w:pPr>
                    <w:pStyle w:val="29"/>
                    <w:spacing w:line="360" w:lineRule="exact"/>
                    <w:rPr>
                      <w:color w:val="auto"/>
                      <w:szCs w:val="21"/>
                    </w:rPr>
                  </w:pPr>
                  <w:r>
                    <w:rPr>
                      <w:color w:val="auto"/>
                      <w:szCs w:val="21"/>
                    </w:rPr>
                    <w:t>3.5</w:t>
                  </w:r>
                </w:p>
              </w:tc>
              <w:tc>
                <w:tcPr>
                  <w:tcW w:w="2287" w:type="dxa"/>
                  <w:vAlign w:val="center"/>
                </w:tcPr>
                <w:p>
                  <w:pPr>
                    <w:pStyle w:val="29"/>
                    <w:spacing w:line="360" w:lineRule="exact"/>
                    <w:rPr>
                      <w:color w:val="auto"/>
                      <w:szCs w:val="21"/>
                    </w:rPr>
                  </w:pPr>
                  <w:r>
                    <w:rPr>
                      <w:color w:val="auto"/>
                      <w:szCs w:val="21"/>
                    </w:rPr>
                    <w:t>120</w:t>
                  </w:r>
                </w:p>
              </w:tc>
              <w:tc>
                <w:tcPr>
                  <w:tcW w:w="2493" w:type="dxa"/>
                  <w:vAlign w:val="center"/>
                </w:tcPr>
                <w:p>
                  <w:pPr>
                    <w:pStyle w:val="29"/>
                    <w:spacing w:line="360" w:lineRule="exact"/>
                    <w:rPr>
                      <w:color w:val="auto"/>
                      <w:szCs w:val="21"/>
                    </w:rPr>
                  </w:pPr>
                  <w:r>
                    <w:rPr>
                      <w:color w:val="auto"/>
                      <w:szCs w:val="21"/>
                    </w:rPr>
                    <w:t>1.0</w:t>
                  </w:r>
                </w:p>
              </w:tc>
            </w:tr>
          </w:tbl>
          <w:p>
            <w:pPr>
              <w:pStyle w:val="37"/>
              <w:spacing w:beforeLines="50"/>
              <w:ind w:firstLine="482"/>
              <w:rPr>
                <w:rFonts w:eastAsiaTheme="minorEastAsia"/>
                <w:b/>
                <w:szCs w:val="24"/>
              </w:rPr>
            </w:pPr>
            <w:r>
              <w:rPr>
                <w:b/>
                <w:szCs w:val="24"/>
              </w:rPr>
              <w:t>②</w:t>
            </w:r>
            <w:r>
              <w:rPr>
                <w:rFonts w:eastAsiaTheme="minorEastAsia"/>
                <w:b/>
                <w:szCs w:val="24"/>
              </w:rPr>
              <w:t>厨房油烟</w:t>
            </w:r>
            <w:r>
              <w:rPr>
                <w:b/>
                <w:szCs w:val="24"/>
              </w:rPr>
              <w:t>执行标准</w:t>
            </w:r>
          </w:p>
          <w:p>
            <w:pPr>
              <w:pStyle w:val="37"/>
              <w:ind w:firstLine="480"/>
            </w:pPr>
            <w:r>
              <w:t>项目设置一间厨房（含一个灶头），厨房油烟参照执行《饮食业油烟排放标准》（GB18483-2001）（试行）小型标准，即，灶头数＜3，标准值如下表所示。</w:t>
            </w:r>
          </w:p>
          <w:p>
            <w:pPr>
              <w:jc w:val="center"/>
              <w:rPr>
                <w:rFonts w:ascii="Times New Roman" w:hAnsi="Times New Roman" w:cs="Times New Roman"/>
                <w:b/>
                <w:szCs w:val="24"/>
              </w:rPr>
            </w:pPr>
            <w:r>
              <w:rPr>
                <w:rFonts w:ascii="Times New Roman" w:hAnsi="Times New Roman" w:cs="Times New Roman"/>
                <w:b/>
                <w:szCs w:val="24"/>
              </w:rPr>
              <w:t>表3.3.1-3 饮食业单位的油烟最高允许排放浓度和油烟净化设施最低去除效率</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64"/>
              <w:gridCol w:w="3085"/>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4" w:type="dxa"/>
                  <w:vAlign w:val="center"/>
                </w:tcPr>
                <w:p>
                  <w:pPr>
                    <w:tabs>
                      <w:tab w:val="left" w:pos="780"/>
                    </w:tabs>
                    <w:spacing w:line="360" w:lineRule="exact"/>
                    <w:jc w:val="center"/>
                    <w:rPr>
                      <w:rFonts w:ascii="Times New Roman" w:hAnsi="Times New Roman" w:cs="Times New Roman"/>
                      <w:spacing w:val="14"/>
                    </w:rPr>
                  </w:pPr>
                  <w:r>
                    <w:rPr>
                      <w:rFonts w:ascii="Times New Roman" w:hAnsi="Times New Roman" w:cs="Times New Roman"/>
                      <w:spacing w:val="14"/>
                    </w:rPr>
                    <w:t>规模</w:t>
                  </w:r>
                </w:p>
              </w:tc>
              <w:tc>
                <w:tcPr>
                  <w:tcW w:w="1464" w:type="dxa"/>
                  <w:vAlign w:val="center"/>
                </w:tcPr>
                <w:p>
                  <w:pPr>
                    <w:tabs>
                      <w:tab w:val="left" w:pos="780"/>
                    </w:tabs>
                    <w:spacing w:line="360" w:lineRule="exact"/>
                    <w:jc w:val="center"/>
                    <w:rPr>
                      <w:rFonts w:ascii="Times New Roman" w:hAnsi="Times New Roman" w:cs="Times New Roman"/>
                      <w:spacing w:val="14"/>
                    </w:rPr>
                  </w:pPr>
                  <w:r>
                    <w:rPr>
                      <w:rFonts w:ascii="Times New Roman" w:hAnsi="Times New Roman" w:cs="Times New Roman"/>
                      <w:spacing w:val="14"/>
                    </w:rPr>
                    <w:t>基准灶头数</w:t>
                  </w:r>
                </w:p>
              </w:tc>
              <w:tc>
                <w:tcPr>
                  <w:tcW w:w="3085" w:type="dxa"/>
                  <w:vAlign w:val="center"/>
                </w:tcPr>
                <w:p>
                  <w:pPr>
                    <w:tabs>
                      <w:tab w:val="left" w:pos="780"/>
                    </w:tabs>
                    <w:spacing w:line="360" w:lineRule="exact"/>
                    <w:jc w:val="center"/>
                    <w:rPr>
                      <w:rFonts w:ascii="Times New Roman" w:hAnsi="Times New Roman" w:cs="Times New Roman"/>
                      <w:spacing w:val="14"/>
                    </w:rPr>
                  </w:pPr>
                  <w:r>
                    <w:rPr>
                      <w:rFonts w:ascii="Times New Roman" w:hAnsi="Times New Roman" w:cs="Times New Roman"/>
                      <w:spacing w:val="14"/>
                    </w:rPr>
                    <w:t>最高允许排放浓度（mg/m³）</w:t>
                  </w:r>
                </w:p>
              </w:tc>
              <w:tc>
                <w:tcPr>
                  <w:tcW w:w="3175" w:type="dxa"/>
                  <w:vAlign w:val="center"/>
                </w:tcPr>
                <w:p>
                  <w:pPr>
                    <w:tabs>
                      <w:tab w:val="left" w:pos="780"/>
                    </w:tabs>
                    <w:spacing w:line="360" w:lineRule="exact"/>
                    <w:jc w:val="center"/>
                    <w:rPr>
                      <w:rFonts w:ascii="Times New Roman" w:hAnsi="Times New Roman" w:cs="Times New Roman"/>
                      <w:spacing w:val="14"/>
                    </w:rPr>
                  </w:pPr>
                  <w:r>
                    <w:rPr>
                      <w:rFonts w:ascii="Times New Roman" w:hAnsi="Times New Roman" w:cs="Times New Roman"/>
                      <w:spacing w:val="1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4" w:type="dxa"/>
                  <w:vAlign w:val="center"/>
                </w:tcPr>
                <w:p>
                  <w:pPr>
                    <w:tabs>
                      <w:tab w:val="left" w:pos="780"/>
                    </w:tabs>
                    <w:spacing w:line="360" w:lineRule="exact"/>
                    <w:jc w:val="center"/>
                    <w:rPr>
                      <w:rFonts w:ascii="Times New Roman" w:hAnsi="Times New Roman" w:cs="Times New Roman"/>
                      <w:spacing w:val="14"/>
                    </w:rPr>
                  </w:pPr>
                  <w:r>
                    <w:rPr>
                      <w:rFonts w:ascii="Times New Roman" w:hAnsi="Times New Roman" w:cs="Times New Roman"/>
                      <w:spacing w:val="14"/>
                    </w:rPr>
                    <w:t>小型</w:t>
                  </w:r>
                </w:p>
              </w:tc>
              <w:tc>
                <w:tcPr>
                  <w:tcW w:w="1464" w:type="dxa"/>
                  <w:vAlign w:val="center"/>
                </w:tcPr>
                <w:p>
                  <w:pPr>
                    <w:tabs>
                      <w:tab w:val="left" w:pos="780"/>
                    </w:tabs>
                    <w:spacing w:line="360" w:lineRule="exact"/>
                    <w:jc w:val="center"/>
                    <w:rPr>
                      <w:rFonts w:ascii="Times New Roman" w:hAnsi="Times New Roman" w:cs="Times New Roman"/>
                      <w:spacing w:val="14"/>
                    </w:rPr>
                  </w:pPr>
                  <w:r>
                    <w:rPr>
                      <w:rFonts w:ascii="Times New Roman" w:hAnsi="Times New Roman" w:cs="Times New Roman"/>
                      <w:spacing w:val="14"/>
                    </w:rPr>
                    <w:t>≥1，＜3</w:t>
                  </w:r>
                </w:p>
              </w:tc>
              <w:tc>
                <w:tcPr>
                  <w:tcW w:w="3085" w:type="dxa"/>
                  <w:vAlign w:val="center"/>
                </w:tcPr>
                <w:p>
                  <w:pPr>
                    <w:tabs>
                      <w:tab w:val="left" w:pos="780"/>
                    </w:tabs>
                    <w:spacing w:line="360" w:lineRule="exact"/>
                    <w:jc w:val="center"/>
                    <w:rPr>
                      <w:rFonts w:ascii="Times New Roman" w:hAnsi="Times New Roman" w:cs="Times New Roman"/>
                      <w:spacing w:val="14"/>
                    </w:rPr>
                  </w:pPr>
                  <w:r>
                    <w:rPr>
                      <w:rFonts w:ascii="Times New Roman" w:hAnsi="Times New Roman" w:cs="Times New Roman"/>
                      <w:spacing w:val="14"/>
                    </w:rPr>
                    <w:t>2.0</w:t>
                  </w:r>
                </w:p>
              </w:tc>
              <w:tc>
                <w:tcPr>
                  <w:tcW w:w="3175" w:type="dxa"/>
                  <w:vAlign w:val="center"/>
                </w:tcPr>
                <w:p>
                  <w:pPr>
                    <w:tabs>
                      <w:tab w:val="left" w:pos="780"/>
                    </w:tabs>
                    <w:spacing w:line="360" w:lineRule="exact"/>
                    <w:jc w:val="center"/>
                    <w:rPr>
                      <w:rFonts w:ascii="Times New Roman" w:hAnsi="Times New Roman" w:cs="Times New Roman"/>
                      <w:spacing w:val="14"/>
                    </w:rPr>
                  </w:pPr>
                  <w:r>
                    <w:rPr>
                      <w:rFonts w:ascii="Times New Roman" w:hAnsi="Times New Roman" w:cs="Times New Roman"/>
                      <w:spacing w:val="14"/>
                    </w:rPr>
                    <w:t>60</w:t>
                  </w:r>
                </w:p>
              </w:tc>
            </w:tr>
          </w:tbl>
          <w:p>
            <w:pPr>
              <w:pStyle w:val="37"/>
              <w:spacing w:beforeLines="50"/>
              <w:ind w:firstLine="482"/>
              <w:rPr>
                <w:rFonts w:eastAsiaTheme="minorEastAsia"/>
                <w:b/>
                <w:szCs w:val="24"/>
              </w:rPr>
            </w:pPr>
            <w:r>
              <w:rPr>
                <w:rFonts w:eastAsiaTheme="minorEastAsia"/>
                <w:b/>
                <w:szCs w:val="24"/>
              </w:rPr>
              <w:t>3.3.2 废水排放标准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根据项目特点，本项目施工量较小，施工废水和施工生活污水通过施工场地的临时沉淀池沉淀处理后，回用于施工场地洒水降尘，不外排；因此不设排放标准。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项目运营期废水包括生活污水和初期雨水。初期雨水收集后用于项目区绿化，不执行相应标准，项目废水执行标准具体如下：</w:t>
            </w:r>
          </w:p>
          <w:p>
            <w:pPr>
              <w:spacing w:line="360" w:lineRule="auto"/>
              <w:ind w:firstLine="482" w:firstLineChars="200"/>
              <w:rPr>
                <w:rFonts w:ascii="Times New Roman" w:hAnsi="Times New Roman" w:cs="Times New Roman"/>
                <w:sz w:val="24"/>
                <w:szCs w:val="24"/>
              </w:rPr>
            </w:pPr>
            <w:r>
              <w:rPr>
                <w:rFonts w:ascii="Times New Roman" w:hAnsi="Times New Roman" w:eastAsia="宋体" w:cs="Times New Roman"/>
                <w:b/>
                <w:sz w:val="24"/>
                <w:szCs w:val="24"/>
              </w:rPr>
              <w:t>①</w:t>
            </w:r>
            <w:r>
              <w:rPr>
                <w:rFonts w:ascii="Times New Roman" w:hAnsi="Times New Roman" w:cs="Times New Roman"/>
                <w:b/>
                <w:sz w:val="24"/>
                <w:szCs w:val="24"/>
              </w:rPr>
              <w:t>生活污水执行标准</w:t>
            </w:r>
          </w:p>
          <w:p>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根据调查，目前规划的东川再就业特区天生桥特色产业园污水处理厂还未建成，因此该项目生活污水处置拟按近期（园区污水处理厂建成前）和远期（园区污水处理厂建成后）考虑。</w:t>
            </w:r>
          </w:p>
          <w:p>
            <w:pPr>
              <w:autoSpaceDE w:val="0"/>
              <w:autoSpaceDN w:val="0"/>
              <w:adjustRightIn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宋体" w:hAnsi="Times New Roman" w:eastAsia="宋体"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近期（园区污水处理厂建成前）执行标准</w:t>
            </w:r>
          </w:p>
          <w:p>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目前规划的东川再就业特区天生桥特色产业园污水处理厂还未建成，因此项目生活污水近期（园区污水处理厂建成前），项目产生的生活污水通过隔油池、化粪池和一体化污水处理设施处理后，回用于绿化不外排；执行《城市污水再生利用 城市杂用水水质》（GB/T18920 -2020）城市绿化标准。</w:t>
            </w:r>
          </w:p>
          <w:p>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标准限值详见下表。</w:t>
            </w:r>
          </w:p>
          <w:p>
            <w:pPr>
              <w:jc w:val="center"/>
              <w:rPr>
                <w:rFonts w:ascii="Times New Roman" w:hAnsi="Times New Roman" w:cs="Times New Roman"/>
                <w:b/>
                <w:szCs w:val="24"/>
              </w:rPr>
            </w:pPr>
            <w:r>
              <w:rPr>
                <w:rFonts w:ascii="Times New Roman" w:hAnsi="Times New Roman" w:cs="Times New Roman"/>
                <w:b/>
                <w:szCs w:val="24"/>
              </w:rPr>
              <w:t>表3.3.2-1  城市污水再生利用 城市杂用水标准</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93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序号</w:t>
                  </w:r>
                </w:p>
              </w:tc>
              <w:tc>
                <w:tcPr>
                  <w:tcW w:w="4937" w:type="dxa"/>
                  <w:vAlign w:val="center"/>
                </w:tcPr>
                <w:p>
                  <w:pPr>
                    <w:pStyle w:val="29"/>
                    <w:spacing w:line="360" w:lineRule="exact"/>
                    <w:rPr>
                      <w:color w:val="auto"/>
                      <w:szCs w:val="21"/>
                    </w:rPr>
                  </w:pPr>
                  <w:r>
                    <w:rPr>
                      <w:color w:val="auto"/>
                      <w:szCs w:val="21"/>
                    </w:rPr>
                    <w:t>项目</w:t>
                  </w:r>
                </w:p>
              </w:tc>
              <w:tc>
                <w:tcPr>
                  <w:tcW w:w="2625" w:type="dxa"/>
                  <w:vAlign w:val="center"/>
                </w:tcPr>
                <w:p>
                  <w:pPr>
                    <w:pStyle w:val="29"/>
                    <w:spacing w:line="360" w:lineRule="exact"/>
                    <w:rPr>
                      <w:color w:val="auto"/>
                      <w:szCs w:val="21"/>
                    </w:rPr>
                  </w:pPr>
                  <w:r>
                    <w:rPr>
                      <w:color w:val="auto"/>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1</w:t>
                  </w:r>
                </w:p>
              </w:tc>
              <w:tc>
                <w:tcPr>
                  <w:tcW w:w="4937" w:type="dxa"/>
                  <w:vAlign w:val="center"/>
                </w:tcPr>
                <w:p>
                  <w:pPr>
                    <w:pStyle w:val="29"/>
                    <w:spacing w:line="360" w:lineRule="exact"/>
                    <w:rPr>
                      <w:color w:val="auto"/>
                      <w:szCs w:val="21"/>
                    </w:rPr>
                  </w:pPr>
                  <w:r>
                    <w:rPr>
                      <w:color w:val="auto"/>
                      <w:szCs w:val="21"/>
                    </w:rPr>
                    <w:t>pH</w:t>
                  </w:r>
                </w:p>
              </w:tc>
              <w:tc>
                <w:tcPr>
                  <w:tcW w:w="2625" w:type="dxa"/>
                  <w:vAlign w:val="center"/>
                </w:tcPr>
                <w:p>
                  <w:pPr>
                    <w:pStyle w:val="29"/>
                    <w:spacing w:line="360" w:lineRule="exact"/>
                    <w:rPr>
                      <w:color w:val="auto"/>
                      <w:szCs w:val="21"/>
                    </w:rPr>
                  </w:pPr>
                  <w:r>
                    <w:rPr>
                      <w:color w:val="auto"/>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2</w:t>
                  </w:r>
                </w:p>
              </w:tc>
              <w:tc>
                <w:tcPr>
                  <w:tcW w:w="4937" w:type="dxa"/>
                  <w:vAlign w:val="center"/>
                </w:tcPr>
                <w:p>
                  <w:pPr>
                    <w:pStyle w:val="29"/>
                    <w:spacing w:line="360" w:lineRule="exact"/>
                    <w:rPr>
                      <w:color w:val="auto"/>
                      <w:szCs w:val="21"/>
                    </w:rPr>
                  </w:pPr>
                  <w:r>
                    <w:rPr>
                      <w:color w:val="auto"/>
                      <w:szCs w:val="21"/>
                    </w:rPr>
                    <w:t>色（度）≤</w:t>
                  </w:r>
                </w:p>
              </w:tc>
              <w:tc>
                <w:tcPr>
                  <w:tcW w:w="2625" w:type="dxa"/>
                  <w:vAlign w:val="center"/>
                </w:tcPr>
                <w:p>
                  <w:pPr>
                    <w:pStyle w:val="29"/>
                    <w:spacing w:line="360" w:lineRule="exact"/>
                    <w:rPr>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3</w:t>
                  </w:r>
                </w:p>
              </w:tc>
              <w:tc>
                <w:tcPr>
                  <w:tcW w:w="4937" w:type="dxa"/>
                  <w:vAlign w:val="center"/>
                </w:tcPr>
                <w:p>
                  <w:pPr>
                    <w:pStyle w:val="29"/>
                    <w:spacing w:line="360" w:lineRule="exact"/>
                    <w:rPr>
                      <w:color w:val="auto"/>
                      <w:szCs w:val="21"/>
                    </w:rPr>
                  </w:pPr>
                  <w:r>
                    <w:rPr>
                      <w:color w:val="auto"/>
                      <w:szCs w:val="21"/>
                    </w:rPr>
                    <w:t>嗅</w:t>
                  </w:r>
                </w:p>
              </w:tc>
              <w:tc>
                <w:tcPr>
                  <w:tcW w:w="2625" w:type="dxa"/>
                  <w:vAlign w:val="center"/>
                </w:tcPr>
                <w:p>
                  <w:pPr>
                    <w:pStyle w:val="29"/>
                    <w:spacing w:line="360" w:lineRule="exact"/>
                    <w:rPr>
                      <w:color w:val="auto"/>
                      <w:szCs w:val="21"/>
                    </w:rPr>
                  </w:pPr>
                  <w:r>
                    <w:rPr>
                      <w:color w:val="auto"/>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4</w:t>
                  </w:r>
                </w:p>
              </w:tc>
              <w:tc>
                <w:tcPr>
                  <w:tcW w:w="4937" w:type="dxa"/>
                  <w:vAlign w:val="center"/>
                </w:tcPr>
                <w:p>
                  <w:pPr>
                    <w:pStyle w:val="29"/>
                    <w:spacing w:line="360" w:lineRule="exact"/>
                    <w:rPr>
                      <w:color w:val="auto"/>
                      <w:szCs w:val="21"/>
                    </w:rPr>
                  </w:pPr>
                  <w:r>
                    <w:rPr>
                      <w:color w:val="auto"/>
                      <w:szCs w:val="21"/>
                    </w:rPr>
                    <w:t>浊度（NTU）≤</w:t>
                  </w:r>
                </w:p>
              </w:tc>
              <w:tc>
                <w:tcPr>
                  <w:tcW w:w="2625" w:type="dxa"/>
                  <w:vAlign w:val="center"/>
                </w:tcPr>
                <w:p>
                  <w:pPr>
                    <w:pStyle w:val="29"/>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5</w:t>
                  </w:r>
                </w:p>
              </w:tc>
              <w:tc>
                <w:tcPr>
                  <w:tcW w:w="4937" w:type="dxa"/>
                  <w:vAlign w:val="center"/>
                </w:tcPr>
                <w:p>
                  <w:pPr>
                    <w:pStyle w:val="29"/>
                    <w:spacing w:line="360" w:lineRule="exact"/>
                    <w:rPr>
                      <w:color w:val="auto"/>
                      <w:szCs w:val="21"/>
                    </w:rPr>
                  </w:pPr>
                  <w:r>
                    <w:rPr>
                      <w:color w:val="auto"/>
                      <w:szCs w:val="21"/>
                    </w:rPr>
                    <w:t>溶解性总固体（mg/L）≤</w:t>
                  </w:r>
                </w:p>
              </w:tc>
              <w:tc>
                <w:tcPr>
                  <w:tcW w:w="2625" w:type="dxa"/>
                  <w:vAlign w:val="center"/>
                </w:tcPr>
                <w:p>
                  <w:pPr>
                    <w:pStyle w:val="29"/>
                    <w:spacing w:line="360" w:lineRule="exact"/>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6</w:t>
                  </w:r>
                </w:p>
              </w:tc>
              <w:tc>
                <w:tcPr>
                  <w:tcW w:w="4937" w:type="dxa"/>
                  <w:vAlign w:val="center"/>
                </w:tcPr>
                <w:p>
                  <w:pPr>
                    <w:pStyle w:val="29"/>
                    <w:spacing w:line="360" w:lineRule="exact"/>
                    <w:rPr>
                      <w:color w:val="auto"/>
                      <w:szCs w:val="21"/>
                    </w:rPr>
                  </w:pPr>
                  <w:r>
                    <w:rPr>
                      <w:color w:val="auto"/>
                      <w:szCs w:val="21"/>
                    </w:rPr>
                    <w:t>五日生化需氧量BOD</w:t>
                  </w:r>
                  <w:r>
                    <w:rPr>
                      <w:color w:val="auto"/>
                      <w:szCs w:val="21"/>
                      <w:vertAlign w:val="subscript"/>
                    </w:rPr>
                    <w:t>5</w:t>
                  </w:r>
                  <w:r>
                    <w:rPr>
                      <w:color w:val="auto"/>
                      <w:szCs w:val="21"/>
                    </w:rPr>
                    <w:t>（mg/L）≤</w:t>
                  </w:r>
                </w:p>
              </w:tc>
              <w:tc>
                <w:tcPr>
                  <w:tcW w:w="2625" w:type="dxa"/>
                  <w:vAlign w:val="center"/>
                </w:tcPr>
                <w:p>
                  <w:pPr>
                    <w:pStyle w:val="29"/>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7</w:t>
                  </w:r>
                </w:p>
              </w:tc>
              <w:tc>
                <w:tcPr>
                  <w:tcW w:w="4937" w:type="dxa"/>
                  <w:vAlign w:val="center"/>
                </w:tcPr>
                <w:p>
                  <w:pPr>
                    <w:pStyle w:val="29"/>
                    <w:spacing w:line="360" w:lineRule="exact"/>
                    <w:rPr>
                      <w:color w:val="auto"/>
                      <w:szCs w:val="21"/>
                    </w:rPr>
                  </w:pPr>
                  <w:r>
                    <w:rPr>
                      <w:color w:val="auto"/>
                      <w:szCs w:val="21"/>
                    </w:rPr>
                    <w:t>氨氮（mg/L）≤</w:t>
                  </w:r>
                </w:p>
              </w:tc>
              <w:tc>
                <w:tcPr>
                  <w:tcW w:w="2625" w:type="dxa"/>
                  <w:vAlign w:val="center"/>
                </w:tcPr>
                <w:p>
                  <w:pPr>
                    <w:pStyle w:val="29"/>
                    <w:spacing w:line="360" w:lineRule="exact"/>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8</w:t>
                  </w:r>
                </w:p>
              </w:tc>
              <w:tc>
                <w:tcPr>
                  <w:tcW w:w="4937" w:type="dxa"/>
                  <w:vAlign w:val="center"/>
                </w:tcPr>
                <w:p>
                  <w:pPr>
                    <w:pStyle w:val="29"/>
                    <w:spacing w:line="360" w:lineRule="exact"/>
                    <w:rPr>
                      <w:color w:val="auto"/>
                      <w:szCs w:val="21"/>
                    </w:rPr>
                  </w:pPr>
                  <w:r>
                    <w:rPr>
                      <w:color w:val="auto"/>
                      <w:szCs w:val="21"/>
                    </w:rPr>
                    <w:t>阴离子表面活性（mg/L）≤</w:t>
                  </w:r>
                </w:p>
              </w:tc>
              <w:tc>
                <w:tcPr>
                  <w:tcW w:w="2625" w:type="dxa"/>
                  <w:vAlign w:val="center"/>
                </w:tcPr>
                <w:p>
                  <w:pPr>
                    <w:pStyle w:val="29"/>
                    <w:spacing w:line="360" w:lineRule="exact"/>
                    <w:rPr>
                      <w:color w:val="auto"/>
                      <w:szCs w:val="21"/>
                    </w:rPr>
                  </w:pPr>
                  <w:r>
                    <w:rPr>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9</w:t>
                  </w:r>
                </w:p>
              </w:tc>
              <w:tc>
                <w:tcPr>
                  <w:tcW w:w="4937" w:type="dxa"/>
                  <w:vAlign w:val="center"/>
                </w:tcPr>
                <w:p>
                  <w:pPr>
                    <w:pStyle w:val="29"/>
                    <w:spacing w:line="360" w:lineRule="exact"/>
                    <w:rPr>
                      <w:color w:val="auto"/>
                      <w:szCs w:val="21"/>
                    </w:rPr>
                  </w:pPr>
                  <w:r>
                    <w:rPr>
                      <w:color w:val="auto"/>
                      <w:szCs w:val="21"/>
                    </w:rPr>
                    <w:t>铁（mg/L）≤</w:t>
                  </w:r>
                </w:p>
              </w:tc>
              <w:tc>
                <w:tcPr>
                  <w:tcW w:w="2625" w:type="dxa"/>
                  <w:vAlign w:val="center"/>
                </w:tcPr>
                <w:p>
                  <w:pPr>
                    <w:pStyle w:val="29"/>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10</w:t>
                  </w:r>
                </w:p>
              </w:tc>
              <w:tc>
                <w:tcPr>
                  <w:tcW w:w="4937" w:type="dxa"/>
                  <w:vAlign w:val="center"/>
                </w:tcPr>
                <w:p>
                  <w:pPr>
                    <w:pStyle w:val="29"/>
                    <w:spacing w:line="360" w:lineRule="exact"/>
                    <w:rPr>
                      <w:color w:val="auto"/>
                      <w:szCs w:val="21"/>
                    </w:rPr>
                  </w:pPr>
                  <w:r>
                    <w:rPr>
                      <w:color w:val="auto"/>
                      <w:szCs w:val="21"/>
                    </w:rPr>
                    <w:t>锰（mg/L）≤</w:t>
                  </w:r>
                </w:p>
              </w:tc>
              <w:tc>
                <w:tcPr>
                  <w:tcW w:w="2625" w:type="dxa"/>
                  <w:vAlign w:val="center"/>
                </w:tcPr>
                <w:p>
                  <w:pPr>
                    <w:pStyle w:val="29"/>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11</w:t>
                  </w:r>
                </w:p>
              </w:tc>
              <w:tc>
                <w:tcPr>
                  <w:tcW w:w="4937" w:type="dxa"/>
                  <w:vAlign w:val="center"/>
                </w:tcPr>
                <w:p>
                  <w:pPr>
                    <w:pStyle w:val="29"/>
                    <w:spacing w:line="360" w:lineRule="exact"/>
                    <w:rPr>
                      <w:color w:val="auto"/>
                      <w:szCs w:val="21"/>
                    </w:rPr>
                  </w:pPr>
                  <w:r>
                    <w:rPr>
                      <w:color w:val="auto"/>
                      <w:szCs w:val="21"/>
                    </w:rPr>
                    <w:t>溶解氧（mg/L）≥</w:t>
                  </w:r>
                </w:p>
              </w:tc>
              <w:tc>
                <w:tcPr>
                  <w:tcW w:w="2625" w:type="dxa"/>
                  <w:vAlign w:val="center"/>
                </w:tcPr>
                <w:p>
                  <w:pPr>
                    <w:pStyle w:val="29"/>
                    <w:spacing w:line="360" w:lineRule="exact"/>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12</w:t>
                  </w:r>
                </w:p>
              </w:tc>
              <w:tc>
                <w:tcPr>
                  <w:tcW w:w="4937" w:type="dxa"/>
                  <w:vAlign w:val="center"/>
                </w:tcPr>
                <w:p>
                  <w:pPr>
                    <w:pStyle w:val="29"/>
                    <w:spacing w:line="360" w:lineRule="exact"/>
                    <w:rPr>
                      <w:color w:val="auto"/>
                      <w:szCs w:val="21"/>
                    </w:rPr>
                  </w:pPr>
                  <w:r>
                    <w:rPr>
                      <w:color w:val="auto"/>
                      <w:szCs w:val="21"/>
                    </w:rPr>
                    <w:t>总余氯（mg/L）≤</w:t>
                  </w:r>
                </w:p>
              </w:tc>
              <w:tc>
                <w:tcPr>
                  <w:tcW w:w="2625" w:type="dxa"/>
                  <w:vAlign w:val="center"/>
                </w:tcPr>
                <w:p>
                  <w:pPr>
                    <w:pStyle w:val="29"/>
                    <w:spacing w:line="360" w:lineRule="exact"/>
                    <w:rPr>
                      <w:color w:val="auto"/>
                      <w:szCs w:val="21"/>
                    </w:rPr>
                  </w:pPr>
                  <w:r>
                    <w:rPr>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29"/>
                    <w:spacing w:line="360" w:lineRule="exact"/>
                    <w:rPr>
                      <w:color w:val="auto"/>
                      <w:szCs w:val="21"/>
                    </w:rPr>
                  </w:pPr>
                  <w:r>
                    <w:rPr>
                      <w:color w:val="auto"/>
                      <w:szCs w:val="21"/>
                    </w:rPr>
                    <w:t>13</w:t>
                  </w:r>
                </w:p>
              </w:tc>
              <w:tc>
                <w:tcPr>
                  <w:tcW w:w="4937" w:type="dxa"/>
                  <w:vAlign w:val="center"/>
                </w:tcPr>
                <w:p>
                  <w:pPr>
                    <w:pStyle w:val="29"/>
                    <w:spacing w:line="360" w:lineRule="exact"/>
                    <w:rPr>
                      <w:color w:val="auto"/>
                      <w:szCs w:val="21"/>
                    </w:rPr>
                  </w:pPr>
                  <w:r>
                    <w:rPr>
                      <w:color w:val="auto"/>
                      <w:szCs w:val="21"/>
                    </w:rPr>
                    <w:t>大肠埃氏菌/（MPN/100mL，或CFU/100 mL）</w:t>
                  </w:r>
                </w:p>
              </w:tc>
              <w:tc>
                <w:tcPr>
                  <w:tcW w:w="2625" w:type="dxa"/>
                  <w:vAlign w:val="center"/>
                </w:tcPr>
                <w:p>
                  <w:pPr>
                    <w:pStyle w:val="29"/>
                    <w:spacing w:line="360" w:lineRule="exact"/>
                    <w:rPr>
                      <w:color w:val="auto"/>
                      <w:szCs w:val="21"/>
                    </w:rPr>
                  </w:pPr>
                  <w:r>
                    <w:rPr>
                      <w:color w:val="auto"/>
                      <w:szCs w:val="21"/>
                    </w:rPr>
                    <w:t>无</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宋体" w:hAnsi="Times New Roman" w:eastAsia="宋体"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远期（园区污水处理厂建成后）执行标准</w:t>
            </w:r>
          </w:p>
          <w:p>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远期（园区污水处理厂建成后），项目产生的生活污水通过隔油池、化粪池预处理后，进入东川再就业特区天生桥特色产业园污水处理厂集中处理；园区污水处理厂对园区综合废水进行再生处理，因此该项目执行《污水排入城镇下水道水质标准》（GB/T31962-2015）表1  A级标准。</w:t>
            </w:r>
          </w:p>
          <w:p>
            <w:pPr>
              <w:autoSpaceDE w:val="0"/>
              <w:autoSpaceDN w:val="0"/>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标准值如下表所示。</w:t>
            </w:r>
          </w:p>
          <w:p>
            <w:pPr>
              <w:jc w:val="center"/>
              <w:rPr>
                <w:rFonts w:ascii="Times New Roman" w:hAnsi="Times New Roman" w:cs="Times New Roman"/>
                <w:b/>
                <w:szCs w:val="24"/>
              </w:rPr>
            </w:pPr>
            <w:r>
              <w:rPr>
                <w:rFonts w:ascii="Times New Roman" w:hAnsi="Times New Roman" w:cs="Times New Roman"/>
                <w:b/>
                <w:szCs w:val="24"/>
              </w:rPr>
              <w:t>表3.3.2-2 排放标准浓度限值   单位：mg/L</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208"/>
              <w:gridCol w:w="1360"/>
              <w:gridCol w:w="2114"/>
              <w:gridCol w:w="1174"/>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29"/>
                    <w:spacing w:line="360" w:lineRule="exact"/>
                    <w:rPr>
                      <w:color w:val="auto"/>
                      <w:szCs w:val="21"/>
                    </w:rPr>
                  </w:pPr>
                  <w:r>
                    <w:rPr>
                      <w:color w:val="auto"/>
                      <w:szCs w:val="21"/>
                    </w:rPr>
                    <w:t>标准类别</w:t>
                  </w:r>
                </w:p>
              </w:tc>
              <w:tc>
                <w:tcPr>
                  <w:tcW w:w="1208" w:type="dxa"/>
                  <w:vAlign w:val="center"/>
                </w:tcPr>
                <w:p>
                  <w:pPr>
                    <w:pStyle w:val="29"/>
                    <w:spacing w:line="360" w:lineRule="exact"/>
                    <w:rPr>
                      <w:color w:val="auto"/>
                      <w:szCs w:val="21"/>
                    </w:rPr>
                  </w:pPr>
                  <w:r>
                    <w:rPr>
                      <w:color w:val="auto"/>
                      <w:szCs w:val="21"/>
                    </w:rPr>
                    <w:t>pH</w:t>
                  </w:r>
                </w:p>
              </w:tc>
              <w:tc>
                <w:tcPr>
                  <w:tcW w:w="1360" w:type="dxa"/>
                  <w:vAlign w:val="center"/>
                </w:tcPr>
                <w:p>
                  <w:pPr>
                    <w:pStyle w:val="29"/>
                    <w:spacing w:line="360" w:lineRule="exact"/>
                    <w:rPr>
                      <w:color w:val="auto"/>
                      <w:szCs w:val="21"/>
                    </w:rPr>
                  </w:pPr>
                  <w:r>
                    <w:rPr>
                      <w:color w:val="auto"/>
                      <w:szCs w:val="21"/>
                    </w:rPr>
                    <w:t>CODcr</w:t>
                  </w:r>
                </w:p>
              </w:tc>
              <w:tc>
                <w:tcPr>
                  <w:tcW w:w="2114" w:type="dxa"/>
                  <w:vAlign w:val="center"/>
                </w:tcPr>
                <w:p>
                  <w:pPr>
                    <w:pStyle w:val="29"/>
                    <w:spacing w:line="360" w:lineRule="exact"/>
                    <w:rPr>
                      <w:color w:val="auto"/>
                      <w:szCs w:val="21"/>
                    </w:rPr>
                  </w:pPr>
                  <w:r>
                    <w:rPr>
                      <w:color w:val="auto"/>
                      <w:szCs w:val="21"/>
                    </w:rPr>
                    <w:t>BOD5</w:t>
                  </w:r>
                </w:p>
              </w:tc>
              <w:tc>
                <w:tcPr>
                  <w:tcW w:w="1174" w:type="dxa"/>
                  <w:vAlign w:val="center"/>
                </w:tcPr>
                <w:p>
                  <w:pPr>
                    <w:pStyle w:val="29"/>
                    <w:spacing w:line="360" w:lineRule="exact"/>
                    <w:rPr>
                      <w:color w:val="auto"/>
                      <w:szCs w:val="21"/>
                    </w:rPr>
                  </w:pPr>
                  <w:r>
                    <w:rPr>
                      <w:color w:val="auto"/>
                      <w:szCs w:val="21"/>
                    </w:rPr>
                    <w:t>悬浮物</w:t>
                  </w:r>
                </w:p>
              </w:tc>
              <w:tc>
                <w:tcPr>
                  <w:tcW w:w="926" w:type="dxa"/>
                  <w:vAlign w:val="center"/>
                </w:tcPr>
                <w:p>
                  <w:pPr>
                    <w:pStyle w:val="29"/>
                    <w:spacing w:line="360" w:lineRule="exact"/>
                    <w:rPr>
                      <w:color w:val="auto"/>
                      <w:szCs w:val="21"/>
                    </w:rPr>
                  </w:pPr>
                  <w:r>
                    <w:rPr>
                      <w:color w:val="auto"/>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29"/>
                    <w:spacing w:line="360" w:lineRule="exact"/>
                    <w:rPr>
                      <w:color w:val="auto"/>
                      <w:szCs w:val="21"/>
                    </w:rPr>
                  </w:pPr>
                  <w:r>
                    <w:rPr>
                      <w:color w:val="auto"/>
                      <w:szCs w:val="21"/>
                    </w:rPr>
                    <w:t>A级</w:t>
                  </w:r>
                </w:p>
              </w:tc>
              <w:tc>
                <w:tcPr>
                  <w:tcW w:w="1208" w:type="dxa"/>
                  <w:vAlign w:val="center"/>
                </w:tcPr>
                <w:p>
                  <w:pPr>
                    <w:pStyle w:val="29"/>
                    <w:spacing w:line="360" w:lineRule="exact"/>
                    <w:rPr>
                      <w:color w:val="auto"/>
                      <w:szCs w:val="21"/>
                    </w:rPr>
                  </w:pPr>
                  <w:r>
                    <w:rPr>
                      <w:color w:val="auto"/>
                      <w:szCs w:val="21"/>
                    </w:rPr>
                    <w:t>6.5-9.5</w:t>
                  </w:r>
                </w:p>
              </w:tc>
              <w:tc>
                <w:tcPr>
                  <w:tcW w:w="1360" w:type="dxa"/>
                  <w:vAlign w:val="center"/>
                </w:tcPr>
                <w:p>
                  <w:pPr>
                    <w:pStyle w:val="29"/>
                    <w:spacing w:line="360" w:lineRule="exact"/>
                    <w:rPr>
                      <w:color w:val="auto"/>
                      <w:szCs w:val="21"/>
                    </w:rPr>
                  </w:pPr>
                  <w:r>
                    <w:rPr>
                      <w:color w:val="auto"/>
                      <w:szCs w:val="21"/>
                    </w:rPr>
                    <w:t>500</w:t>
                  </w:r>
                </w:p>
              </w:tc>
              <w:tc>
                <w:tcPr>
                  <w:tcW w:w="2114" w:type="dxa"/>
                  <w:vAlign w:val="center"/>
                </w:tcPr>
                <w:p>
                  <w:pPr>
                    <w:pStyle w:val="29"/>
                    <w:spacing w:line="360" w:lineRule="exact"/>
                    <w:rPr>
                      <w:color w:val="auto"/>
                      <w:szCs w:val="21"/>
                    </w:rPr>
                  </w:pPr>
                  <w:r>
                    <w:rPr>
                      <w:color w:val="auto"/>
                      <w:szCs w:val="21"/>
                    </w:rPr>
                    <w:t>350</w:t>
                  </w:r>
                </w:p>
              </w:tc>
              <w:tc>
                <w:tcPr>
                  <w:tcW w:w="1174" w:type="dxa"/>
                  <w:vAlign w:val="center"/>
                </w:tcPr>
                <w:p>
                  <w:pPr>
                    <w:pStyle w:val="29"/>
                    <w:spacing w:line="360" w:lineRule="exact"/>
                    <w:rPr>
                      <w:color w:val="auto"/>
                      <w:szCs w:val="21"/>
                    </w:rPr>
                  </w:pPr>
                  <w:r>
                    <w:rPr>
                      <w:color w:val="auto"/>
                      <w:szCs w:val="21"/>
                    </w:rPr>
                    <w:t>400</w:t>
                  </w:r>
                </w:p>
              </w:tc>
              <w:tc>
                <w:tcPr>
                  <w:tcW w:w="926" w:type="dxa"/>
                  <w:vAlign w:val="center"/>
                </w:tcPr>
                <w:p>
                  <w:pPr>
                    <w:pStyle w:val="29"/>
                    <w:spacing w:line="360" w:lineRule="exact"/>
                    <w:rPr>
                      <w:color w:val="auto"/>
                      <w:szCs w:val="21"/>
                    </w:rPr>
                  </w:pPr>
                  <w:r>
                    <w:rPr>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29"/>
                    <w:spacing w:line="360" w:lineRule="exact"/>
                    <w:rPr>
                      <w:color w:val="auto"/>
                      <w:szCs w:val="21"/>
                    </w:rPr>
                  </w:pPr>
                  <w:r>
                    <w:rPr>
                      <w:color w:val="auto"/>
                      <w:szCs w:val="21"/>
                    </w:rPr>
                    <w:t>标准类别</w:t>
                  </w:r>
                </w:p>
              </w:tc>
              <w:tc>
                <w:tcPr>
                  <w:tcW w:w="1208" w:type="dxa"/>
                  <w:vAlign w:val="center"/>
                </w:tcPr>
                <w:p>
                  <w:pPr>
                    <w:pStyle w:val="29"/>
                    <w:spacing w:line="360" w:lineRule="exact"/>
                    <w:rPr>
                      <w:color w:val="auto"/>
                      <w:szCs w:val="21"/>
                    </w:rPr>
                  </w:pPr>
                  <w:r>
                    <w:rPr>
                      <w:color w:val="auto"/>
                      <w:szCs w:val="21"/>
                    </w:rPr>
                    <w:t>氨氮</w:t>
                  </w:r>
                </w:p>
              </w:tc>
              <w:tc>
                <w:tcPr>
                  <w:tcW w:w="1360" w:type="dxa"/>
                  <w:vAlign w:val="center"/>
                </w:tcPr>
                <w:p>
                  <w:pPr>
                    <w:pStyle w:val="29"/>
                    <w:spacing w:line="360" w:lineRule="exact"/>
                    <w:rPr>
                      <w:color w:val="auto"/>
                      <w:szCs w:val="21"/>
                    </w:rPr>
                  </w:pPr>
                  <w:r>
                    <w:rPr>
                      <w:color w:val="auto"/>
                      <w:szCs w:val="21"/>
                    </w:rPr>
                    <w:t>总磷</w:t>
                  </w:r>
                </w:p>
              </w:tc>
              <w:tc>
                <w:tcPr>
                  <w:tcW w:w="2114" w:type="dxa"/>
                  <w:vAlign w:val="center"/>
                </w:tcPr>
                <w:p>
                  <w:pPr>
                    <w:pStyle w:val="29"/>
                    <w:spacing w:line="360" w:lineRule="exact"/>
                    <w:rPr>
                      <w:color w:val="auto"/>
                      <w:szCs w:val="21"/>
                    </w:rPr>
                  </w:pPr>
                  <w:r>
                    <w:rPr>
                      <w:color w:val="auto"/>
                      <w:szCs w:val="21"/>
                    </w:rPr>
                    <w:t>阴离子表面活性剂</w:t>
                  </w:r>
                </w:p>
              </w:tc>
              <w:tc>
                <w:tcPr>
                  <w:tcW w:w="1174" w:type="dxa"/>
                  <w:vAlign w:val="center"/>
                </w:tcPr>
                <w:p>
                  <w:pPr>
                    <w:pStyle w:val="29"/>
                    <w:spacing w:line="360" w:lineRule="exact"/>
                    <w:rPr>
                      <w:color w:val="auto"/>
                      <w:szCs w:val="21"/>
                    </w:rPr>
                  </w:pPr>
                  <w:r>
                    <w:rPr>
                      <w:color w:val="auto"/>
                      <w:szCs w:val="21"/>
                    </w:rPr>
                    <w:t>动植物油</w:t>
                  </w:r>
                </w:p>
              </w:tc>
              <w:tc>
                <w:tcPr>
                  <w:tcW w:w="926" w:type="dxa"/>
                  <w:vAlign w:val="center"/>
                </w:tcPr>
                <w:p>
                  <w:pPr>
                    <w:pStyle w:val="29"/>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29"/>
                    <w:spacing w:line="360" w:lineRule="exact"/>
                    <w:rPr>
                      <w:color w:val="auto"/>
                      <w:szCs w:val="21"/>
                    </w:rPr>
                  </w:pPr>
                  <w:r>
                    <w:rPr>
                      <w:color w:val="auto"/>
                      <w:szCs w:val="21"/>
                    </w:rPr>
                    <w:t>A级</w:t>
                  </w:r>
                </w:p>
              </w:tc>
              <w:tc>
                <w:tcPr>
                  <w:tcW w:w="1208" w:type="dxa"/>
                  <w:vAlign w:val="center"/>
                </w:tcPr>
                <w:p>
                  <w:pPr>
                    <w:pStyle w:val="29"/>
                    <w:spacing w:line="360" w:lineRule="exact"/>
                    <w:rPr>
                      <w:color w:val="auto"/>
                      <w:szCs w:val="21"/>
                    </w:rPr>
                  </w:pPr>
                  <w:r>
                    <w:rPr>
                      <w:color w:val="auto"/>
                      <w:szCs w:val="21"/>
                    </w:rPr>
                    <w:t>45</w:t>
                  </w:r>
                </w:p>
              </w:tc>
              <w:tc>
                <w:tcPr>
                  <w:tcW w:w="1360" w:type="dxa"/>
                  <w:vAlign w:val="center"/>
                </w:tcPr>
                <w:p>
                  <w:pPr>
                    <w:pStyle w:val="29"/>
                    <w:spacing w:line="360" w:lineRule="exact"/>
                    <w:rPr>
                      <w:color w:val="auto"/>
                      <w:szCs w:val="21"/>
                    </w:rPr>
                  </w:pPr>
                  <w:r>
                    <w:rPr>
                      <w:color w:val="auto"/>
                      <w:szCs w:val="21"/>
                    </w:rPr>
                    <w:t>8</w:t>
                  </w:r>
                </w:p>
              </w:tc>
              <w:tc>
                <w:tcPr>
                  <w:tcW w:w="2114" w:type="dxa"/>
                  <w:vAlign w:val="center"/>
                </w:tcPr>
                <w:p>
                  <w:pPr>
                    <w:pStyle w:val="29"/>
                    <w:spacing w:line="360" w:lineRule="exact"/>
                    <w:rPr>
                      <w:color w:val="auto"/>
                      <w:szCs w:val="21"/>
                    </w:rPr>
                  </w:pPr>
                  <w:r>
                    <w:rPr>
                      <w:color w:val="auto"/>
                      <w:szCs w:val="21"/>
                    </w:rPr>
                    <w:t>20</w:t>
                  </w:r>
                </w:p>
              </w:tc>
              <w:tc>
                <w:tcPr>
                  <w:tcW w:w="1174" w:type="dxa"/>
                  <w:vAlign w:val="center"/>
                </w:tcPr>
                <w:p>
                  <w:pPr>
                    <w:pStyle w:val="29"/>
                    <w:spacing w:line="360" w:lineRule="exact"/>
                    <w:rPr>
                      <w:color w:val="auto"/>
                      <w:szCs w:val="21"/>
                    </w:rPr>
                  </w:pPr>
                  <w:r>
                    <w:rPr>
                      <w:color w:val="auto"/>
                      <w:szCs w:val="21"/>
                    </w:rPr>
                    <w:t>100</w:t>
                  </w:r>
                </w:p>
              </w:tc>
              <w:tc>
                <w:tcPr>
                  <w:tcW w:w="926" w:type="dxa"/>
                  <w:vAlign w:val="center"/>
                </w:tcPr>
                <w:p>
                  <w:pPr>
                    <w:pStyle w:val="29"/>
                    <w:spacing w:line="360" w:lineRule="exact"/>
                    <w:rPr>
                      <w:color w:val="auto"/>
                      <w:szCs w:val="21"/>
                    </w:rPr>
                  </w:pPr>
                  <w:r>
                    <w:rPr>
                      <w:color w:val="auto"/>
                      <w:szCs w:val="21"/>
                    </w:rPr>
                    <w:t>--</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eastAsia="宋体" w:cs="Times New Roman"/>
                <w:b/>
                <w:sz w:val="24"/>
                <w:szCs w:val="24"/>
              </w:rPr>
              <w:t>②</w:t>
            </w:r>
            <w:r>
              <w:rPr>
                <w:rFonts w:ascii="Times New Roman" w:hAnsi="Times New Roman" w:cs="Times New Roman"/>
                <w:b/>
                <w:sz w:val="24"/>
                <w:szCs w:val="24"/>
              </w:rPr>
              <w:t>雨水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根据《排污许可证申请与核发技术规范 废弃资源加工工业》（HJ1034-2019）的要求，自行监测需要对雨水排放口进行监测，且执行《污水综合排放标准》（GB8978-1996），而项目所在区域属于黑泥沟的汇水范围，属于III类水体，因此执行《污水综合排放标准》（GB8978-1996）一级标准。标准限值详见下表。</w:t>
            </w:r>
          </w:p>
          <w:p>
            <w:pPr>
              <w:jc w:val="center"/>
              <w:rPr>
                <w:rFonts w:ascii="Times New Roman" w:hAnsi="Times New Roman" w:cs="Times New Roman"/>
                <w:b/>
                <w:szCs w:val="24"/>
              </w:rPr>
            </w:pPr>
            <w:r>
              <w:rPr>
                <w:rFonts w:ascii="Times New Roman" w:hAnsi="Times New Roman" w:cs="Times New Roman"/>
                <w:b/>
                <w:szCs w:val="24"/>
              </w:rPr>
              <w:t>表3.3.2-3  污水综合排放标准一级标准限值  单位：mg/L</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72"/>
              <w:gridCol w:w="2317"/>
              <w:gridCol w:w="2560"/>
              <w:gridCol w:w="18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72" w:type="dxa"/>
                  <w:vAlign w:val="center"/>
                </w:tcPr>
                <w:p>
                  <w:pPr>
                    <w:pStyle w:val="29"/>
                    <w:spacing w:line="360" w:lineRule="exact"/>
                    <w:rPr>
                      <w:color w:val="auto"/>
                      <w:szCs w:val="21"/>
                    </w:rPr>
                  </w:pPr>
                  <w:r>
                    <w:rPr>
                      <w:color w:val="auto"/>
                      <w:szCs w:val="21"/>
                    </w:rPr>
                    <w:t>污染物</w:t>
                  </w:r>
                </w:p>
              </w:tc>
              <w:tc>
                <w:tcPr>
                  <w:tcW w:w="2317" w:type="dxa"/>
                  <w:vAlign w:val="center"/>
                </w:tcPr>
                <w:p>
                  <w:pPr>
                    <w:pStyle w:val="29"/>
                    <w:spacing w:line="360" w:lineRule="exact"/>
                    <w:rPr>
                      <w:color w:val="auto"/>
                      <w:szCs w:val="21"/>
                    </w:rPr>
                  </w:pPr>
                  <w:r>
                    <w:rPr>
                      <w:color w:val="auto"/>
                      <w:szCs w:val="21"/>
                    </w:rPr>
                    <w:t>SS</w:t>
                  </w:r>
                </w:p>
              </w:tc>
              <w:tc>
                <w:tcPr>
                  <w:tcW w:w="2560" w:type="dxa"/>
                  <w:vAlign w:val="center"/>
                </w:tcPr>
                <w:p>
                  <w:pPr>
                    <w:pStyle w:val="29"/>
                    <w:spacing w:line="360" w:lineRule="exact"/>
                    <w:rPr>
                      <w:color w:val="auto"/>
                      <w:szCs w:val="21"/>
                    </w:rPr>
                  </w:pPr>
                  <w:r>
                    <w:rPr>
                      <w:color w:val="auto"/>
                      <w:szCs w:val="21"/>
                    </w:rPr>
                    <w:t>CODcr</w:t>
                  </w:r>
                </w:p>
              </w:tc>
              <w:tc>
                <w:tcPr>
                  <w:tcW w:w="1859" w:type="dxa"/>
                  <w:vAlign w:val="center"/>
                </w:tcPr>
                <w:p>
                  <w:pPr>
                    <w:pStyle w:val="29"/>
                    <w:spacing w:line="360" w:lineRule="exact"/>
                    <w:rPr>
                      <w:color w:val="auto"/>
                      <w:szCs w:val="21"/>
                    </w:rPr>
                  </w:pPr>
                  <w:r>
                    <w:rPr>
                      <w:color w:val="auto"/>
                      <w:szCs w:val="21"/>
                    </w:rPr>
                    <w:t>石油类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72" w:type="dxa"/>
                  <w:vAlign w:val="center"/>
                </w:tcPr>
                <w:p>
                  <w:pPr>
                    <w:pStyle w:val="29"/>
                    <w:spacing w:line="360" w:lineRule="exact"/>
                    <w:rPr>
                      <w:color w:val="auto"/>
                      <w:szCs w:val="21"/>
                    </w:rPr>
                  </w:pPr>
                  <w:r>
                    <w:rPr>
                      <w:color w:val="auto"/>
                      <w:szCs w:val="21"/>
                    </w:rPr>
                    <w:t>标准值</w:t>
                  </w:r>
                </w:p>
              </w:tc>
              <w:tc>
                <w:tcPr>
                  <w:tcW w:w="2317" w:type="dxa"/>
                  <w:vAlign w:val="center"/>
                </w:tcPr>
                <w:p>
                  <w:pPr>
                    <w:pStyle w:val="29"/>
                    <w:spacing w:line="360" w:lineRule="exact"/>
                    <w:rPr>
                      <w:color w:val="auto"/>
                      <w:szCs w:val="21"/>
                    </w:rPr>
                  </w:pPr>
                  <w:r>
                    <w:rPr>
                      <w:color w:val="auto"/>
                      <w:szCs w:val="21"/>
                    </w:rPr>
                    <w:t>≤70</w:t>
                  </w:r>
                </w:p>
              </w:tc>
              <w:tc>
                <w:tcPr>
                  <w:tcW w:w="2560" w:type="dxa"/>
                  <w:vAlign w:val="center"/>
                </w:tcPr>
                <w:p>
                  <w:pPr>
                    <w:pStyle w:val="29"/>
                    <w:spacing w:line="360" w:lineRule="exact"/>
                    <w:rPr>
                      <w:color w:val="auto"/>
                      <w:szCs w:val="21"/>
                    </w:rPr>
                  </w:pPr>
                  <w:r>
                    <w:rPr>
                      <w:color w:val="auto"/>
                      <w:szCs w:val="21"/>
                    </w:rPr>
                    <w:t>≤100</w:t>
                  </w:r>
                </w:p>
              </w:tc>
              <w:tc>
                <w:tcPr>
                  <w:tcW w:w="1859" w:type="dxa"/>
                  <w:vAlign w:val="center"/>
                </w:tcPr>
                <w:p>
                  <w:pPr>
                    <w:pStyle w:val="29"/>
                    <w:spacing w:line="360" w:lineRule="exact"/>
                    <w:rPr>
                      <w:color w:val="auto"/>
                      <w:szCs w:val="21"/>
                    </w:rPr>
                  </w:pPr>
                  <w:r>
                    <w:rPr>
                      <w:color w:val="auto"/>
                      <w:szCs w:val="21"/>
                    </w:rPr>
                    <w:t>≤10</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3.3.3 噪声排放标准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施工期噪声排放执行《建筑施工场界噪声环境噪声排放标准》（GB12523-2011）。标准值详见下表。</w:t>
            </w:r>
          </w:p>
          <w:p>
            <w:pPr>
              <w:jc w:val="center"/>
              <w:rPr>
                <w:rFonts w:ascii="Times New Roman" w:hAnsi="Times New Roman" w:cs="Times New Roman"/>
                <w:b/>
                <w:szCs w:val="24"/>
              </w:rPr>
            </w:pPr>
            <w:r>
              <w:rPr>
                <w:rFonts w:ascii="Times New Roman" w:hAnsi="Times New Roman" w:cs="Times New Roman"/>
                <w:b/>
                <w:szCs w:val="24"/>
              </w:rPr>
              <w:t>表3.3.3-1 建筑施工场界噪声标准限值  单位：dB（A）</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29"/>
                    <w:spacing w:line="360" w:lineRule="exact"/>
                    <w:ind w:left="11"/>
                    <w:rPr>
                      <w:rFonts w:eastAsiaTheme="minorEastAsia"/>
                      <w:color w:val="auto"/>
                      <w:szCs w:val="21"/>
                    </w:rPr>
                  </w:pPr>
                  <w:r>
                    <w:rPr>
                      <w:rFonts w:eastAsiaTheme="minorEastAsia"/>
                      <w:color w:val="auto"/>
                      <w:szCs w:val="21"/>
                    </w:rPr>
                    <w:t>控制区域</w:t>
                  </w:r>
                </w:p>
              </w:tc>
              <w:tc>
                <w:tcPr>
                  <w:tcW w:w="5559" w:type="dxa"/>
                  <w:gridSpan w:val="2"/>
                  <w:vAlign w:val="center"/>
                </w:tcPr>
                <w:p>
                  <w:pPr>
                    <w:pStyle w:val="29"/>
                    <w:spacing w:line="360" w:lineRule="exact"/>
                    <w:ind w:left="11"/>
                    <w:rPr>
                      <w:rFonts w:eastAsiaTheme="minorEastAsia"/>
                      <w:color w:val="auto"/>
                      <w:szCs w:val="21"/>
                    </w:rPr>
                  </w:pPr>
                  <w:r>
                    <w:rPr>
                      <w:rFonts w:eastAsiaTheme="minorEastAsia"/>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29"/>
                    <w:spacing w:line="360" w:lineRule="exact"/>
                    <w:ind w:left="11"/>
                    <w:rPr>
                      <w:rFonts w:eastAsiaTheme="minorEastAsia"/>
                      <w:color w:val="auto"/>
                      <w:szCs w:val="21"/>
                    </w:rPr>
                  </w:pPr>
                </w:p>
              </w:tc>
              <w:tc>
                <w:tcPr>
                  <w:tcW w:w="2825" w:type="dxa"/>
                  <w:vAlign w:val="center"/>
                </w:tcPr>
                <w:p>
                  <w:pPr>
                    <w:pStyle w:val="29"/>
                    <w:spacing w:line="360" w:lineRule="exact"/>
                    <w:ind w:left="11"/>
                    <w:rPr>
                      <w:rFonts w:eastAsiaTheme="minorEastAsia"/>
                      <w:color w:val="auto"/>
                      <w:szCs w:val="21"/>
                    </w:rPr>
                  </w:pPr>
                  <w:r>
                    <w:rPr>
                      <w:rFonts w:eastAsiaTheme="minorEastAsia"/>
                      <w:color w:val="auto"/>
                      <w:szCs w:val="21"/>
                    </w:rPr>
                    <w:t>昼间</w:t>
                  </w:r>
                </w:p>
              </w:tc>
              <w:tc>
                <w:tcPr>
                  <w:tcW w:w="2734" w:type="dxa"/>
                  <w:vAlign w:val="center"/>
                </w:tcPr>
                <w:p>
                  <w:pPr>
                    <w:pStyle w:val="29"/>
                    <w:spacing w:line="360" w:lineRule="exact"/>
                    <w:ind w:left="11"/>
                    <w:rPr>
                      <w:rFonts w:eastAsiaTheme="minorEastAsia"/>
                      <w:color w:val="auto"/>
                      <w:szCs w:val="21"/>
                    </w:rPr>
                  </w:pPr>
                  <w:r>
                    <w:rPr>
                      <w:rFonts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29"/>
                    <w:spacing w:line="360" w:lineRule="exact"/>
                    <w:ind w:left="11"/>
                    <w:rPr>
                      <w:rFonts w:eastAsiaTheme="minorEastAsia"/>
                      <w:color w:val="auto"/>
                      <w:szCs w:val="21"/>
                    </w:rPr>
                  </w:pPr>
                  <w:r>
                    <w:rPr>
                      <w:rFonts w:eastAsiaTheme="minorEastAsia"/>
                      <w:color w:val="auto"/>
                      <w:szCs w:val="21"/>
                    </w:rPr>
                    <w:t>厂界</w:t>
                  </w:r>
                </w:p>
              </w:tc>
              <w:tc>
                <w:tcPr>
                  <w:tcW w:w="2825" w:type="dxa"/>
                  <w:vAlign w:val="center"/>
                </w:tcPr>
                <w:p>
                  <w:pPr>
                    <w:pStyle w:val="29"/>
                    <w:spacing w:line="360" w:lineRule="exact"/>
                    <w:ind w:left="11"/>
                    <w:rPr>
                      <w:rFonts w:eastAsiaTheme="minorEastAsia"/>
                      <w:color w:val="auto"/>
                      <w:szCs w:val="21"/>
                    </w:rPr>
                  </w:pPr>
                  <w:r>
                    <w:rPr>
                      <w:rFonts w:eastAsiaTheme="minorEastAsia"/>
                      <w:color w:val="auto"/>
                      <w:szCs w:val="21"/>
                    </w:rPr>
                    <w:t>70</w:t>
                  </w:r>
                </w:p>
              </w:tc>
              <w:tc>
                <w:tcPr>
                  <w:tcW w:w="2734" w:type="dxa"/>
                  <w:vAlign w:val="center"/>
                </w:tcPr>
                <w:p>
                  <w:pPr>
                    <w:pStyle w:val="29"/>
                    <w:spacing w:line="360" w:lineRule="exact"/>
                    <w:ind w:left="11"/>
                    <w:rPr>
                      <w:rFonts w:eastAsiaTheme="minorEastAsia"/>
                      <w:color w:val="auto"/>
                      <w:szCs w:val="21"/>
                    </w:rPr>
                  </w:pPr>
                  <w:r>
                    <w:rPr>
                      <w:rFonts w:eastAsiaTheme="minorEastAsia"/>
                      <w:color w:val="auto"/>
                      <w:szCs w:val="21"/>
                    </w:rPr>
                    <w:t>55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项目位于云南省东川再就业特区天生桥特色产业园，该项目噪声执行《工业企业厂界环境噪声排放标准》（GB12348-2008）3类标准。标准限值详见下表。</w:t>
            </w:r>
          </w:p>
          <w:p>
            <w:pPr>
              <w:jc w:val="center"/>
              <w:rPr>
                <w:rFonts w:ascii="Times New Roman" w:hAnsi="Times New Roman" w:cs="Times New Roman"/>
                <w:b/>
                <w:szCs w:val="24"/>
              </w:rPr>
            </w:pPr>
            <w:r>
              <w:rPr>
                <w:rFonts w:ascii="Times New Roman" w:hAnsi="Times New Roman" w:cs="Times New Roman"/>
                <w:b/>
                <w:szCs w:val="24"/>
              </w:rPr>
              <w:t>表3.3.3-2 《工业企业厂界环境噪声排放标准》  Leq[dB（A）</w:t>
            </w:r>
          </w:p>
          <w:tbl>
            <w:tblPr>
              <w:tblStyle w:val="18"/>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29"/>
                    <w:spacing w:line="360" w:lineRule="exact"/>
                    <w:ind w:left="11"/>
                    <w:rPr>
                      <w:rFonts w:eastAsiaTheme="minorEastAsia"/>
                      <w:color w:val="auto"/>
                      <w:szCs w:val="21"/>
                    </w:rPr>
                  </w:pPr>
                  <w:r>
                    <w:rPr>
                      <w:rFonts w:eastAsiaTheme="minorEastAsia"/>
                      <w:color w:val="auto"/>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29"/>
                    <w:spacing w:line="360" w:lineRule="exact"/>
                    <w:ind w:left="11"/>
                    <w:rPr>
                      <w:rFonts w:eastAsiaTheme="minorEastAsia"/>
                      <w:color w:val="auto"/>
                      <w:szCs w:val="21"/>
                    </w:rPr>
                  </w:pPr>
                </w:p>
              </w:tc>
              <w:tc>
                <w:tcPr>
                  <w:tcW w:w="292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昼间</w:t>
                  </w:r>
                </w:p>
              </w:tc>
              <w:tc>
                <w:tcPr>
                  <w:tcW w:w="2897"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29"/>
                    <w:spacing w:line="360" w:lineRule="exact"/>
                    <w:ind w:left="11"/>
                    <w:rPr>
                      <w:rFonts w:eastAsiaTheme="minorEastAsia"/>
                      <w:color w:val="auto"/>
                      <w:szCs w:val="21"/>
                    </w:rPr>
                  </w:pPr>
                  <w:r>
                    <w:rPr>
                      <w:rFonts w:eastAsiaTheme="minorEastAsia"/>
                      <w:color w:val="auto"/>
                      <w:szCs w:val="21"/>
                    </w:rPr>
                    <w:t>3类</w:t>
                  </w:r>
                </w:p>
              </w:tc>
              <w:tc>
                <w:tcPr>
                  <w:tcW w:w="292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65</w:t>
                  </w:r>
                </w:p>
              </w:tc>
              <w:tc>
                <w:tcPr>
                  <w:tcW w:w="2897"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55</w:t>
                  </w:r>
                </w:p>
              </w:tc>
            </w:tr>
          </w:tbl>
          <w:p>
            <w:pPr>
              <w:pStyle w:val="37"/>
              <w:spacing w:beforeLines="50"/>
              <w:ind w:firstLine="482"/>
              <w:rPr>
                <w:rFonts w:eastAsiaTheme="minorEastAsia"/>
                <w:b/>
                <w:szCs w:val="24"/>
              </w:rPr>
            </w:pPr>
            <w:r>
              <w:rPr>
                <w:rFonts w:eastAsiaTheme="minorEastAsia"/>
                <w:b/>
                <w:szCs w:val="24"/>
              </w:rPr>
              <w:t>3.3.4 固废执行标准</w:t>
            </w:r>
          </w:p>
          <w:p>
            <w:pPr>
              <w:pStyle w:val="37"/>
              <w:ind w:firstLine="480"/>
              <w:rPr>
                <w:szCs w:val="24"/>
              </w:rPr>
            </w:pPr>
            <w:r>
              <w:rPr>
                <w:szCs w:val="24"/>
              </w:rPr>
              <w:fldChar w:fldCharType="begin"/>
            </w:r>
            <w:r>
              <w:rPr>
                <w:szCs w:val="24"/>
              </w:rPr>
              <w:instrText xml:space="preserve"> = 1 \* GB3 </w:instrText>
            </w:r>
            <w:r>
              <w:rPr>
                <w:szCs w:val="24"/>
              </w:rPr>
              <w:fldChar w:fldCharType="separate"/>
            </w:r>
            <w:r>
              <w:rPr>
                <w:rFonts w:ascii="宋体"/>
                <w:szCs w:val="24"/>
              </w:rPr>
              <w:t>①</w:t>
            </w:r>
            <w:r>
              <w:rPr>
                <w:szCs w:val="24"/>
              </w:rPr>
              <w:fldChar w:fldCharType="end"/>
            </w:r>
            <w:r>
              <w:rPr>
                <w:szCs w:val="24"/>
              </w:rPr>
              <w:t>危险废物执行《危险废物贮存污染控制标准》（GB18597-2001）及修改单。</w:t>
            </w:r>
          </w:p>
          <w:p>
            <w:pPr>
              <w:pStyle w:val="37"/>
              <w:ind w:firstLine="480"/>
              <w:rPr>
                <w:szCs w:val="24"/>
              </w:rPr>
            </w:pPr>
            <w:r>
              <w:rPr>
                <w:szCs w:val="24"/>
              </w:rPr>
              <w:fldChar w:fldCharType="begin"/>
            </w:r>
            <w:r>
              <w:rPr>
                <w:szCs w:val="24"/>
              </w:rPr>
              <w:instrText xml:space="preserve"> = 2 \* GB3 </w:instrText>
            </w:r>
            <w:r>
              <w:rPr>
                <w:szCs w:val="24"/>
              </w:rPr>
              <w:fldChar w:fldCharType="separate"/>
            </w:r>
            <w:r>
              <w:rPr>
                <w:rFonts w:ascii="宋体"/>
                <w:szCs w:val="24"/>
              </w:rPr>
              <w:t>②</w:t>
            </w:r>
            <w:r>
              <w:rPr>
                <w:szCs w:val="24"/>
              </w:rPr>
              <w:fldChar w:fldCharType="end"/>
            </w:r>
            <w:r>
              <w:rPr>
                <w:szCs w:val="24"/>
              </w:rPr>
              <w:t>一般固体废物处置执行《一般工业固体废物贮存和填埋污染控制标准》（GB18599-2020）。</w:t>
            </w: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总量控制指标</w:t>
            </w:r>
          </w:p>
        </w:tc>
        <w:tc>
          <w:tcPr>
            <w:tcW w:w="8834"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3.5 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（1）废气总量控制指标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有组织排放废气：废气量4320万m³/a，颗粒物：</w:t>
            </w:r>
            <w:r>
              <w:rPr>
                <w:rFonts w:hint="eastAsia" w:ascii="Times New Roman" w:hAnsi="Times New Roman" w:cs="Times New Roman"/>
                <w:sz w:val="24"/>
              </w:rPr>
              <w:t>1.66</w:t>
            </w:r>
            <w:r>
              <w:rPr>
                <w:rFonts w:ascii="Times New Roman" w:hAnsi="Times New Roman" w:cs="Times New Roman"/>
                <w:sz w:val="24"/>
              </w:rPr>
              <w:t>t/a。</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无组织排放废气：颗粒物：</w:t>
            </w:r>
            <w:r>
              <w:rPr>
                <w:rFonts w:hint="eastAsia" w:ascii="Times New Roman" w:hAnsi="Times New Roman" w:cs="Times New Roman"/>
                <w:sz w:val="24"/>
              </w:rPr>
              <w:t>2.88</w:t>
            </w:r>
            <w:r>
              <w:rPr>
                <w:rFonts w:ascii="Times New Roman" w:hAnsi="Times New Roman" w:cs="Times New Roman"/>
                <w:sz w:val="24"/>
              </w:rPr>
              <w:t>t/a。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（2）废水总量控制指标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近期（园区污水处理厂建成前），生活污水产生量为768m³/a；其中CODcr产生量为0.27t/a、BOD</w:t>
            </w:r>
            <w:r>
              <w:rPr>
                <w:rFonts w:ascii="Times New Roman" w:hAnsi="Times New Roman" w:cs="Times New Roman"/>
                <w:sz w:val="24"/>
                <w:vertAlign w:val="subscript"/>
              </w:rPr>
              <w:t>5</w:t>
            </w:r>
            <w:r>
              <w:rPr>
                <w:rFonts w:ascii="Times New Roman" w:hAnsi="Times New Roman" w:cs="Times New Roman"/>
                <w:sz w:val="24"/>
              </w:rPr>
              <w:t>产生量为0.17t/a、NH</w:t>
            </w:r>
            <w:r>
              <w:rPr>
                <w:rFonts w:ascii="Times New Roman" w:hAnsi="Times New Roman" w:cs="Times New Roman"/>
                <w:sz w:val="24"/>
                <w:vertAlign w:val="subscript"/>
              </w:rPr>
              <w:t>3</w:t>
            </w:r>
            <w:r>
              <w:rPr>
                <w:rFonts w:ascii="Times New Roman" w:hAnsi="Times New Roman" w:cs="Times New Roman"/>
                <w:sz w:val="24"/>
              </w:rPr>
              <w:t>-N产生量为0.03t/a、SS产生量为0.23t/a、总磷产生量为0.01t/a、总氮产生量为0.03t/a、动植物油产生量为0.08t/a、阴离子表面活性剂产生量为0.01t/a，达到《城市污水再生利用 城市杂用水水质》（GB/T18920 -2020）城市绿化标准回用于绿化不外排；远期（园区污水处理厂建成后），项目产生的生活污水通过隔油池、化粪池预处理达到《污水排入城镇下水道水质标准》（GB/T31962-2015）表1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A级标准后，进入东川再就业特区天生桥特色产业园污水处理厂集中处理；排放量为768m³/a；其中CODcr排放量为0.22t/a、BOD</w:t>
            </w:r>
            <w:r>
              <w:rPr>
                <w:rFonts w:ascii="Times New Roman" w:hAnsi="Times New Roman" w:cs="Times New Roman"/>
                <w:sz w:val="24"/>
                <w:vertAlign w:val="subscript"/>
              </w:rPr>
              <w:t>5</w:t>
            </w:r>
            <w:r>
              <w:rPr>
                <w:rFonts w:ascii="Times New Roman" w:hAnsi="Times New Roman" w:cs="Times New Roman"/>
                <w:sz w:val="24"/>
              </w:rPr>
              <w:t>排放量为0.15t/a、NH</w:t>
            </w:r>
            <w:r>
              <w:rPr>
                <w:rFonts w:ascii="Times New Roman" w:hAnsi="Times New Roman" w:cs="Times New Roman"/>
                <w:sz w:val="24"/>
                <w:vertAlign w:val="subscript"/>
              </w:rPr>
              <w:t>3</w:t>
            </w:r>
            <w:r>
              <w:rPr>
                <w:rFonts w:ascii="Times New Roman" w:hAnsi="Times New Roman" w:cs="Times New Roman"/>
                <w:sz w:val="24"/>
              </w:rPr>
              <w:t>-N排放量为0.03t/a、SS排放量为0.12t/a、总磷排放量为0.01t/a、总氮排放量为0.03t/a、动植物油排放量为0.05t/a、阴离子表面活性剂排放量为0.01t/a，纳入东川再就业特区天生桥特色产业园污水处理厂总量控制指标，该项目不需进行废水总量控制。</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（3）固体废物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固体废物处置率为100%。</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四、主要环境影响和保护措施</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4.1 施工期环境保护措施</w:t>
            </w:r>
          </w:p>
          <w:p>
            <w:pPr>
              <w:pStyle w:val="37"/>
              <w:ind w:firstLine="482"/>
              <w:rPr>
                <w:rFonts w:eastAsiaTheme="minorEastAsia"/>
                <w:b/>
                <w:szCs w:val="24"/>
              </w:rPr>
            </w:pPr>
            <w:r>
              <w:rPr>
                <w:rFonts w:eastAsiaTheme="minorEastAsia"/>
                <w:b/>
                <w:szCs w:val="24"/>
              </w:rPr>
              <w:t>4.1.1 施工期废气污染防治措施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项目施工期拟采取的扬尘防治措施主要包括：</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Times New Roman" w:hAnsi="Times New Roman"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Times New Roman" w:hAnsi="Times New Roman"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（1）建设单位相关要求</w:t>
            </w:r>
          </w:p>
          <w:p>
            <w:pPr>
              <w:spacing w:line="360" w:lineRule="auto"/>
              <w:ind w:firstLine="480" w:firstLineChars="200"/>
              <w:rPr>
                <w:rFonts w:ascii="Times New Roman" w:hAnsi="Times New Roman" w:cs="Times New Roman"/>
                <w:sz w:val="24"/>
                <w:szCs w:val="24"/>
              </w:rPr>
            </w:pPr>
            <w:r>
              <w:rPr>
                <w:rFonts w:hAnsi="Times New Roman" w:cs="Times New Roman" w:asciiTheme="minorEastAsia"/>
                <w:sz w:val="24"/>
                <w:szCs w:val="24"/>
              </w:rPr>
              <w:t>①</w:t>
            </w:r>
            <w:r>
              <w:rPr>
                <w:rFonts w:ascii="Times New Roman" w:hAnsi="Times New Roman" w:cs="Times New Roman"/>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sz w:val="24"/>
                <w:szCs w:val="24"/>
              </w:rPr>
            </w:pPr>
            <w:r>
              <w:rPr>
                <w:rFonts w:hAnsi="Times New Roman" w:cs="Times New Roman" w:asciiTheme="minorEastAsia"/>
                <w:sz w:val="24"/>
                <w:szCs w:val="24"/>
              </w:rPr>
              <w:t>②</w:t>
            </w:r>
            <w:r>
              <w:rPr>
                <w:rFonts w:ascii="Times New Roman" w:hAnsi="Times New Roman" w:cs="Times New Roman"/>
                <w:sz w:val="24"/>
                <w:szCs w:val="24"/>
              </w:rPr>
              <w:t>督促施工单位按规定做好工地现场PM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监测、视频监控等扬尘信息化监管设备的安装、使用、维护工作，工地现场PM</w:t>
            </w:r>
            <w:r>
              <w:rPr>
                <w:rFonts w:ascii="Times New Roman" w:hAnsi="Times New Roman" w:cs="Times New Roman"/>
                <w:sz w:val="24"/>
                <w:szCs w:val="24"/>
                <w:vertAlign w:val="subscript"/>
              </w:rPr>
              <w:t>10</w:t>
            </w:r>
            <w:r>
              <w:rPr>
                <w:rFonts w:ascii="Times New Roman" w:hAnsi="Times New Roman" w:cs="Times New Roman"/>
                <w:sz w:val="24"/>
                <w:szCs w:val="24"/>
              </w:rPr>
              <w:t>浓度达到规定的临界值时，督促施工单位采取相应的应急措施；</w:t>
            </w:r>
          </w:p>
          <w:p>
            <w:pPr>
              <w:spacing w:line="360" w:lineRule="auto"/>
              <w:ind w:firstLine="480" w:firstLineChars="200"/>
              <w:rPr>
                <w:rFonts w:ascii="Times New Roman" w:hAnsi="Times New Roman" w:cs="Times New Roman"/>
                <w:sz w:val="24"/>
                <w:szCs w:val="24"/>
              </w:rPr>
            </w:pPr>
            <w:r>
              <w:rPr>
                <w:rFonts w:hAnsi="Times New Roman" w:cs="Times New Roman" w:asciiTheme="minorEastAsia"/>
                <w:sz w:val="24"/>
                <w:szCs w:val="24"/>
              </w:rPr>
              <w:t>③</w:t>
            </w:r>
            <w:r>
              <w:rPr>
                <w:rFonts w:ascii="Times New Roman" w:hAnsi="Times New Roman" w:cs="Times New Roman"/>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（2）施工单位相关要求</w:t>
            </w:r>
          </w:p>
          <w:p>
            <w:pPr>
              <w:spacing w:line="360" w:lineRule="auto"/>
              <w:ind w:firstLine="480" w:firstLineChars="200"/>
              <w:rPr>
                <w:rFonts w:ascii="Times New Roman" w:hAnsi="Times New Roman" w:cs="Times New Roman"/>
                <w:sz w:val="24"/>
                <w:szCs w:val="24"/>
              </w:rPr>
            </w:pPr>
            <w:r>
              <w:rPr>
                <w:rFonts w:hAnsi="Times New Roman" w:cs="Times New Roman" w:asciiTheme="minorEastAsia"/>
                <w:sz w:val="24"/>
                <w:szCs w:val="24"/>
              </w:rPr>
              <w:t>①</w:t>
            </w:r>
            <w:r>
              <w:rPr>
                <w:rFonts w:ascii="Times New Roman" w:hAnsi="Times New Roman" w:cs="Times New Roman"/>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sz w:val="24"/>
                <w:szCs w:val="24"/>
              </w:rPr>
            </w:pPr>
            <w:r>
              <w:rPr>
                <w:rFonts w:hAnsi="Times New Roman" w:cs="Times New Roman" w:asciiTheme="minorEastAsia"/>
                <w:sz w:val="24"/>
                <w:szCs w:val="24"/>
              </w:rPr>
              <w:t>②</w:t>
            </w:r>
            <w:r>
              <w:rPr>
                <w:rFonts w:ascii="Times New Roman" w:hAnsi="Times New Roman" w:cs="Times New Roman"/>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sz w:val="24"/>
                <w:szCs w:val="24"/>
              </w:rPr>
            </w:pPr>
            <w:r>
              <w:rPr>
                <w:rFonts w:hAnsi="Times New Roman" w:cs="Times New Roman" w:asciiTheme="minorEastAsia"/>
                <w:sz w:val="24"/>
                <w:szCs w:val="24"/>
              </w:rPr>
              <w:t>③</w:t>
            </w:r>
            <w:r>
              <w:rPr>
                <w:rFonts w:ascii="Times New Roman" w:hAnsi="Times New Roman" w:cs="Times New Roman"/>
                <w:sz w:val="24"/>
                <w:szCs w:val="24"/>
              </w:rPr>
              <w:t>按规定做好工地现场PM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监测、视频监控等扬尘信息化监管设备的安装、使用、维护工作，现场PM</w:t>
            </w:r>
            <w:r>
              <w:rPr>
                <w:rFonts w:ascii="Times New Roman" w:hAnsi="Times New Roman" w:cs="Times New Roman"/>
                <w:sz w:val="24"/>
                <w:szCs w:val="24"/>
                <w:vertAlign w:val="subscript"/>
              </w:rPr>
              <w:t>10</w:t>
            </w:r>
            <w:r>
              <w:rPr>
                <w:rFonts w:ascii="Times New Roman" w:hAnsi="Times New Roman" w:cs="Times New Roman"/>
                <w:sz w:val="24"/>
                <w:szCs w:val="24"/>
              </w:rPr>
              <w:t>浓度超过60时，立即采取洒水降尘+喷雾降尘等综合降尘措施，12h平均PM</w:t>
            </w:r>
            <w:r>
              <w:rPr>
                <w:rFonts w:ascii="Times New Roman" w:hAnsi="Times New Roman" w:cs="Times New Roman"/>
                <w:sz w:val="24"/>
                <w:szCs w:val="24"/>
                <w:vertAlign w:val="subscript"/>
              </w:rPr>
              <w:t>10</w:t>
            </w:r>
            <w:r>
              <w:rPr>
                <w:rFonts w:ascii="Times New Roman" w:hAnsi="Times New Roman" w:cs="Times New Roman"/>
                <w:sz w:val="24"/>
                <w:szCs w:val="24"/>
              </w:rPr>
              <w:t>浓度超过100时，必须停工整改、加强综合降尘措施；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（3）监理单位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③监督施工单位做好工地现场PM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监测、视频监控等扬尘信息化监管设备的安装、使用、维护工作，现场PM</w:t>
            </w:r>
            <w:r>
              <w:rPr>
                <w:rFonts w:ascii="Times New Roman" w:hAnsi="Times New Roman" w:cs="Times New Roman"/>
                <w:sz w:val="24"/>
                <w:szCs w:val="24"/>
                <w:vertAlign w:val="subscript"/>
              </w:rPr>
              <w:t>10</w:t>
            </w:r>
            <w:r>
              <w:rPr>
                <w:rFonts w:ascii="Times New Roman" w:hAnsi="Times New Roman" w:cs="Times New Roman"/>
                <w:sz w:val="24"/>
                <w:szCs w:val="24"/>
              </w:rPr>
              <w:t>浓度超过临界值时，督促施工单位及时采取应急措施；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⑤对施工单位扬尘污染防治工作不到位的，予以责令整改，拒不整改或整改不到位的及时上报建设单位和项目监督机构。</w:t>
            </w:r>
          </w:p>
          <w:p>
            <w:pPr>
              <w:pStyle w:val="37"/>
              <w:ind w:firstLine="482"/>
              <w:rPr>
                <w:rFonts w:eastAsiaTheme="minorEastAsia"/>
                <w:b/>
                <w:szCs w:val="24"/>
              </w:rPr>
            </w:pPr>
            <w:r>
              <w:rPr>
                <w:rFonts w:eastAsiaTheme="minorEastAsia"/>
                <w:b/>
                <w:szCs w:val="24"/>
              </w:rPr>
              <w:t>4.1.2 施工期废水污染防治措施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①施工期施工人员不在项目区食宿，生活污水仅为洗手污水，施工废水和施工生活污水通过施工场地的临时沉淀池沉淀处理后，回用于施工场地洒水降尘，不外排。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项目在雨季施工时容易造成局部水土流失，施工场地雨天产生的地表径流与施工期间天气状况有较大的关系，难以定量分析。该部分废水含有泥沙，直接外排会使周围水体的悬浮物含量增加，甚至还会阻塞排水管网。针对施工地表径流，拟采取措施如下：施工期应按在施工场地内设置临时截洪沟，引排施工场地雨天产生的地表径流水，施工场地地表径流经施工废水沉淀池沉淀后回用，可减少径流水对项目区域地表水体水质的污染。</w:t>
            </w:r>
          </w:p>
          <w:p>
            <w:pPr>
              <w:pStyle w:val="37"/>
              <w:ind w:firstLine="482"/>
              <w:rPr>
                <w:rFonts w:eastAsiaTheme="minorEastAsia"/>
                <w:b/>
                <w:szCs w:val="24"/>
              </w:rPr>
            </w:pPr>
            <w:r>
              <w:rPr>
                <w:rFonts w:eastAsiaTheme="minorEastAsia"/>
                <w:b/>
                <w:szCs w:val="24"/>
              </w:rPr>
              <w:t>4.1.3 施工期噪声污染防治措施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①加强施工期的操作规范；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③加强与周围居民的沟通，避免扰民事件发生。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④合理安排施工工序及时间，禁止夜间施工。</w:t>
            </w:r>
          </w:p>
          <w:p>
            <w:pPr>
              <w:pStyle w:val="37"/>
              <w:ind w:firstLine="482"/>
              <w:rPr>
                <w:rFonts w:eastAsiaTheme="minorEastAsia"/>
                <w:b/>
                <w:szCs w:val="24"/>
              </w:rPr>
            </w:pPr>
            <w:r>
              <w:rPr>
                <w:rFonts w:eastAsiaTheme="minorEastAsia"/>
                <w:b/>
                <w:szCs w:val="24"/>
              </w:rPr>
              <w:t>4.1.4 施工期固体废物污染防治措施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项目施工期产生的固体废弃物主要包括建筑垃圾、废土石方和施工人员产生的生活垃圾。主要采取的施工固废防治措施如下：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①建设垃圾包括混凝土块、废木材、废钢材等，严格按照园区的要求，对其进行分类收集，其中废钢材收集后外售废品收购站，其他不能回收部分运至管理部门指定地点进行合理处置。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②产生的少量废土石方直接用于场地低洼处平整。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③生活垃圾委托环卫部门清运处置。</w:t>
            </w:r>
          </w:p>
          <w:p>
            <w:pPr>
              <w:autoSpaceDE w:val="0"/>
              <w:autoSpaceDN w:val="0"/>
              <w:spacing w:line="360" w:lineRule="auto"/>
              <w:ind w:firstLine="360" w:firstLineChars="150"/>
              <w:rPr>
                <w:rFonts w:ascii="Times New Roman" w:hAnsi="Times New Roman" w:cs="Times New Roman"/>
                <w:sz w:val="24"/>
                <w:szCs w:val="24"/>
              </w:rPr>
            </w:pPr>
          </w:p>
          <w:p>
            <w:pPr>
              <w:autoSpaceDE w:val="0"/>
              <w:autoSpaceDN w:val="0"/>
              <w:spacing w:line="360" w:lineRule="auto"/>
              <w:ind w:firstLine="360" w:firstLineChars="150"/>
              <w:rPr>
                <w:rFonts w:ascii="Times New Roman" w:hAnsi="Times New Roman" w:cs="Times New Roman"/>
                <w:sz w:val="24"/>
                <w:szCs w:val="24"/>
              </w:rPr>
            </w:pPr>
          </w:p>
          <w:p>
            <w:pPr>
              <w:autoSpaceDE w:val="0"/>
              <w:autoSpaceDN w:val="0"/>
              <w:spacing w:line="360" w:lineRule="auto"/>
              <w:ind w:firstLine="360" w:firstLineChars="150"/>
              <w:rPr>
                <w:rFonts w:ascii="Times New Roman" w:hAnsi="Times New Roman" w:cs="Times New Roman"/>
                <w:sz w:val="24"/>
                <w:szCs w:val="24"/>
              </w:rPr>
            </w:pPr>
          </w:p>
          <w:p>
            <w:pPr>
              <w:autoSpaceDE w:val="0"/>
              <w:autoSpaceDN w:val="0"/>
              <w:spacing w:line="360" w:lineRule="auto"/>
              <w:ind w:firstLine="360" w:firstLineChars="150"/>
              <w:rPr>
                <w:rFonts w:ascii="Times New Roman" w:hAnsi="Times New Roman" w:cs="Times New Roman"/>
                <w:sz w:val="24"/>
                <w:szCs w:val="24"/>
              </w:rPr>
            </w:pPr>
          </w:p>
          <w:p>
            <w:pPr>
              <w:autoSpaceDE w:val="0"/>
              <w:autoSpaceDN w:val="0"/>
              <w:spacing w:line="360" w:lineRule="auto"/>
              <w:ind w:firstLine="360" w:firstLineChars="150"/>
              <w:rPr>
                <w:rFonts w:ascii="Times New Roman" w:hAnsi="Times New Roman" w:cs="Times New Roman"/>
                <w:sz w:val="24"/>
                <w:szCs w:val="24"/>
              </w:rPr>
            </w:pPr>
          </w:p>
          <w:p>
            <w:pPr>
              <w:autoSpaceDE w:val="0"/>
              <w:autoSpaceDN w:val="0"/>
              <w:spacing w:line="360" w:lineRule="auto"/>
              <w:ind w:firstLine="360" w:firstLineChars="150"/>
              <w:rPr>
                <w:rFonts w:ascii="Times New Roman" w:hAnsi="Times New Roman" w:cs="Times New Roman"/>
                <w:sz w:val="24"/>
                <w:szCs w:val="24"/>
              </w:rPr>
            </w:pPr>
          </w:p>
          <w:p>
            <w:pPr>
              <w:autoSpaceDE w:val="0"/>
              <w:autoSpaceDN w:val="0"/>
              <w:spacing w:line="360" w:lineRule="auto"/>
              <w:ind w:firstLine="360" w:firstLineChars="15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4.2 运营期环境影响和保护措施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4.2.1 运营期废气环境影响和保护措施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（1）废气污染源强核算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w:t>
            </w:r>
            <w:r>
              <w:rPr>
                <w:rFonts w:hint="eastAsia" w:ascii="Times New Roman" w:hAnsi="Times New Roman" w:cs="Times New Roman"/>
                <w:sz w:val="24"/>
                <w:szCs w:val="24"/>
              </w:rPr>
              <w:t>，项目筛分设置属于全密闭式筛分设备，物料在设备内部进行筛分，因此筛分工序基本无粉尘外溢，</w:t>
            </w:r>
            <w:r>
              <w:rPr>
                <w:rFonts w:ascii="Times New Roman" w:hAnsi="Times New Roman" w:cs="Times New Roman"/>
                <w:sz w:val="24"/>
                <w:szCs w:val="24"/>
              </w:rPr>
              <w:t>项目产生的主要废气为破碎</w:t>
            </w:r>
            <w:r>
              <w:rPr>
                <w:rFonts w:hint="eastAsia" w:ascii="Times New Roman" w:hAnsi="Times New Roman" w:cs="Times New Roman"/>
                <w:sz w:val="24"/>
                <w:szCs w:val="24"/>
              </w:rPr>
              <w:t>工序</w:t>
            </w:r>
            <w:r>
              <w:rPr>
                <w:rFonts w:ascii="Times New Roman" w:hAnsi="Times New Roman" w:cs="Times New Roman"/>
                <w:sz w:val="24"/>
                <w:szCs w:val="24"/>
              </w:rPr>
              <w:t>产生的粉尘以及生活区产生的厨房油烟，具体产排情况核算如下：</w:t>
            </w:r>
          </w:p>
          <w:p>
            <w:pPr>
              <w:spacing w:line="360" w:lineRule="auto"/>
              <w:ind w:firstLine="482" w:firstLineChars="200"/>
              <w:rPr>
                <w:rFonts w:ascii="Times New Roman" w:hAnsi="Times New Roman" w:cs="Times New Roman"/>
                <w:b/>
                <w:sz w:val="24"/>
                <w:szCs w:val="24"/>
              </w:rPr>
            </w:pPr>
            <w:r>
              <w:rPr>
                <w:rFonts w:ascii="宋体" w:hAnsi="Times New Roman" w:eastAsia="宋体" w:cs="Times New Roman"/>
                <w:b/>
                <w:sz w:val="24"/>
                <w:szCs w:val="24"/>
              </w:rPr>
              <w:t>①</w:t>
            </w:r>
            <w:r>
              <w:rPr>
                <w:rFonts w:ascii="Times New Roman" w:hAnsi="Times New Roman" w:cs="Times New Roman"/>
                <w:b/>
                <w:sz w:val="24"/>
                <w:szCs w:val="24"/>
              </w:rPr>
              <w:t>粉尘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根据项目生产工艺</w:t>
            </w:r>
            <w:r>
              <w:rPr>
                <w:rFonts w:hint="eastAsia" w:ascii="Times New Roman" w:hAnsi="Times New Roman" w:cs="Times New Roman"/>
                <w:sz w:val="24"/>
                <w:szCs w:val="24"/>
              </w:rPr>
              <w:t>及项目特点，</w:t>
            </w:r>
            <w:r>
              <w:rPr>
                <w:rFonts w:ascii="Times New Roman" w:hAnsi="Times New Roman" w:cs="Times New Roman"/>
                <w:sz w:val="24"/>
                <w:szCs w:val="24"/>
              </w:rPr>
              <w:t>项目粉尘</w:t>
            </w:r>
            <w:r>
              <w:rPr>
                <w:rFonts w:hint="eastAsia" w:ascii="Times New Roman" w:hAnsi="Times New Roman" w:cs="Times New Roman"/>
                <w:sz w:val="24"/>
                <w:szCs w:val="24"/>
              </w:rPr>
              <w:t>主要</w:t>
            </w:r>
            <w:r>
              <w:rPr>
                <w:rFonts w:ascii="Times New Roman" w:hAnsi="Times New Roman" w:cs="Times New Roman"/>
                <w:sz w:val="24"/>
                <w:szCs w:val="24"/>
              </w:rPr>
              <w:t>产生于破碎工序</w:t>
            </w:r>
            <w:r>
              <w:rPr>
                <w:rFonts w:hint="eastAsia" w:ascii="Times New Roman" w:hAnsi="Times New Roman" w:cs="Times New Roman"/>
                <w:sz w:val="24"/>
                <w:szCs w:val="24"/>
              </w:rPr>
              <w:t>，</w:t>
            </w:r>
            <w:r>
              <w:rPr>
                <w:rFonts w:ascii="Times New Roman" w:hAnsi="Times New Roman" w:cs="Times New Roman"/>
                <w:sz w:val="24"/>
                <w:szCs w:val="24"/>
              </w:rPr>
              <w:t>根据《排放源统计调查产排污核算方法和系数手册》 “42废弃资源综合利用行业系数手册”中“4210金属废料和碎屑加工处理行业系数表”无废铝混合料的产污系数，因此本环评参考废钢铁破碎、分选产污系数进行核算，行业系数如下表所示。</w:t>
            </w:r>
          </w:p>
          <w:p>
            <w:pPr>
              <w:jc w:val="center"/>
              <w:rPr>
                <w:rFonts w:ascii="Times New Roman" w:hAnsi="Times New Roman" w:eastAsia="宋体" w:cs="Times New Roman"/>
                <w:b/>
                <w:szCs w:val="24"/>
              </w:rPr>
            </w:pPr>
            <w:r>
              <w:rPr>
                <w:rFonts w:ascii="Times New Roman" w:hAnsi="Times New Roman" w:eastAsia="宋体" w:cs="Times New Roman"/>
                <w:b/>
                <w:szCs w:val="24"/>
              </w:rPr>
              <w:t>表4.2.1-1  4210金属废料和碎屑加工处理行业系数表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0"/>
              <w:gridCol w:w="1097"/>
              <w:gridCol w:w="994"/>
              <w:gridCol w:w="708"/>
              <w:gridCol w:w="709"/>
              <w:gridCol w:w="709"/>
              <w:gridCol w:w="1044"/>
              <w:gridCol w:w="943"/>
              <w:gridCol w:w="1010"/>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0" w:type="dxa"/>
                  <w:vAlign w:val="center"/>
                </w:tcPr>
                <w:p>
                  <w:pPr>
                    <w:pStyle w:val="29"/>
                    <w:spacing w:line="360" w:lineRule="exact"/>
                    <w:rPr>
                      <w:color w:val="auto"/>
                      <w:szCs w:val="21"/>
                    </w:rPr>
                  </w:pPr>
                  <w:r>
                    <w:rPr>
                      <w:color w:val="auto"/>
                      <w:szCs w:val="21"/>
                    </w:rPr>
                    <w:t>工段名称</w:t>
                  </w:r>
                </w:p>
              </w:tc>
              <w:tc>
                <w:tcPr>
                  <w:tcW w:w="1097" w:type="dxa"/>
                  <w:vAlign w:val="center"/>
                </w:tcPr>
                <w:p>
                  <w:pPr>
                    <w:pStyle w:val="29"/>
                    <w:spacing w:line="360" w:lineRule="exact"/>
                    <w:rPr>
                      <w:color w:val="auto"/>
                      <w:szCs w:val="21"/>
                    </w:rPr>
                  </w:pPr>
                  <w:r>
                    <w:rPr>
                      <w:color w:val="auto"/>
                      <w:szCs w:val="21"/>
                    </w:rPr>
                    <w:t>产品名称</w:t>
                  </w:r>
                </w:p>
              </w:tc>
              <w:tc>
                <w:tcPr>
                  <w:tcW w:w="994" w:type="dxa"/>
                  <w:vAlign w:val="center"/>
                </w:tcPr>
                <w:p>
                  <w:pPr>
                    <w:pStyle w:val="29"/>
                    <w:spacing w:line="360" w:lineRule="exact"/>
                    <w:rPr>
                      <w:color w:val="auto"/>
                      <w:szCs w:val="21"/>
                    </w:rPr>
                  </w:pPr>
                  <w:r>
                    <w:rPr>
                      <w:color w:val="auto"/>
                      <w:szCs w:val="21"/>
                    </w:rPr>
                    <w:t>工艺名称</w:t>
                  </w:r>
                </w:p>
              </w:tc>
              <w:tc>
                <w:tcPr>
                  <w:tcW w:w="708" w:type="dxa"/>
                  <w:vAlign w:val="center"/>
                </w:tcPr>
                <w:p>
                  <w:pPr>
                    <w:pStyle w:val="29"/>
                    <w:spacing w:line="360" w:lineRule="exact"/>
                    <w:rPr>
                      <w:color w:val="auto"/>
                      <w:szCs w:val="21"/>
                    </w:rPr>
                  </w:pPr>
                  <w:r>
                    <w:rPr>
                      <w:color w:val="auto"/>
                      <w:szCs w:val="21"/>
                    </w:rPr>
                    <w:t>规模等级</w:t>
                  </w:r>
                </w:p>
              </w:tc>
              <w:tc>
                <w:tcPr>
                  <w:tcW w:w="1418" w:type="dxa"/>
                  <w:gridSpan w:val="2"/>
                  <w:vAlign w:val="center"/>
                </w:tcPr>
                <w:p>
                  <w:pPr>
                    <w:pStyle w:val="29"/>
                    <w:spacing w:line="360" w:lineRule="exact"/>
                    <w:rPr>
                      <w:color w:val="auto"/>
                      <w:szCs w:val="21"/>
                    </w:rPr>
                  </w:pPr>
                  <w:r>
                    <w:rPr>
                      <w:color w:val="auto"/>
                      <w:szCs w:val="21"/>
                    </w:rPr>
                    <w:t>污染物指标</w:t>
                  </w:r>
                </w:p>
              </w:tc>
              <w:tc>
                <w:tcPr>
                  <w:tcW w:w="1044" w:type="dxa"/>
                  <w:vAlign w:val="center"/>
                </w:tcPr>
                <w:p>
                  <w:pPr>
                    <w:pStyle w:val="29"/>
                    <w:spacing w:line="360" w:lineRule="exact"/>
                    <w:rPr>
                      <w:color w:val="auto"/>
                      <w:szCs w:val="21"/>
                    </w:rPr>
                  </w:pPr>
                  <w:r>
                    <w:rPr>
                      <w:color w:val="auto"/>
                      <w:szCs w:val="21"/>
                    </w:rPr>
                    <w:t>系数单位</w:t>
                  </w:r>
                </w:p>
              </w:tc>
              <w:tc>
                <w:tcPr>
                  <w:tcW w:w="943" w:type="dxa"/>
                  <w:vAlign w:val="center"/>
                </w:tcPr>
                <w:p>
                  <w:pPr>
                    <w:pStyle w:val="29"/>
                    <w:spacing w:line="360" w:lineRule="exact"/>
                    <w:rPr>
                      <w:color w:val="auto"/>
                      <w:szCs w:val="21"/>
                    </w:rPr>
                  </w:pPr>
                  <w:r>
                    <w:rPr>
                      <w:color w:val="auto"/>
                      <w:szCs w:val="21"/>
                    </w:rPr>
                    <w:t>产污系数</w:t>
                  </w:r>
                </w:p>
              </w:tc>
              <w:tc>
                <w:tcPr>
                  <w:tcW w:w="1010" w:type="dxa"/>
                  <w:vAlign w:val="center"/>
                </w:tcPr>
                <w:p>
                  <w:pPr>
                    <w:pStyle w:val="29"/>
                    <w:spacing w:line="360" w:lineRule="exact"/>
                    <w:rPr>
                      <w:color w:val="auto"/>
                      <w:szCs w:val="21"/>
                    </w:rPr>
                  </w:pPr>
                  <w:r>
                    <w:rPr>
                      <w:color w:val="auto"/>
                      <w:szCs w:val="21"/>
                    </w:rPr>
                    <w:t>末端治理技术</w:t>
                  </w:r>
                </w:p>
              </w:tc>
              <w:tc>
                <w:tcPr>
                  <w:tcW w:w="904" w:type="dxa"/>
                  <w:vAlign w:val="center"/>
                </w:tcPr>
                <w:p>
                  <w:pPr>
                    <w:pStyle w:val="29"/>
                    <w:spacing w:line="360" w:lineRule="exact"/>
                    <w:rPr>
                      <w:color w:val="auto"/>
                      <w:szCs w:val="21"/>
                    </w:rPr>
                  </w:pPr>
                  <w:r>
                    <w:rPr>
                      <w:color w:val="auto"/>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0" w:type="dxa"/>
                  <w:vAlign w:val="center"/>
                </w:tcPr>
                <w:p>
                  <w:pPr>
                    <w:pStyle w:val="29"/>
                    <w:spacing w:line="360" w:lineRule="exact"/>
                    <w:rPr>
                      <w:color w:val="auto"/>
                      <w:szCs w:val="21"/>
                    </w:rPr>
                  </w:pPr>
                  <w:r>
                    <w:rPr>
                      <w:color w:val="auto"/>
                      <w:szCs w:val="21"/>
                    </w:rPr>
                    <w:t>/</w:t>
                  </w:r>
                </w:p>
              </w:tc>
              <w:tc>
                <w:tcPr>
                  <w:tcW w:w="1097" w:type="dxa"/>
                  <w:vAlign w:val="center"/>
                </w:tcPr>
                <w:p>
                  <w:pPr>
                    <w:pStyle w:val="29"/>
                    <w:spacing w:line="360" w:lineRule="exact"/>
                    <w:rPr>
                      <w:color w:val="auto"/>
                      <w:szCs w:val="21"/>
                    </w:rPr>
                  </w:pPr>
                  <w:r>
                    <w:rPr>
                      <w:color w:val="auto"/>
                      <w:szCs w:val="21"/>
                    </w:rPr>
                    <w:t>废钢铁</w:t>
                  </w:r>
                </w:p>
              </w:tc>
              <w:tc>
                <w:tcPr>
                  <w:tcW w:w="994" w:type="dxa"/>
                  <w:vAlign w:val="center"/>
                </w:tcPr>
                <w:p>
                  <w:pPr>
                    <w:pStyle w:val="29"/>
                    <w:spacing w:line="360" w:lineRule="exact"/>
                    <w:rPr>
                      <w:color w:val="auto"/>
                      <w:szCs w:val="21"/>
                    </w:rPr>
                  </w:pPr>
                  <w:r>
                    <w:rPr>
                      <w:color w:val="auto"/>
                      <w:szCs w:val="21"/>
                    </w:rPr>
                    <w:t>破碎</w:t>
                  </w:r>
                </w:p>
              </w:tc>
              <w:tc>
                <w:tcPr>
                  <w:tcW w:w="708" w:type="dxa"/>
                  <w:vAlign w:val="center"/>
                </w:tcPr>
                <w:p>
                  <w:pPr>
                    <w:pStyle w:val="29"/>
                    <w:spacing w:line="360" w:lineRule="exact"/>
                    <w:rPr>
                      <w:color w:val="auto"/>
                      <w:szCs w:val="21"/>
                    </w:rPr>
                  </w:pPr>
                  <w:r>
                    <w:rPr>
                      <w:color w:val="auto"/>
                      <w:szCs w:val="21"/>
                    </w:rPr>
                    <w:t>所有规模</w:t>
                  </w:r>
                </w:p>
              </w:tc>
              <w:tc>
                <w:tcPr>
                  <w:tcW w:w="709" w:type="dxa"/>
                  <w:vAlign w:val="center"/>
                </w:tcPr>
                <w:p>
                  <w:pPr>
                    <w:pStyle w:val="29"/>
                    <w:spacing w:line="360" w:lineRule="exact"/>
                    <w:rPr>
                      <w:color w:val="auto"/>
                      <w:szCs w:val="21"/>
                    </w:rPr>
                  </w:pPr>
                  <w:r>
                    <w:rPr>
                      <w:color w:val="auto"/>
                      <w:szCs w:val="21"/>
                    </w:rPr>
                    <w:t>废气</w:t>
                  </w:r>
                </w:p>
              </w:tc>
              <w:tc>
                <w:tcPr>
                  <w:tcW w:w="709" w:type="dxa"/>
                  <w:vAlign w:val="center"/>
                </w:tcPr>
                <w:p>
                  <w:pPr>
                    <w:pStyle w:val="29"/>
                    <w:spacing w:line="360" w:lineRule="exact"/>
                    <w:rPr>
                      <w:color w:val="auto"/>
                      <w:szCs w:val="21"/>
                    </w:rPr>
                  </w:pPr>
                  <w:r>
                    <w:rPr>
                      <w:color w:val="auto"/>
                      <w:szCs w:val="21"/>
                    </w:rPr>
                    <w:t>颗粒物</w:t>
                  </w:r>
                </w:p>
              </w:tc>
              <w:tc>
                <w:tcPr>
                  <w:tcW w:w="1044" w:type="dxa"/>
                  <w:vAlign w:val="center"/>
                </w:tcPr>
                <w:p>
                  <w:pPr>
                    <w:pStyle w:val="29"/>
                    <w:spacing w:line="360" w:lineRule="exact"/>
                    <w:rPr>
                      <w:color w:val="auto"/>
                      <w:szCs w:val="21"/>
                    </w:rPr>
                  </w:pPr>
                  <w:r>
                    <w:rPr>
                      <w:color w:val="auto"/>
                      <w:szCs w:val="21"/>
                    </w:rPr>
                    <w:t>克/吨-原料</w:t>
                  </w:r>
                </w:p>
              </w:tc>
              <w:tc>
                <w:tcPr>
                  <w:tcW w:w="943" w:type="dxa"/>
                  <w:vAlign w:val="center"/>
                </w:tcPr>
                <w:p>
                  <w:pPr>
                    <w:pStyle w:val="29"/>
                    <w:spacing w:line="360" w:lineRule="exact"/>
                    <w:rPr>
                      <w:color w:val="auto"/>
                      <w:szCs w:val="21"/>
                    </w:rPr>
                  </w:pPr>
                  <w:r>
                    <w:rPr>
                      <w:color w:val="auto"/>
                      <w:szCs w:val="21"/>
                    </w:rPr>
                    <w:t>360</w:t>
                  </w:r>
                </w:p>
              </w:tc>
              <w:tc>
                <w:tcPr>
                  <w:tcW w:w="1010" w:type="dxa"/>
                  <w:vAlign w:val="center"/>
                </w:tcPr>
                <w:p>
                  <w:pPr>
                    <w:pStyle w:val="29"/>
                    <w:spacing w:line="360" w:lineRule="exact"/>
                    <w:rPr>
                      <w:bCs w:val="0"/>
                      <w:color w:val="auto"/>
                      <w:szCs w:val="21"/>
                    </w:rPr>
                  </w:pPr>
                  <w:r>
                    <w:rPr>
                      <w:color w:val="auto"/>
                      <w:szCs w:val="21"/>
                    </w:rPr>
                    <w:t>袋式除尘</w:t>
                  </w:r>
                </w:p>
              </w:tc>
              <w:tc>
                <w:tcPr>
                  <w:tcW w:w="904" w:type="dxa"/>
                  <w:vAlign w:val="center"/>
                </w:tcPr>
                <w:p>
                  <w:pPr>
                    <w:pStyle w:val="29"/>
                    <w:spacing w:line="360" w:lineRule="exact"/>
                    <w:rPr>
                      <w:color w:val="auto"/>
                      <w:szCs w:val="21"/>
                    </w:rPr>
                  </w:pPr>
                  <w:r>
                    <w:rPr>
                      <w:color w:val="auto"/>
                      <w:szCs w:val="21"/>
                    </w:rPr>
                    <w:t>95</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项目年处理年处理废铝混合料10万吨，参考上表产污系数可知，项目破碎粉尘产生量约为</w:t>
            </w:r>
            <w:r>
              <w:rPr>
                <w:rFonts w:hint="eastAsia" w:ascii="Times New Roman" w:hAnsi="Times New Roman" w:cs="Times New Roman"/>
                <w:sz w:val="24"/>
                <w:szCs w:val="24"/>
              </w:rPr>
              <w:t>36</w:t>
            </w:r>
            <w:r>
              <w:rPr>
                <w:rFonts w:ascii="Times New Roman" w:hAnsi="Times New Roman" w:cs="Times New Roman"/>
                <w:sz w:val="24"/>
                <w:szCs w:val="24"/>
              </w:rPr>
              <w:t>t/a，项目针对两条生产线破碎工序粉尘，分别对破碎工序产尘点设置集气罩将粉尘进行收集，集气效率不低于92%，并1台处置效率不低于95%的布袋除尘器处理，处理后通过1根高15m、Φ0.4m的排气筒（DA001）外排。则粉尘有组织排放量为</w:t>
            </w:r>
            <w:r>
              <w:rPr>
                <w:rFonts w:hint="eastAsia" w:ascii="Times New Roman" w:hAnsi="Times New Roman" w:cs="Times New Roman"/>
                <w:sz w:val="24"/>
                <w:szCs w:val="24"/>
              </w:rPr>
              <w:t>1.66</w:t>
            </w:r>
            <w:r>
              <w:rPr>
                <w:rFonts w:ascii="Times New Roman" w:hAnsi="Times New Roman" w:cs="Times New Roman"/>
                <w:sz w:val="24"/>
                <w:szCs w:val="24"/>
              </w:rPr>
              <w:t>t/a，粉尘无组织排放量为</w:t>
            </w:r>
            <w:r>
              <w:rPr>
                <w:rFonts w:hint="eastAsia" w:ascii="Times New Roman" w:hAnsi="Times New Roman" w:cs="Times New Roman"/>
                <w:sz w:val="24"/>
                <w:szCs w:val="24"/>
              </w:rPr>
              <w:t>2.88</w:t>
            </w:r>
            <w:r>
              <w:rPr>
                <w:rFonts w:ascii="Times New Roman" w:hAnsi="Times New Roman" w:cs="Times New Roman"/>
                <w:sz w:val="24"/>
                <w:szCs w:val="24"/>
              </w:rPr>
              <w:t>t/a；项目合计风量约为</w:t>
            </w:r>
            <w:r>
              <w:rPr>
                <w:rFonts w:hint="eastAsia" w:ascii="Times New Roman" w:hAnsi="Times New Roman" w:cs="Times New Roman"/>
                <w:sz w:val="24"/>
                <w:szCs w:val="24"/>
              </w:rPr>
              <w:t>6</w:t>
            </w:r>
            <w:r>
              <w:rPr>
                <w:rFonts w:ascii="Times New Roman" w:hAnsi="Times New Roman" w:cs="Times New Roman"/>
                <w:sz w:val="24"/>
                <w:szCs w:val="24"/>
              </w:rPr>
              <w:t>000m³/h，则有组织粉尘排放浓度为</w:t>
            </w:r>
            <w:r>
              <w:rPr>
                <w:rFonts w:hint="eastAsia" w:ascii="Times New Roman" w:hAnsi="Times New Roman" w:cs="Times New Roman"/>
                <w:sz w:val="24"/>
                <w:szCs w:val="24"/>
              </w:rPr>
              <w:t>38.43</w:t>
            </w:r>
            <w:r>
              <w:rPr>
                <w:rFonts w:ascii="Times New Roman" w:hAnsi="Times New Roman" w:cs="Times New Roman"/>
                <w:sz w:val="24"/>
                <w:szCs w:val="24"/>
              </w:rPr>
              <w:t>mg/m³。</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②厨房油烟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工程内容，项目设置一间厨房（含一个灶头），项目员工32人，均在厂区吃饭，厨房使用煤气等清洁燃料；根据对居民用油情况的类比调查，目前居民人均食用油日用量约30g/人•d，油烟产生量按用油量的2%计算，则该项目耗油量约960g/d，油烟产生量约19.2g/d，每天连续烧炒时间为3h，项目区厨房安装一个最低去除率60%的油烟净化器，按每个灶头基准排风量2000m³/h，灶头数按1个计算，油烟排放口烟气浓度约为1.3mg/m³，经油烟净化器处理后的厨房油烟高于房顶1.5m的烟道外排，可达到《饮食业油烟排放标准》（GB18483-2001）（试行）小型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（2）废气污染物污染防治措施及达标性分析</w:t>
            </w:r>
          </w:p>
          <w:p>
            <w:pPr>
              <w:spacing w:line="360" w:lineRule="auto"/>
              <w:ind w:firstLine="482" w:firstLineChars="200"/>
              <w:rPr>
                <w:rFonts w:ascii="Times New Roman" w:hAnsi="Times New Roman" w:cs="Times New Roman"/>
                <w:b/>
                <w:sz w:val="24"/>
              </w:rPr>
            </w:pPr>
            <w:r>
              <w:rPr>
                <w:rFonts w:ascii="宋体" w:hAnsi="Times New Roman" w:eastAsia="宋体" w:cs="Times New Roman"/>
                <w:b/>
                <w:sz w:val="24"/>
              </w:rPr>
              <w:t>①</w:t>
            </w:r>
            <w:r>
              <w:rPr>
                <w:rFonts w:ascii="Times New Roman" w:hAnsi="Times New Roman" w:cs="Times New Roman"/>
                <w:b/>
                <w:sz w:val="24"/>
              </w:rPr>
              <w:t>废气污染物治理措施及排放方式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4.2.1-2 废气污染物治理措施及排放方式一览表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4"/>
              <w:gridCol w:w="804"/>
              <w:gridCol w:w="851"/>
              <w:gridCol w:w="2977"/>
              <w:gridCol w:w="841"/>
              <w:gridCol w:w="656"/>
              <w:gridCol w:w="16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88" w:type="dxa"/>
                  <w:gridSpan w:val="2"/>
                  <w:vAlign w:val="center"/>
                </w:tcPr>
                <w:p>
                  <w:pPr>
                    <w:pStyle w:val="29"/>
                    <w:spacing w:line="360" w:lineRule="exact"/>
                    <w:rPr>
                      <w:color w:val="auto"/>
                      <w:szCs w:val="21"/>
                    </w:rPr>
                  </w:pPr>
                  <w:r>
                    <w:rPr>
                      <w:color w:val="auto"/>
                      <w:szCs w:val="21"/>
                    </w:rPr>
                    <w:t>产排污环节</w:t>
                  </w:r>
                </w:p>
              </w:tc>
              <w:tc>
                <w:tcPr>
                  <w:tcW w:w="851" w:type="dxa"/>
                  <w:vAlign w:val="center"/>
                </w:tcPr>
                <w:p>
                  <w:pPr>
                    <w:pStyle w:val="29"/>
                    <w:spacing w:line="360" w:lineRule="exact"/>
                    <w:rPr>
                      <w:color w:val="auto"/>
                      <w:szCs w:val="21"/>
                    </w:rPr>
                  </w:pPr>
                  <w:r>
                    <w:rPr>
                      <w:color w:val="auto"/>
                      <w:szCs w:val="21"/>
                    </w:rPr>
                    <w:t>污染物种类</w:t>
                  </w:r>
                </w:p>
              </w:tc>
              <w:tc>
                <w:tcPr>
                  <w:tcW w:w="2977" w:type="dxa"/>
                  <w:vAlign w:val="center"/>
                </w:tcPr>
                <w:p>
                  <w:pPr>
                    <w:pStyle w:val="29"/>
                    <w:spacing w:line="360" w:lineRule="exact"/>
                    <w:rPr>
                      <w:color w:val="auto"/>
                      <w:szCs w:val="21"/>
                    </w:rPr>
                  </w:pPr>
                  <w:r>
                    <w:rPr>
                      <w:color w:val="auto"/>
                      <w:szCs w:val="21"/>
                    </w:rPr>
                    <w:t>治理设施及效率</w:t>
                  </w:r>
                </w:p>
              </w:tc>
              <w:tc>
                <w:tcPr>
                  <w:tcW w:w="84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eastAsia="宋体" w:cs="Times New Roman"/>
                      <w:bCs/>
                      <w:snapToGrid w:val="0"/>
                      <w:kern w:val="32"/>
                      <w:lang w:val="zh-CN"/>
                    </w:rPr>
                    <w:t>排放形式</w:t>
                  </w:r>
                </w:p>
              </w:tc>
              <w:tc>
                <w:tcPr>
                  <w:tcW w:w="2351" w:type="dxa"/>
                  <w:gridSpan w:val="2"/>
                  <w:vAlign w:val="center"/>
                </w:tcPr>
                <w:p>
                  <w:pPr>
                    <w:pStyle w:val="29"/>
                    <w:spacing w:line="360" w:lineRule="exact"/>
                    <w:rPr>
                      <w:color w:val="auto"/>
                      <w:szCs w:val="21"/>
                    </w:rPr>
                  </w:pPr>
                  <w:r>
                    <w:rPr>
                      <w:color w:val="auto"/>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restart"/>
                  <w:vAlign w:val="center"/>
                </w:tcPr>
                <w:p>
                  <w:pPr>
                    <w:pStyle w:val="29"/>
                    <w:spacing w:line="360" w:lineRule="exact"/>
                    <w:rPr>
                      <w:color w:val="auto"/>
                      <w:szCs w:val="21"/>
                    </w:rPr>
                  </w:pPr>
                  <w:r>
                    <w:rPr>
                      <w:color w:val="auto"/>
                      <w:szCs w:val="21"/>
                    </w:rPr>
                    <w:t>2条生产线</w:t>
                  </w:r>
                </w:p>
              </w:tc>
              <w:tc>
                <w:tcPr>
                  <w:tcW w:w="804" w:type="dxa"/>
                  <w:vMerge w:val="restart"/>
                  <w:vAlign w:val="center"/>
                </w:tcPr>
                <w:p>
                  <w:pPr>
                    <w:pStyle w:val="29"/>
                    <w:spacing w:line="360" w:lineRule="exact"/>
                    <w:rPr>
                      <w:color w:val="auto"/>
                      <w:szCs w:val="21"/>
                    </w:rPr>
                  </w:pPr>
                  <w:r>
                    <w:rPr>
                      <w:color w:val="auto"/>
                      <w:szCs w:val="21"/>
                    </w:rPr>
                    <w:t>破碎</w:t>
                  </w:r>
                </w:p>
              </w:tc>
              <w:tc>
                <w:tcPr>
                  <w:tcW w:w="851" w:type="dxa"/>
                  <w:vMerge w:val="restart"/>
                  <w:vAlign w:val="center"/>
                </w:tcPr>
                <w:p>
                  <w:pPr>
                    <w:pStyle w:val="29"/>
                    <w:spacing w:line="360" w:lineRule="exact"/>
                    <w:rPr>
                      <w:color w:val="auto"/>
                      <w:szCs w:val="21"/>
                    </w:rPr>
                  </w:pPr>
                  <w:r>
                    <w:rPr>
                      <w:color w:val="auto"/>
                      <w:szCs w:val="21"/>
                    </w:rPr>
                    <w:t>颗粒物</w:t>
                  </w:r>
                </w:p>
              </w:tc>
              <w:tc>
                <w:tcPr>
                  <w:tcW w:w="2977" w:type="dxa"/>
                  <w:vMerge w:val="restart"/>
                  <w:vAlign w:val="center"/>
                </w:tcPr>
                <w:p>
                  <w:pPr>
                    <w:pStyle w:val="29"/>
                    <w:spacing w:line="360" w:lineRule="exact"/>
                    <w:ind w:firstLine="210" w:firstLineChars="100"/>
                    <w:jc w:val="both"/>
                    <w:rPr>
                      <w:color w:val="auto"/>
                      <w:szCs w:val="21"/>
                    </w:rPr>
                  </w:pPr>
                  <w:r>
                    <w:rPr>
                      <w:color w:val="auto"/>
                      <w:szCs w:val="21"/>
                    </w:rPr>
                    <w:t>项目针对两条生产线破碎工序粉尘，分别对破碎工序产尘点设置集气罩将粉尘进行收集，集气效率不低于92%，并1台处置效率不低于95%的布袋除尘器处理，处理后通过1根高15m、Φ0.4m的排气筒（DA001）外排。</w:t>
                  </w:r>
                </w:p>
              </w:tc>
              <w:tc>
                <w:tcPr>
                  <w:tcW w:w="841" w:type="dxa"/>
                  <w:vMerge w:val="restart"/>
                  <w:vAlign w:val="center"/>
                </w:tcPr>
                <w:p>
                  <w:pPr>
                    <w:pStyle w:val="29"/>
                    <w:spacing w:line="360" w:lineRule="exact"/>
                    <w:rPr>
                      <w:color w:val="auto"/>
                      <w:szCs w:val="21"/>
                    </w:rPr>
                  </w:pPr>
                  <w:r>
                    <w:rPr>
                      <w:color w:val="auto"/>
                      <w:szCs w:val="21"/>
                    </w:rPr>
                    <w:t>有组织</w:t>
                  </w:r>
                </w:p>
              </w:tc>
              <w:tc>
                <w:tcPr>
                  <w:tcW w:w="2351" w:type="dxa"/>
                  <w:gridSpan w:val="2"/>
                  <w:vAlign w:val="center"/>
                </w:tcPr>
                <w:p>
                  <w:pPr>
                    <w:pStyle w:val="29"/>
                    <w:spacing w:line="360" w:lineRule="exact"/>
                    <w:rPr>
                      <w:color w:val="auto"/>
                      <w:szCs w:val="21"/>
                    </w:rPr>
                  </w:pPr>
                  <w:r>
                    <w:rPr>
                      <w:color w:val="auto"/>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auto"/>
                      <w:szCs w:val="21"/>
                    </w:rPr>
                  </w:pPr>
                </w:p>
              </w:tc>
              <w:tc>
                <w:tcPr>
                  <w:tcW w:w="804" w:type="dxa"/>
                  <w:vMerge w:val="continue"/>
                  <w:vAlign w:val="center"/>
                </w:tcPr>
                <w:p>
                  <w:pPr>
                    <w:pStyle w:val="29"/>
                    <w:spacing w:line="360" w:lineRule="exact"/>
                    <w:rPr>
                      <w:color w:val="auto"/>
                      <w:szCs w:val="21"/>
                    </w:rPr>
                  </w:pPr>
                </w:p>
              </w:tc>
              <w:tc>
                <w:tcPr>
                  <w:tcW w:w="851" w:type="dxa"/>
                  <w:vMerge w:val="continue"/>
                  <w:vAlign w:val="center"/>
                </w:tcPr>
                <w:p>
                  <w:pPr>
                    <w:pStyle w:val="29"/>
                    <w:spacing w:line="360" w:lineRule="exact"/>
                    <w:rPr>
                      <w:color w:val="auto"/>
                      <w:szCs w:val="21"/>
                    </w:rPr>
                  </w:pPr>
                </w:p>
              </w:tc>
              <w:tc>
                <w:tcPr>
                  <w:tcW w:w="2977" w:type="dxa"/>
                  <w:vMerge w:val="continue"/>
                  <w:vAlign w:val="center"/>
                </w:tcPr>
                <w:p>
                  <w:pPr>
                    <w:pStyle w:val="29"/>
                    <w:spacing w:line="360" w:lineRule="exact"/>
                    <w:ind w:firstLine="210" w:firstLineChars="100"/>
                    <w:jc w:val="left"/>
                    <w:rPr>
                      <w:color w:val="auto"/>
                      <w:szCs w:val="21"/>
                    </w:rPr>
                  </w:pPr>
                </w:p>
              </w:tc>
              <w:tc>
                <w:tcPr>
                  <w:tcW w:w="841" w:type="dxa"/>
                  <w:vMerge w:val="continue"/>
                  <w:vAlign w:val="center"/>
                </w:tcPr>
                <w:p>
                  <w:pPr>
                    <w:pStyle w:val="29"/>
                    <w:spacing w:line="360" w:lineRule="exact"/>
                    <w:rPr>
                      <w:color w:val="auto"/>
                      <w:szCs w:val="21"/>
                    </w:rPr>
                  </w:pPr>
                </w:p>
              </w:tc>
              <w:tc>
                <w:tcPr>
                  <w:tcW w:w="656" w:type="dxa"/>
                  <w:vAlign w:val="center"/>
                </w:tcPr>
                <w:p>
                  <w:pPr>
                    <w:pStyle w:val="29"/>
                    <w:spacing w:line="360" w:lineRule="exact"/>
                    <w:rPr>
                      <w:color w:val="auto"/>
                      <w:szCs w:val="21"/>
                    </w:rPr>
                  </w:pPr>
                  <w:r>
                    <w:rPr>
                      <w:color w:val="auto"/>
                      <w:szCs w:val="21"/>
                    </w:rPr>
                    <w:t>高度</w:t>
                  </w:r>
                </w:p>
              </w:tc>
              <w:tc>
                <w:tcPr>
                  <w:tcW w:w="1695" w:type="dxa"/>
                  <w:vAlign w:val="center"/>
                </w:tcPr>
                <w:p>
                  <w:pPr>
                    <w:pStyle w:val="29"/>
                    <w:spacing w:line="360" w:lineRule="exact"/>
                    <w:rPr>
                      <w:color w:val="auto"/>
                      <w:szCs w:val="21"/>
                    </w:rPr>
                  </w:pPr>
                  <w:r>
                    <w:rPr>
                      <w:color w:val="auto"/>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auto"/>
                      <w:szCs w:val="21"/>
                    </w:rPr>
                  </w:pPr>
                </w:p>
              </w:tc>
              <w:tc>
                <w:tcPr>
                  <w:tcW w:w="804" w:type="dxa"/>
                  <w:vMerge w:val="continue"/>
                  <w:vAlign w:val="center"/>
                </w:tcPr>
                <w:p>
                  <w:pPr>
                    <w:pStyle w:val="29"/>
                    <w:spacing w:line="360" w:lineRule="exact"/>
                    <w:rPr>
                      <w:color w:val="auto"/>
                      <w:szCs w:val="21"/>
                    </w:rPr>
                  </w:pPr>
                </w:p>
              </w:tc>
              <w:tc>
                <w:tcPr>
                  <w:tcW w:w="851" w:type="dxa"/>
                  <w:vMerge w:val="continue"/>
                  <w:vAlign w:val="center"/>
                </w:tcPr>
                <w:p>
                  <w:pPr>
                    <w:pStyle w:val="29"/>
                    <w:spacing w:line="360" w:lineRule="exact"/>
                    <w:rPr>
                      <w:color w:val="auto"/>
                      <w:szCs w:val="21"/>
                    </w:rPr>
                  </w:pPr>
                </w:p>
              </w:tc>
              <w:tc>
                <w:tcPr>
                  <w:tcW w:w="2977" w:type="dxa"/>
                  <w:vMerge w:val="continue"/>
                  <w:vAlign w:val="center"/>
                </w:tcPr>
                <w:p>
                  <w:pPr>
                    <w:pStyle w:val="29"/>
                    <w:spacing w:line="360" w:lineRule="exact"/>
                    <w:ind w:firstLine="210" w:firstLineChars="100"/>
                    <w:jc w:val="left"/>
                    <w:rPr>
                      <w:color w:val="auto"/>
                      <w:szCs w:val="21"/>
                    </w:rPr>
                  </w:pPr>
                </w:p>
              </w:tc>
              <w:tc>
                <w:tcPr>
                  <w:tcW w:w="841" w:type="dxa"/>
                  <w:vMerge w:val="continue"/>
                  <w:vAlign w:val="center"/>
                </w:tcPr>
                <w:p>
                  <w:pPr>
                    <w:pStyle w:val="29"/>
                    <w:spacing w:line="360" w:lineRule="exact"/>
                    <w:rPr>
                      <w:color w:val="auto"/>
                      <w:szCs w:val="21"/>
                    </w:rPr>
                  </w:pPr>
                </w:p>
              </w:tc>
              <w:tc>
                <w:tcPr>
                  <w:tcW w:w="656" w:type="dxa"/>
                  <w:vAlign w:val="center"/>
                </w:tcPr>
                <w:p>
                  <w:pPr>
                    <w:pStyle w:val="29"/>
                    <w:spacing w:line="360" w:lineRule="exact"/>
                    <w:rPr>
                      <w:color w:val="auto"/>
                      <w:szCs w:val="21"/>
                    </w:rPr>
                  </w:pPr>
                  <w:r>
                    <w:rPr>
                      <w:color w:val="auto"/>
                      <w:szCs w:val="21"/>
                    </w:rPr>
                    <w:t>内径</w:t>
                  </w:r>
                </w:p>
              </w:tc>
              <w:tc>
                <w:tcPr>
                  <w:tcW w:w="1695" w:type="dxa"/>
                  <w:vAlign w:val="center"/>
                </w:tcPr>
                <w:p>
                  <w:pPr>
                    <w:pStyle w:val="29"/>
                    <w:spacing w:line="360" w:lineRule="exact"/>
                    <w:rPr>
                      <w:color w:val="auto"/>
                      <w:szCs w:val="21"/>
                    </w:rPr>
                  </w:pPr>
                  <w:r>
                    <w:rPr>
                      <w:color w:val="auto"/>
                      <w:szCs w:val="21"/>
                    </w:rPr>
                    <w:t>0.</w:t>
                  </w:r>
                  <w:r>
                    <w:rPr>
                      <w:rFonts w:hint="eastAsia"/>
                      <w:color w:val="auto"/>
                      <w:szCs w:val="21"/>
                    </w:rPr>
                    <w:t>4</w:t>
                  </w:r>
                  <w:r>
                    <w:rPr>
                      <w:color w:val="auto"/>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auto"/>
                      <w:szCs w:val="21"/>
                    </w:rPr>
                  </w:pPr>
                </w:p>
              </w:tc>
              <w:tc>
                <w:tcPr>
                  <w:tcW w:w="804" w:type="dxa"/>
                  <w:vMerge w:val="continue"/>
                  <w:vAlign w:val="center"/>
                </w:tcPr>
                <w:p>
                  <w:pPr>
                    <w:pStyle w:val="29"/>
                    <w:spacing w:line="360" w:lineRule="exact"/>
                    <w:rPr>
                      <w:color w:val="auto"/>
                      <w:szCs w:val="21"/>
                    </w:rPr>
                  </w:pPr>
                </w:p>
              </w:tc>
              <w:tc>
                <w:tcPr>
                  <w:tcW w:w="851" w:type="dxa"/>
                  <w:vMerge w:val="continue"/>
                  <w:vAlign w:val="center"/>
                </w:tcPr>
                <w:p>
                  <w:pPr>
                    <w:pStyle w:val="29"/>
                    <w:spacing w:line="360" w:lineRule="exact"/>
                    <w:rPr>
                      <w:color w:val="auto"/>
                      <w:szCs w:val="21"/>
                    </w:rPr>
                  </w:pPr>
                </w:p>
              </w:tc>
              <w:tc>
                <w:tcPr>
                  <w:tcW w:w="2977" w:type="dxa"/>
                  <w:vMerge w:val="continue"/>
                  <w:vAlign w:val="center"/>
                </w:tcPr>
                <w:p>
                  <w:pPr>
                    <w:pStyle w:val="29"/>
                    <w:spacing w:line="360" w:lineRule="exact"/>
                    <w:ind w:firstLine="210" w:firstLineChars="100"/>
                    <w:jc w:val="left"/>
                    <w:rPr>
                      <w:color w:val="auto"/>
                      <w:szCs w:val="21"/>
                    </w:rPr>
                  </w:pPr>
                </w:p>
              </w:tc>
              <w:tc>
                <w:tcPr>
                  <w:tcW w:w="841" w:type="dxa"/>
                  <w:vMerge w:val="continue"/>
                  <w:vAlign w:val="center"/>
                </w:tcPr>
                <w:p>
                  <w:pPr>
                    <w:pStyle w:val="29"/>
                    <w:spacing w:line="360" w:lineRule="exact"/>
                    <w:rPr>
                      <w:color w:val="auto"/>
                      <w:szCs w:val="21"/>
                    </w:rPr>
                  </w:pPr>
                </w:p>
              </w:tc>
              <w:tc>
                <w:tcPr>
                  <w:tcW w:w="656" w:type="dxa"/>
                  <w:vAlign w:val="center"/>
                </w:tcPr>
                <w:p>
                  <w:pPr>
                    <w:pStyle w:val="29"/>
                    <w:spacing w:line="360" w:lineRule="exact"/>
                    <w:rPr>
                      <w:color w:val="auto"/>
                      <w:szCs w:val="21"/>
                    </w:rPr>
                  </w:pPr>
                  <w:r>
                    <w:rPr>
                      <w:color w:val="auto"/>
                      <w:szCs w:val="21"/>
                    </w:rPr>
                    <w:t>温度</w:t>
                  </w:r>
                </w:p>
              </w:tc>
              <w:tc>
                <w:tcPr>
                  <w:tcW w:w="1695" w:type="dxa"/>
                  <w:vAlign w:val="center"/>
                </w:tcPr>
                <w:p>
                  <w:pPr>
                    <w:pStyle w:val="29"/>
                    <w:spacing w:line="360" w:lineRule="exact"/>
                    <w:rPr>
                      <w:color w:val="auto"/>
                      <w:szCs w:val="21"/>
                    </w:rPr>
                  </w:pPr>
                  <w:r>
                    <w:rPr>
                      <w:rFonts w:hint="eastAsia"/>
                      <w:color w:val="auto"/>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auto"/>
                      <w:szCs w:val="21"/>
                    </w:rPr>
                  </w:pPr>
                </w:p>
              </w:tc>
              <w:tc>
                <w:tcPr>
                  <w:tcW w:w="804" w:type="dxa"/>
                  <w:vMerge w:val="continue"/>
                  <w:vAlign w:val="center"/>
                </w:tcPr>
                <w:p>
                  <w:pPr>
                    <w:pStyle w:val="29"/>
                    <w:spacing w:line="360" w:lineRule="exact"/>
                    <w:rPr>
                      <w:color w:val="auto"/>
                      <w:szCs w:val="21"/>
                    </w:rPr>
                  </w:pPr>
                </w:p>
              </w:tc>
              <w:tc>
                <w:tcPr>
                  <w:tcW w:w="851" w:type="dxa"/>
                  <w:vMerge w:val="continue"/>
                  <w:vAlign w:val="center"/>
                </w:tcPr>
                <w:p>
                  <w:pPr>
                    <w:pStyle w:val="29"/>
                    <w:spacing w:line="360" w:lineRule="exact"/>
                    <w:rPr>
                      <w:color w:val="auto"/>
                      <w:szCs w:val="21"/>
                    </w:rPr>
                  </w:pPr>
                </w:p>
              </w:tc>
              <w:tc>
                <w:tcPr>
                  <w:tcW w:w="2977" w:type="dxa"/>
                  <w:vMerge w:val="continue"/>
                  <w:vAlign w:val="center"/>
                </w:tcPr>
                <w:p>
                  <w:pPr>
                    <w:pStyle w:val="29"/>
                    <w:spacing w:line="360" w:lineRule="exact"/>
                    <w:ind w:firstLine="210" w:firstLineChars="100"/>
                    <w:jc w:val="left"/>
                    <w:rPr>
                      <w:color w:val="auto"/>
                      <w:szCs w:val="21"/>
                    </w:rPr>
                  </w:pPr>
                </w:p>
              </w:tc>
              <w:tc>
                <w:tcPr>
                  <w:tcW w:w="841" w:type="dxa"/>
                  <w:vMerge w:val="continue"/>
                  <w:vAlign w:val="center"/>
                </w:tcPr>
                <w:p>
                  <w:pPr>
                    <w:pStyle w:val="29"/>
                    <w:spacing w:line="360" w:lineRule="exact"/>
                    <w:rPr>
                      <w:color w:val="auto"/>
                      <w:szCs w:val="21"/>
                    </w:rPr>
                  </w:pPr>
                </w:p>
              </w:tc>
              <w:tc>
                <w:tcPr>
                  <w:tcW w:w="656" w:type="dxa"/>
                  <w:vAlign w:val="center"/>
                </w:tcPr>
                <w:p>
                  <w:pPr>
                    <w:pStyle w:val="29"/>
                    <w:spacing w:line="360" w:lineRule="exact"/>
                    <w:rPr>
                      <w:color w:val="auto"/>
                      <w:szCs w:val="21"/>
                    </w:rPr>
                  </w:pPr>
                  <w:r>
                    <w:rPr>
                      <w:color w:val="auto"/>
                      <w:szCs w:val="21"/>
                    </w:rPr>
                    <w:t>编号</w:t>
                  </w:r>
                </w:p>
              </w:tc>
              <w:tc>
                <w:tcPr>
                  <w:tcW w:w="1695" w:type="dxa"/>
                  <w:vAlign w:val="center"/>
                </w:tcPr>
                <w:p>
                  <w:pPr>
                    <w:pStyle w:val="29"/>
                    <w:spacing w:line="360" w:lineRule="exact"/>
                    <w:rPr>
                      <w:color w:val="auto"/>
                      <w:szCs w:val="21"/>
                    </w:rPr>
                  </w:pPr>
                  <w:r>
                    <w:rPr>
                      <w:color w:val="auto"/>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auto"/>
                      <w:szCs w:val="21"/>
                    </w:rPr>
                  </w:pPr>
                </w:p>
              </w:tc>
              <w:tc>
                <w:tcPr>
                  <w:tcW w:w="804" w:type="dxa"/>
                  <w:vMerge w:val="continue"/>
                  <w:vAlign w:val="center"/>
                </w:tcPr>
                <w:p>
                  <w:pPr>
                    <w:pStyle w:val="29"/>
                    <w:spacing w:line="360" w:lineRule="exact"/>
                    <w:rPr>
                      <w:color w:val="auto"/>
                      <w:szCs w:val="21"/>
                    </w:rPr>
                  </w:pPr>
                </w:p>
              </w:tc>
              <w:tc>
                <w:tcPr>
                  <w:tcW w:w="851" w:type="dxa"/>
                  <w:vMerge w:val="continue"/>
                  <w:vAlign w:val="center"/>
                </w:tcPr>
                <w:p>
                  <w:pPr>
                    <w:pStyle w:val="29"/>
                    <w:spacing w:line="360" w:lineRule="exact"/>
                    <w:rPr>
                      <w:color w:val="auto"/>
                      <w:szCs w:val="21"/>
                    </w:rPr>
                  </w:pPr>
                </w:p>
              </w:tc>
              <w:tc>
                <w:tcPr>
                  <w:tcW w:w="2977" w:type="dxa"/>
                  <w:vMerge w:val="continue"/>
                  <w:vAlign w:val="center"/>
                </w:tcPr>
                <w:p>
                  <w:pPr>
                    <w:pStyle w:val="29"/>
                    <w:spacing w:line="360" w:lineRule="exact"/>
                    <w:ind w:firstLine="210" w:firstLineChars="100"/>
                    <w:jc w:val="left"/>
                    <w:rPr>
                      <w:color w:val="auto"/>
                      <w:szCs w:val="21"/>
                    </w:rPr>
                  </w:pPr>
                </w:p>
              </w:tc>
              <w:tc>
                <w:tcPr>
                  <w:tcW w:w="841" w:type="dxa"/>
                  <w:vMerge w:val="continue"/>
                  <w:vAlign w:val="center"/>
                </w:tcPr>
                <w:p>
                  <w:pPr>
                    <w:pStyle w:val="29"/>
                    <w:spacing w:line="360" w:lineRule="exact"/>
                    <w:rPr>
                      <w:color w:val="auto"/>
                      <w:szCs w:val="21"/>
                    </w:rPr>
                  </w:pPr>
                </w:p>
              </w:tc>
              <w:tc>
                <w:tcPr>
                  <w:tcW w:w="656" w:type="dxa"/>
                  <w:vAlign w:val="center"/>
                </w:tcPr>
                <w:p>
                  <w:pPr>
                    <w:pStyle w:val="29"/>
                    <w:spacing w:line="360" w:lineRule="exact"/>
                    <w:rPr>
                      <w:color w:val="auto"/>
                      <w:szCs w:val="21"/>
                    </w:rPr>
                  </w:pPr>
                  <w:r>
                    <w:rPr>
                      <w:color w:val="auto"/>
                      <w:szCs w:val="21"/>
                    </w:rPr>
                    <w:t>类型</w:t>
                  </w:r>
                </w:p>
              </w:tc>
              <w:tc>
                <w:tcPr>
                  <w:tcW w:w="1695" w:type="dxa"/>
                  <w:vAlign w:val="center"/>
                </w:tcPr>
                <w:p>
                  <w:pPr>
                    <w:pStyle w:val="29"/>
                    <w:spacing w:line="360" w:lineRule="exact"/>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29"/>
                    <w:spacing w:line="360" w:lineRule="exact"/>
                    <w:rPr>
                      <w:color w:val="auto"/>
                      <w:szCs w:val="21"/>
                    </w:rPr>
                  </w:pPr>
                </w:p>
              </w:tc>
              <w:tc>
                <w:tcPr>
                  <w:tcW w:w="804" w:type="dxa"/>
                  <w:vMerge w:val="continue"/>
                  <w:vAlign w:val="center"/>
                </w:tcPr>
                <w:p>
                  <w:pPr>
                    <w:pStyle w:val="29"/>
                    <w:spacing w:line="360" w:lineRule="exact"/>
                    <w:rPr>
                      <w:color w:val="auto"/>
                      <w:szCs w:val="21"/>
                    </w:rPr>
                  </w:pPr>
                </w:p>
              </w:tc>
              <w:tc>
                <w:tcPr>
                  <w:tcW w:w="851" w:type="dxa"/>
                  <w:vMerge w:val="continue"/>
                  <w:vAlign w:val="center"/>
                </w:tcPr>
                <w:p>
                  <w:pPr>
                    <w:pStyle w:val="29"/>
                    <w:spacing w:line="360" w:lineRule="exact"/>
                    <w:rPr>
                      <w:color w:val="auto"/>
                      <w:szCs w:val="21"/>
                    </w:rPr>
                  </w:pPr>
                </w:p>
              </w:tc>
              <w:tc>
                <w:tcPr>
                  <w:tcW w:w="2977" w:type="dxa"/>
                  <w:vMerge w:val="continue"/>
                  <w:vAlign w:val="center"/>
                </w:tcPr>
                <w:p>
                  <w:pPr>
                    <w:pStyle w:val="29"/>
                    <w:spacing w:line="360" w:lineRule="exact"/>
                    <w:ind w:firstLine="210" w:firstLineChars="100"/>
                    <w:jc w:val="left"/>
                    <w:rPr>
                      <w:color w:val="auto"/>
                      <w:szCs w:val="21"/>
                    </w:rPr>
                  </w:pPr>
                </w:p>
              </w:tc>
              <w:tc>
                <w:tcPr>
                  <w:tcW w:w="841" w:type="dxa"/>
                  <w:vMerge w:val="continue"/>
                  <w:vAlign w:val="center"/>
                </w:tcPr>
                <w:p>
                  <w:pPr>
                    <w:pStyle w:val="29"/>
                    <w:spacing w:line="360" w:lineRule="exact"/>
                    <w:rPr>
                      <w:color w:val="auto"/>
                      <w:szCs w:val="21"/>
                    </w:rPr>
                  </w:pPr>
                </w:p>
              </w:tc>
              <w:tc>
                <w:tcPr>
                  <w:tcW w:w="656" w:type="dxa"/>
                  <w:vAlign w:val="center"/>
                </w:tcPr>
                <w:p>
                  <w:pPr>
                    <w:pStyle w:val="29"/>
                    <w:spacing w:line="360" w:lineRule="exact"/>
                    <w:rPr>
                      <w:color w:val="auto"/>
                      <w:szCs w:val="21"/>
                    </w:rPr>
                  </w:pPr>
                  <w:r>
                    <w:rPr>
                      <w:color w:val="auto"/>
                      <w:szCs w:val="21"/>
                    </w:rPr>
                    <w:t>坐标</w:t>
                  </w:r>
                </w:p>
              </w:tc>
              <w:tc>
                <w:tcPr>
                  <w:tcW w:w="1695" w:type="dxa"/>
                  <w:vAlign w:val="center"/>
                </w:tcPr>
                <w:p>
                  <w:pPr>
                    <w:pStyle w:val="29"/>
                    <w:spacing w:line="360" w:lineRule="exact"/>
                    <w:rPr>
                      <w:color w:val="auto"/>
                      <w:szCs w:val="21"/>
                    </w:rPr>
                  </w:pPr>
                  <w:r>
                    <w:rPr>
                      <w:color w:val="auto"/>
                      <w:szCs w:val="21"/>
                    </w:rPr>
                    <w:t>E103.245832°、N25.644523°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trPr>
              <w:tc>
                <w:tcPr>
                  <w:tcW w:w="784" w:type="dxa"/>
                  <w:vMerge w:val="continue"/>
                  <w:vAlign w:val="center"/>
                </w:tcPr>
                <w:p>
                  <w:pPr>
                    <w:pStyle w:val="29"/>
                    <w:spacing w:line="360" w:lineRule="exact"/>
                    <w:rPr>
                      <w:color w:val="auto"/>
                      <w:szCs w:val="21"/>
                    </w:rPr>
                  </w:pPr>
                </w:p>
              </w:tc>
              <w:tc>
                <w:tcPr>
                  <w:tcW w:w="804" w:type="dxa"/>
                  <w:vMerge w:val="continue"/>
                  <w:vAlign w:val="center"/>
                </w:tcPr>
                <w:p>
                  <w:pPr>
                    <w:pStyle w:val="29"/>
                    <w:spacing w:line="360" w:lineRule="exact"/>
                    <w:rPr>
                      <w:color w:val="auto"/>
                      <w:szCs w:val="21"/>
                    </w:rPr>
                  </w:pPr>
                </w:p>
              </w:tc>
              <w:tc>
                <w:tcPr>
                  <w:tcW w:w="851" w:type="dxa"/>
                  <w:vMerge w:val="continue"/>
                  <w:vAlign w:val="center"/>
                </w:tcPr>
                <w:p>
                  <w:pPr>
                    <w:pStyle w:val="29"/>
                    <w:spacing w:line="360" w:lineRule="exact"/>
                    <w:rPr>
                      <w:color w:val="auto"/>
                      <w:szCs w:val="21"/>
                    </w:rPr>
                  </w:pPr>
                </w:p>
              </w:tc>
              <w:tc>
                <w:tcPr>
                  <w:tcW w:w="2977" w:type="dxa"/>
                  <w:vAlign w:val="center"/>
                </w:tcPr>
                <w:p>
                  <w:pPr>
                    <w:pStyle w:val="29"/>
                    <w:spacing w:line="360" w:lineRule="exact"/>
                    <w:ind w:firstLine="210" w:firstLineChars="100"/>
                    <w:jc w:val="left"/>
                    <w:rPr>
                      <w:color w:val="auto"/>
                      <w:szCs w:val="21"/>
                    </w:rPr>
                  </w:pPr>
                  <w:r>
                    <w:rPr>
                      <w:color w:val="auto"/>
                      <w:szCs w:val="21"/>
                    </w:rPr>
                    <w:t>未收集部分无组织排放。</w:t>
                  </w:r>
                </w:p>
              </w:tc>
              <w:tc>
                <w:tcPr>
                  <w:tcW w:w="841" w:type="dxa"/>
                  <w:vAlign w:val="center"/>
                </w:tcPr>
                <w:p>
                  <w:pPr>
                    <w:pStyle w:val="29"/>
                    <w:spacing w:line="360" w:lineRule="exact"/>
                    <w:rPr>
                      <w:color w:val="auto"/>
                      <w:szCs w:val="21"/>
                    </w:rPr>
                  </w:pPr>
                  <w:r>
                    <w:rPr>
                      <w:color w:val="auto"/>
                      <w:szCs w:val="21"/>
                    </w:rPr>
                    <w:t>无组织</w:t>
                  </w:r>
                </w:p>
              </w:tc>
              <w:tc>
                <w:tcPr>
                  <w:tcW w:w="2351" w:type="dxa"/>
                  <w:gridSpan w:val="2"/>
                  <w:vAlign w:val="center"/>
                </w:tcPr>
                <w:p>
                  <w:pPr>
                    <w:pStyle w:val="29"/>
                    <w:spacing w:line="360" w:lineRule="exact"/>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Align w:val="center"/>
                </w:tcPr>
                <w:p>
                  <w:pPr>
                    <w:pStyle w:val="29"/>
                    <w:spacing w:line="360" w:lineRule="exact"/>
                    <w:rPr>
                      <w:color w:val="auto"/>
                      <w:szCs w:val="21"/>
                    </w:rPr>
                  </w:pPr>
                  <w:r>
                    <w:rPr>
                      <w:color w:val="auto"/>
                      <w:szCs w:val="21"/>
                    </w:rPr>
                    <w:t>厨房</w:t>
                  </w:r>
                </w:p>
              </w:tc>
              <w:tc>
                <w:tcPr>
                  <w:tcW w:w="804" w:type="dxa"/>
                  <w:vAlign w:val="center"/>
                </w:tcPr>
                <w:p>
                  <w:pPr>
                    <w:pStyle w:val="29"/>
                    <w:spacing w:line="360" w:lineRule="exact"/>
                    <w:rPr>
                      <w:color w:val="auto"/>
                      <w:szCs w:val="21"/>
                    </w:rPr>
                  </w:pPr>
                  <w:r>
                    <w:rPr>
                      <w:color w:val="auto"/>
                      <w:szCs w:val="21"/>
                    </w:rPr>
                    <w:t>--</w:t>
                  </w:r>
                </w:p>
              </w:tc>
              <w:tc>
                <w:tcPr>
                  <w:tcW w:w="851" w:type="dxa"/>
                  <w:vAlign w:val="center"/>
                </w:tcPr>
                <w:p>
                  <w:pPr>
                    <w:pStyle w:val="29"/>
                    <w:spacing w:line="360" w:lineRule="exact"/>
                    <w:rPr>
                      <w:color w:val="auto"/>
                      <w:szCs w:val="21"/>
                    </w:rPr>
                  </w:pPr>
                  <w:r>
                    <w:rPr>
                      <w:color w:val="auto"/>
                      <w:szCs w:val="21"/>
                    </w:rPr>
                    <w:t>厨房油烟</w:t>
                  </w:r>
                </w:p>
              </w:tc>
              <w:tc>
                <w:tcPr>
                  <w:tcW w:w="2977" w:type="dxa"/>
                  <w:vAlign w:val="center"/>
                </w:tcPr>
                <w:p>
                  <w:pPr>
                    <w:pStyle w:val="29"/>
                    <w:spacing w:line="360" w:lineRule="exact"/>
                    <w:ind w:firstLine="210" w:firstLineChars="100"/>
                    <w:jc w:val="both"/>
                    <w:rPr>
                      <w:color w:val="auto"/>
                      <w:szCs w:val="21"/>
                    </w:rPr>
                  </w:pPr>
                  <w:r>
                    <w:rPr>
                      <w:color w:val="auto"/>
                      <w:szCs w:val="21"/>
                    </w:rPr>
                    <w:t>项目区厨房安装一个最低去除率60%的油烟净化器。</w:t>
                  </w:r>
                </w:p>
              </w:tc>
              <w:tc>
                <w:tcPr>
                  <w:tcW w:w="841" w:type="dxa"/>
                  <w:vAlign w:val="center"/>
                </w:tcPr>
                <w:p>
                  <w:pPr>
                    <w:pStyle w:val="29"/>
                    <w:spacing w:line="360" w:lineRule="exact"/>
                    <w:rPr>
                      <w:color w:val="auto"/>
                      <w:szCs w:val="21"/>
                    </w:rPr>
                  </w:pPr>
                  <w:r>
                    <w:rPr>
                      <w:color w:val="auto"/>
                      <w:szCs w:val="21"/>
                    </w:rPr>
                    <w:t>--</w:t>
                  </w:r>
                </w:p>
              </w:tc>
              <w:tc>
                <w:tcPr>
                  <w:tcW w:w="2351" w:type="dxa"/>
                  <w:gridSpan w:val="2"/>
                  <w:vAlign w:val="center"/>
                </w:tcPr>
                <w:p>
                  <w:pPr>
                    <w:pStyle w:val="29"/>
                    <w:spacing w:line="360" w:lineRule="exact"/>
                    <w:ind w:firstLine="210" w:firstLineChars="100"/>
                    <w:jc w:val="both"/>
                    <w:rPr>
                      <w:color w:val="auto"/>
                      <w:szCs w:val="21"/>
                      <w:highlight w:val="yellow"/>
                    </w:rPr>
                  </w:pPr>
                  <w:r>
                    <w:rPr>
                      <w:color w:val="auto"/>
                      <w:szCs w:val="21"/>
                    </w:rPr>
                    <w:t>高于房顶1.5m的烟道外排</w:t>
                  </w:r>
                </w:p>
              </w:tc>
            </w:tr>
          </w:tbl>
          <w:p>
            <w:pPr>
              <w:spacing w:beforeLines="50" w:line="360" w:lineRule="auto"/>
              <w:ind w:firstLine="482" w:firstLineChars="200"/>
              <w:rPr>
                <w:rFonts w:ascii="Times New Roman" w:hAnsi="Times New Roman" w:cs="Times New Roman"/>
                <w:b/>
                <w:sz w:val="24"/>
              </w:rPr>
            </w:pPr>
            <w:r>
              <w:rPr>
                <w:rFonts w:ascii="宋体" w:hAnsi="Times New Roman" w:eastAsia="宋体" w:cs="Times New Roman"/>
                <w:b/>
                <w:sz w:val="24"/>
              </w:rPr>
              <w:t>②</w:t>
            </w:r>
            <w:r>
              <w:rPr>
                <w:rFonts w:ascii="Times New Roman" w:hAnsi="Times New Roman" w:cs="Times New Roman"/>
                <w:b/>
                <w:sz w:val="24"/>
              </w:rPr>
              <w:t>废气污染物排放源产排量及达标情况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根据项目产污环节和废气污染源强核算可知，项目废气污染物排放源产排量及达标情况如下表所示。</w:t>
            </w:r>
          </w:p>
          <w:p>
            <w:pPr>
              <w:jc w:val="center"/>
              <w:rPr>
                <w:rFonts w:ascii="Times New Roman" w:hAnsi="Times New Roman" w:cs="Times New Roman"/>
                <w:b/>
                <w:szCs w:val="24"/>
              </w:rPr>
            </w:pPr>
            <w:r>
              <w:rPr>
                <w:rFonts w:ascii="Times New Roman" w:hAnsi="Times New Roman" w:cs="Times New Roman"/>
                <w:b/>
                <w:szCs w:val="24"/>
              </w:rPr>
              <w:t>表4.2.1-3  废气污染物排放源产排量及达标情况一览表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1286"/>
              <w:gridCol w:w="833"/>
              <w:gridCol w:w="852"/>
              <w:gridCol w:w="775"/>
              <w:gridCol w:w="860"/>
              <w:gridCol w:w="728"/>
              <w:gridCol w:w="1044"/>
              <w:gridCol w:w="7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447" w:type="dxa"/>
                  <w:gridSpan w:val="2"/>
                  <w:vMerge w:val="restart"/>
                  <w:vAlign w:val="center"/>
                </w:tcPr>
                <w:p>
                  <w:pPr>
                    <w:pStyle w:val="29"/>
                    <w:spacing w:line="360" w:lineRule="exact"/>
                    <w:rPr>
                      <w:color w:val="auto"/>
                      <w:szCs w:val="21"/>
                    </w:rPr>
                  </w:pPr>
                  <w:r>
                    <w:rPr>
                      <w:color w:val="auto"/>
                      <w:szCs w:val="21"/>
                    </w:rPr>
                    <w:t>产排污环节</w:t>
                  </w:r>
                </w:p>
              </w:tc>
              <w:tc>
                <w:tcPr>
                  <w:tcW w:w="1286" w:type="dxa"/>
                  <w:vMerge w:val="restart"/>
                  <w:vAlign w:val="center"/>
                </w:tcPr>
                <w:p>
                  <w:pPr>
                    <w:pStyle w:val="29"/>
                    <w:spacing w:line="360" w:lineRule="exact"/>
                    <w:rPr>
                      <w:color w:val="auto"/>
                      <w:szCs w:val="21"/>
                    </w:rPr>
                  </w:pPr>
                  <w:r>
                    <w:rPr>
                      <w:color w:val="auto"/>
                      <w:szCs w:val="21"/>
                    </w:rPr>
                    <w:t>污染物种类</w:t>
                  </w:r>
                </w:p>
              </w:tc>
              <w:tc>
                <w:tcPr>
                  <w:tcW w:w="1685" w:type="dxa"/>
                  <w:gridSpan w:val="2"/>
                  <w:vAlign w:val="center"/>
                </w:tcPr>
                <w:p>
                  <w:pPr>
                    <w:pStyle w:val="29"/>
                    <w:spacing w:line="360" w:lineRule="exact"/>
                    <w:rPr>
                      <w:color w:val="auto"/>
                      <w:szCs w:val="21"/>
                    </w:rPr>
                  </w:pPr>
                  <w:r>
                    <w:rPr>
                      <w:color w:val="auto"/>
                      <w:szCs w:val="21"/>
                    </w:rPr>
                    <w:t>污染物产生情况</w:t>
                  </w:r>
                </w:p>
              </w:tc>
              <w:tc>
                <w:tcPr>
                  <w:tcW w:w="2363" w:type="dxa"/>
                  <w:gridSpan w:val="3"/>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污染物排放量和浓度</w:t>
                  </w:r>
                </w:p>
              </w:tc>
              <w:tc>
                <w:tcPr>
                  <w:tcW w:w="1044"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排放标准mg/m³</w:t>
                  </w:r>
                </w:p>
              </w:tc>
              <w:tc>
                <w:tcPr>
                  <w:tcW w:w="783"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gridSpan w:val="2"/>
                  <w:vMerge w:val="continue"/>
                  <w:vAlign w:val="center"/>
                </w:tcPr>
                <w:p>
                  <w:pPr>
                    <w:pStyle w:val="29"/>
                    <w:spacing w:line="360" w:lineRule="exact"/>
                    <w:rPr>
                      <w:color w:val="auto"/>
                      <w:szCs w:val="21"/>
                    </w:rPr>
                  </w:pPr>
                </w:p>
              </w:tc>
              <w:tc>
                <w:tcPr>
                  <w:tcW w:w="1286" w:type="dxa"/>
                  <w:vMerge w:val="continue"/>
                  <w:vAlign w:val="center"/>
                </w:tcPr>
                <w:p>
                  <w:pPr>
                    <w:pStyle w:val="29"/>
                    <w:spacing w:line="360" w:lineRule="exact"/>
                    <w:rPr>
                      <w:color w:val="auto"/>
                      <w:szCs w:val="21"/>
                    </w:rPr>
                  </w:pPr>
                </w:p>
              </w:tc>
              <w:tc>
                <w:tcPr>
                  <w:tcW w:w="833" w:type="dxa"/>
                  <w:vAlign w:val="center"/>
                </w:tcPr>
                <w:p>
                  <w:pPr>
                    <w:pStyle w:val="29"/>
                    <w:spacing w:line="360" w:lineRule="exact"/>
                    <w:rPr>
                      <w:color w:val="auto"/>
                      <w:szCs w:val="21"/>
                    </w:rPr>
                  </w:pPr>
                  <w:r>
                    <w:rPr>
                      <w:color w:val="auto"/>
                      <w:szCs w:val="21"/>
                    </w:rPr>
                    <w:t>产生浓度mg/m³</w:t>
                  </w:r>
                </w:p>
              </w:tc>
              <w:tc>
                <w:tcPr>
                  <w:tcW w:w="852" w:type="dxa"/>
                  <w:vAlign w:val="center"/>
                </w:tcPr>
                <w:p>
                  <w:pPr>
                    <w:pStyle w:val="29"/>
                    <w:spacing w:line="360" w:lineRule="exact"/>
                    <w:rPr>
                      <w:color w:val="auto"/>
                      <w:szCs w:val="21"/>
                    </w:rPr>
                  </w:pPr>
                  <w:r>
                    <w:rPr>
                      <w:color w:val="auto"/>
                      <w:szCs w:val="21"/>
                    </w:rPr>
                    <w:t>产生量t/a</w:t>
                  </w:r>
                </w:p>
              </w:tc>
              <w:tc>
                <w:tcPr>
                  <w:tcW w:w="775" w:type="dxa"/>
                  <w:vAlign w:val="center"/>
                </w:tcPr>
                <w:p>
                  <w:pPr>
                    <w:pStyle w:val="29"/>
                    <w:spacing w:line="360" w:lineRule="exact"/>
                    <w:rPr>
                      <w:color w:val="auto"/>
                      <w:szCs w:val="21"/>
                    </w:rPr>
                  </w:pPr>
                  <w:r>
                    <w:rPr>
                      <w:color w:val="auto"/>
                      <w:szCs w:val="21"/>
                    </w:rPr>
                    <w:t>排放浓度mg/m³</w:t>
                  </w:r>
                </w:p>
              </w:tc>
              <w:tc>
                <w:tcPr>
                  <w:tcW w:w="860" w:type="dxa"/>
                  <w:tcBorders>
                    <w:top w:val="single" w:color="auto" w:sz="4" w:space="0"/>
                    <w:right w:val="single" w:color="auto" w:sz="4" w:space="0"/>
                  </w:tcBorders>
                  <w:vAlign w:val="center"/>
                </w:tcPr>
                <w:p>
                  <w:pPr>
                    <w:pStyle w:val="29"/>
                    <w:spacing w:line="360" w:lineRule="exact"/>
                    <w:rPr>
                      <w:color w:val="auto"/>
                      <w:szCs w:val="21"/>
                    </w:rPr>
                  </w:pPr>
                  <w:r>
                    <w:rPr>
                      <w:color w:val="auto"/>
                      <w:szCs w:val="21"/>
                    </w:rPr>
                    <w:t>排放量t/a</w:t>
                  </w:r>
                </w:p>
              </w:tc>
              <w:tc>
                <w:tcPr>
                  <w:tcW w:w="728" w:type="dxa"/>
                  <w:tcBorders>
                    <w:top w:val="single" w:color="auto" w:sz="4" w:space="0"/>
                    <w:left w:val="single" w:color="auto" w:sz="4" w:space="0"/>
                  </w:tcBorders>
                  <w:vAlign w:val="center"/>
                </w:tcPr>
                <w:p>
                  <w:pPr>
                    <w:pStyle w:val="29"/>
                    <w:spacing w:line="360" w:lineRule="exact"/>
                    <w:rPr>
                      <w:color w:val="auto"/>
                      <w:szCs w:val="21"/>
                    </w:rPr>
                  </w:pPr>
                  <w:r>
                    <w:rPr>
                      <w:color w:val="auto"/>
                      <w:szCs w:val="21"/>
                    </w:rPr>
                    <w:t>排放速率kg/h</w:t>
                  </w:r>
                </w:p>
              </w:tc>
              <w:tc>
                <w:tcPr>
                  <w:tcW w:w="1044" w:type="dxa"/>
                  <w:vMerge w:val="continue"/>
                  <w:vAlign w:val="center"/>
                </w:tcPr>
                <w:p>
                  <w:pPr>
                    <w:pStyle w:val="29"/>
                    <w:spacing w:line="360" w:lineRule="exact"/>
                    <w:rPr>
                      <w:color w:val="auto"/>
                      <w:szCs w:val="21"/>
                    </w:rPr>
                  </w:pPr>
                </w:p>
              </w:tc>
              <w:tc>
                <w:tcPr>
                  <w:tcW w:w="783" w:type="dxa"/>
                  <w:vMerge w:val="continue"/>
                  <w:vAlign w:val="center"/>
                </w:tcPr>
                <w:p>
                  <w:pPr>
                    <w:spacing w:line="360" w:lineRule="exact"/>
                    <w:jc w:val="center"/>
                    <w:rPr>
                      <w:rFonts w:ascii="Times New Roman" w:hAnsi="Times New Roman" w:eastAsia="宋体"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restart"/>
                  <w:tcBorders>
                    <w:right w:val="single" w:color="auto" w:sz="4" w:space="0"/>
                  </w:tcBorders>
                  <w:vAlign w:val="center"/>
                </w:tcPr>
                <w:p>
                  <w:pPr>
                    <w:pStyle w:val="29"/>
                    <w:spacing w:line="360" w:lineRule="exact"/>
                    <w:rPr>
                      <w:color w:val="auto"/>
                      <w:szCs w:val="21"/>
                    </w:rPr>
                  </w:pPr>
                  <w:r>
                    <w:rPr>
                      <w:color w:val="auto"/>
                      <w:szCs w:val="21"/>
                    </w:rPr>
                    <w:t>2条生产线</w:t>
                  </w:r>
                </w:p>
              </w:tc>
              <w:tc>
                <w:tcPr>
                  <w:tcW w:w="709" w:type="dxa"/>
                  <w:vMerge w:val="restart"/>
                  <w:tcBorders>
                    <w:left w:val="single" w:color="auto" w:sz="4" w:space="0"/>
                  </w:tcBorders>
                  <w:vAlign w:val="center"/>
                </w:tcPr>
                <w:p>
                  <w:pPr>
                    <w:pStyle w:val="29"/>
                    <w:spacing w:line="360" w:lineRule="exact"/>
                    <w:rPr>
                      <w:color w:val="auto"/>
                      <w:szCs w:val="21"/>
                    </w:rPr>
                  </w:pPr>
                  <w:r>
                    <w:rPr>
                      <w:color w:val="auto"/>
                      <w:szCs w:val="21"/>
                    </w:rPr>
                    <w:t>破碎</w:t>
                  </w:r>
                </w:p>
              </w:tc>
              <w:tc>
                <w:tcPr>
                  <w:tcW w:w="1286" w:type="dxa"/>
                  <w:tcBorders>
                    <w:bottom w:val="single" w:color="auto" w:sz="4" w:space="0"/>
                  </w:tcBorders>
                  <w:vAlign w:val="center"/>
                </w:tcPr>
                <w:p>
                  <w:pPr>
                    <w:pStyle w:val="29"/>
                    <w:spacing w:line="360" w:lineRule="exact"/>
                    <w:rPr>
                      <w:color w:val="auto"/>
                      <w:szCs w:val="21"/>
                    </w:rPr>
                  </w:pPr>
                  <w:r>
                    <w:rPr>
                      <w:color w:val="auto"/>
                      <w:szCs w:val="21"/>
                    </w:rPr>
                    <w:t>颗粒物（有组织）</w:t>
                  </w:r>
                </w:p>
              </w:tc>
              <w:tc>
                <w:tcPr>
                  <w:tcW w:w="833" w:type="dxa"/>
                  <w:tcBorders>
                    <w:bottom w:val="single" w:color="auto" w:sz="4" w:space="0"/>
                  </w:tcBorders>
                  <w:vAlign w:val="center"/>
                </w:tcPr>
                <w:p>
                  <w:pPr>
                    <w:pStyle w:val="29"/>
                    <w:spacing w:line="360" w:lineRule="exact"/>
                    <w:rPr>
                      <w:color w:val="auto"/>
                      <w:szCs w:val="21"/>
                    </w:rPr>
                  </w:pPr>
                  <w:r>
                    <w:rPr>
                      <w:rFonts w:hint="eastAsia"/>
                      <w:color w:val="auto"/>
                      <w:szCs w:val="21"/>
                    </w:rPr>
                    <w:t>766.67</w:t>
                  </w:r>
                </w:p>
              </w:tc>
              <w:tc>
                <w:tcPr>
                  <w:tcW w:w="852" w:type="dxa"/>
                  <w:vMerge w:val="restart"/>
                  <w:vAlign w:val="center"/>
                </w:tcPr>
                <w:p>
                  <w:pPr>
                    <w:pStyle w:val="29"/>
                    <w:spacing w:line="360" w:lineRule="exact"/>
                    <w:rPr>
                      <w:color w:val="auto"/>
                      <w:szCs w:val="21"/>
                    </w:rPr>
                  </w:pPr>
                  <w:r>
                    <w:rPr>
                      <w:rFonts w:hint="eastAsia"/>
                      <w:color w:val="auto"/>
                      <w:szCs w:val="21"/>
                    </w:rPr>
                    <w:t>36</w:t>
                  </w:r>
                </w:p>
              </w:tc>
              <w:tc>
                <w:tcPr>
                  <w:tcW w:w="775" w:type="dxa"/>
                  <w:vAlign w:val="center"/>
                </w:tcPr>
                <w:p>
                  <w:pPr>
                    <w:pStyle w:val="29"/>
                    <w:spacing w:line="360" w:lineRule="exact"/>
                    <w:rPr>
                      <w:color w:val="auto"/>
                      <w:szCs w:val="21"/>
                    </w:rPr>
                  </w:pPr>
                  <w:r>
                    <w:rPr>
                      <w:rFonts w:hint="eastAsia"/>
                      <w:color w:val="auto"/>
                      <w:szCs w:val="21"/>
                    </w:rPr>
                    <w:t>38.43</w:t>
                  </w:r>
                </w:p>
              </w:tc>
              <w:tc>
                <w:tcPr>
                  <w:tcW w:w="860" w:type="dxa"/>
                  <w:tcBorders>
                    <w:top w:val="single" w:color="auto" w:sz="4" w:space="0"/>
                    <w:right w:val="single" w:color="auto" w:sz="4" w:space="0"/>
                  </w:tcBorders>
                  <w:vAlign w:val="center"/>
                </w:tcPr>
                <w:p>
                  <w:pPr>
                    <w:pStyle w:val="29"/>
                    <w:spacing w:line="360" w:lineRule="exact"/>
                    <w:rPr>
                      <w:color w:val="auto"/>
                      <w:szCs w:val="21"/>
                    </w:rPr>
                  </w:pPr>
                  <w:r>
                    <w:rPr>
                      <w:rFonts w:hint="eastAsia"/>
                      <w:color w:val="auto"/>
                      <w:szCs w:val="21"/>
                    </w:rPr>
                    <w:t>1.66</w:t>
                  </w:r>
                </w:p>
              </w:tc>
              <w:tc>
                <w:tcPr>
                  <w:tcW w:w="728" w:type="dxa"/>
                  <w:tcBorders>
                    <w:top w:val="single" w:color="auto" w:sz="4" w:space="0"/>
                    <w:left w:val="single" w:color="auto" w:sz="4" w:space="0"/>
                  </w:tcBorders>
                  <w:vAlign w:val="center"/>
                </w:tcPr>
                <w:p>
                  <w:pPr>
                    <w:pStyle w:val="29"/>
                    <w:spacing w:line="360" w:lineRule="exact"/>
                    <w:rPr>
                      <w:color w:val="auto"/>
                      <w:szCs w:val="21"/>
                    </w:rPr>
                  </w:pPr>
                  <w:r>
                    <w:rPr>
                      <w:color w:val="auto"/>
                      <w:szCs w:val="21"/>
                    </w:rPr>
                    <w:t>0.</w:t>
                  </w:r>
                  <w:r>
                    <w:rPr>
                      <w:rFonts w:hint="eastAsia"/>
                      <w:color w:val="auto"/>
                      <w:szCs w:val="21"/>
                    </w:rPr>
                    <w:t>23</w:t>
                  </w:r>
                </w:p>
              </w:tc>
              <w:tc>
                <w:tcPr>
                  <w:tcW w:w="1044" w:type="dxa"/>
                  <w:tcBorders>
                    <w:bottom w:val="single" w:color="auto" w:sz="4" w:space="0"/>
                  </w:tcBorders>
                  <w:vAlign w:val="center"/>
                </w:tcPr>
                <w:p>
                  <w:pPr>
                    <w:pStyle w:val="29"/>
                    <w:spacing w:line="360" w:lineRule="exact"/>
                    <w:rPr>
                      <w:color w:val="auto"/>
                      <w:szCs w:val="21"/>
                    </w:rPr>
                  </w:pPr>
                  <w:r>
                    <w:rPr>
                      <w:color w:val="auto"/>
                      <w:szCs w:val="21"/>
                    </w:rPr>
                    <w:t>≤120</w:t>
                  </w:r>
                </w:p>
                <w:p>
                  <w:pPr>
                    <w:pStyle w:val="29"/>
                    <w:spacing w:line="360" w:lineRule="exact"/>
                    <w:rPr>
                      <w:color w:val="auto"/>
                      <w:szCs w:val="21"/>
                    </w:rPr>
                  </w:pPr>
                  <w:r>
                    <w:rPr>
                      <w:color w:val="auto"/>
                      <w:szCs w:val="21"/>
                    </w:rPr>
                    <w:t>≤3.5kg/h</w:t>
                  </w:r>
                </w:p>
              </w:tc>
              <w:tc>
                <w:tcPr>
                  <w:tcW w:w="783" w:type="dxa"/>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tcBorders>
                    <w:right w:val="single" w:color="auto" w:sz="4" w:space="0"/>
                  </w:tcBorders>
                  <w:vAlign w:val="center"/>
                </w:tcPr>
                <w:p>
                  <w:pPr>
                    <w:pStyle w:val="29"/>
                    <w:spacing w:line="360" w:lineRule="exact"/>
                    <w:rPr>
                      <w:color w:val="auto"/>
                      <w:szCs w:val="21"/>
                    </w:rPr>
                  </w:pPr>
                </w:p>
              </w:tc>
              <w:tc>
                <w:tcPr>
                  <w:tcW w:w="709" w:type="dxa"/>
                  <w:vMerge w:val="continue"/>
                  <w:tcBorders>
                    <w:left w:val="single" w:color="auto" w:sz="4" w:space="0"/>
                  </w:tcBorders>
                  <w:vAlign w:val="center"/>
                </w:tcPr>
                <w:p>
                  <w:pPr>
                    <w:pStyle w:val="29"/>
                    <w:spacing w:line="360" w:lineRule="exact"/>
                    <w:rPr>
                      <w:color w:val="auto"/>
                      <w:szCs w:val="21"/>
                    </w:rPr>
                  </w:pPr>
                </w:p>
              </w:tc>
              <w:tc>
                <w:tcPr>
                  <w:tcW w:w="1286" w:type="dxa"/>
                  <w:tcBorders>
                    <w:top w:val="single" w:color="auto" w:sz="4" w:space="0"/>
                    <w:bottom w:val="single" w:color="auto" w:sz="4" w:space="0"/>
                  </w:tcBorders>
                  <w:vAlign w:val="center"/>
                </w:tcPr>
                <w:p>
                  <w:pPr>
                    <w:pStyle w:val="29"/>
                    <w:spacing w:line="360" w:lineRule="exact"/>
                    <w:rPr>
                      <w:color w:val="auto"/>
                      <w:szCs w:val="21"/>
                    </w:rPr>
                  </w:pPr>
                  <w:r>
                    <w:rPr>
                      <w:color w:val="auto"/>
                      <w:szCs w:val="21"/>
                    </w:rPr>
                    <w:t>颗粒物（无组织）</w:t>
                  </w:r>
                </w:p>
              </w:tc>
              <w:tc>
                <w:tcPr>
                  <w:tcW w:w="833" w:type="dxa"/>
                  <w:tcBorders>
                    <w:top w:val="single" w:color="auto" w:sz="4" w:space="0"/>
                    <w:bottom w:val="single" w:color="auto" w:sz="4" w:space="0"/>
                  </w:tcBorders>
                  <w:vAlign w:val="center"/>
                </w:tcPr>
                <w:p>
                  <w:pPr>
                    <w:pStyle w:val="29"/>
                    <w:spacing w:line="360" w:lineRule="exact"/>
                    <w:rPr>
                      <w:color w:val="auto"/>
                      <w:szCs w:val="21"/>
                    </w:rPr>
                  </w:pPr>
                  <w:r>
                    <w:rPr>
                      <w:color w:val="auto"/>
                      <w:szCs w:val="21"/>
                    </w:rPr>
                    <w:t>--</w:t>
                  </w:r>
                </w:p>
              </w:tc>
              <w:tc>
                <w:tcPr>
                  <w:tcW w:w="852" w:type="dxa"/>
                  <w:vMerge w:val="continue"/>
                  <w:vAlign w:val="center"/>
                </w:tcPr>
                <w:p>
                  <w:pPr>
                    <w:pStyle w:val="29"/>
                    <w:spacing w:line="360" w:lineRule="exact"/>
                    <w:rPr>
                      <w:color w:val="auto"/>
                      <w:szCs w:val="21"/>
                    </w:rPr>
                  </w:pPr>
                </w:p>
              </w:tc>
              <w:tc>
                <w:tcPr>
                  <w:tcW w:w="775" w:type="dxa"/>
                  <w:vAlign w:val="center"/>
                </w:tcPr>
                <w:p>
                  <w:pPr>
                    <w:pStyle w:val="29"/>
                    <w:spacing w:line="360" w:lineRule="exact"/>
                    <w:rPr>
                      <w:color w:val="auto"/>
                      <w:szCs w:val="21"/>
                    </w:rPr>
                  </w:pPr>
                  <w:r>
                    <w:rPr>
                      <w:color w:val="auto"/>
                      <w:szCs w:val="21"/>
                    </w:rPr>
                    <w:t>--</w:t>
                  </w:r>
                </w:p>
              </w:tc>
              <w:tc>
                <w:tcPr>
                  <w:tcW w:w="860" w:type="dxa"/>
                  <w:tcBorders>
                    <w:top w:val="single" w:color="auto" w:sz="4" w:space="0"/>
                    <w:bottom w:val="single" w:color="auto" w:sz="4" w:space="0"/>
                    <w:right w:val="single" w:color="auto" w:sz="4" w:space="0"/>
                  </w:tcBorders>
                  <w:vAlign w:val="center"/>
                </w:tcPr>
                <w:p>
                  <w:pPr>
                    <w:pStyle w:val="29"/>
                    <w:spacing w:line="360" w:lineRule="exact"/>
                    <w:rPr>
                      <w:color w:val="auto"/>
                      <w:szCs w:val="21"/>
                    </w:rPr>
                  </w:pPr>
                  <w:r>
                    <w:rPr>
                      <w:rFonts w:hint="eastAsia"/>
                      <w:color w:val="auto"/>
                      <w:szCs w:val="21"/>
                    </w:rPr>
                    <w:t>2.88</w:t>
                  </w:r>
                </w:p>
              </w:tc>
              <w:tc>
                <w:tcPr>
                  <w:tcW w:w="728" w:type="dxa"/>
                  <w:tcBorders>
                    <w:top w:val="single" w:color="auto" w:sz="4" w:space="0"/>
                    <w:left w:val="single" w:color="auto" w:sz="4" w:space="0"/>
                    <w:bottom w:val="single" w:color="auto" w:sz="4" w:space="0"/>
                  </w:tcBorders>
                  <w:vAlign w:val="center"/>
                </w:tcPr>
                <w:p>
                  <w:pPr>
                    <w:pStyle w:val="29"/>
                    <w:spacing w:line="360" w:lineRule="exact"/>
                    <w:rPr>
                      <w:color w:val="auto"/>
                      <w:szCs w:val="21"/>
                    </w:rPr>
                  </w:pPr>
                  <w:r>
                    <w:rPr>
                      <w:color w:val="auto"/>
                      <w:szCs w:val="21"/>
                    </w:rPr>
                    <w:t>0.</w:t>
                  </w:r>
                  <w:r>
                    <w:rPr>
                      <w:rFonts w:hint="eastAsia"/>
                      <w:color w:val="auto"/>
                      <w:szCs w:val="21"/>
                    </w:rPr>
                    <w:t>40</w:t>
                  </w:r>
                </w:p>
              </w:tc>
              <w:tc>
                <w:tcPr>
                  <w:tcW w:w="1044" w:type="dxa"/>
                  <w:tcBorders>
                    <w:top w:val="single" w:color="auto" w:sz="4" w:space="0"/>
                    <w:bottom w:val="single" w:color="auto" w:sz="4" w:space="0"/>
                  </w:tcBorders>
                  <w:vAlign w:val="center"/>
                </w:tcPr>
                <w:p>
                  <w:pPr>
                    <w:pStyle w:val="29"/>
                    <w:spacing w:line="360" w:lineRule="exact"/>
                    <w:rPr>
                      <w:color w:val="auto"/>
                      <w:szCs w:val="21"/>
                    </w:rPr>
                  </w:pPr>
                  <w:r>
                    <w:rPr>
                      <w:color w:val="auto"/>
                      <w:szCs w:val="21"/>
                    </w:rPr>
                    <w:t>≤1.0</w:t>
                  </w:r>
                </w:p>
              </w:tc>
              <w:tc>
                <w:tcPr>
                  <w:tcW w:w="783" w:type="dxa"/>
                  <w:tcBorders>
                    <w:top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29"/>
                    <w:spacing w:line="360" w:lineRule="exact"/>
                    <w:rPr>
                      <w:color w:val="auto"/>
                      <w:szCs w:val="21"/>
                    </w:rPr>
                  </w:pPr>
                  <w:r>
                    <w:rPr>
                      <w:color w:val="auto"/>
                      <w:szCs w:val="21"/>
                    </w:rPr>
                    <w:t>厨房</w:t>
                  </w:r>
                </w:p>
              </w:tc>
              <w:tc>
                <w:tcPr>
                  <w:tcW w:w="709" w:type="dxa"/>
                  <w:vAlign w:val="center"/>
                </w:tcPr>
                <w:p>
                  <w:pPr>
                    <w:pStyle w:val="29"/>
                    <w:spacing w:line="360" w:lineRule="exact"/>
                    <w:rPr>
                      <w:color w:val="auto"/>
                      <w:szCs w:val="21"/>
                    </w:rPr>
                  </w:pPr>
                  <w:r>
                    <w:rPr>
                      <w:color w:val="auto"/>
                      <w:szCs w:val="21"/>
                    </w:rPr>
                    <w:t>--</w:t>
                  </w:r>
                </w:p>
              </w:tc>
              <w:tc>
                <w:tcPr>
                  <w:tcW w:w="1286" w:type="dxa"/>
                  <w:vAlign w:val="center"/>
                </w:tcPr>
                <w:p>
                  <w:pPr>
                    <w:pStyle w:val="29"/>
                    <w:spacing w:line="360" w:lineRule="exact"/>
                    <w:rPr>
                      <w:color w:val="auto"/>
                      <w:szCs w:val="21"/>
                    </w:rPr>
                  </w:pPr>
                  <w:r>
                    <w:rPr>
                      <w:color w:val="auto"/>
                      <w:szCs w:val="21"/>
                    </w:rPr>
                    <w:t>厨房油烟</w:t>
                  </w:r>
                </w:p>
              </w:tc>
              <w:tc>
                <w:tcPr>
                  <w:tcW w:w="833" w:type="dxa"/>
                  <w:tcBorders>
                    <w:top w:val="single" w:color="auto" w:sz="4" w:space="0"/>
                  </w:tcBorders>
                  <w:vAlign w:val="center"/>
                </w:tcPr>
                <w:p>
                  <w:pPr>
                    <w:pStyle w:val="29"/>
                    <w:spacing w:line="360" w:lineRule="exact"/>
                    <w:rPr>
                      <w:color w:val="auto"/>
                      <w:szCs w:val="21"/>
                    </w:rPr>
                  </w:pPr>
                  <w:r>
                    <w:rPr>
                      <w:color w:val="auto"/>
                      <w:szCs w:val="21"/>
                    </w:rPr>
                    <w:t>3.2</w:t>
                  </w:r>
                </w:p>
              </w:tc>
              <w:tc>
                <w:tcPr>
                  <w:tcW w:w="852" w:type="dxa"/>
                  <w:tcBorders>
                    <w:top w:val="single" w:color="auto" w:sz="4" w:space="0"/>
                  </w:tcBorders>
                  <w:vAlign w:val="center"/>
                </w:tcPr>
                <w:p>
                  <w:pPr>
                    <w:pStyle w:val="29"/>
                    <w:spacing w:line="360" w:lineRule="exact"/>
                    <w:rPr>
                      <w:color w:val="auto"/>
                      <w:szCs w:val="21"/>
                    </w:rPr>
                  </w:pPr>
                  <w:r>
                    <w:rPr>
                      <w:color w:val="auto"/>
                      <w:szCs w:val="21"/>
                    </w:rPr>
                    <w:t>19.2g/d</w:t>
                  </w:r>
                </w:p>
              </w:tc>
              <w:tc>
                <w:tcPr>
                  <w:tcW w:w="775" w:type="dxa"/>
                  <w:vAlign w:val="center"/>
                </w:tcPr>
                <w:p>
                  <w:pPr>
                    <w:pStyle w:val="29"/>
                    <w:spacing w:line="360" w:lineRule="exact"/>
                    <w:rPr>
                      <w:color w:val="auto"/>
                      <w:szCs w:val="21"/>
                    </w:rPr>
                  </w:pPr>
                  <w:r>
                    <w:rPr>
                      <w:color w:val="auto"/>
                      <w:szCs w:val="21"/>
                    </w:rPr>
                    <w:t>1.3</w:t>
                  </w:r>
                </w:p>
              </w:tc>
              <w:tc>
                <w:tcPr>
                  <w:tcW w:w="860" w:type="dxa"/>
                  <w:tcBorders>
                    <w:right w:val="single" w:color="auto" w:sz="4" w:space="0"/>
                  </w:tcBorders>
                  <w:vAlign w:val="center"/>
                </w:tcPr>
                <w:p>
                  <w:pPr>
                    <w:pStyle w:val="29"/>
                    <w:spacing w:line="360" w:lineRule="exact"/>
                    <w:rPr>
                      <w:color w:val="auto"/>
                      <w:szCs w:val="21"/>
                    </w:rPr>
                  </w:pPr>
                  <w:r>
                    <w:rPr>
                      <w:color w:val="auto"/>
                      <w:szCs w:val="21"/>
                    </w:rPr>
                    <w:t>7.7g/d</w:t>
                  </w:r>
                </w:p>
              </w:tc>
              <w:tc>
                <w:tcPr>
                  <w:tcW w:w="728" w:type="dxa"/>
                  <w:tcBorders>
                    <w:left w:val="single" w:color="auto" w:sz="4" w:space="0"/>
                  </w:tcBorders>
                  <w:vAlign w:val="center"/>
                </w:tcPr>
                <w:p>
                  <w:pPr>
                    <w:pStyle w:val="29"/>
                    <w:spacing w:line="360" w:lineRule="exact"/>
                    <w:rPr>
                      <w:color w:val="auto"/>
                      <w:szCs w:val="21"/>
                    </w:rPr>
                  </w:pPr>
                  <w:r>
                    <w:rPr>
                      <w:color w:val="auto"/>
                      <w:szCs w:val="21"/>
                    </w:rPr>
                    <w:t>--</w:t>
                  </w:r>
                </w:p>
              </w:tc>
              <w:tc>
                <w:tcPr>
                  <w:tcW w:w="1044" w:type="dxa"/>
                  <w:vAlign w:val="center"/>
                </w:tcPr>
                <w:p>
                  <w:pPr>
                    <w:pStyle w:val="29"/>
                    <w:spacing w:line="360" w:lineRule="exact"/>
                    <w:rPr>
                      <w:color w:val="auto"/>
                      <w:szCs w:val="21"/>
                    </w:rPr>
                  </w:pPr>
                  <w:r>
                    <w:rPr>
                      <w:color w:val="auto"/>
                      <w:szCs w:val="21"/>
                    </w:rPr>
                    <w:t>≤2.0</w:t>
                  </w:r>
                </w:p>
              </w:tc>
              <w:tc>
                <w:tcPr>
                  <w:tcW w:w="783" w:type="dxa"/>
                  <w:vAlign w:val="center"/>
                </w:tcPr>
                <w:p>
                  <w:pPr>
                    <w:pStyle w:val="29"/>
                    <w:spacing w:line="360" w:lineRule="exact"/>
                    <w:rPr>
                      <w:color w:val="auto"/>
                      <w:szCs w:val="21"/>
                    </w:rPr>
                  </w:pPr>
                  <w:r>
                    <w:rPr>
                      <w:color w:val="auto"/>
                      <w:szCs w:val="21"/>
                    </w:rPr>
                    <w:t>达标</w:t>
                  </w:r>
                </w:p>
              </w:tc>
            </w:tr>
          </w:tbl>
          <w:p>
            <w:pPr>
              <w:pStyle w:val="37"/>
              <w:spacing w:beforeLines="50"/>
              <w:ind w:firstLine="480"/>
              <w:rPr>
                <w:szCs w:val="24"/>
              </w:rPr>
            </w:pPr>
            <w:r>
              <w:rPr>
                <w:szCs w:val="24"/>
              </w:rPr>
              <w:t>由上表可知，项目废气达标性结论如下：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GB2 </w:instrText>
            </w:r>
            <w:r>
              <w:rPr>
                <w:rFonts w:ascii="Times New Roman" w:hAnsi="Times New Roman" w:cs="Times New Roman"/>
                <w:sz w:val="24"/>
                <w:szCs w:val="24"/>
              </w:rPr>
              <w:fldChar w:fldCharType="separate"/>
            </w:r>
            <w:r>
              <w:rPr>
                <w:rFonts w:ascii="Times New Roman" w:hAnsi="Times New Roman" w:cs="Times New Roman"/>
                <w:sz w:val="24"/>
                <w:szCs w:val="24"/>
              </w:rPr>
              <w:t>⑴</w:t>
            </w:r>
            <w:r>
              <w:rPr>
                <w:rFonts w:ascii="Times New Roman" w:hAnsi="Times New Roman" w:cs="Times New Roman"/>
                <w:sz w:val="24"/>
                <w:szCs w:val="24"/>
              </w:rPr>
              <w:fldChar w:fldCharType="end"/>
            </w:r>
            <w:r>
              <w:rPr>
                <w:rFonts w:ascii="Times New Roman" w:hAnsi="Times New Roman" w:cs="Times New Roman"/>
                <w:sz w:val="24"/>
                <w:szCs w:val="24"/>
              </w:rPr>
              <w:t>项目有组织粉尘排放浓度可达到《大气污染物综合排放标准》（GB16297-1996）表2标准限值；而无组织排放的粉尘，按照《环境影响评价技术导则-大气环境》（HJ2.2-2018）附录A推荐模型中的AERSCREEN模式进行预测，粉尘最大落地浓度为0.52mg/m³，可达到《大气污染物综合排放标准》（GB16297-1996）表2无组织排放标准限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GB2 </w:instrText>
            </w:r>
            <w:r>
              <w:rPr>
                <w:rFonts w:ascii="Times New Roman" w:hAnsi="Times New Roman" w:cs="Times New Roman"/>
                <w:sz w:val="24"/>
                <w:szCs w:val="24"/>
              </w:rPr>
              <w:fldChar w:fldCharType="separate"/>
            </w:r>
            <w:r>
              <w:rPr>
                <w:rFonts w:ascii="Times New Roman" w:hAnsi="Times New Roman" w:cs="Times New Roman"/>
                <w:sz w:val="24"/>
                <w:szCs w:val="24"/>
              </w:rPr>
              <w:t>⑵</w:t>
            </w:r>
            <w:r>
              <w:rPr>
                <w:rFonts w:ascii="Times New Roman" w:hAnsi="Times New Roman" w:cs="Times New Roman"/>
                <w:sz w:val="24"/>
                <w:szCs w:val="24"/>
              </w:rPr>
              <w:fldChar w:fldCharType="end"/>
            </w:r>
            <w:r>
              <w:rPr>
                <w:rFonts w:ascii="Times New Roman" w:hAnsi="Times New Roman" w:cs="Times New Roman"/>
                <w:sz w:val="24"/>
                <w:szCs w:val="24"/>
              </w:rPr>
              <w:t>项目区厨房油烟净化器处理后的厨房油烟可达到《饮食业油烟排放标准》（GB18483-2001）（试行）小型标准，通过高于房顶1.5m的烟道外排。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（3）废气污染治理设施可行性分析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项目设计提出的袋式除尘器，属于《排污许可证申请与核发技术规范 废弃资源加工工业》（HJ1034-2019）明确的可行技术。</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总则》（HJ819-2017）和《排污许可证申请与核发技术规范 废弃资源加工工业》（HJ1034-2019）的要求，项目废气自行监测要求如下表所示。</w:t>
            </w:r>
          </w:p>
          <w:p>
            <w:pPr>
              <w:jc w:val="center"/>
              <w:rPr>
                <w:rFonts w:ascii="Times New Roman" w:hAnsi="Times New Roman" w:cs="Times New Roman"/>
                <w:b/>
                <w:szCs w:val="24"/>
              </w:rPr>
            </w:pPr>
            <w:r>
              <w:rPr>
                <w:rFonts w:ascii="Times New Roman" w:hAnsi="Times New Roman" w:cs="Times New Roman"/>
                <w:b/>
                <w:szCs w:val="24"/>
              </w:rPr>
              <w:t>表4.2.1-4  项目运营期废气自行监测计划一览表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18"/>
              <w:gridCol w:w="1727"/>
              <w:gridCol w:w="157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29"/>
                    <w:spacing w:line="360" w:lineRule="exact"/>
                    <w:rPr>
                      <w:rFonts w:eastAsiaTheme="minorEastAsia"/>
                      <w:color w:val="auto"/>
                      <w:szCs w:val="21"/>
                    </w:rPr>
                  </w:pPr>
                  <w:r>
                    <w:rPr>
                      <w:rFonts w:eastAsiaTheme="minorEastAsia"/>
                      <w:color w:val="auto"/>
                      <w:szCs w:val="21"/>
                    </w:rPr>
                    <w:t>对象</w:t>
                  </w:r>
                </w:p>
              </w:tc>
              <w:tc>
                <w:tcPr>
                  <w:tcW w:w="1618" w:type="dxa"/>
                  <w:vAlign w:val="center"/>
                </w:tcPr>
                <w:p>
                  <w:pPr>
                    <w:pStyle w:val="29"/>
                    <w:spacing w:line="360" w:lineRule="exact"/>
                    <w:rPr>
                      <w:rFonts w:eastAsiaTheme="minorEastAsia"/>
                      <w:color w:val="auto"/>
                      <w:szCs w:val="21"/>
                    </w:rPr>
                  </w:pPr>
                  <w:r>
                    <w:rPr>
                      <w:rFonts w:eastAsiaTheme="minorEastAsia"/>
                      <w:color w:val="auto"/>
                      <w:szCs w:val="21"/>
                    </w:rPr>
                    <w:t>监测点位</w:t>
                  </w:r>
                </w:p>
              </w:tc>
              <w:tc>
                <w:tcPr>
                  <w:tcW w:w="1727" w:type="dxa"/>
                  <w:vAlign w:val="center"/>
                </w:tcPr>
                <w:p>
                  <w:pPr>
                    <w:pStyle w:val="29"/>
                    <w:spacing w:line="360" w:lineRule="exact"/>
                    <w:rPr>
                      <w:rFonts w:eastAsiaTheme="minorEastAsia"/>
                      <w:color w:val="auto"/>
                      <w:szCs w:val="21"/>
                    </w:rPr>
                  </w:pPr>
                  <w:r>
                    <w:rPr>
                      <w:rFonts w:eastAsiaTheme="minorEastAsia"/>
                      <w:color w:val="auto"/>
                      <w:szCs w:val="21"/>
                    </w:rPr>
                    <w:t>监测因子</w:t>
                  </w:r>
                </w:p>
              </w:tc>
              <w:tc>
                <w:tcPr>
                  <w:tcW w:w="1579" w:type="dxa"/>
                  <w:vAlign w:val="center"/>
                </w:tcPr>
                <w:p>
                  <w:pPr>
                    <w:pStyle w:val="29"/>
                    <w:spacing w:line="360" w:lineRule="exact"/>
                    <w:rPr>
                      <w:rFonts w:eastAsiaTheme="minorEastAsia"/>
                      <w:color w:val="auto"/>
                      <w:szCs w:val="21"/>
                    </w:rPr>
                  </w:pPr>
                  <w:r>
                    <w:rPr>
                      <w:rFonts w:eastAsiaTheme="minorEastAsia"/>
                      <w:color w:val="auto"/>
                      <w:szCs w:val="21"/>
                    </w:rPr>
                    <w:t>最低监测频率</w:t>
                  </w:r>
                </w:p>
              </w:tc>
              <w:tc>
                <w:tcPr>
                  <w:tcW w:w="2926" w:type="dxa"/>
                  <w:vAlign w:val="center"/>
                </w:tcPr>
                <w:p>
                  <w:pPr>
                    <w:pStyle w:val="29"/>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restart"/>
                  <w:vAlign w:val="center"/>
                </w:tcPr>
                <w:p>
                  <w:pPr>
                    <w:pStyle w:val="29"/>
                    <w:spacing w:line="360" w:lineRule="exact"/>
                    <w:rPr>
                      <w:rFonts w:eastAsiaTheme="minorEastAsia"/>
                      <w:color w:val="auto"/>
                      <w:szCs w:val="21"/>
                    </w:rPr>
                  </w:pPr>
                  <w:r>
                    <w:rPr>
                      <w:rFonts w:eastAsiaTheme="minorEastAsia"/>
                      <w:color w:val="auto"/>
                      <w:szCs w:val="21"/>
                    </w:rPr>
                    <w:t>废气</w:t>
                  </w:r>
                </w:p>
              </w:tc>
              <w:tc>
                <w:tcPr>
                  <w:tcW w:w="1618" w:type="dxa"/>
                  <w:vAlign w:val="center"/>
                </w:tcPr>
                <w:p>
                  <w:pPr>
                    <w:pStyle w:val="29"/>
                    <w:spacing w:line="360" w:lineRule="exact"/>
                    <w:rPr>
                      <w:rFonts w:eastAsiaTheme="minorEastAsia"/>
                      <w:color w:val="auto"/>
                      <w:szCs w:val="21"/>
                    </w:rPr>
                  </w:pPr>
                  <w:r>
                    <w:rPr>
                      <w:rFonts w:eastAsiaTheme="minorEastAsia"/>
                      <w:color w:val="auto"/>
                      <w:szCs w:val="21"/>
                    </w:rPr>
                    <w:t>DA001</w:t>
                  </w:r>
                </w:p>
              </w:tc>
              <w:tc>
                <w:tcPr>
                  <w:tcW w:w="1727" w:type="dxa"/>
                  <w:vAlign w:val="center"/>
                </w:tcPr>
                <w:p>
                  <w:pPr>
                    <w:pStyle w:val="29"/>
                    <w:spacing w:line="360" w:lineRule="exact"/>
                    <w:rPr>
                      <w:rFonts w:eastAsiaTheme="minorEastAsia"/>
                      <w:color w:val="auto"/>
                      <w:szCs w:val="21"/>
                    </w:rPr>
                  </w:pPr>
                  <w:r>
                    <w:rPr>
                      <w:color w:val="auto"/>
                      <w:szCs w:val="21"/>
                    </w:rPr>
                    <w:t>颗粒物</w:t>
                  </w:r>
                </w:p>
              </w:tc>
              <w:tc>
                <w:tcPr>
                  <w:tcW w:w="1579" w:type="dxa"/>
                  <w:vAlign w:val="center"/>
                </w:tcPr>
                <w:p>
                  <w:pPr>
                    <w:pStyle w:val="29"/>
                    <w:spacing w:line="360" w:lineRule="exact"/>
                    <w:rPr>
                      <w:rFonts w:eastAsiaTheme="minorEastAsia"/>
                      <w:color w:val="auto"/>
                      <w:szCs w:val="21"/>
                    </w:rPr>
                  </w:pPr>
                  <w:r>
                    <w:rPr>
                      <w:rFonts w:eastAsiaTheme="minorEastAsia"/>
                      <w:color w:val="auto"/>
                      <w:szCs w:val="21"/>
                    </w:rPr>
                    <w:t>1次/年</w:t>
                  </w:r>
                </w:p>
              </w:tc>
              <w:tc>
                <w:tcPr>
                  <w:tcW w:w="2926" w:type="dxa"/>
                  <w:vMerge w:val="restart"/>
                  <w:vAlign w:val="center"/>
                </w:tcPr>
                <w:p>
                  <w:pPr>
                    <w:pStyle w:val="29"/>
                    <w:spacing w:line="360" w:lineRule="exact"/>
                    <w:ind w:firstLine="210" w:firstLineChars="100"/>
                    <w:jc w:val="both"/>
                    <w:rPr>
                      <w:color w:val="auto"/>
                      <w:szCs w:val="21"/>
                    </w:rPr>
                  </w:pPr>
                  <w:r>
                    <w:rPr>
                      <w:color w:val="auto"/>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29"/>
                    <w:spacing w:line="360" w:lineRule="exact"/>
                    <w:rPr>
                      <w:rFonts w:eastAsiaTheme="minorEastAsia"/>
                      <w:color w:val="auto"/>
                      <w:szCs w:val="21"/>
                    </w:rPr>
                  </w:pPr>
                </w:p>
              </w:tc>
              <w:tc>
                <w:tcPr>
                  <w:tcW w:w="1618" w:type="dxa"/>
                  <w:vAlign w:val="center"/>
                </w:tcPr>
                <w:p>
                  <w:pPr>
                    <w:pStyle w:val="29"/>
                    <w:spacing w:line="360" w:lineRule="exact"/>
                    <w:rPr>
                      <w:rFonts w:eastAsiaTheme="minorEastAsia"/>
                      <w:color w:val="auto"/>
                      <w:szCs w:val="21"/>
                    </w:rPr>
                  </w:pPr>
                  <w:r>
                    <w:rPr>
                      <w:rFonts w:eastAsiaTheme="minorEastAsia"/>
                      <w:color w:val="auto"/>
                      <w:szCs w:val="21"/>
                    </w:rPr>
                    <w:t>厂界</w:t>
                  </w:r>
                </w:p>
              </w:tc>
              <w:tc>
                <w:tcPr>
                  <w:tcW w:w="1727" w:type="dxa"/>
                  <w:vAlign w:val="center"/>
                </w:tcPr>
                <w:p>
                  <w:pPr>
                    <w:pStyle w:val="29"/>
                    <w:spacing w:line="360" w:lineRule="exact"/>
                    <w:rPr>
                      <w:rFonts w:eastAsiaTheme="minorEastAsia"/>
                      <w:color w:val="auto"/>
                      <w:szCs w:val="21"/>
                    </w:rPr>
                  </w:pPr>
                  <w:r>
                    <w:rPr>
                      <w:color w:val="auto"/>
                      <w:szCs w:val="21"/>
                    </w:rPr>
                    <w:t>颗粒物</w:t>
                  </w:r>
                </w:p>
              </w:tc>
              <w:tc>
                <w:tcPr>
                  <w:tcW w:w="1579" w:type="dxa"/>
                  <w:vAlign w:val="center"/>
                </w:tcPr>
                <w:p>
                  <w:pPr>
                    <w:pStyle w:val="29"/>
                    <w:spacing w:line="360" w:lineRule="exact"/>
                    <w:rPr>
                      <w:rFonts w:eastAsiaTheme="minorEastAsia"/>
                      <w:color w:val="auto"/>
                      <w:szCs w:val="21"/>
                    </w:rPr>
                  </w:pPr>
                  <w:r>
                    <w:rPr>
                      <w:rFonts w:eastAsiaTheme="minorEastAsia"/>
                      <w:color w:val="auto"/>
                      <w:szCs w:val="21"/>
                    </w:rPr>
                    <w:t>1次/年</w:t>
                  </w:r>
                </w:p>
              </w:tc>
              <w:tc>
                <w:tcPr>
                  <w:tcW w:w="2926" w:type="dxa"/>
                  <w:vMerge w:val="continue"/>
                  <w:vAlign w:val="center"/>
                </w:tcPr>
                <w:p>
                  <w:pPr>
                    <w:pStyle w:val="29"/>
                    <w:spacing w:line="360" w:lineRule="exact"/>
                    <w:ind w:firstLine="210" w:firstLineChars="100"/>
                    <w:jc w:val="both"/>
                    <w:rPr>
                      <w:color w:val="auto"/>
                      <w:szCs w:val="21"/>
                    </w:rPr>
                  </w:pP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（5）非正常情况污染物排放情况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根据项目特点，项目污染源强较小，环保设施简单，一般不存在非正常情况， 非正常情形为废气处理设施全部失效，项目产生的颗粒物全部外排。废气处理设施失效非正常情形下废气污染物排放源产排情况如下表所示。</w:t>
            </w:r>
          </w:p>
          <w:p>
            <w:pPr>
              <w:jc w:val="center"/>
              <w:rPr>
                <w:rFonts w:ascii="Times New Roman" w:hAnsi="Times New Roman" w:cs="Times New Roman"/>
                <w:b/>
                <w:szCs w:val="24"/>
              </w:rPr>
            </w:pPr>
            <w:r>
              <w:rPr>
                <w:rFonts w:ascii="Times New Roman" w:hAnsi="Times New Roman" w:cs="Times New Roman"/>
                <w:b/>
                <w:szCs w:val="24"/>
              </w:rPr>
              <w:t>表4.2.1-5 非正常情形下废气污染物排放源产排量及达标情况一览表</w:t>
            </w:r>
          </w:p>
          <w:tbl>
            <w:tblPr>
              <w:tblStyle w:val="18"/>
              <w:tblW w:w="8598" w:type="dxa"/>
              <w:tblInd w:w="0" w:type="dxa"/>
              <w:tblLayout w:type="fixed"/>
              <w:tblCellMar>
                <w:top w:w="0" w:type="dxa"/>
                <w:left w:w="108" w:type="dxa"/>
                <w:bottom w:w="0" w:type="dxa"/>
                <w:right w:w="108" w:type="dxa"/>
              </w:tblCellMar>
            </w:tblPr>
            <w:tblGrid>
              <w:gridCol w:w="1583"/>
              <w:gridCol w:w="1276"/>
              <w:gridCol w:w="1134"/>
              <w:gridCol w:w="1134"/>
              <w:gridCol w:w="709"/>
              <w:gridCol w:w="1138"/>
              <w:gridCol w:w="1624"/>
            </w:tblGrid>
            <w:tr>
              <w:tblPrEx>
                <w:tblLayout w:type="fixed"/>
                <w:tblCellMar>
                  <w:top w:w="0" w:type="dxa"/>
                  <w:left w:w="108" w:type="dxa"/>
                  <w:bottom w:w="0" w:type="dxa"/>
                  <w:right w:w="108" w:type="dxa"/>
                </w:tblCellMar>
              </w:tblPrEx>
              <w:trPr>
                <w:trHeight w:val="576" w:hRule="atLeast"/>
              </w:trPr>
              <w:tc>
                <w:tcPr>
                  <w:tcW w:w="15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产排污环节</w:t>
                  </w:r>
                </w:p>
              </w:tc>
              <w:tc>
                <w:tcPr>
                  <w:tcW w:w="12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污染物种类</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污染物排放量和浓度</w:t>
                  </w:r>
                </w:p>
              </w:tc>
              <w:tc>
                <w:tcPr>
                  <w:tcW w:w="709"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频次</w:t>
                  </w:r>
                </w:p>
              </w:tc>
              <w:tc>
                <w:tcPr>
                  <w:tcW w:w="1138"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持续时间</w:t>
                  </w:r>
                </w:p>
              </w:tc>
              <w:tc>
                <w:tcPr>
                  <w:tcW w:w="1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措施</w:t>
                  </w:r>
                </w:p>
              </w:tc>
            </w:tr>
            <w:tr>
              <w:tblPrEx>
                <w:tblLayout w:type="fixed"/>
                <w:tblCellMar>
                  <w:top w:w="0" w:type="dxa"/>
                  <w:left w:w="108" w:type="dxa"/>
                  <w:bottom w:w="0" w:type="dxa"/>
                  <w:right w:w="108" w:type="dxa"/>
                </w:tblCellMar>
              </w:tblPrEx>
              <w:trPr>
                <w:trHeight w:val="588" w:hRule="atLeast"/>
              </w:trPr>
              <w:tc>
                <w:tcPr>
                  <w:tcW w:w="158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排放浓度mg/m³</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排放量kg/次</w:t>
                  </w:r>
                </w:p>
              </w:tc>
              <w:tc>
                <w:tcPr>
                  <w:tcW w:w="709"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kern w:val="0"/>
                    </w:rPr>
                  </w:pPr>
                </w:p>
              </w:tc>
              <w:tc>
                <w:tcPr>
                  <w:tcW w:w="1138"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162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r>
            <w:tr>
              <w:tblPrEx>
                <w:tblLayout w:type="fixed"/>
                <w:tblCellMar>
                  <w:top w:w="0" w:type="dxa"/>
                  <w:left w:w="108" w:type="dxa"/>
                  <w:bottom w:w="0" w:type="dxa"/>
                  <w:right w:w="108" w:type="dxa"/>
                </w:tblCellMar>
              </w:tblPrEx>
              <w:trPr>
                <w:trHeight w:val="730" w:hRule="atLeast"/>
              </w:trPr>
              <w:tc>
                <w:tcPr>
                  <w:tcW w:w="1583" w:type="dxa"/>
                  <w:tcBorders>
                    <w:top w:val="single" w:color="auto" w:sz="4" w:space="0"/>
                    <w:left w:val="single" w:color="000000" w:sz="8" w:space="0"/>
                    <w:bottom w:val="single" w:color="auto" w:sz="4" w:space="0"/>
                    <w:right w:val="single" w:color="000000" w:sz="8" w:space="0"/>
                  </w:tcBorders>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破碎</w:t>
                  </w:r>
                </w:p>
              </w:tc>
              <w:tc>
                <w:tcPr>
                  <w:tcW w:w="1276"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颗粒物</w:t>
                  </w:r>
                </w:p>
              </w:tc>
              <w:tc>
                <w:tcPr>
                  <w:tcW w:w="1134"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766.67</w:t>
                  </w:r>
                </w:p>
              </w:tc>
              <w:tc>
                <w:tcPr>
                  <w:tcW w:w="1134"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0.83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1次/a</w:t>
                  </w:r>
                </w:p>
              </w:tc>
              <w:tc>
                <w:tcPr>
                  <w:tcW w:w="1138"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10min /次</w:t>
                  </w:r>
                </w:p>
              </w:tc>
              <w:tc>
                <w:tcPr>
                  <w:tcW w:w="162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立即停机检修</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（6）大气环境影响分析结论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根据上述分析可知，项目产生的主要废气为粉尘以及生活区产生的厨房油烟，项目粉尘</w:t>
            </w:r>
            <w:r>
              <w:rPr>
                <w:rFonts w:hint="eastAsia" w:ascii="Times New Roman" w:hAnsi="Times New Roman" w:cs="Times New Roman"/>
                <w:sz w:val="24"/>
                <w:szCs w:val="24"/>
              </w:rPr>
              <w:t>主要</w:t>
            </w:r>
            <w:r>
              <w:rPr>
                <w:rFonts w:ascii="Times New Roman" w:hAnsi="Times New Roman" w:cs="Times New Roman"/>
                <w:sz w:val="24"/>
                <w:szCs w:val="24"/>
              </w:rPr>
              <w:t>产生于破碎工序，项目针对两条生产线破碎工序粉尘，分别对破碎工序产尘点设置集气罩将粉尘进行收集，集气效率不低于92%，并1台处置效率不低于95%的布袋除尘器处理，处理后通过1根高15m、Φ0.4m的排气筒（DA001）外排</w:t>
            </w:r>
            <w:r>
              <w:rPr>
                <w:rFonts w:hint="eastAsia" w:ascii="Times New Roman" w:hAnsi="Times New Roman" w:cs="Times New Roman"/>
                <w:sz w:val="24"/>
                <w:szCs w:val="24"/>
              </w:rPr>
              <w:t>，</w:t>
            </w:r>
            <w:r>
              <w:rPr>
                <w:rFonts w:ascii="Times New Roman" w:hAnsi="Times New Roman" w:cs="Times New Roman"/>
                <w:sz w:val="24"/>
                <w:szCs w:val="24"/>
              </w:rPr>
              <w:t>可达到《大气污染物综合排放标准》（GB16297-1996）表2标准要求；项目区厨房安装一个最低去除率60%的油烟净化器，经油烟净化器处理后的厨房油烟可达到《饮食业油烟排放标准》（GB18483-2001）（试行）小型标准，通过高于房顶1.5m的烟道外排。且项目位于环境空气质量达标区，项目所在区域基本污染因子环境质量现状均可达到《环境空气质量标准》（GB3095-2012）二级标准；项目环境保护目标南侧118m的散户居民，均距离该项目较远，因此项目废气对环境保护目标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2</w:t>
            </w:r>
            <w:r>
              <w:rPr>
                <w:rFonts w:ascii="Times New Roman" w:hAnsi="Times New Roman" w:cs="Times New Roman"/>
                <w:b/>
                <w:sz w:val="24"/>
                <w:szCs w:val="24"/>
              </w:rPr>
              <w:t xml:space="preserve"> 运营期</w:t>
            </w:r>
            <w:r>
              <w:rPr>
                <w:rFonts w:ascii="Times New Roman" w:hAnsi="Times New Roman" w:cs="Times New Roman"/>
                <w:b/>
                <w:sz w:val="24"/>
              </w:rPr>
              <w:t>废水</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（1）废水污染源分析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根据项目水平衡计算可知，项目供排水统计情况详见下表。</w:t>
            </w:r>
          </w:p>
          <w:p>
            <w:pPr>
              <w:jc w:val="center"/>
              <w:rPr>
                <w:rFonts w:ascii="Times New Roman" w:hAnsi="Times New Roman" w:cs="Times New Roman"/>
                <w:b/>
                <w:bCs/>
                <w:kern w:val="0"/>
              </w:rPr>
            </w:pPr>
            <w:r>
              <w:rPr>
                <w:rFonts w:ascii="Times New Roman" w:hAnsi="Times New Roman" w:cs="Times New Roman"/>
                <w:b/>
                <w:bCs/>
                <w:kern w:val="0"/>
              </w:rPr>
              <w:t>表4.2.2-1  项目供排水情况一览表</w:t>
            </w:r>
          </w:p>
          <w:tbl>
            <w:tblPr>
              <w:tblStyle w:val="18"/>
              <w:tblW w:w="8598" w:type="dxa"/>
              <w:jc w:val="center"/>
              <w:tblInd w:w="0" w:type="dxa"/>
              <w:tblLayout w:type="fixed"/>
              <w:tblCellMar>
                <w:top w:w="0" w:type="dxa"/>
                <w:left w:w="108" w:type="dxa"/>
                <w:bottom w:w="0" w:type="dxa"/>
                <w:right w:w="108" w:type="dxa"/>
              </w:tblCellMar>
            </w:tblPr>
            <w:tblGrid>
              <w:gridCol w:w="1453"/>
              <w:gridCol w:w="1264"/>
              <w:gridCol w:w="1593"/>
              <w:gridCol w:w="1065"/>
              <w:gridCol w:w="1074"/>
              <w:gridCol w:w="1079"/>
              <w:gridCol w:w="1070"/>
            </w:tblGrid>
            <w:tr>
              <w:tblPrEx>
                <w:tblLayout w:type="fixed"/>
                <w:tblCellMar>
                  <w:top w:w="0" w:type="dxa"/>
                  <w:left w:w="108" w:type="dxa"/>
                  <w:bottom w:w="0" w:type="dxa"/>
                  <w:right w:w="108" w:type="dxa"/>
                </w:tblCellMar>
              </w:tblPrEx>
              <w:trPr>
                <w:trHeight w:val="67" w:hRule="atLeast"/>
                <w:jc w:val="center"/>
              </w:trPr>
              <w:tc>
                <w:tcPr>
                  <w:tcW w:w="14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用水单元</w:t>
                  </w:r>
                </w:p>
              </w:tc>
              <w:tc>
                <w:tcPr>
                  <w:tcW w:w="12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规模</w:t>
                  </w:r>
                </w:p>
              </w:tc>
              <w:tc>
                <w:tcPr>
                  <w:tcW w:w="15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用水定额</w:t>
                  </w:r>
                </w:p>
              </w:tc>
              <w:tc>
                <w:tcPr>
                  <w:tcW w:w="2139" w:type="dxa"/>
                  <w:gridSpan w:val="2"/>
                  <w:tcBorders>
                    <w:top w:val="single" w:color="auto" w:sz="8" w:space="0"/>
                    <w:left w:val="nil"/>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用水量</w:t>
                  </w:r>
                </w:p>
              </w:tc>
              <w:tc>
                <w:tcPr>
                  <w:tcW w:w="2149" w:type="dxa"/>
                  <w:gridSpan w:val="2"/>
                  <w:tcBorders>
                    <w:top w:val="single" w:color="auto" w:sz="8" w:space="0"/>
                    <w:left w:val="nil"/>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废水量</w:t>
                  </w:r>
                </w:p>
              </w:tc>
            </w:tr>
            <w:tr>
              <w:tblPrEx>
                <w:tblLayout w:type="fixed"/>
                <w:tblCellMar>
                  <w:top w:w="0" w:type="dxa"/>
                  <w:left w:w="108" w:type="dxa"/>
                  <w:bottom w:w="0" w:type="dxa"/>
                  <w:right w:w="108" w:type="dxa"/>
                </w:tblCellMar>
              </w:tblPrEx>
              <w:trPr>
                <w:trHeight w:val="285" w:hRule="atLeast"/>
                <w:jc w:val="center"/>
              </w:trPr>
              <w:tc>
                <w:tcPr>
                  <w:tcW w:w="1453" w:type="dxa"/>
                  <w:vMerge w:val="continue"/>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auto"/>
                    </w:rPr>
                  </w:pPr>
                </w:p>
              </w:tc>
              <w:tc>
                <w:tcPr>
                  <w:tcW w:w="1264"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p>
              </w:tc>
              <w:tc>
                <w:tcPr>
                  <w:tcW w:w="1593" w:type="dxa"/>
                  <w:vMerge w:val="continue"/>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m³/d</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m³/a</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m³/d</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m³/a</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auto"/>
                    </w:rPr>
                  </w:pPr>
                  <w:r>
                    <w:rPr>
                      <w:rFonts w:eastAsiaTheme="minorEastAsia"/>
                      <w:color w:val="auto"/>
                    </w:rPr>
                    <w:t>生活用水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r>
                    <w:rPr>
                      <w:rFonts w:eastAsiaTheme="minorEastAsia"/>
                      <w:color w:val="auto"/>
                    </w:rPr>
                    <w:t>32人</w:t>
                  </w:r>
                </w:p>
              </w:tc>
              <w:tc>
                <w:tcPr>
                  <w:tcW w:w="1593"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r>
                    <w:rPr>
                      <w:rFonts w:eastAsiaTheme="minorEastAsia"/>
                      <w:color w:val="auto"/>
                    </w:rPr>
                    <w:t>100L/d·人</w:t>
                  </w: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3.2</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960</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2.56</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768</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29"/>
                    <w:spacing w:line="360" w:lineRule="exact"/>
                    <w:rPr>
                      <w:rFonts w:eastAsiaTheme="minorEastAsia"/>
                      <w:color w:val="auto"/>
                    </w:rPr>
                  </w:pPr>
                  <w:r>
                    <w:rPr>
                      <w:rFonts w:eastAsiaTheme="minorEastAsia"/>
                      <w:color w:val="auto"/>
                    </w:rPr>
                    <w:t>绿化用水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r>
                    <w:rPr>
                      <w:rFonts w:eastAsiaTheme="minorEastAsia"/>
                      <w:color w:val="auto"/>
                    </w:rPr>
                    <w:t>2300m²</w:t>
                  </w:r>
                </w:p>
              </w:tc>
              <w:tc>
                <w:tcPr>
                  <w:tcW w:w="1593" w:type="dxa"/>
                  <w:tcBorders>
                    <w:top w:val="single" w:color="auto" w:sz="8" w:space="0"/>
                    <w:left w:val="single" w:color="auto" w:sz="8" w:space="0"/>
                    <w:bottom w:val="single" w:color="000000" w:sz="8" w:space="0"/>
                    <w:right w:val="single" w:color="auto" w:sz="8" w:space="0"/>
                  </w:tcBorders>
                  <w:vAlign w:val="center"/>
                </w:tcPr>
                <w:p>
                  <w:pPr>
                    <w:pStyle w:val="29"/>
                    <w:spacing w:line="360" w:lineRule="exact"/>
                    <w:rPr>
                      <w:rFonts w:eastAsiaTheme="minorEastAsia"/>
                      <w:color w:val="auto"/>
                    </w:rPr>
                  </w:pPr>
                  <w:r>
                    <w:rPr>
                      <w:rFonts w:eastAsiaTheme="minorEastAsia"/>
                      <w:color w:val="auto"/>
                    </w:rPr>
                    <w:t>3L/（m²·次）</w:t>
                  </w:r>
                </w:p>
              </w:tc>
              <w:tc>
                <w:tcPr>
                  <w:tcW w:w="1065"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6.9</w:t>
                  </w:r>
                </w:p>
              </w:tc>
              <w:tc>
                <w:tcPr>
                  <w:tcW w:w="1074"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1759.5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0</w:t>
                  </w:r>
                </w:p>
              </w:tc>
              <w:tc>
                <w:tcPr>
                  <w:tcW w:w="107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初期雨水</w:t>
                  </w:r>
                </w:p>
              </w:tc>
              <w:tc>
                <w:tcPr>
                  <w:tcW w:w="2857" w:type="dxa"/>
                  <w:gridSpan w:val="2"/>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可能受污染区9123m²</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0</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0</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8.7m³/次</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w:t>
                  </w:r>
                </w:p>
              </w:tc>
            </w:tr>
            <w:tr>
              <w:tblPrEx>
                <w:tblLayout w:type="fixed"/>
                <w:tblCellMar>
                  <w:top w:w="0" w:type="dxa"/>
                  <w:left w:w="108" w:type="dxa"/>
                  <w:bottom w:w="0" w:type="dxa"/>
                  <w:right w:w="108" w:type="dxa"/>
                </w:tblCellMar>
              </w:tblPrEx>
              <w:trPr>
                <w:trHeight w:val="330" w:hRule="atLeast"/>
                <w:jc w:val="center"/>
              </w:trPr>
              <w:tc>
                <w:tcPr>
                  <w:tcW w:w="14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合计</w:t>
                  </w:r>
                </w:p>
              </w:tc>
              <w:tc>
                <w:tcPr>
                  <w:tcW w:w="126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w:t>
                  </w:r>
                </w:p>
              </w:tc>
              <w:tc>
                <w:tcPr>
                  <w:tcW w:w="1593"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10.1</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rPr>
                  </w:pPr>
                  <w:r>
                    <w:rPr>
                      <w:rFonts w:eastAsiaTheme="minorEastAsia"/>
                      <w:color w:val="auto"/>
                    </w:rPr>
                    <w:t>2719.5</w:t>
                  </w:r>
                </w:p>
              </w:tc>
              <w:tc>
                <w:tcPr>
                  <w:tcW w:w="1079" w:type="dxa"/>
                  <w:tcBorders>
                    <w:top w:val="single" w:color="auto" w:sz="8" w:space="0"/>
                    <w:left w:val="nil"/>
                    <w:bottom w:val="single" w:color="auto" w:sz="8" w:space="0"/>
                    <w:right w:val="single" w:color="auto" w:sz="4" w:space="0"/>
                  </w:tcBorders>
                  <w:shd w:val="clear" w:color="auto" w:fill="auto"/>
                  <w:vAlign w:val="center"/>
                </w:tcPr>
                <w:p>
                  <w:pPr>
                    <w:pStyle w:val="29"/>
                    <w:spacing w:line="360" w:lineRule="exact"/>
                    <w:rPr>
                      <w:rFonts w:eastAsiaTheme="minorEastAsia"/>
                      <w:color w:val="auto"/>
                    </w:rPr>
                  </w:pPr>
                  <w:r>
                    <w:rPr>
                      <w:rFonts w:eastAsiaTheme="minorEastAsia"/>
                      <w:color w:val="auto"/>
                    </w:rPr>
                    <w:t>2.56</w:t>
                  </w:r>
                </w:p>
              </w:tc>
              <w:tc>
                <w:tcPr>
                  <w:tcW w:w="1070"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9"/>
                    <w:spacing w:line="360" w:lineRule="exact"/>
                    <w:rPr>
                      <w:rFonts w:eastAsiaTheme="minorEastAsia"/>
                      <w:color w:val="auto"/>
                    </w:rPr>
                  </w:pPr>
                  <w:r>
                    <w:rPr>
                      <w:rFonts w:eastAsiaTheme="minorEastAsia"/>
                      <w:color w:val="auto"/>
                    </w:rPr>
                    <w:t>768</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rPr>
              <w:t>废水</w:t>
            </w:r>
            <w:r>
              <w:rPr>
                <w:rFonts w:ascii="Times New Roman" w:hAnsi="Times New Roman" w:cs="Times New Roman"/>
                <w:b/>
                <w:sz w:val="24"/>
                <w:szCs w:val="24"/>
              </w:rPr>
              <w:t>污染物排放源及达标性分析</w:t>
            </w:r>
          </w:p>
          <w:p>
            <w:pPr>
              <w:spacing w:line="360" w:lineRule="auto"/>
              <w:ind w:firstLine="482" w:firstLineChars="200"/>
              <w:rPr>
                <w:rFonts w:ascii="Times New Roman" w:hAnsi="Times New Roman" w:cs="Times New Roman"/>
                <w:b/>
                <w:sz w:val="24"/>
              </w:rPr>
            </w:pPr>
            <w:r>
              <w:rPr>
                <w:rFonts w:ascii="宋体" w:hAnsi="Times New Roman" w:eastAsia="宋体" w:cs="Times New Roman"/>
                <w:b/>
                <w:sz w:val="24"/>
              </w:rPr>
              <w:t>①</w:t>
            </w:r>
            <w:r>
              <w:rPr>
                <w:rFonts w:ascii="Times New Roman" w:hAnsi="Times New Roman" w:cs="Times New Roman"/>
                <w:b/>
                <w:sz w:val="24"/>
              </w:rPr>
              <w:t>废水污染物治理措施及排放方式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项目废水污染物排放源的治理措施及排放方式如下表所示。</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szCs w:val="24"/>
              </w:rPr>
            </w:pPr>
            <w:r>
              <w:rPr>
                <w:rFonts w:ascii="Times New Roman" w:hAnsi="Times New Roman" w:cs="Times New Roman"/>
                <w:b/>
                <w:szCs w:val="24"/>
              </w:rPr>
              <w:t>表4.2.2-2  废水污染物治理措施及排放方式一览表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8"/>
              <w:gridCol w:w="689"/>
              <w:gridCol w:w="1278"/>
              <w:gridCol w:w="3408"/>
              <w:gridCol w:w="811"/>
              <w:gridCol w:w="1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Align w:val="center"/>
                </w:tcPr>
                <w:p>
                  <w:pPr>
                    <w:pStyle w:val="29"/>
                    <w:spacing w:line="360" w:lineRule="exact"/>
                    <w:rPr>
                      <w:rFonts w:eastAsiaTheme="minorEastAsia"/>
                      <w:color w:val="auto"/>
                      <w:szCs w:val="21"/>
                    </w:rPr>
                  </w:pPr>
                  <w:r>
                    <w:rPr>
                      <w:rFonts w:eastAsiaTheme="minorEastAsia"/>
                      <w:color w:val="auto"/>
                      <w:szCs w:val="21"/>
                    </w:rPr>
                    <w:t>产排污环节</w:t>
                  </w:r>
                </w:p>
              </w:tc>
              <w:tc>
                <w:tcPr>
                  <w:tcW w:w="689" w:type="dxa"/>
                  <w:vAlign w:val="center"/>
                </w:tcPr>
                <w:p>
                  <w:pPr>
                    <w:pStyle w:val="29"/>
                    <w:spacing w:line="360" w:lineRule="exact"/>
                    <w:rPr>
                      <w:rFonts w:eastAsiaTheme="minorEastAsia"/>
                      <w:color w:val="auto"/>
                      <w:szCs w:val="21"/>
                    </w:rPr>
                  </w:pPr>
                  <w:r>
                    <w:rPr>
                      <w:rFonts w:eastAsiaTheme="minorEastAsia"/>
                      <w:color w:val="auto"/>
                      <w:szCs w:val="21"/>
                    </w:rPr>
                    <w:t>类别</w:t>
                  </w: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污染物种类</w:t>
                  </w:r>
                </w:p>
              </w:tc>
              <w:tc>
                <w:tcPr>
                  <w:tcW w:w="3408" w:type="dxa"/>
                  <w:vAlign w:val="center"/>
                </w:tcPr>
                <w:p>
                  <w:pPr>
                    <w:pStyle w:val="29"/>
                    <w:spacing w:line="360" w:lineRule="exact"/>
                    <w:rPr>
                      <w:rFonts w:eastAsiaTheme="minorEastAsia"/>
                      <w:color w:val="auto"/>
                      <w:szCs w:val="21"/>
                    </w:rPr>
                  </w:pPr>
                  <w:r>
                    <w:rPr>
                      <w:rFonts w:eastAsiaTheme="minorEastAsia"/>
                      <w:color w:val="auto"/>
                      <w:szCs w:val="21"/>
                    </w:rPr>
                    <w:t>治理设施、效率及去向</w:t>
                  </w:r>
                </w:p>
              </w:tc>
              <w:tc>
                <w:tcPr>
                  <w:tcW w:w="81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排放形式及规律</w:t>
                  </w:r>
                </w:p>
              </w:tc>
              <w:tc>
                <w:tcPr>
                  <w:tcW w:w="1714"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restart"/>
                  <w:vAlign w:val="center"/>
                </w:tcPr>
                <w:p>
                  <w:pPr>
                    <w:pStyle w:val="29"/>
                    <w:spacing w:line="360" w:lineRule="exact"/>
                    <w:rPr>
                      <w:rFonts w:eastAsiaTheme="minorEastAsia"/>
                      <w:color w:val="auto"/>
                      <w:szCs w:val="21"/>
                    </w:rPr>
                  </w:pPr>
                  <w:r>
                    <w:rPr>
                      <w:rFonts w:eastAsiaTheme="minorEastAsia"/>
                      <w:color w:val="auto"/>
                      <w:szCs w:val="21"/>
                    </w:rPr>
                    <w:t>员工生活</w:t>
                  </w:r>
                </w:p>
              </w:tc>
              <w:tc>
                <w:tcPr>
                  <w:tcW w:w="689" w:type="dxa"/>
                  <w:vMerge w:val="restart"/>
                  <w:vAlign w:val="center"/>
                </w:tcPr>
                <w:p>
                  <w:pPr>
                    <w:pStyle w:val="29"/>
                    <w:spacing w:line="360" w:lineRule="exact"/>
                    <w:rPr>
                      <w:rFonts w:eastAsiaTheme="minorEastAsia"/>
                      <w:color w:val="auto"/>
                      <w:szCs w:val="21"/>
                    </w:rPr>
                  </w:pPr>
                  <w:r>
                    <w:rPr>
                      <w:rFonts w:eastAsiaTheme="minorEastAsia"/>
                      <w:color w:val="auto"/>
                      <w:szCs w:val="21"/>
                    </w:rPr>
                    <w:t>生活污水</w:t>
                  </w: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pH</w:t>
                  </w:r>
                </w:p>
              </w:tc>
              <w:tc>
                <w:tcPr>
                  <w:tcW w:w="3408" w:type="dxa"/>
                  <w:vMerge w:val="restart"/>
                  <w:vAlign w:val="center"/>
                </w:tcPr>
                <w:p>
                  <w:pPr>
                    <w:pStyle w:val="29"/>
                    <w:spacing w:line="360" w:lineRule="exact"/>
                    <w:ind w:firstLine="210" w:firstLineChars="100"/>
                    <w:jc w:val="both"/>
                    <w:rPr>
                      <w:color w:val="auto"/>
                      <w:szCs w:val="24"/>
                    </w:rPr>
                  </w:pPr>
                  <w:r>
                    <w:rPr>
                      <w:color w:val="auto"/>
                      <w:szCs w:val="24"/>
                    </w:rPr>
                    <w:t>根据设计，项目拟配套设置1个1m³的隔油池、分别在办公楼和生活区各设置1个有效容积不低于4m³的化粪池、1套处理能力不低于10m³/d和1个10m³的再生水收集池对生活污水进行处理和暂存。</w:t>
                  </w:r>
                </w:p>
                <w:p>
                  <w:pPr>
                    <w:pStyle w:val="29"/>
                    <w:spacing w:line="360" w:lineRule="exact"/>
                    <w:ind w:firstLine="210" w:firstLineChars="100"/>
                    <w:jc w:val="both"/>
                    <w:rPr>
                      <w:color w:val="auto"/>
                      <w:szCs w:val="21"/>
                    </w:rPr>
                  </w:pPr>
                  <w:r>
                    <w:rPr>
                      <w:color w:val="auto"/>
                      <w:szCs w:val="24"/>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w:t>
                  </w:r>
                </w:p>
              </w:tc>
              <w:tc>
                <w:tcPr>
                  <w:tcW w:w="811" w:type="dxa"/>
                  <w:vMerge w:val="restart"/>
                  <w:vAlign w:val="center"/>
                </w:tcPr>
                <w:p>
                  <w:pPr>
                    <w:pStyle w:val="29"/>
                    <w:spacing w:line="360" w:lineRule="exact"/>
                    <w:rPr>
                      <w:rFonts w:eastAsiaTheme="minorEastAsia"/>
                      <w:color w:val="auto"/>
                      <w:szCs w:val="21"/>
                    </w:rPr>
                  </w:pPr>
                  <w:r>
                    <w:rPr>
                      <w:rFonts w:eastAsiaTheme="minorEastAsia"/>
                      <w:color w:val="auto"/>
                      <w:szCs w:val="21"/>
                    </w:rPr>
                    <w:t>间接排放、间断排放</w:t>
                  </w:r>
                </w:p>
              </w:tc>
              <w:tc>
                <w:tcPr>
                  <w:tcW w:w="1714" w:type="dxa"/>
                  <w:vMerge w:val="restart"/>
                  <w:vAlign w:val="center"/>
                </w:tcPr>
                <w:p>
                  <w:pPr>
                    <w:pStyle w:val="29"/>
                    <w:spacing w:line="360" w:lineRule="exact"/>
                    <w:ind w:firstLine="210" w:firstLineChars="100"/>
                    <w:jc w:val="both"/>
                    <w:rPr>
                      <w:rFonts w:eastAsiaTheme="minorEastAsia"/>
                      <w:color w:val="auto"/>
                      <w:szCs w:val="21"/>
                    </w:rPr>
                  </w:pPr>
                  <w:r>
                    <w:rPr>
                      <w:rFonts w:ascii="宋体"/>
                      <w:color w:val="auto"/>
                      <w:szCs w:val="21"/>
                    </w:rPr>
                    <w:t>①</w:t>
                  </w:r>
                  <w:r>
                    <w:rPr>
                      <w:rFonts w:eastAsiaTheme="minorEastAsia"/>
                      <w:color w:val="auto"/>
                      <w:szCs w:val="21"/>
                    </w:rPr>
                    <w:t>近期（园区污水处理厂建成前）不设排放口；</w:t>
                  </w:r>
                </w:p>
                <w:p>
                  <w:pPr>
                    <w:pStyle w:val="29"/>
                    <w:spacing w:line="360" w:lineRule="exact"/>
                    <w:ind w:firstLine="210" w:firstLineChars="100"/>
                    <w:jc w:val="both"/>
                    <w:rPr>
                      <w:rFonts w:eastAsiaTheme="minorEastAsia"/>
                      <w:color w:val="auto"/>
                      <w:szCs w:val="21"/>
                    </w:rPr>
                  </w:pPr>
                  <w:r>
                    <w:rPr>
                      <w:rFonts w:ascii="宋体"/>
                      <w:color w:val="auto"/>
                      <w:szCs w:val="21"/>
                    </w:rPr>
                    <w:t>②</w:t>
                  </w:r>
                  <w:r>
                    <w:rPr>
                      <w:rFonts w:eastAsiaTheme="minorEastAsia"/>
                      <w:color w:val="auto"/>
                      <w:szCs w:val="21"/>
                    </w:rPr>
                    <w:t>远期（园区污水处理厂建成后）排放口信息如下：</w:t>
                  </w:r>
                </w:p>
                <w:p>
                  <w:pPr>
                    <w:pStyle w:val="29"/>
                    <w:spacing w:line="360" w:lineRule="exact"/>
                    <w:ind w:firstLine="210" w:firstLineChars="100"/>
                    <w:jc w:val="both"/>
                    <w:rPr>
                      <w:rFonts w:eastAsiaTheme="minorEastAsia"/>
                      <w:color w:val="auto"/>
                      <w:szCs w:val="21"/>
                    </w:rPr>
                  </w:pPr>
                  <w:r>
                    <w:rPr>
                      <w:rFonts w:eastAsiaTheme="minorEastAsia"/>
                      <w:color w:val="auto"/>
                      <w:szCs w:val="21"/>
                    </w:rPr>
                    <w:t>名称：化粪池</w:t>
                  </w:r>
                </w:p>
                <w:p>
                  <w:pPr>
                    <w:pStyle w:val="29"/>
                    <w:spacing w:line="360" w:lineRule="exact"/>
                    <w:ind w:firstLine="210" w:firstLineChars="100"/>
                    <w:jc w:val="both"/>
                    <w:rPr>
                      <w:rFonts w:eastAsiaTheme="minorEastAsia"/>
                      <w:color w:val="auto"/>
                      <w:szCs w:val="21"/>
                    </w:rPr>
                  </w:pPr>
                  <w:r>
                    <w:rPr>
                      <w:rFonts w:eastAsiaTheme="minorEastAsia"/>
                      <w:color w:val="auto"/>
                      <w:szCs w:val="21"/>
                    </w:rPr>
                    <w:t>坐标：</w:t>
                  </w:r>
                </w:p>
                <w:p>
                  <w:pPr>
                    <w:pStyle w:val="29"/>
                    <w:spacing w:line="360" w:lineRule="exact"/>
                    <w:ind w:firstLine="210" w:firstLineChars="100"/>
                    <w:jc w:val="both"/>
                    <w:rPr>
                      <w:rFonts w:eastAsiaTheme="minorEastAsia"/>
                      <w:color w:val="auto"/>
                      <w:szCs w:val="21"/>
                    </w:rPr>
                  </w:pPr>
                  <w:r>
                    <w:rPr>
                      <w:rFonts w:eastAsiaTheme="minorEastAsia"/>
                      <w:color w:val="auto"/>
                      <w:szCs w:val="21"/>
                    </w:rPr>
                    <w:t>E103.244867°、N 25.644311°。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auto"/>
                      <w:szCs w:val="21"/>
                    </w:rPr>
                  </w:pPr>
                </w:p>
              </w:tc>
              <w:tc>
                <w:tcPr>
                  <w:tcW w:w="689" w:type="dxa"/>
                  <w:vMerge w:val="continue"/>
                  <w:vAlign w:val="center"/>
                </w:tcPr>
                <w:p>
                  <w:pPr>
                    <w:pStyle w:val="29"/>
                    <w:spacing w:line="360" w:lineRule="exact"/>
                    <w:rPr>
                      <w:rFonts w:eastAsiaTheme="minorEastAsia"/>
                      <w:color w:val="auto"/>
                      <w:szCs w:val="21"/>
                    </w:rPr>
                  </w:pP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CODcr</w:t>
                  </w:r>
                </w:p>
              </w:tc>
              <w:tc>
                <w:tcPr>
                  <w:tcW w:w="3408" w:type="dxa"/>
                  <w:vMerge w:val="continue"/>
                  <w:vAlign w:val="center"/>
                </w:tcPr>
                <w:p>
                  <w:pPr>
                    <w:pStyle w:val="29"/>
                    <w:spacing w:line="360" w:lineRule="exact"/>
                    <w:ind w:firstLine="210" w:firstLineChars="100"/>
                    <w:jc w:val="both"/>
                    <w:rPr>
                      <w:color w:val="auto"/>
                      <w:szCs w:val="21"/>
                    </w:rPr>
                  </w:pPr>
                </w:p>
              </w:tc>
              <w:tc>
                <w:tcPr>
                  <w:tcW w:w="811" w:type="dxa"/>
                  <w:vMerge w:val="continue"/>
                  <w:vAlign w:val="center"/>
                </w:tcPr>
                <w:p>
                  <w:pPr>
                    <w:pStyle w:val="29"/>
                    <w:spacing w:line="360" w:lineRule="exact"/>
                    <w:rPr>
                      <w:rFonts w:eastAsiaTheme="minorEastAsia"/>
                      <w:color w:val="auto"/>
                      <w:szCs w:val="21"/>
                    </w:rPr>
                  </w:pPr>
                </w:p>
              </w:tc>
              <w:tc>
                <w:tcPr>
                  <w:tcW w:w="1714"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auto"/>
                      <w:szCs w:val="21"/>
                    </w:rPr>
                  </w:pPr>
                </w:p>
              </w:tc>
              <w:tc>
                <w:tcPr>
                  <w:tcW w:w="689" w:type="dxa"/>
                  <w:vMerge w:val="continue"/>
                  <w:vAlign w:val="center"/>
                </w:tcPr>
                <w:p>
                  <w:pPr>
                    <w:pStyle w:val="29"/>
                    <w:spacing w:line="360" w:lineRule="exact"/>
                    <w:rPr>
                      <w:rFonts w:eastAsiaTheme="minorEastAsia"/>
                      <w:color w:val="auto"/>
                      <w:szCs w:val="21"/>
                    </w:rPr>
                  </w:pP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3408" w:type="dxa"/>
                  <w:vMerge w:val="continue"/>
                  <w:vAlign w:val="center"/>
                </w:tcPr>
                <w:p>
                  <w:pPr>
                    <w:pStyle w:val="29"/>
                    <w:spacing w:line="360" w:lineRule="exact"/>
                    <w:ind w:firstLine="210" w:firstLineChars="100"/>
                    <w:jc w:val="both"/>
                    <w:rPr>
                      <w:color w:val="auto"/>
                      <w:szCs w:val="21"/>
                    </w:rPr>
                  </w:pPr>
                </w:p>
              </w:tc>
              <w:tc>
                <w:tcPr>
                  <w:tcW w:w="811" w:type="dxa"/>
                  <w:vMerge w:val="continue"/>
                  <w:vAlign w:val="center"/>
                </w:tcPr>
                <w:p>
                  <w:pPr>
                    <w:pStyle w:val="29"/>
                    <w:spacing w:line="360" w:lineRule="exact"/>
                    <w:rPr>
                      <w:rFonts w:eastAsiaTheme="minorEastAsia"/>
                      <w:color w:val="auto"/>
                      <w:szCs w:val="21"/>
                    </w:rPr>
                  </w:pPr>
                </w:p>
              </w:tc>
              <w:tc>
                <w:tcPr>
                  <w:tcW w:w="1714"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auto"/>
                      <w:szCs w:val="21"/>
                    </w:rPr>
                  </w:pPr>
                </w:p>
              </w:tc>
              <w:tc>
                <w:tcPr>
                  <w:tcW w:w="689" w:type="dxa"/>
                  <w:vMerge w:val="continue"/>
                  <w:vAlign w:val="center"/>
                </w:tcPr>
                <w:p>
                  <w:pPr>
                    <w:pStyle w:val="29"/>
                    <w:spacing w:line="360" w:lineRule="exact"/>
                    <w:rPr>
                      <w:rFonts w:eastAsiaTheme="minorEastAsia"/>
                      <w:color w:val="auto"/>
                      <w:szCs w:val="21"/>
                    </w:rPr>
                  </w:pP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408" w:type="dxa"/>
                  <w:vMerge w:val="continue"/>
                  <w:vAlign w:val="center"/>
                </w:tcPr>
                <w:p>
                  <w:pPr>
                    <w:pStyle w:val="29"/>
                    <w:spacing w:line="360" w:lineRule="exact"/>
                    <w:ind w:firstLine="210" w:firstLineChars="100"/>
                    <w:jc w:val="both"/>
                    <w:rPr>
                      <w:color w:val="auto"/>
                      <w:szCs w:val="21"/>
                    </w:rPr>
                  </w:pPr>
                </w:p>
              </w:tc>
              <w:tc>
                <w:tcPr>
                  <w:tcW w:w="811" w:type="dxa"/>
                  <w:vMerge w:val="continue"/>
                  <w:vAlign w:val="center"/>
                </w:tcPr>
                <w:p>
                  <w:pPr>
                    <w:pStyle w:val="29"/>
                    <w:spacing w:line="360" w:lineRule="exact"/>
                    <w:rPr>
                      <w:rFonts w:eastAsiaTheme="minorEastAsia"/>
                      <w:color w:val="auto"/>
                      <w:szCs w:val="21"/>
                    </w:rPr>
                  </w:pPr>
                </w:p>
              </w:tc>
              <w:tc>
                <w:tcPr>
                  <w:tcW w:w="1714"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auto"/>
                      <w:szCs w:val="21"/>
                    </w:rPr>
                  </w:pPr>
                </w:p>
              </w:tc>
              <w:tc>
                <w:tcPr>
                  <w:tcW w:w="689" w:type="dxa"/>
                  <w:vMerge w:val="continue"/>
                  <w:vAlign w:val="center"/>
                </w:tcPr>
                <w:p>
                  <w:pPr>
                    <w:pStyle w:val="29"/>
                    <w:spacing w:line="360" w:lineRule="exact"/>
                    <w:rPr>
                      <w:rFonts w:eastAsiaTheme="minorEastAsia"/>
                      <w:color w:val="auto"/>
                      <w:szCs w:val="21"/>
                    </w:rPr>
                  </w:pP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SS</w:t>
                  </w:r>
                </w:p>
              </w:tc>
              <w:tc>
                <w:tcPr>
                  <w:tcW w:w="3408" w:type="dxa"/>
                  <w:vMerge w:val="continue"/>
                  <w:vAlign w:val="center"/>
                </w:tcPr>
                <w:p>
                  <w:pPr>
                    <w:pStyle w:val="29"/>
                    <w:spacing w:line="360" w:lineRule="exact"/>
                    <w:ind w:firstLine="210" w:firstLineChars="100"/>
                    <w:jc w:val="both"/>
                    <w:rPr>
                      <w:color w:val="auto"/>
                      <w:szCs w:val="21"/>
                    </w:rPr>
                  </w:pPr>
                </w:p>
              </w:tc>
              <w:tc>
                <w:tcPr>
                  <w:tcW w:w="811" w:type="dxa"/>
                  <w:vMerge w:val="continue"/>
                  <w:vAlign w:val="center"/>
                </w:tcPr>
                <w:p>
                  <w:pPr>
                    <w:pStyle w:val="29"/>
                    <w:spacing w:line="360" w:lineRule="exact"/>
                    <w:rPr>
                      <w:rFonts w:eastAsiaTheme="minorEastAsia"/>
                      <w:color w:val="auto"/>
                      <w:szCs w:val="21"/>
                    </w:rPr>
                  </w:pPr>
                </w:p>
              </w:tc>
              <w:tc>
                <w:tcPr>
                  <w:tcW w:w="1714"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auto"/>
                      <w:szCs w:val="21"/>
                    </w:rPr>
                  </w:pPr>
                </w:p>
              </w:tc>
              <w:tc>
                <w:tcPr>
                  <w:tcW w:w="689" w:type="dxa"/>
                  <w:vMerge w:val="continue"/>
                  <w:vAlign w:val="center"/>
                </w:tcPr>
                <w:p>
                  <w:pPr>
                    <w:pStyle w:val="29"/>
                    <w:spacing w:line="360" w:lineRule="exact"/>
                    <w:rPr>
                      <w:rFonts w:eastAsiaTheme="minorEastAsia"/>
                      <w:color w:val="auto"/>
                      <w:szCs w:val="21"/>
                    </w:rPr>
                  </w:pP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总磷</w:t>
                  </w:r>
                </w:p>
              </w:tc>
              <w:tc>
                <w:tcPr>
                  <w:tcW w:w="3408" w:type="dxa"/>
                  <w:vMerge w:val="continue"/>
                  <w:vAlign w:val="center"/>
                </w:tcPr>
                <w:p>
                  <w:pPr>
                    <w:pStyle w:val="29"/>
                    <w:spacing w:line="360" w:lineRule="exact"/>
                    <w:ind w:firstLine="210" w:firstLineChars="100"/>
                    <w:jc w:val="both"/>
                    <w:rPr>
                      <w:color w:val="auto"/>
                      <w:szCs w:val="21"/>
                    </w:rPr>
                  </w:pPr>
                </w:p>
              </w:tc>
              <w:tc>
                <w:tcPr>
                  <w:tcW w:w="811" w:type="dxa"/>
                  <w:vMerge w:val="continue"/>
                  <w:vAlign w:val="center"/>
                </w:tcPr>
                <w:p>
                  <w:pPr>
                    <w:pStyle w:val="29"/>
                    <w:spacing w:line="360" w:lineRule="exact"/>
                    <w:rPr>
                      <w:rFonts w:eastAsiaTheme="minorEastAsia"/>
                      <w:color w:val="auto"/>
                      <w:szCs w:val="21"/>
                    </w:rPr>
                  </w:pPr>
                </w:p>
              </w:tc>
              <w:tc>
                <w:tcPr>
                  <w:tcW w:w="1714"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auto"/>
                      <w:szCs w:val="21"/>
                    </w:rPr>
                  </w:pPr>
                </w:p>
              </w:tc>
              <w:tc>
                <w:tcPr>
                  <w:tcW w:w="689" w:type="dxa"/>
                  <w:vMerge w:val="continue"/>
                  <w:vAlign w:val="center"/>
                </w:tcPr>
                <w:p>
                  <w:pPr>
                    <w:pStyle w:val="29"/>
                    <w:spacing w:line="360" w:lineRule="exact"/>
                    <w:rPr>
                      <w:rFonts w:eastAsiaTheme="minorEastAsia"/>
                      <w:color w:val="auto"/>
                      <w:szCs w:val="21"/>
                    </w:rPr>
                  </w:pP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总氮</w:t>
                  </w:r>
                </w:p>
              </w:tc>
              <w:tc>
                <w:tcPr>
                  <w:tcW w:w="3408" w:type="dxa"/>
                  <w:vMerge w:val="continue"/>
                  <w:vAlign w:val="center"/>
                </w:tcPr>
                <w:p>
                  <w:pPr>
                    <w:pStyle w:val="29"/>
                    <w:spacing w:line="360" w:lineRule="exact"/>
                    <w:ind w:firstLine="210" w:firstLineChars="100"/>
                    <w:jc w:val="both"/>
                    <w:rPr>
                      <w:color w:val="auto"/>
                      <w:szCs w:val="21"/>
                    </w:rPr>
                  </w:pPr>
                </w:p>
              </w:tc>
              <w:tc>
                <w:tcPr>
                  <w:tcW w:w="811" w:type="dxa"/>
                  <w:vMerge w:val="continue"/>
                  <w:vAlign w:val="center"/>
                </w:tcPr>
                <w:p>
                  <w:pPr>
                    <w:pStyle w:val="29"/>
                    <w:spacing w:line="360" w:lineRule="exact"/>
                    <w:rPr>
                      <w:rFonts w:eastAsiaTheme="minorEastAsia"/>
                      <w:color w:val="auto"/>
                      <w:szCs w:val="21"/>
                    </w:rPr>
                  </w:pPr>
                </w:p>
              </w:tc>
              <w:tc>
                <w:tcPr>
                  <w:tcW w:w="1714"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auto"/>
                      <w:szCs w:val="21"/>
                    </w:rPr>
                  </w:pPr>
                </w:p>
              </w:tc>
              <w:tc>
                <w:tcPr>
                  <w:tcW w:w="689" w:type="dxa"/>
                  <w:vMerge w:val="continue"/>
                  <w:vAlign w:val="center"/>
                </w:tcPr>
                <w:p>
                  <w:pPr>
                    <w:pStyle w:val="29"/>
                    <w:spacing w:line="360" w:lineRule="exact"/>
                    <w:rPr>
                      <w:rFonts w:eastAsiaTheme="minorEastAsia"/>
                      <w:color w:val="auto"/>
                      <w:szCs w:val="21"/>
                    </w:rPr>
                  </w:pPr>
                </w:p>
              </w:tc>
              <w:tc>
                <w:tcPr>
                  <w:tcW w:w="1278" w:type="dxa"/>
                  <w:vAlign w:val="center"/>
                </w:tcPr>
                <w:p>
                  <w:pPr>
                    <w:pStyle w:val="29"/>
                    <w:spacing w:line="360" w:lineRule="exact"/>
                    <w:rPr>
                      <w:rFonts w:eastAsiaTheme="minorEastAsia"/>
                      <w:color w:val="auto"/>
                      <w:szCs w:val="21"/>
                    </w:rPr>
                  </w:pPr>
                  <w:r>
                    <w:rPr>
                      <w:rFonts w:eastAsiaTheme="minorEastAsia"/>
                      <w:bCs w:val="0"/>
                      <w:snapToGrid/>
                      <w:color w:val="auto"/>
                      <w:kern w:val="0"/>
                      <w:szCs w:val="21"/>
                      <w:lang w:val="en-US"/>
                    </w:rPr>
                    <w:t>阴离子表面活性剂</w:t>
                  </w:r>
                </w:p>
              </w:tc>
              <w:tc>
                <w:tcPr>
                  <w:tcW w:w="3408" w:type="dxa"/>
                  <w:vMerge w:val="continue"/>
                  <w:vAlign w:val="center"/>
                </w:tcPr>
                <w:p>
                  <w:pPr>
                    <w:pStyle w:val="29"/>
                    <w:spacing w:line="360" w:lineRule="exact"/>
                    <w:ind w:firstLine="210" w:firstLineChars="100"/>
                    <w:jc w:val="both"/>
                    <w:rPr>
                      <w:color w:val="auto"/>
                      <w:szCs w:val="21"/>
                    </w:rPr>
                  </w:pPr>
                </w:p>
              </w:tc>
              <w:tc>
                <w:tcPr>
                  <w:tcW w:w="811" w:type="dxa"/>
                  <w:vMerge w:val="continue"/>
                  <w:vAlign w:val="center"/>
                </w:tcPr>
                <w:p>
                  <w:pPr>
                    <w:pStyle w:val="29"/>
                    <w:spacing w:line="360" w:lineRule="exact"/>
                    <w:rPr>
                      <w:rFonts w:eastAsiaTheme="minorEastAsia"/>
                      <w:color w:val="auto"/>
                      <w:szCs w:val="21"/>
                    </w:rPr>
                  </w:pPr>
                </w:p>
              </w:tc>
              <w:tc>
                <w:tcPr>
                  <w:tcW w:w="1714"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Merge w:val="continue"/>
                  <w:vAlign w:val="center"/>
                </w:tcPr>
                <w:p>
                  <w:pPr>
                    <w:pStyle w:val="29"/>
                    <w:spacing w:line="360" w:lineRule="exact"/>
                    <w:rPr>
                      <w:rFonts w:eastAsiaTheme="minorEastAsia"/>
                      <w:color w:val="auto"/>
                      <w:szCs w:val="21"/>
                    </w:rPr>
                  </w:pPr>
                </w:p>
              </w:tc>
              <w:tc>
                <w:tcPr>
                  <w:tcW w:w="689" w:type="dxa"/>
                  <w:vMerge w:val="continue"/>
                  <w:vAlign w:val="center"/>
                </w:tcPr>
                <w:p>
                  <w:pPr>
                    <w:pStyle w:val="29"/>
                    <w:spacing w:line="360" w:lineRule="exact"/>
                    <w:rPr>
                      <w:rFonts w:eastAsiaTheme="minorEastAsia"/>
                      <w:color w:val="auto"/>
                      <w:szCs w:val="21"/>
                    </w:rPr>
                  </w:pPr>
                </w:p>
              </w:tc>
              <w:tc>
                <w:tcPr>
                  <w:tcW w:w="1278" w:type="dxa"/>
                  <w:vAlign w:val="center"/>
                </w:tcPr>
                <w:p>
                  <w:pPr>
                    <w:pStyle w:val="29"/>
                    <w:spacing w:line="360" w:lineRule="exact"/>
                    <w:rPr>
                      <w:rFonts w:eastAsiaTheme="minorEastAsia"/>
                      <w:color w:val="auto"/>
                      <w:szCs w:val="21"/>
                    </w:rPr>
                  </w:pPr>
                  <w:r>
                    <w:rPr>
                      <w:rFonts w:eastAsiaTheme="minorEastAsia"/>
                      <w:color w:val="auto"/>
                      <w:szCs w:val="21"/>
                    </w:rPr>
                    <w:t>粪大肠菌群数（MPN/L）</w:t>
                  </w:r>
                </w:p>
              </w:tc>
              <w:tc>
                <w:tcPr>
                  <w:tcW w:w="3408" w:type="dxa"/>
                  <w:vMerge w:val="continue"/>
                  <w:vAlign w:val="center"/>
                </w:tcPr>
                <w:p>
                  <w:pPr>
                    <w:pStyle w:val="29"/>
                    <w:spacing w:line="360" w:lineRule="exact"/>
                    <w:ind w:firstLine="210" w:firstLineChars="100"/>
                    <w:jc w:val="both"/>
                    <w:rPr>
                      <w:color w:val="auto"/>
                      <w:szCs w:val="21"/>
                    </w:rPr>
                  </w:pPr>
                </w:p>
              </w:tc>
              <w:tc>
                <w:tcPr>
                  <w:tcW w:w="811" w:type="dxa"/>
                  <w:vMerge w:val="continue"/>
                  <w:vAlign w:val="center"/>
                </w:tcPr>
                <w:p>
                  <w:pPr>
                    <w:pStyle w:val="29"/>
                    <w:spacing w:line="360" w:lineRule="exact"/>
                    <w:rPr>
                      <w:rFonts w:eastAsiaTheme="minorEastAsia"/>
                      <w:color w:val="auto"/>
                      <w:szCs w:val="21"/>
                    </w:rPr>
                  </w:pPr>
                </w:p>
              </w:tc>
              <w:tc>
                <w:tcPr>
                  <w:tcW w:w="1714"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8" w:type="dxa"/>
                  <w:vAlign w:val="center"/>
                </w:tcPr>
                <w:p>
                  <w:pPr>
                    <w:pStyle w:val="29"/>
                    <w:spacing w:line="360" w:lineRule="exact"/>
                    <w:rPr>
                      <w:rFonts w:eastAsiaTheme="minorEastAsia"/>
                      <w:color w:val="auto"/>
                      <w:szCs w:val="21"/>
                    </w:rPr>
                  </w:pPr>
                  <w:r>
                    <w:rPr>
                      <w:rFonts w:eastAsiaTheme="minorEastAsia"/>
                      <w:color w:val="auto"/>
                      <w:szCs w:val="21"/>
                    </w:rPr>
                    <w:t>厂区范围</w:t>
                  </w:r>
                </w:p>
              </w:tc>
              <w:tc>
                <w:tcPr>
                  <w:tcW w:w="689" w:type="dxa"/>
                  <w:vAlign w:val="center"/>
                </w:tcPr>
                <w:p>
                  <w:pPr>
                    <w:pStyle w:val="29"/>
                    <w:spacing w:line="360" w:lineRule="exact"/>
                    <w:rPr>
                      <w:rFonts w:eastAsiaTheme="minorEastAsia"/>
                      <w:color w:val="auto"/>
                      <w:szCs w:val="21"/>
                    </w:rPr>
                  </w:pPr>
                  <w:r>
                    <w:rPr>
                      <w:rFonts w:eastAsiaTheme="minorEastAsia"/>
                      <w:color w:val="auto"/>
                      <w:szCs w:val="21"/>
                    </w:rPr>
                    <w:t>初期雨水</w:t>
                  </w:r>
                </w:p>
              </w:tc>
              <w:tc>
                <w:tcPr>
                  <w:tcW w:w="1278" w:type="dxa"/>
                  <w:vAlign w:val="center"/>
                </w:tcPr>
                <w:p>
                  <w:pPr>
                    <w:pStyle w:val="29"/>
                    <w:spacing w:line="360" w:lineRule="exact"/>
                    <w:rPr>
                      <w:rFonts w:eastAsiaTheme="minorEastAsia"/>
                      <w:color w:val="auto"/>
                      <w:szCs w:val="21"/>
                      <w:highlight w:val="yellow"/>
                    </w:rPr>
                  </w:pPr>
                  <w:r>
                    <w:rPr>
                      <w:rFonts w:eastAsiaTheme="minorEastAsia"/>
                      <w:color w:val="auto"/>
                      <w:szCs w:val="21"/>
                    </w:rPr>
                    <w:t>SS</w:t>
                  </w:r>
                </w:p>
              </w:tc>
              <w:tc>
                <w:tcPr>
                  <w:tcW w:w="3408" w:type="dxa"/>
                  <w:vAlign w:val="center"/>
                </w:tcPr>
                <w:p>
                  <w:pPr>
                    <w:pStyle w:val="29"/>
                    <w:spacing w:line="360" w:lineRule="exact"/>
                    <w:ind w:firstLine="210" w:firstLineChars="100"/>
                    <w:jc w:val="both"/>
                    <w:rPr>
                      <w:color w:val="auto"/>
                      <w:szCs w:val="21"/>
                    </w:rPr>
                  </w:pPr>
                  <w:r>
                    <w:rPr>
                      <w:color w:val="auto"/>
                      <w:szCs w:val="21"/>
                    </w:rPr>
                    <w:t>该项目拟配套设置了1个10m³的初期雨水收集池，对厂区的初期雨水进行收集沉淀处理后，回用用于项目区绿化，不外排。</w:t>
                  </w:r>
                </w:p>
              </w:tc>
              <w:tc>
                <w:tcPr>
                  <w:tcW w:w="81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1714"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bl>
          <w:p>
            <w:pPr>
              <w:spacing w:beforeLines="50" w:line="360" w:lineRule="auto"/>
              <w:ind w:firstLine="482" w:firstLineChars="200"/>
              <w:rPr>
                <w:rFonts w:ascii="Times New Roman" w:hAnsi="Times New Roman" w:cs="Times New Roman"/>
                <w:b/>
                <w:sz w:val="24"/>
              </w:rPr>
            </w:pPr>
            <w:r>
              <w:rPr>
                <w:rFonts w:ascii="宋体" w:hAnsi="Times New Roman" w:eastAsia="宋体" w:cs="Times New Roman"/>
                <w:b/>
                <w:sz w:val="24"/>
              </w:rPr>
              <w:t>②</w:t>
            </w:r>
            <w:r>
              <w:rPr>
                <w:rFonts w:ascii="Times New Roman" w:hAnsi="Times New Roman" w:cs="Times New Roman"/>
                <w:b/>
                <w:sz w:val="24"/>
              </w:rPr>
              <w:t>废水污染物排放源产排量及达标情况</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生活污水产排量及达标情况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水污染物治理措施可知，厨房废水先进入1个1m³的隔油池进行预处理，再和生活区其他生活污水一起进入1#化粪池处理，办公楼生活污水进入2#化粪池处理，生活污水经两化粪池处理后统一进入1套处理能力为10m³/d的一体化污水处理设施处理。</w:t>
            </w:r>
          </w:p>
          <w:p>
            <w:pPr>
              <w:spacing w:line="360" w:lineRule="auto"/>
              <w:ind w:firstLine="482" w:firstLineChars="200"/>
              <w:rPr>
                <w:rFonts w:ascii="Times New Roman" w:hAnsi="Times New Roman" w:eastAsia="宋体" w:cs="Times New Roman"/>
                <w:b/>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GB4 </w:instrText>
            </w:r>
            <w:r>
              <w:rPr>
                <w:rFonts w:ascii="Times New Roman" w:hAnsi="Times New Roman" w:cs="Times New Roman"/>
                <w:b/>
                <w:sz w:val="24"/>
                <w:szCs w:val="24"/>
              </w:rPr>
              <w:fldChar w:fldCharType="separate"/>
            </w:r>
            <w:r>
              <w:rPr>
                <w:rFonts w:ascii="Times New Roman" w:hAnsi="Times New Roman" w:cs="Times New Roman"/>
                <w:b/>
                <w:sz w:val="24"/>
                <w:szCs w:val="24"/>
              </w:rPr>
              <w:t>㈠</w:t>
            </w:r>
            <w:r>
              <w:rPr>
                <w:rFonts w:ascii="Times New Roman" w:hAnsi="Times New Roman" w:cs="Times New Roman"/>
                <w:b/>
                <w:sz w:val="24"/>
                <w:szCs w:val="24"/>
              </w:rPr>
              <w:fldChar w:fldCharType="end"/>
            </w:r>
            <w:r>
              <w:rPr>
                <w:rFonts w:ascii="Times New Roman" w:hAnsi="Times New Roman" w:cs="Times New Roman"/>
                <w:b/>
                <w:sz w:val="24"/>
                <w:szCs w:val="24"/>
              </w:rPr>
              <w:t>隔油池、化粪池污染物去除分析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项目生活污水产生量约为768m³/a，隔油池主要对厨房废水进行预处理，而化粪池对水污染物有削减作用。该项目污水污染物产生源强表见下表。</w:t>
            </w:r>
          </w:p>
          <w:p>
            <w:pPr>
              <w:jc w:val="center"/>
              <w:rPr>
                <w:rFonts w:ascii="Times New Roman" w:hAnsi="Times New Roman" w:cs="Times New Roman"/>
                <w:b/>
                <w:szCs w:val="24"/>
              </w:rPr>
            </w:pPr>
            <w:r>
              <w:rPr>
                <w:rFonts w:ascii="Times New Roman" w:hAnsi="Times New Roman" w:cs="Times New Roman"/>
                <w:b/>
                <w:szCs w:val="24"/>
              </w:rPr>
              <w:t>表4.2.2-3  生活污水污染物产生及隔油池、化粪池预处理去除源强表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7"/>
              <w:gridCol w:w="869"/>
              <w:gridCol w:w="1317"/>
              <w:gridCol w:w="989"/>
              <w:gridCol w:w="855"/>
              <w:gridCol w:w="1550"/>
              <w:gridCol w:w="970"/>
              <w:gridCol w:w="1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restart"/>
                  <w:vAlign w:val="center"/>
                </w:tcPr>
                <w:p>
                  <w:pPr>
                    <w:pStyle w:val="29"/>
                    <w:spacing w:line="360" w:lineRule="exact"/>
                    <w:rPr>
                      <w:rFonts w:eastAsiaTheme="minorEastAsia"/>
                      <w:color w:val="auto"/>
                      <w:szCs w:val="21"/>
                    </w:rPr>
                  </w:pPr>
                  <w:r>
                    <w:rPr>
                      <w:rFonts w:eastAsiaTheme="minorEastAsia"/>
                      <w:color w:val="auto"/>
                      <w:szCs w:val="21"/>
                    </w:rPr>
                    <w:t>产排污环节</w:t>
                  </w:r>
                </w:p>
              </w:tc>
              <w:tc>
                <w:tcPr>
                  <w:tcW w:w="869" w:type="dxa"/>
                  <w:vMerge w:val="restart"/>
                  <w:vAlign w:val="center"/>
                </w:tcPr>
                <w:p>
                  <w:pPr>
                    <w:pStyle w:val="29"/>
                    <w:spacing w:line="360" w:lineRule="exact"/>
                    <w:rPr>
                      <w:rFonts w:eastAsiaTheme="minorEastAsia"/>
                      <w:color w:val="auto"/>
                      <w:szCs w:val="21"/>
                    </w:rPr>
                  </w:pPr>
                  <w:r>
                    <w:rPr>
                      <w:rFonts w:eastAsiaTheme="minorEastAsia"/>
                      <w:color w:val="auto"/>
                      <w:szCs w:val="21"/>
                    </w:rPr>
                    <w:t>类别</w:t>
                  </w:r>
                </w:p>
              </w:tc>
              <w:tc>
                <w:tcPr>
                  <w:tcW w:w="1317" w:type="dxa"/>
                  <w:vMerge w:val="restart"/>
                  <w:vAlign w:val="center"/>
                </w:tcPr>
                <w:p>
                  <w:pPr>
                    <w:pStyle w:val="29"/>
                    <w:spacing w:line="360" w:lineRule="exact"/>
                    <w:rPr>
                      <w:rFonts w:eastAsiaTheme="minorEastAsia"/>
                      <w:color w:val="auto"/>
                      <w:szCs w:val="21"/>
                    </w:rPr>
                  </w:pPr>
                  <w:r>
                    <w:rPr>
                      <w:rFonts w:eastAsiaTheme="minorEastAsia"/>
                      <w:color w:val="auto"/>
                      <w:szCs w:val="21"/>
                    </w:rPr>
                    <w:t>污染物种类</w:t>
                  </w:r>
                </w:p>
              </w:tc>
              <w:tc>
                <w:tcPr>
                  <w:tcW w:w="1844" w:type="dxa"/>
                  <w:gridSpan w:val="2"/>
                  <w:vAlign w:val="center"/>
                </w:tcPr>
                <w:p>
                  <w:pPr>
                    <w:pStyle w:val="29"/>
                    <w:spacing w:line="360" w:lineRule="exact"/>
                    <w:rPr>
                      <w:rFonts w:eastAsiaTheme="minorEastAsia"/>
                      <w:color w:val="auto"/>
                      <w:szCs w:val="21"/>
                    </w:rPr>
                  </w:pPr>
                  <w:r>
                    <w:rPr>
                      <w:rFonts w:eastAsiaTheme="minorEastAsia"/>
                      <w:color w:val="auto"/>
                      <w:szCs w:val="21"/>
                    </w:rPr>
                    <w:t>污染物产生情况</w:t>
                  </w:r>
                </w:p>
              </w:tc>
              <w:tc>
                <w:tcPr>
                  <w:tcW w:w="2520" w:type="dxa"/>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隔油池、化粪池处理情况</w:t>
                  </w:r>
                </w:p>
              </w:tc>
              <w:tc>
                <w:tcPr>
                  <w:tcW w:w="1091"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排放标准限值（mg/L）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Merge w:val="continue"/>
                  <w:vAlign w:val="center"/>
                </w:tcPr>
                <w:p>
                  <w:pPr>
                    <w:pStyle w:val="29"/>
                    <w:spacing w:line="360" w:lineRule="exact"/>
                    <w:rPr>
                      <w:rFonts w:eastAsiaTheme="minorEastAsia"/>
                      <w:color w:val="auto"/>
                      <w:szCs w:val="21"/>
                    </w:rPr>
                  </w:pP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产生浓度mg/m³</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产生量m³/a</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化粪池出口浓度（mg/L）</w:t>
                  </w:r>
                </w:p>
              </w:tc>
              <w:tc>
                <w:tcPr>
                  <w:tcW w:w="970" w:type="dxa"/>
                  <w:tcBorders>
                    <w:top w:val="single" w:color="auto" w:sz="4" w:space="0"/>
                    <w:bottom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化粪池出口量（t/a）</w:t>
                  </w:r>
                </w:p>
              </w:tc>
              <w:tc>
                <w:tcPr>
                  <w:tcW w:w="1091" w:type="dxa"/>
                  <w:vMerge w:val="continue"/>
                  <w:vAlign w:val="center"/>
                </w:tcPr>
                <w:p>
                  <w:pPr>
                    <w:pStyle w:val="29"/>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restart"/>
                  <w:vAlign w:val="center"/>
                </w:tcPr>
                <w:p>
                  <w:pPr>
                    <w:pStyle w:val="29"/>
                    <w:spacing w:line="360" w:lineRule="exact"/>
                    <w:rPr>
                      <w:rFonts w:eastAsiaTheme="minorEastAsia"/>
                      <w:color w:val="auto"/>
                      <w:szCs w:val="21"/>
                    </w:rPr>
                  </w:pPr>
                  <w:r>
                    <w:rPr>
                      <w:rFonts w:eastAsiaTheme="minorEastAsia"/>
                      <w:color w:val="auto"/>
                      <w:szCs w:val="21"/>
                    </w:rPr>
                    <w:t>员工生活</w:t>
                  </w:r>
                </w:p>
              </w:tc>
              <w:tc>
                <w:tcPr>
                  <w:tcW w:w="869" w:type="dxa"/>
                  <w:vMerge w:val="restart"/>
                  <w:vAlign w:val="center"/>
                </w:tcPr>
                <w:p>
                  <w:pPr>
                    <w:pStyle w:val="29"/>
                    <w:spacing w:line="360" w:lineRule="exact"/>
                    <w:rPr>
                      <w:rFonts w:eastAsiaTheme="minorEastAsia"/>
                      <w:color w:val="auto"/>
                      <w:szCs w:val="21"/>
                    </w:rPr>
                  </w:pPr>
                  <w:r>
                    <w:rPr>
                      <w:rFonts w:eastAsiaTheme="minorEastAsia"/>
                      <w:color w:val="auto"/>
                      <w:szCs w:val="21"/>
                    </w:rPr>
                    <w:t>生活污水</w:t>
                  </w: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废水量</w:t>
                  </w:r>
                </w:p>
              </w:tc>
              <w:tc>
                <w:tcPr>
                  <w:tcW w:w="1844" w:type="dxa"/>
                  <w:gridSpan w:val="2"/>
                  <w:vAlign w:val="center"/>
                </w:tcPr>
                <w:p>
                  <w:pPr>
                    <w:pStyle w:val="29"/>
                    <w:spacing w:line="360" w:lineRule="exact"/>
                    <w:rPr>
                      <w:rFonts w:eastAsiaTheme="minorEastAsia"/>
                      <w:color w:val="auto"/>
                      <w:szCs w:val="21"/>
                    </w:rPr>
                  </w:pPr>
                  <w:r>
                    <w:rPr>
                      <w:rFonts w:eastAsiaTheme="minorEastAsia"/>
                      <w:color w:val="auto"/>
                      <w:szCs w:val="21"/>
                    </w:rPr>
                    <w:t>768m³/a</w:t>
                  </w:r>
                </w:p>
              </w:tc>
              <w:tc>
                <w:tcPr>
                  <w:tcW w:w="2520" w:type="dxa"/>
                  <w:gridSpan w:val="2"/>
                  <w:tcBorders>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768m³/a</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pH</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6-9</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6-9</w:t>
                  </w:r>
                </w:p>
              </w:tc>
              <w:tc>
                <w:tcPr>
                  <w:tcW w:w="970" w:type="dxa"/>
                  <w:tcBorders>
                    <w:top w:val="single" w:color="auto" w:sz="4" w:space="0"/>
                    <w:bottom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CODcr</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350</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0.27</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280</w:t>
                  </w:r>
                </w:p>
              </w:tc>
              <w:tc>
                <w:tcPr>
                  <w:tcW w:w="970" w:type="dxa"/>
                  <w:tcBorders>
                    <w:top w:val="single" w:color="auto" w:sz="4" w:space="0"/>
                    <w:bottom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0.22</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220</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0.17</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190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0.15</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38</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0.03</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35</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0.03</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SS</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300</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0.23</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160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0.12</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总磷</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8</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0.01</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7</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0.01</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总氮</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45</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0.03</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40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0.03</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动植物油</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100</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0.08</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60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0.05</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阴离子表面活性剂</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16</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0.01</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11</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0.01</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7" w:type="dxa"/>
                  <w:vMerge w:val="continue"/>
                  <w:vAlign w:val="center"/>
                </w:tcPr>
                <w:p>
                  <w:pPr>
                    <w:pStyle w:val="29"/>
                    <w:spacing w:line="360" w:lineRule="exact"/>
                    <w:rPr>
                      <w:rFonts w:eastAsiaTheme="minorEastAsia"/>
                      <w:color w:val="auto"/>
                      <w:szCs w:val="21"/>
                    </w:rPr>
                  </w:pPr>
                </w:p>
              </w:tc>
              <w:tc>
                <w:tcPr>
                  <w:tcW w:w="869" w:type="dxa"/>
                  <w:vMerge w:val="continue"/>
                  <w:vAlign w:val="center"/>
                </w:tcPr>
                <w:p>
                  <w:pPr>
                    <w:pStyle w:val="29"/>
                    <w:spacing w:line="360" w:lineRule="exact"/>
                    <w:rPr>
                      <w:rFonts w:eastAsiaTheme="minorEastAsia"/>
                      <w:color w:val="auto"/>
                      <w:szCs w:val="21"/>
                    </w:rPr>
                  </w:pPr>
                </w:p>
              </w:tc>
              <w:tc>
                <w:tcPr>
                  <w:tcW w:w="1317" w:type="dxa"/>
                  <w:vAlign w:val="center"/>
                </w:tcPr>
                <w:p>
                  <w:pPr>
                    <w:pStyle w:val="29"/>
                    <w:spacing w:line="360" w:lineRule="exact"/>
                    <w:rPr>
                      <w:rFonts w:eastAsiaTheme="minorEastAsia"/>
                      <w:color w:val="auto"/>
                      <w:szCs w:val="21"/>
                    </w:rPr>
                  </w:pPr>
                  <w:r>
                    <w:rPr>
                      <w:rFonts w:eastAsiaTheme="minorEastAsia"/>
                      <w:color w:val="auto"/>
                      <w:szCs w:val="21"/>
                    </w:rPr>
                    <w:t>粪大肠菌群数（MPN/L）</w:t>
                  </w:r>
                </w:p>
              </w:tc>
              <w:tc>
                <w:tcPr>
                  <w:tcW w:w="989" w:type="dxa"/>
                  <w:vAlign w:val="center"/>
                </w:tcPr>
                <w:p>
                  <w:pPr>
                    <w:pStyle w:val="29"/>
                    <w:spacing w:line="360" w:lineRule="exact"/>
                    <w:rPr>
                      <w:rFonts w:eastAsiaTheme="minorEastAsia"/>
                      <w:color w:val="auto"/>
                      <w:szCs w:val="21"/>
                    </w:rPr>
                  </w:pPr>
                  <w:r>
                    <w:rPr>
                      <w:rFonts w:eastAsiaTheme="minorEastAsia"/>
                      <w:color w:val="auto"/>
                      <w:szCs w:val="21"/>
                    </w:rPr>
                    <w:t>16000</w:t>
                  </w:r>
                </w:p>
              </w:tc>
              <w:tc>
                <w:tcPr>
                  <w:tcW w:w="855" w:type="dxa"/>
                  <w:vAlign w:val="center"/>
                </w:tcPr>
                <w:p>
                  <w:pPr>
                    <w:pStyle w:val="29"/>
                    <w:spacing w:line="360" w:lineRule="exact"/>
                    <w:rPr>
                      <w:rFonts w:eastAsiaTheme="minorEastAsia"/>
                      <w:color w:val="auto"/>
                      <w:szCs w:val="21"/>
                    </w:rPr>
                  </w:pPr>
                  <w:r>
                    <w:rPr>
                      <w:rFonts w:eastAsiaTheme="minorEastAsia"/>
                      <w:color w:val="auto"/>
                      <w:szCs w:val="21"/>
                    </w:rPr>
                    <w:t>--</w:t>
                  </w:r>
                </w:p>
              </w:tc>
              <w:tc>
                <w:tcPr>
                  <w:tcW w:w="1550" w:type="dxa"/>
                  <w:vAlign w:val="center"/>
                </w:tcPr>
                <w:p>
                  <w:pPr>
                    <w:pStyle w:val="29"/>
                    <w:spacing w:line="360" w:lineRule="exact"/>
                    <w:rPr>
                      <w:rFonts w:eastAsiaTheme="minorEastAsia"/>
                      <w:color w:val="auto"/>
                      <w:szCs w:val="21"/>
                    </w:rPr>
                  </w:pPr>
                  <w:r>
                    <w:rPr>
                      <w:rFonts w:eastAsiaTheme="minorEastAsia"/>
                      <w:color w:val="auto"/>
                      <w:szCs w:val="21"/>
                    </w:rPr>
                    <w:t>8000</w:t>
                  </w:r>
                </w:p>
              </w:tc>
              <w:tc>
                <w:tcPr>
                  <w:tcW w:w="970" w:type="dxa"/>
                  <w:tcBorders>
                    <w:top w:val="single" w:color="auto" w:sz="4" w:space="0"/>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w:t>
                  </w:r>
                </w:p>
              </w:tc>
              <w:tc>
                <w:tcPr>
                  <w:tcW w:w="1091" w:type="dxa"/>
                  <w:vAlign w:val="center"/>
                </w:tcPr>
                <w:p>
                  <w:pPr>
                    <w:pStyle w:val="29"/>
                    <w:spacing w:line="360" w:lineRule="exact"/>
                    <w:rPr>
                      <w:rFonts w:eastAsiaTheme="minorEastAsia"/>
                      <w:color w:val="auto"/>
                      <w:szCs w:val="21"/>
                    </w:rPr>
                  </w:pPr>
                  <w:r>
                    <w:rPr>
                      <w:rFonts w:eastAsiaTheme="minorEastAsia"/>
                      <w:color w:val="auto"/>
                      <w:szCs w:val="21"/>
                    </w:rPr>
                    <w:t>20</w:t>
                  </w:r>
                </w:p>
              </w:tc>
            </w:tr>
          </w:tbl>
          <w:p>
            <w:pPr>
              <w:pStyle w:val="37"/>
              <w:spacing w:beforeLines="50"/>
              <w:ind w:firstLine="480"/>
              <w:rPr>
                <w:szCs w:val="24"/>
              </w:rPr>
            </w:pPr>
            <w:r>
              <w:rPr>
                <w:szCs w:val="24"/>
              </w:rPr>
              <w:t>由上表可知，</w:t>
            </w:r>
            <w:r>
              <w:t>项目生活污水经隔油池、化粪池处理后可达到《污水排入城镇下水道水质标准》（GB/T31962-2015）A等级标准。</w:t>
            </w:r>
          </w:p>
          <w:p>
            <w:pPr>
              <w:pStyle w:val="37"/>
              <w:ind w:firstLine="482"/>
              <w:rPr>
                <w:b/>
              </w:rPr>
            </w:pPr>
            <w:r>
              <w:rPr>
                <w:b/>
              </w:rPr>
              <w:fldChar w:fldCharType="begin"/>
            </w:r>
            <w:r>
              <w:rPr>
                <w:b/>
              </w:rPr>
              <w:instrText xml:space="preserve"> = 2 \* GB4 </w:instrText>
            </w:r>
            <w:r>
              <w:rPr>
                <w:b/>
              </w:rPr>
              <w:fldChar w:fldCharType="separate"/>
            </w:r>
            <w:r>
              <w:rPr>
                <w:b/>
              </w:rPr>
              <w:t>㈡</w:t>
            </w:r>
            <w:r>
              <w:rPr>
                <w:b/>
              </w:rPr>
              <w:fldChar w:fldCharType="end"/>
            </w:r>
            <w:r>
              <w:rPr>
                <w:b/>
              </w:rPr>
              <w:t>一体化污水处理设施污染物去除分析</w:t>
            </w:r>
          </w:p>
          <w:p>
            <w:pPr>
              <w:pStyle w:val="37"/>
              <w:ind w:firstLine="480"/>
            </w:pPr>
            <w:r>
              <w:t>根据设计参数，项目一体化污水处理设施对生活污水污染物处理情况见下表。</w:t>
            </w:r>
          </w:p>
          <w:p>
            <w:pPr>
              <w:jc w:val="center"/>
              <w:rPr>
                <w:rFonts w:ascii="Times New Roman" w:hAnsi="Times New Roman" w:cs="Times New Roman"/>
                <w:b/>
                <w:szCs w:val="24"/>
              </w:rPr>
            </w:pPr>
            <w:r>
              <w:rPr>
                <w:rFonts w:ascii="Times New Roman" w:hAnsi="Times New Roman" w:cs="Times New Roman"/>
                <w:b/>
                <w:szCs w:val="24"/>
              </w:rPr>
              <w:t>表4.2.2-4 项目一体化污水处理设施污染物核算一览表</w:t>
            </w:r>
          </w:p>
          <w:tbl>
            <w:tblPr>
              <w:tblStyle w:val="18"/>
              <w:tblW w:w="8598" w:type="dxa"/>
              <w:tblInd w:w="0" w:type="dxa"/>
              <w:tblLayout w:type="fixed"/>
              <w:tblCellMar>
                <w:top w:w="0" w:type="dxa"/>
                <w:left w:w="108" w:type="dxa"/>
                <w:bottom w:w="0" w:type="dxa"/>
                <w:right w:w="108" w:type="dxa"/>
              </w:tblCellMar>
            </w:tblPr>
            <w:tblGrid>
              <w:gridCol w:w="1011"/>
              <w:gridCol w:w="1260"/>
              <w:gridCol w:w="1079"/>
              <w:gridCol w:w="1039"/>
              <w:gridCol w:w="1079"/>
              <w:gridCol w:w="1039"/>
              <w:gridCol w:w="1079"/>
              <w:gridCol w:w="1012"/>
            </w:tblGrid>
            <w:tr>
              <w:tblPrEx>
                <w:tblLayout w:type="fixed"/>
                <w:tblCellMar>
                  <w:top w:w="0" w:type="dxa"/>
                  <w:left w:w="108" w:type="dxa"/>
                  <w:bottom w:w="0" w:type="dxa"/>
                  <w:right w:w="108" w:type="dxa"/>
                </w:tblCellMar>
              </w:tblPrEx>
              <w:tc>
                <w:tcPr>
                  <w:tcW w:w="1011"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排放源</w:t>
                  </w:r>
                </w:p>
              </w:tc>
              <w:tc>
                <w:tcPr>
                  <w:tcW w:w="126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污染物</w:t>
                  </w:r>
                </w:p>
              </w:tc>
              <w:tc>
                <w:tcPr>
                  <w:tcW w:w="1079"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进水浓度</w:t>
                  </w:r>
                </w:p>
                <w:p>
                  <w:pPr>
                    <w:pStyle w:val="29"/>
                    <w:spacing w:line="360" w:lineRule="exact"/>
                    <w:rPr>
                      <w:rFonts w:eastAsiaTheme="minorEastAsia"/>
                      <w:color w:val="auto"/>
                      <w:szCs w:val="21"/>
                    </w:rPr>
                  </w:pPr>
                  <w:r>
                    <w:rPr>
                      <w:rFonts w:eastAsiaTheme="minorEastAsia"/>
                      <w:color w:val="auto"/>
                      <w:szCs w:val="21"/>
                    </w:rPr>
                    <w:t>（mg/L）</w:t>
                  </w:r>
                </w:p>
              </w:tc>
              <w:tc>
                <w:tcPr>
                  <w:tcW w:w="1039"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产生量（t/a）</w:t>
                  </w:r>
                </w:p>
              </w:tc>
              <w:tc>
                <w:tcPr>
                  <w:tcW w:w="1079"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出水浓度</w:t>
                  </w:r>
                </w:p>
                <w:p>
                  <w:pPr>
                    <w:pStyle w:val="29"/>
                    <w:spacing w:line="360" w:lineRule="exact"/>
                    <w:rPr>
                      <w:rFonts w:eastAsiaTheme="minorEastAsia"/>
                      <w:color w:val="auto"/>
                      <w:szCs w:val="21"/>
                    </w:rPr>
                  </w:pPr>
                  <w:r>
                    <w:rPr>
                      <w:rFonts w:eastAsiaTheme="minorEastAsia"/>
                      <w:color w:val="auto"/>
                      <w:szCs w:val="21"/>
                    </w:rPr>
                    <w:t>（mg/L）</w:t>
                  </w:r>
                </w:p>
              </w:tc>
              <w:tc>
                <w:tcPr>
                  <w:tcW w:w="1039"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再生水回用量（t/a）</w:t>
                  </w:r>
                </w:p>
              </w:tc>
              <w:tc>
                <w:tcPr>
                  <w:tcW w:w="1079" w:type="dxa"/>
                  <w:tcBorders>
                    <w:top w:val="single" w:color="auto" w:sz="8" w:space="0"/>
                    <w:left w:val="nil"/>
                    <w:bottom w:val="single" w:color="auto" w:sz="4"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标准值</w:t>
                  </w:r>
                </w:p>
                <w:p>
                  <w:pPr>
                    <w:pStyle w:val="29"/>
                    <w:spacing w:line="360" w:lineRule="exact"/>
                    <w:rPr>
                      <w:rFonts w:eastAsiaTheme="minorEastAsia"/>
                      <w:color w:val="auto"/>
                      <w:szCs w:val="21"/>
                    </w:rPr>
                  </w:pPr>
                  <w:r>
                    <w:rPr>
                      <w:rFonts w:eastAsiaTheme="minorEastAsia"/>
                      <w:color w:val="auto"/>
                      <w:szCs w:val="21"/>
                    </w:rPr>
                    <w:t>（mg/L）</w:t>
                  </w:r>
                </w:p>
              </w:tc>
              <w:tc>
                <w:tcPr>
                  <w:tcW w:w="1012"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达标情况</w:t>
                  </w:r>
                </w:p>
              </w:tc>
            </w:tr>
            <w:tr>
              <w:tblPrEx>
                <w:tblLayout w:type="fixed"/>
                <w:tblCellMar>
                  <w:top w:w="0" w:type="dxa"/>
                  <w:left w:w="108" w:type="dxa"/>
                  <w:bottom w:w="0" w:type="dxa"/>
                  <w:right w:w="108" w:type="dxa"/>
                </w:tblCellMar>
              </w:tblPrEx>
              <w:tc>
                <w:tcPr>
                  <w:tcW w:w="1011" w:type="dxa"/>
                  <w:vMerge w:val="restart"/>
                  <w:tcBorders>
                    <w:top w:val="nil"/>
                    <w:left w:val="single" w:color="auto" w:sz="8" w:space="0"/>
                    <w:bottom w:val="single" w:color="000000"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经化粪池处理后并进入一体化污水处理设施的生活污水</w:t>
                  </w: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废水量</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39" w:type="dxa"/>
                  <w:tcBorders>
                    <w:top w:val="single" w:color="auto" w:sz="4" w:space="0"/>
                    <w:left w:val="nil"/>
                    <w:bottom w:val="single" w:color="auto" w:sz="8" w:space="0"/>
                    <w:right w:val="single" w:color="auto" w:sz="8" w:space="0"/>
                  </w:tcBorders>
                  <w:shd w:val="clear" w:color="auto" w:fill="auto"/>
                  <w:vAlign w:val="bottom"/>
                </w:tcPr>
                <w:p>
                  <w:pPr>
                    <w:pStyle w:val="29"/>
                    <w:spacing w:line="360" w:lineRule="exact"/>
                    <w:rPr>
                      <w:rFonts w:eastAsiaTheme="minorEastAsia"/>
                      <w:color w:val="auto"/>
                      <w:szCs w:val="21"/>
                    </w:rPr>
                  </w:pPr>
                  <w:r>
                    <w:rPr>
                      <w:rFonts w:eastAsiaTheme="minorEastAsia"/>
                      <w:color w:val="auto"/>
                      <w:szCs w:val="21"/>
                    </w:rPr>
                    <w:t>768</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39" w:type="dxa"/>
                  <w:tcBorders>
                    <w:top w:val="nil"/>
                    <w:left w:val="nil"/>
                    <w:bottom w:val="single" w:color="auto" w:sz="8" w:space="0"/>
                    <w:right w:val="single" w:color="auto" w:sz="8" w:space="0"/>
                  </w:tcBorders>
                  <w:shd w:val="clear" w:color="auto" w:fill="auto"/>
                  <w:vAlign w:val="bottom"/>
                </w:tcPr>
                <w:p>
                  <w:pPr>
                    <w:pStyle w:val="29"/>
                    <w:spacing w:line="360" w:lineRule="exact"/>
                    <w:rPr>
                      <w:rFonts w:eastAsiaTheme="minorEastAsia"/>
                      <w:color w:val="auto"/>
                      <w:szCs w:val="21"/>
                    </w:rPr>
                  </w:pPr>
                  <w:r>
                    <w:rPr>
                      <w:rFonts w:eastAsiaTheme="minorEastAsia"/>
                      <w:color w:val="auto"/>
                      <w:szCs w:val="21"/>
                    </w:rPr>
                    <w:t>768</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pH</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6-9</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6-9</w:t>
                  </w:r>
                </w:p>
              </w:tc>
              <w:tc>
                <w:tcPr>
                  <w:tcW w:w="1039" w:type="dxa"/>
                  <w:tcBorders>
                    <w:top w:val="nil"/>
                    <w:left w:val="nil"/>
                    <w:bottom w:val="single" w:color="auto" w:sz="8" w:space="0"/>
                    <w:right w:val="single" w:color="auto" w:sz="8" w:space="0"/>
                  </w:tcBorders>
                  <w:shd w:val="clear" w:color="auto" w:fill="auto"/>
                  <w:vAlign w:val="bottom"/>
                </w:tcPr>
                <w:p>
                  <w:pPr>
                    <w:pStyle w:val="29"/>
                    <w:spacing w:line="360" w:lineRule="exact"/>
                    <w:rPr>
                      <w:rFonts w:eastAsiaTheme="minorEastAsia"/>
                      <w:color w:val="auto"/>
                      <w:szCs w:val="21"/>
                    </w:rPr>
                  </w:pPr>
                  <w:r>
                    <w:rPr>
                      <w:rFonts w:eastAsiaTheme="minorEastAsia"/>
                      <w:color w:val="auto"/>
                      <w:szCs w:val="21"/>
                    </w:rPr>
                    <w:t>--</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6.0-9.0</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CODcr</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280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0.22</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30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0.023</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190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0.15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8</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0.006</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≤10</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35</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0.03</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5</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0.004</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≤8</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SS</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160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0.12</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30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0.023</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总磷</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7</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0.01</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2</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0.002</w:t>
                  </w:r>
                </w:p>
              </w:tc>
              <w:tc>
                <w:tcPr>
                  <w:tcW w:w="1079" w:type="dxa"/>
                  <w:tcBorders>
                    <w:top w:val="nil"/>
                    <w:left w:val="nil"/>
                    <w:bottom w:val="single" w:color="auto" w:sz="8" w:space="0"/>
                    <w:right w:val="single" w:color="auto" w:sz="8" w:space="0"/>
                  </w:tcBorders>
                  <w:shd w:val="clear" w:color="auto" w:fill="auto"/>
                  <w:noWrap/>
                  <w:vAlign w:val="center"/>
                </w:tcPr>
                <w:p>
                  <w:pPr>
                    <w:pStyle w:val="29"/>
                    <w:spacing w:line="360" w:lineRule="exact"/>
                    <w:rPr>
                      <w:rFonts w:eastAsiaTheme="minorEastAsia"/>
                      <w:color w:val="auto"/>
                      <w:szCs w:val="21"/>
                    </w:rPr>
                  </w:pPr>
                  <w:r>
                    <w:rPr>
                      <w:rFonts w:eastAsiaTheme="minorEastAsia"/>
                      <w:color w:val="auto"/>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总氮</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40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0.03</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16</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0.012</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动植物油</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60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20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0.015</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阴离子表面活性剂</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11</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0.01</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0.2</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0.0002</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≤0.5</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c>
                <w:tcPr>
                  <w:tcW w:w="1011" w:type="dxa"/>
                  <w:vMerge w:val="continue"/>
                  <w:tcBorders>
                    <w:top w:val="nil"/>
                    <w:left w:val="single" w:color="auto" w:sz="8" w:space="0"/>
                    <w:bottom w:val="single" w:color="000000" w:sz="8" w:space="0"/>
                    <w:right w:val="single" w:color="auto" w:sz="8" w:space="0"/>
                  </w:tcBorders>
                  <w:vAlign w:val="center"/>
                </w:tcPr>
                <w:p>
                  <w:pPr>
                    <w:pStyle w:val="29"/>
                    <w:spacing w:line="360" w:lineRule="exact"/>
                    <w:rPr>
                      <w:rFonts w:eastAsiaTheme="minorEastAsia"/>
                      <w:color w:val="auto"/>
                      <w:szCs w:val="21"/>
                    </w:rPr>
                  </w:pPr>
                </w:p>
              </w:tc>
              <w:tc>
                <w:tcPr>
                  <w:tcW w:w="1260"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粪大肠菌群数（MPN/L）</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8000</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　</w:t>
                  </w:r>
                </w:p>
              </w:tc>
              <w:tc>
                <w:tcPr>
                  <w:tcW w:w="103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79"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c>
                <w:tcPr>
                  <w:tcW w:w="1012" w:type="dxa"/>
                  <w:tcBorders>
                    <w:top w:val="nil"/>
                    <w:left w:val="nil"/>
                    <w:bottom w:val="single" w:color="auto" w:sz="8" w:space="0"/>
                    <w:right w:val="single" w:color="auto" w:sz="8" w:space="0"/>
                  </w:tcBorders>
                  <w:shd w:val="clear" w:color="auto" w:fill="auto"/>
                  <w:vAlign w:val="center"/>
                </w:tcPr>
                <w:p>
                  <w:pPr>
                    <w:pStyle w:val="29"/>
                    <w:spacing w:line="360" w:lineRule="exact"/>
                    <w:rPr>
                      <w:rFonts w:eastAsiaTheme="minorEastAsia"/>
                      <w:color w:val="auto"/>
                      <w:szCs w:val="21"/>
                    </w:rPr>
                  </w:pPr>
                  <w:r>
                    <w:rPr>
                      <w:rFonts w:eastAsiaTheme="minorEastAsia"/>
                      <w:color w:val="auto"/>
                      <w:szCs w:val="21"/>
                    </w:rPr>
                    <w:t>--</w:t>
                  </w:r>
                </w:p>
              </w:tc>
            </w:tr>
          </w:tbl>
          <w:p>
            <w:pPr>
              <w:pStyle w:val="37"/>
              <w:spacing w:beforeLines="50"/>
              <w:ind w:firstLine="480"/>
            </w:pPr>
            <w:r>
              <w:t>由上表可知，经一体化污水处理设施处理后的生活污水可达到《城市污水再生利用 城市杂用水水质》（GB/T18920-2020）中城市绿化标准。</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初期雨水产排量及达标情况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根据项目产污环节和废水污染物治理措施可知，初期雨水的主要污染物为CODcr和SS，项目拟配套设置了1个10m³的初期雨水收集池对厂区初期雨水进行收集，收集沉淀处理后回用于绿化，不外排；回用可行。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rPr>
              <w:t>废水</w:t>
            </w:r>
            <w:r>
              <w:rPr>
                <w:rFonts w:ascii="Times New Roman" w:hAnsi="Times New Roman" w:cs="Times New Roman"/>
                <w:b/>
                <w:sz w:val="24"/>
                <w:szCs w:val="24"/>
              </w:rPr>
              <w:t>污染治理设施可行性分析</w:t>
            </w:r>
          </w:p>
          <w:p>
            <w:pPr>
              <w:spacing w:line="360" w:lineRule="auto"/>
              <w:ind w:firstLine="482" w:firstLineChars="200"/>
              <w:rPr>
                <w:rFonts w:ascii="Times New Roman" w:hAnsi="Times New Roman" w:cs="Times New Roman"/>
                <w:szCs w:val="24"/>
              </w:rPr>
            </w:pPr>
            <w:r>
              <w:rPr>
                <w:rFonts w:ascii="Times New Roman" w:hAnsi="Times New Roman" w:eastAsia="宋体" w:cs="Times New Roman"/>
                <w:b/>
                <w:sz w:val="24"/>
                <w:szCs w:val="24"/>
              </w:rPr>
              <w:t>①</w:t>
            </w:r>
            <w:r>
              <w:rPr>
                <w:rFonts w:ascii="Times New Roman" w:hAnsi="Times New Roman" w:cs="Times New Roman"/>
                <w:b/>
                <w:sz w:val="24"/>
              </w:rPr>
              <w:t>隔油池</w:t>
            </w:r>
            <w:r>
              <w:rPr>
                <w:rFonts w:ascii="Times New Roman" w:hAnsi="Times New Roman" w:cs="Times New Roman"/>
                <w:b/>
                <w:sz w:val="24"/>
                <w:szCs w:val="24"/>
              </w:rPr>
              <w:t>环境影响减缓措施有效性分析</w:t>
            </w:r>
          </w:p>
          <w:p>
            <w:pPr>
              <w:pStyle w:val="37"/>
              <w:ind w:firstLine="480"/>
              <w:rPr>
                <w:rFonts w:eastAsiaTheme="minorEastAsia"/>
                <w:szCs w:val="24"/>
              </w:rPr>
            </w:pPr>
            <w:r>
              <w:rPr>
                <w:rFonts w:eastAsiaTheme="minorEastAsia"/>
                <w:szCs w:val="24"/>
              </w:rPr>
              <w:t>根据工程分析可知，该项目设置食堂，食堂废水量约为1.28m³/d，根据《建筑给排水设计规范》（（GB50015-2019），污水在隔油池内停留时间宜为30min，则该项目设置的1m³的隔油池可满足停留要求，隔油池设置合理。</w:t>
            </w:r>
          </w:p>
          <w:p>
            <w:pPr>
              <w:spacing w:line="360" w:lineRule="auto"/>
              <w:ind w:firstLine="482" w:firstLineChars="200"/>
              <w:rPr>
                <w:rFonts w:ascii="Times New Roman" w:hAnsi="Times New Roman" w:cs="Times New Roman"/>
                <w:szCs w:val="24"/>
              </w:rPr>
            </w:pPr>
            <w:r>
              <w:rPr>
                <w:rFonts w:ascii="Times New Roman" w:hAnsi="Times New Roman" w:eastAsia="宋体" w:cs="Times New Roman"/>
                <w:b/>
                <w:sz w:val="24"/>
              </w:rPr>
              <w:t>②</w:t>
            </w:r>
            <w:r>
              <w:rPr>
                <w:rFonts w:ascii="Times New Roman" w:hAnsi="Times New Roman" w:cs="Times New Roman"/>
                <w:b/>
                <w:sz w:val="24"/>
              </w:rPr>
              <w:t>化粪池</w:t>
            </w:r>
            <w:r>
              <w:rPr>
                <w:rFonts w:ascii="Times New Roman" w:hAnsi="Times New Roman" w:cs="Times New Roman"/>
                <w:b/>
                <w:sz w:val="24"/>
                <w:szCs w:val="24"/>
              </w:rPr>
              <w:t>环境影响减缓措施有效性分析</w:t>
            </w:r>
          </w:p>
          <w:p>
            <w:pPr>
              <w:pStyle w:val="37"/>
              <w:ind w:firstLine="480"/>
              <w:rPr>
                <w:rFonts w:eastAsiaTheme="minorEastAsia"/>
                <w:szCs w:val="24"/>
              </w:rPr>
            </w:pPr>
            <w:r>
              <w:rPr>
                <w:rFonts w:eastAsiaTheme="minorEastAsia"/>
                <w:szCs w:val="24"/>
              </w:rPr>
              <w:t>根据工程分析可知，项目生活污水产生量约为2.56m³/d，变化系数按照1.2计，则最大生活污水量约为3.07m³/d，根据《建筑给排水设计规范》（（GB50015-2019），化粪池总容积应满足废水停留时间12-24h的要求，并做好防渗处理，化粪池宜建在便于机动车清掏的位置；项目拟分别在办公楼和生活区各设置1个有效容积不低于4m³的化粪池对生活污水进行预处理，可满足24h停留时间要求，清掏车辆可进入进行清掏，且化粪池已严格按照规范要求进行防渗处置，因此化粪池设置合理。</w:t>
            </w:r>
          </w:p>
          <w:p>
            <w:pPr>
              <w:spacing w:line="360" w:lineRule="auto"/>
              <w:ind w:firstLine="482" w:firstLineChars="200"/>
              <w:rPr>
                <w:rFonts w:ascii="Times New Roman" w:hAnsi="Times New Roman" w:cs="Times New Roman"/>
                <w:b/>
                <w:sz w:val="24"/>
                <w:szCs w:val="24"/>
              </w:rPr>
            </w:pPr>
            <w:r>
              <w:rPr>
                <w:rFonts w:ascii="Times New Roman" w:hAnsi="Times New Roman" w:eastAsia="宋体" w:cs="Times New Roman"/>
                <w:b/>
                <w:sz w:val="24"/>
              </w:rPr>
              <w:t>③</w:t>
            </w:r>
            <w:r>
              <w:rPr>
                <w:rFonts w:ascii="Times New Roman" w:hAnsi="Times New Roman" w:cs="Times New Roman"/>
                <w:b/>
                <w:sz w:val="24"/>
                <w:szCs w:val="24"/>
              </w:rPr>
              <w:t>一体化污水处理设施有效性分析</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宋体" w:hAnsi="Times New Roman" w:eastAsia="宋体"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一体化污水处理设施规模设置合理性分析</w:t>
            </w:r>
          </w:p>
          <w:p>
            <w:pPr>
              <w:pStyle w:val="37"/>
              <w:ind w:firstLine="480"/>
              <w:rPr>
                <w:rFonts w:eastAsiaTheme="minorEastAsia"/>
                <w:szCs w:val="24"/>
              </w:rPr>
            </w:pPr>
            <w:r>
              <w:rPr>
                <w:rFonts w:eastAsiaTheme="minorEastAsia"/>
                <w:szCs w:val="24"/>
              </w:rPr>
              <w:t>根据工程分析可知，该项目生活污水产生量为2.56m³/d，变化系数按照1.2计，则最大废水量约为3.07m³/d，而项目拟设置1套处理能力为10m³/d的一体化污水处理设施其规模可满足要求。</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宋体" w:hAnsi="Times New Roman" w:eastAsia="宋体"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一体化污水处理设施工艺设置合理性分析</w:t>
            </w:r>
          </w:p>
          <w:p>
            <w:pPr>
              <w:pStyle w:val="37"/>
              <w:ind w:firstLine="480"/>
              <w:rPr>
                <w:rFonts w:eastAsiaTheme="minorEastAsia"/>
                <w:szCs w:val="24"/>
              </w:rPr>
            </w:pPr>
            <w:r>
              <w:rPr>
                <w:rFonts w:eastAsiaTheme="minorEastAsia"/>
                <w:szCs w:val="24"/>
              </w:rPr>
              <w:t>该项目设置的一体化污水处理设施购买成品进行安装，根据该一体化设施的设计资料，该设施拟采用生化处理工艺对生活污水进行处理，设计工艺如下图所示。</w:t>
            </w:r>
          </w:p>
          <w:p>
            <w:pPr>
              <w:jc w:val="center"/>
              <w:rPr>
                <w:rFonts w:ascii="Times New Roman" w:hAnsi="Times New Roman" w:cs="Times New Roman"/>
                <w:b/>
                <w:szCs w:val="24"/>
              </w:rPr>
            </w:pPr>
            <w:r>
              <w:rPr>
                <w:rFonts w:ascii="Times New Roman" w:hAnsi="Times New Roman" w:cs="Times New Roman"/>
                <w:b/>
                <w:szCs w:val="24"/>
              </w:rPr>
              <w:object>
                <v:shape id="_x0000_i1029" o:spt="75" type="#_x0000_t75" style="height:134.4pt;width:366pt;" o:ole="t" filled="f" o:preferrelative="t" stroked="f" coordsize="21600,21600">
                  <v:path/>
                  <v:fill on="f" focussize="0,0"/>
                  <v:stroke on="f" joinstyle="miter"/>
                  <v:imagedata r:id="rId15" o:title=""/>
                  <o:lock v:ext="edit" aspectratio="t"/>
                  <w10:wrap type="none"/>
                  <w10:anchorlock/>
                </v:shape>
                <o:OLEObject Type="Embed" ProgID="Visio.Drawing.11" ShapeID="_x0000_i1029" DrawAspect="Content" ObjectID="_1468075729" r:id="rId14">
                  <o:LockedField>false</o:LockedField>
                </o:OLEObject>
              </w:object>
            </w:r>
          </w:p>
          <w:p>
            <w:pPr>
              <w:jc w:val="center"/>
              <w:rPr>
                <w:rFonts w:ascii="Times New Roman" w:hAnsi="Times New Roman" w:cs="Times New Roman"/>
                <w:b/>
                <w:szCs w:val="24"/>
              </w:rPr>
            </w:pPr>
            <w:r>
              <w:rPr>
                <w:rFonts w:ascii="Times New Roman" w:hAnsi="Times New Roman" w:cs="Times New Roman"/>
                <w:b/>
                <w:szCs w:val="24"/>
              </w:rPr>
              <w:t>图4.2.2-1 污水处理工艺流程图</w:t>
            </w:r>
          </w:p>
          <w:p>
            <w:pPr>
              <w:pStyle w:val="37"/>
              <w:ind w:firstLine="480"/>
              <w:rPr>
                <w:rFonts w:eastAsiaTheme="minorEastAsia"/>
                <w:szCs w:val="24"/>
              </w:rPr>
            </w:pPr>
            <w:r>
              <w:rPr>
                <w:rFonts w:eastAsiaTheme="minorEastAsia"/>
                <w:szCs w:val="24"/>
              </w:rPr>
              <w:t>污水处理工艺流程简述：</w:t>
            </w:r>
          </w:p>
          <w:p>
            <w:pPr>
              <w:pStyle w:val="37"/>
              <w:ind w:firstLine="480"/>
              <w:rPr>
                <w:rFonts w:eastAsiaTheme="minorEastAsia"/>
                <w:szCs w:val="24"/>
              </w:rPr>
            </w:pPr>
            <w:r>
              <w:rPr>
                <w:rFonts w:eastAsiaTheme="minorEastAsia"/>
                <w:szCs w:val="24"/>
              </w:rPr>
              <w:fldChar w:fldCharType="begin"/>
            </w:r>
            <w:r>
              <w:rPr>
                <w:rFonts w:eastAsiaTheme="minorEastAsia"/>
                <w:szCs w:val="24"/>
              </w:rPr>
              <w:instrText xml:space="preserve"> = 1 \* GB4 </w:instrText>
            </w:r>
            <w:r>
              <w:rPr>
                <w:rFonts w:eastAsiaTheme="minorEastAsia"/>
                <w:szCs w:val="24"/>
              </w:rPr>
              <w:fldChar w:fldCharType="separate"/>
            </w:r>
            <w:r>
              <w:rPr>
                <w:rFonts w:eastAsiaTheme="minorEastAsia"/>
                <w:szCs w:val="24"/>
              </w:rPr>
              <w:t>㈠</w:t>
            </w:r>
            <w:r>
              <w:rPr>
                <w:rFonts w:eastAsiaTheme="minorEastAsia"/>
                <w:szCs w:val="24"/>
              </w:rPr>
              <w:fldChar w:fldCharType="end"/>
            </w:r>
            <w:r>
              <w:rPr>
                <w:rFonts w:eastAsiaTheme="minorEastAsia"/>
                <w:szCs w:val="24"/>
              </w:rPr>
              <w:t xml:space="preserve"> 调节池</w:t>
            </w:r>
          </w:p>
          <w:p>
            <w:pPr>
              <w:pStyle w:val="37"/>
              <w:ind w:firstLine="480"/>
              <w:rPr>
                <w:rFonts w:eastAsiaTheme="minorEastAsia"/>
                <w:szCs w:val="24"/>
              </w:rPr>
            </w:pPr>
            <w:r>
              <w:rPr>
                <w:rFonts w:eastAsiaTheme="minorEastAsia"/>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7"/>
              <w:ind w:firstLine="480"/>
              <w:rPr>
                <w:rFonts w:eastAsiaTheme="minorEastAsia"/>
                <w:szCs w:val="24"/>
              </w:rPr>
            </w:pPr>
            <w:r>
              <w:rPr>
                <w:rFonts w:eastAsiaTheme="minorEastAsia"/>
                <w:szCs w:val="24"/>
              </w:rPr>
              <w:fldChar w:fldCharType="begin"/>
            </w:r>
            <w:r>
              <w:rPr>
                <w:rFonts w:eastAsiaTheme="minorEastAsia"/>
                <w:szCs w:val="24"/>
              </w:rPr>
              <w:instrText xml:space="preserve"> = 2 \* GB4 </w:instrText>
            </w:r>
            <w:r>
              <w:rPr>
                <w:rFonts w:eastAsiaTheme="minorEastAsia"/>
                <w:szCs w:val="24"/>
              </w:rPr>
              <w:fldChar w:fldCharType="separate"/>
            </w:r>
            <w:r>
              <w:rPr>
                <w:rFonts w:eastAsiaTheme="minorEastAsia"/>
                <w:szCs w:val="24"/>
              </w:rPr>
              <w:t>㈡</w:t>
            </w:r>
            <w:r>
              <w:rPr>
                <w:rFonts w:eastAsiaTheme="minorEastAsia"/>
                <w:szCs w:val="24"/>
              </w:rPr>
              <w:fldChar w:fldCharType="end"/>
            </w:r>
            <w:r>
              <w:rPr>
                <w:rFonts w:eastAsiaTheme="minorEastAsia"/>
                <w:szCs w:val="24"/>
              </w:rPr>
              <w:t>接触氧化池</w:t>
            </w:r>
          </w:p>
          <w:p>
            <w:pPr>
              <w:pStyle w:val="37"/>
              <w:ind w:firstLine="480"/>
              <w:rPr>
                <w:rFonts w:eastAsiaTheme="minorEastAsia"/>
                <w:szCs w:val="24"/>
              </w:rPr>
            </w:pPr>
            <w:r>
              <w:rPr>
                <w:rFonts w:eastAsiaTheme="minorEastAsia"/>
                <w:szCs w:val="24"/>
              </w:rPr>
              <w:t>好氧接触氧化池主要利用好氧菌去除CODcr、BOD</w:t>
            </w:r>
            <w:r>
              <w:rPr>
                <w:rFonts w:eastAsiaTheme="minorEastAsia"/>
                <w:szCs w:val="24"/>
                <w:vertAlign w:val="subscript"/>
              </w:rPr>
              <w:t>5</w:t>
            </w:r>
            <w:r>
              <w:rPr>
                <w:rFonts w:eastAsiaTheme="minorEastAsia"/>
                <w:szCs w:val="24"/>
              </w:rPr>
              <w:t>、SS、NH</w:t>
            </w:r>
            <w:r>
              <w:rPr>
                <w:rFonts w:eastAsiaTheme="minorEastAsia"/>
                <w:szCs w:val="24"/>
                <w:vertAlign w:val="subscript"/>
              </w:rPr>
              <w:t>3</w:t>
            </w:r>
            <w:r>
              <w:rPr>
                <w:rFonts w:eastAsiaTheme="minorEastAsia"/>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37"/>
              <w:ind w:firstLine="480"/>
              <w:rPr>
                <w:rFonts w:eastAsiaTheme="minorEastAsia"/>
                <w:szCs w:val="24"/>
              </w:rPr>
            </w:pPr>
            <w:r>
              <w:rPr>
                <w:rFonts w:eastAsiaTheme="minorEastAsia"/>
                <w:szCs w:val="24"/>
              </w:rPr>
              <w:fldChar w:fldCharType="begin"/>
            </w:r>
            <w:r>
              <w:rPr>
                <w:rFonts w:eastAsiaTheme="minorEastAsia"/>
                <w:szCs w:val="24"/>
              </w:rPr>
              <w:instrText xml:space="preserve"> = 3 \* GB4 </w:instrText>
            </w:r>
            <w:r>
              <w:rPr>
                <w:rFonts w:eastAsiaTheme="minorEastAsia"/>
                <w:szCs w:val="24"/>
              </w:rPr>
              <w:fldChar w:fldCharType="separate"/>
            </w:r>
            <w:r>
              <w:rPr>
                <w:rFonts w:eastAsiaTheme="minorEastAsia"/>
                <w:szCs w:val="24"/>
              </w:rPr>
              <w:t>㈢</w:t>
            </w:r>
            <w:r>
              <w:rPr>
                <w:rFonts w:eastAsiaTheme="minorEastAsia"/>
                <w:szCs w:val="24"/>
              </w:rPr>
              <w:fldChar w:fldCharType="end"/>
            </w:r>
            <w:r>
              <w:rPr>
                <w:rFonts w:eastAsiaTheme="minorEastAsia"/>
                <w:szCs w:val="24"/>
              </w:rPr>
              <w:t>二沉池</w:t>
            </w:r>
          </w:p>
          <w:p>
            <w:pPr>
              <w:pStyle w:val="37"/>
              <w:ind w:firstLine="480"/>
              <w:rPr>
                <w:rFonts w:eastAsiaTheme="minorEastAsia"/>
                <w:szCs w:val="24"/>
              </w:rPr>
            </w:pPr>
            <w:r>
              <w:rPr>
                <w:rFonts w:eastAsiaTheme="minorEastAsia"/>
                <w:szCs w:val="24"/>
              </w:rPr>
              <w:t>接触氧化池出水进入二沉池，二沉池前设PAC（絮凝剂）投加系统，投加PAC（絮凝剂），去除SS和部分胶体颗粒，二沉池出水经过石英砂过滤后，进一步降低水中SS和胶体颗粒含量。</w:t>
            </w:r>
          </w:p>
          <w:p>
            <w:pPr>
              <w:pStyle w:val="37"/>
              <w:ind w:firstLine="480"/>
              <w:rPr>
                <w:rFonts w:eastAsiaTheme="minorEastAsia"/>
                <w:szCs w:val="24"/>
              </w:rPr>
            </w:pPr>
            <w:r>
              <w:rPr>
                <w:rFonts w:eastAsiaTheme="minorEastAsia"/>
                <w:szCs w:val="24"/>
              </w:rPr>
              <w:fldChar w:fldCharType="begin"/>
            </w:r>
            <w:r>
              <w:rPr>
                <w:rFonts w:eastAsiaTheme="minorEastAsia"/>
                <w:szCs w:val="24"/>
              </w:rPr>
              <w:instrText xml:space="preserve"> = 4 \* GB4 </w:instrText>
            </w:r>
            <w:r>
              <w:rPr>
                <w:rFonts w:eastAsiaTheme="minorEastAsia"/>
                <w:szCs w:val="24"/>
              </w:rPr>
              <w:fldChar w:fldCharType="separate"/>
            </w:r>
            <w:r>
              <w:rPr>
                <w:rFonts w:eastAsiaTheme="minorEastAsia"/>
                <w:szCs w:val="24"/>
              </w:rPr>
              <w:t>㈣</w:t>
            </w:r>
            <w:r>
              <w:rPr>
                <w:rFonts w:eastAsiaTheme="minorEastAsia"/>
                <w:szCs w:val="24"/>
              </w:rPr>
              <w:fldChar w:fldCharType="end"/>
            </w:r>
            <w:r>
              <w:rPr>
                <w:rFonts w:eastAsiaTheme="minorEastAsia"/>
                <w:szCs w:val="24"/>
              </w:rPr>
              <w:t>过滤</w:t>
            </w:r>
          </w:p>
          <w:p>
            <w:pPr>
              <w:pStyle w:val="37"/>
              <w:ind w:firstLine="480"/>
              <w:rPr>
                <w:rFonts w:eastAsiaTheme="minorEastAsia"/>
                <w:szCs w:val="24"/>
              </w:rPr>
            </w:pPr>
            <w:r>
              <w:rPr>
                <w:rFonts w:eastAsiaTheme="minorEastAsia"/>
                <w:szCs w:val="24"/>
              </w:rPr>
              <w:t>二沉池出水仍含有一定的悬浮物杂质，因此本方案设置深度处理（过滤）处理单元。二沉池出水进入过滤池进行过滤，去除水中残存的有机物、胶体、细菌残留物、微生物等。</w:t>
            </w:r>
          </w:p>
          <w:p>
            <w:pPr>
              <w:pStyle w:val="37"/>
              <w:ind w:firstLine="480"/>
              <w:rPr>
                <w:rFonts w:eastAsiaTheme="minorEastAsia"/>
                <w:szCs w:val="24"/>
              </w:rPr>
            </w:pPr>
            <w:r>
              <w:rPr>
                <w:rFonts w:eastAsiaTheme="minorEastAsia"/>
                <w:szCs w:val="24"/>
              </w:rPr>
              <w:fldChar w:fldCharType="begin"/>
            </w:r>
            <w:r>
              <w:rPr>
                <w:rFonts w:eastAsiaTheme="minorEastAsia"/>
                <w:szCs w:val="24"/>
              </w:rPr>
              <w:instrText xml:space="preserve"> = 5 \* GB4 </w:instrText>
            </w:r>
            <w:r>
              <w:rPr>
                <w:rFonts w:eastAsiaTheme="minorEastAsia"/>
                <w:szCs w:val="24"/>
              </w:rPr>
              <w:fldChar w:fldCharType="separate"/>
            </w:r>
            <w:r>
              <w:rPr>
                <w:rFonts w:eastAsiaTheme="minorEastAsia"/>
                <w:szCs w:val="24"/>
              </w:rPr>
              <w:t>㈤</w:t>
            </w:r>
            <w:r>
              <w:rPr>
                <w:rFonts w:eastAsiaTheme="minorEastAsia"/>
                <w:szCs w:val="24"/>
              </w:rPr>
              <w:fldChar w:fldCharType="end"/>
            </w:r>
            <w:r>
              <w:rPr>
                <w:rFonts w:eastAsiaTheme="minorEastAsia"/>
                <w:szCs w:val="24"/>
              </w:rPr>
              <w:t>消毒</w:t>
            </w:r>
          </w:p>
          <w:p>
            <w:pPr>
              <w:pStyle w:val="37"/>
              <w:ind w:firstLine="480"/>
              <w:rPr>
                <w:rFonts w:eastAsiaTheme="minorEastAsia"/>
                <w:szCs w:val="24"/>
              </w:rPr>
            </w:pPr>
            <w:r>
              <w:rPr>
                <w:rFonts w:eastAsiaTheme="minorEastAsia"/>
                <w:szCs w:val="24"/>
              </w:rPr>
              <w:t>过滤后的污水经过消毒，即可满足排放要求，消毒采用自动投加方式，定量把次氯酸钠药液投加到消毒池中，可以较彻底的消除细菌、臭味、色度等可能对人群造成的危害。</w:t>
            </w:r>
          </w:p>
          <w:p>
            <w:pPr>
              <w:pStyle w:val="37"/>
              <w:ind w:firstLine="480"/>
              <w:rPr>
                <w:rFonts w:eastAsiaTheme="minorEastAsia"/>
                <w:szCs w:val="24"/>
              </w:rPr>
            </w:pPr>
            <w:r>
              <w:rPr>
                <w:rFonts w:eastAsiaTheme="minorEastAsia"/>
                <w:szCs w:val="24"/>
              </w:rPr>
              <w:t>根据工程分析可知，经调节池调节处理后的生活污水BOD/COD约为0.63≥0.3，满足可生化条件，因此项目拟采用废水生化处理工艺技术可行，由根据核算，项目生活污水经一体化污水处理设施处理后可达到《城市污水再生利用 城市杂用水水质》（GB/T18920 -2020）城市绿化标准，因此其技术可行。</w:t>
            </w:r>
          </w:p>
          <w:p>
            <w:pPr>
              <w:pStyle w:val="37"/>
              <w:ind w:firstLine="480"/>
              <w:rPr>
                <w:rFonts w:eastAsiaTheme="minorEastAsia"/>
                <w:szCs w:val="24"/>
              </w:rPr>
            </w:pPr>
            <w:r>
              <w:rPr>
                <w:rFonts w:eastAsiaTheme="minorEastAsia"/>
                <w:szCs w:val="24"/>
              </w:rPr>
              <w:t>综上，项目设置1套处理能力为10m³/d的一体化污水处理设施对项目区废水进行处理，处理后回用于回用于项目区绿化，该措施可行。</w:t>
            </w:r>
          </w:p>
          <w:p>
            <w:pPr>
              <w:pStyle w:val="37"/>
              <w:ind w:firstLine="482"/>
              <w:rPr>
                <w:rFonts w:eastAsiaTheme="minorEastAsia"/>
                <w:b/>
                <w:szCs w:val="24"/>
              </w:rPr>
            </w:pPr>
            <w:r>
              <w:rPr>
                <w:rFonts w:eastAsiaTheme="minorEastAsia"/>
                <w:b/>
                <w:szCs w:val="24"/>
              </w:rPr>
              <w:fldChar w:fldCharType="begin"/>
            </w:r>
            <w:r>
              <w:rPr>
                <w:rFonts w:eastAsiaTheme="minorEastAsia"/>
                <w:b/>
                <w:szCs w:val="24"/>
              </w:rPr>
              <w:instrText xml:space="preserve"> = 4 \* GB3 </w:instrText>
            </w:r>
            <w:r>
              <w:rPr>
                <w:rFonts w:eastAsiaTheme="minorEastAsia"/>
                <w:b/>
                <w:szCs w:val="24"/>
              </w:rPr>
              <w:fldChar w:fldCharType="separate"/>
            </w:r>
            <w:r>
              <w:rPr>
                <w:rFonts w:eastAsiaTheme="minorEastAsia"/>
                <w:b/>
                <w:szCs w:val="24"/>
              </w:rPr>
              <w:t>④</w:t>
            </w:r>
            <w:r>
              <w:rPr>
                <w:rFonts w:eastAsiaTheme="minorEastAsia"/>
                <w:b/>
                <w:szCs w:val="24"/>
              </w:rPr>
              <w:fldChar w:fldCharType="end"/>
            </w:r>
            <w:r>
              <w:rPr>
                <w:rFonts w:eastAsiaTheme="minorEastAsia"/>
                <w:b/>
                <w:szCs w:val="24"/>
              </w:rPr>
              <w:t>再生水收集池环境影响减缓措施有效性分析</w:t>
            </w:r>
          </w:p>
          <w:p>
            <w:pPr>
              <w:pStyle w:val="37"/>
              <w:ind w:firstLine="480"/>
              <w:rPr>
                <w:rFonts w:eastAsiaTheme="minorEastAsia"/>
                <w:szCs w:val="24"/>
              </w:rPr>
            </w:pPr>
            <w:r>
              <w:rPr>
                <w:rFonts w:eastAsiaTheme="minorEastAsia"/>
                <w:szCs w:val="24"/>
              </w:rPr>
              <w:t>为了满足雨天等特殊情况，处理后生活污水的暂存要求，项目拟配套设置1个有效容积为10m³的再生水收集池对处理后的生活污水进行暂存；项目生活污水最大产生量为2.56m³/d，再生水收集池可满足生活污水超过3d的储存量，可满足雨天暂存后用于非雨天绿化的暂存要求，因此其设置可行。</w:t>
            </w:r>
          </w:p>
          <w:p>
            <w:pPr>
              <w:pStyle w:val="37"/>
              <w:ind w:firstLine="482"/>
              <w:rPr>
                <w:rFonts w:eastAsiaTheme="minorEastAsia"/>
                <w:b/>
                <w:szCs w:val="24"/>
              </w:rPr>
            </w:pPr>
            <w:r>
              <w:rPr>
                <w:rFonts w:ascii="宋体"/>
                <w:b/>
                <w:szCs w:val="24"/>
              </w:rPr>
              <w:t>⑤</w:t>
            </w:r>
            <w:r>
              <w:rPr>
                <w:rFonts w:eastAsiaTheme="minorEastAsia"/>
                <w:b/>
                <w:szCs w:val="24"/>
              </w:rPr>
              <w:t>初期雨水污染治理措施可行性分析</w:t>
            </w:r>
          </w:p>
          <w:p>
            <w:pPr>
              <w:pStyle w:val="37"/>
              <w:ind w:firstLine="480"/>
              <w:rPr>
                <w:rFonts w:eastAsiaTheme="minorEastAsia"/>
                <w:szCs w:val="24"/>
              </w:rPr>
            </w:pPr>
            <w:r>
              <w:rPr>
                <w:rFonts w:eastAsiaTheme="minorEastAsia"/>
                <w:szCs w:val="24"/>
              </w:rPr>
              <w:t>根据工程分析可知，该项目厂区的初期雨水产生量约为8.7m³/次，该项目拟配套设置了1个10m³的初期雨水收集池，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总则》（HJ819-2017）和《排污许可证申请与核发技术规范 废弃资源加工工业》（HJ1034-2019）的要求，项目</w:t>
            </w:r>
            <w:r>
              <w:rPr>
                <w:rFonts w:ascii="Times New Roman" w:hAnsi="Times New Roman" w:cs="Times New Roman"/>
                <w:sz w:val="24"/>
              </w:rPr>
              <w:t>废水</w:t>
            </w:r>
            <w:r>
              <w:rPr>
                <w:rFonts w:ascii="Times New Roman" w:hAnsi="Times New Roman" w:cs="Times New Roman"/>
                <w:sz w:val="24"/>
                <w:szCs w:val="24"/>
              </w:rPr>
              <w:t>自行监测要求如下表所示。</w:t>
            </w:r>
          </w:p>
          <w:p>
            <w:pPr>
              <w:jc w:val="center"/>
              <w:rPr>
                <w:rFonts w:ascii="Times New Roman" w:hAnsi="Times New Roman" w:cs="Times New Roman"/>
                <w:b/>
                <w:szCs w:val="24"/>
              </w:rPr>
            </w:pPr>
            <w:r>
              <w:rPr>
                <w:rFonts w:ascii="Times New Roman" w:hAnsi="Times New Roman" w:cs="Times New Roman"/>
                <w:b/>
                <w:szCs w:val="24"/>
              </w:rPr>
              <w:t>表4.2.2-5  项目运营期</w:t>
            </w:r>
            <w:r>
              <w:rPr>
                <w:rFonts w:ascii="Times New Roman" w:hAnsi="Times New Roman" w:cs="Times New Roman"/>
                <w:b/>
              </w:rPr>
              <w:t>废水</w:t>
            </w:r>
            <w:r>
              <w:rPr>
                <w:rFonts w:ascii="Times New Roman" w:hAnsi="Times New Roman" w:cs="Times New Roman"/>
                <w:b/>
                <w:szCs w:val="24"/>
              </w:rPr>
              <w:t>自行监测计划一览表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42"/>
              <w:gridCol w:w="2406"/>
              <w:gridCol w:w="998"/>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 w:type="dxa"/>
                  <w:vAlign w:val="center"/>
                </w:tcPr>
                <w:p>
                  <w:pPr>
                    <w:pStyle w:val="29"/>
                    <w:spacing w:line="360" w:lineRule="exact"/>
                    <w:rPr>
                      <w:rFonts w:eastAsiaTheme="minorEastAsia"/>
                      <w:color w:val="auto"/>
                      <w:szCs w:val="21"/>
                    </w:rPr>
                  </w:pPr>
                  <w:r>
                    <w:rPr>
                      <w:rFonts w:eastAsiaTheme="minorEastAsia"/>
                      <w:color w:val="auto"/>
                      <w:szCs w:val="21"/>
                    </w:rPr>
                    <w:t>对象</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监测点位</w:t>
                  </w:r>
                </w:p>
              </w:tc>
              <w:tc>
                <w:tcPr>
                  <w:tcW w:w="2406" w:type="dxa"/>
                  <w:vAlign w:val="center"/>
                </w:tcPr>
                <w:p>
                  <w:pPr>
                    <w:pStyle w:val="29"/>
                    <w:spacing w:line="360" w:lineRule="exact"/>
                    <w:rPr>
                      <w:rFonts w:eastAsiaTheme="minorEastAsia"/>
                      <w:color w:val="auto"/>
                      <w:szCs w:val="21"/>
                    </w:rPr>
                  </w:pPr>
                  <w:r>
                    <w:rPr>
                      <w:rFonts w:eastAsiaTheme="minorEastAsia"/>
                      <w:color w:val="auto"/>
                      <w:szCs w:val="21"/>
                    </w:rPr>
                    <w:t>监测因子</w:t>
                  </w:r>
                </w:p>
              </w:tc>
              <w:tc>
                <w:tcPr>
                  <w:tcW w:w="998" w:type="dxa"/>
                  <w:vAlign w:val="center"/>
                </w:tcPr>
                <w:p>
                  <w:pPr>
                    <w:pStyle w:val="29"/>
                    <w:spacing w:line="360" w:lineRule="exact"/>
                    <w:rPr>
                      <w:rFonts w:eastAsiaTheme="minorEastAsia"/>
                      <w:color w:val="auto"/>
                      <w:szCs w:val="21"/>
                    </w:rPr>
                  </w:pPr>
                  <w:r>
                    <w:rPr>
                      <w:rFonts w:eastAsiaTheme="minorEastAsia"/>
                      <w:color w:val="auto"/>
                      <w:szCs w:val="21"/>
                    </w:rPr>
                    <w:t>最低监测频率</w:t>
                  </w:r>
                </w:p>
              </w:tc>
              <w:tc>
                <w:tcPr>
                  <w:tcW w:w="2479" w:type="dxa"/>
                  <w:vAlign w:val="center"/>
                </w:tcPr>
                <w:p>
                  <w:pPr>
                    <w:pStyle w:val="29"/>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83" w:type="dxa"/>
                  <w:vMerge w:val="restart"/>
                  <w:vAlign w:val="center"/>
                </w:tcPr>
                <w:p>
                  <w:pPr>
                    <w:pStyle w:val="29"/>
                    <w:spacing w:line="360" w:lineRule="exact"/>
                    <w:rPr>
                      <w:rFonts w:eastAsiaTheme="minorEastAsia"/>
                      <w:color w:val="auto"/>
                      <w:szCs w:val="21"/>
                    </w:rPr>
                  </w:pPr>
                  <w:r>
                    <w:rPr>
                      <w:rFonts w:eastAsiaTheme="minorEastAsia"/>
                      <w:color w:val="auto"/>
                      <w:szCs w:val="21"/>
                    </w:rPr>
                    <w:t>废水</w:t>
                  </w:r>
                </w:p>
              </w:tc>
              <w:tc>
                <w:tcPr>
                  <w:tcW w:w="1842" w:type="dxa"/>
                  <w:vAlign w:val="center"/>
                </w:tcPr>
                <w:p>
                  <w:pPr>
                    <w:pStyle w:val="29"/>
                    <w:spacing w:line="360" w:lineRule="exact"/>
                    <w:ind w:firstLine="210" w:firstLineChars="100"/>
                    <w:jc w:val="left"/>
                    <w:rPr>
                      <w:rFonts w:eastAsiaTheme="minorEastAsia"/>
                      <w:color w:val="auto"/>
                      <w:szCs w:val="21"/>
                    </w:rPr>
                  </w:pPr>
                  <w:r>
                    <w:rPr>
                      <w:rFonts w:eastAsiaTheme="minorEastAsia"/>
                      <w:color w:val="auto"/>
                      <w:szCs w:val="21"/>
                    </w:rPr>
                    <w:t>近期监测点位位：一体化污水处理设施</w:t>
                  </w:r>
                </w:p>
              </w:tc>
              <w:tc>
                <w:tcPr>
                  <w:tcW w:w="2406" w:type="dxa"/>
                  <w:vAlign w:val="center"/>
                </w:tcPr>
                <w:p>
                  <w:pPr>
                    <w:pStyle w:val="29"/>
                    <w:spacing w:line="360" w:lineRule="exact"/>
                    <w:ind w:firstLine="210" w:firstLineChars="100"/>
                    <w:jc w:val="left"/>
                    <w:rPr>
                      <w:rFonts w:eastAsiaTheme="minorEastAsia"/>
                      <w:color w:val="auto"/>
                    </w:rPr>
                  </w:pPr>
                  <w:r>
                    <w:rPr>
                      <w:color w:val="auto"/>
                      <w:szCs w:val="21"/>
                    </w:rPr>
                    <w:t>pH、色（度）、浊度、溶解性总固体、BOD</w:t>
                  </w:r>
                  <w:r>
                    <w:rPr>
                      <w:color w:val="auto"/>
                      <w:szCs w:val="21"/>
                      <w:vertAlign w:val="subscript"/>
                    </w:rPr>
                    <w:t>5</w:t>
                  </w:r>
                  <w:r>
                    <w:rPr>
                      <w:color w:val="auto"/>
                      <w:szCs w:val="21"/>
                    </w:rPr>
                    <w:t>、氨氮、阴离子表面活性、溶解氧、总余氯、大肠埃氏菌、CODcr、SS、总磷、总氮、动植物油、粪大肠菌群数</w:t>
                  </w:r>
                </w:p>
              </w:tc>
              <w:tc>
                <w:tcPr>
                  <w:tcW w:w="998" w:type="dxa"/>
                  <w:vAlign w:val="center"/>
                </w:tcPr>
                <w:p>
                  <w:pPr>
                    <w:pStyle w:val="29"/>
                    <w:spacing w:line="360" w:lineRule="exact"/>
                    <w:rPr>
                      <w:rFonts w:eastAsiaTheme="minorEastAsia"/>
                      <w:color w:val="auto"/>
                      <w:szCs w:val="21"/>
                    </w:rPr>
                  </w:pPr>
                  <w:r>
                    <w:rPr>
                      <w:rFonts w:eastAsiaTheme="minorEastAsia"/>
                      <w:color w:val="auto"/>
                      <w:szCs w:val="21"/>
                    </w:rPr>
                    <w:t>仅在自行验收时监测</w:t>
                  </w:r>
                </w:p>
              </w:tc>
              <w:tc>
                <w:tcPr>
                  <w:tcW w:w="2479" w:type="dxa"/>
                  <w:vAlign w:val="center"/>
                </w:tcPr>
                <w:p>
                  <w:pPr>
                    <w:pStyle w:val="29"/>
                    <w:spacing w:line="360" w:lineRule="exact"/>
                    <w:ind w:firstLine="210" w:firstLineChars="100"/>
                    <w:jc w:val="both"/>
                    <w:rPr>
                      <w:rFonts w:eastAsiaTheme="minorEastAsia"/>
                      <w:color w:val="auto"/>
                      <w:szCs w:val="21"/>
                    </w:rPr>
                  </w:pPr>
                  <w:r>
                    <w:rPr>
                      <w:color w:val="auto"/>
                    </w:rPr>
                    <w:t>《城市污水再生利用 城市杂用水水质》（GB/T18920-2020）中城市绿化标准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83" w:type="dxa"/>
                  <w:vMerge w:val="continue"/>
                  <w:vAlign w:val="center"/>
                </w:tcPr>
                <w:p>
                  <w:pPr>
                    <w:pStyle w:val="29"/>
                    <w:spacing w:line="360" w:lineRule="exact"/>
                    <w:rPr>
                      <w:rFonts w:eastAsiaTheme="minorEastAsia"/>
                      <w:color w:val="auto"/>
                      <w:szCs w:val="21"/>
                    </w:rPr>
                  </w:pPr>
                </w:p>
              </w:tc>
              <w:tc>
                <w:tcPr>
                  <w:tcW w:w="1842" w:type="dxa"/>
                  <w:vAlign w:val="center"/>
                </w:tcPr>
                <w:p>
                  <w:pPr>
                    <w:pStyle w:val="29"/>
                    <w:spacing w:line="360" w:lineRule="exact"/>
                    <w:ind w:firstLine="210" w:firstLineChars="100"/>
                    <w:jc w:val="left"/>
                    <w:rPr>
                      <w:rFonts w:eastAsiaTheme="minorEastAsia"/>
                      <w:color w:val="auto"/>
                      <w:szCs w:val="21"/>
                    </w:rPr>
                  </w:pPr>
                  <w:r>
                    <w:rPr>
                      <w:rFonts w:eastAsiaTheme="minorEastAsia"/>
                      <w:color w:val="auto"/>
                      <w:szCs w:val="21"/>
                    </w:rPr>
                    <w:t>远期监测点位位：化粪池排放口</w:t>
                  </w:r>
                </w:p>
              </w:tc>
              <w:tc>
                <w:tcPr>
                  <w:tcW w:w="2406" w:type="dxa"/>
                  <w:vAlign w:val="center"/>
                </w:tcPr>
                <w:p>
                  <w:pPr>
                    <w:pStyle w:val="29"/>
                    <w:spacing w:line="360" w:lineRule="exact"/>
                    <w:ind w:firstLine="210" w:firstLineChars="100"/>
                    <w:jc w:val="left"/>
                    <w:rPr>
                      <w:bCs w:val="0"/>
                      <w:snapToGrid/>
                      <w:color w:val="auto"/>
                      <w:kern w:val="0"/>
                      <w:szCs w:val="21"/>
                      <w:lang w:val="en-US"/>
                    </w:rPr>
                  </w:pPr>
                  <w:r>
                    <w:rPr>
                      <w:bCs w:val="0"/>
                      <w:snapToGrid/>
                      <w:color w:val="auto"/>
                      <w:kern w:val="0"/>
                      <w:szCs w:val="21"/>
                      <w:lang w:val="en-US"/>
                    </w:rPr>
                    <w:t>pH值、化学需氧量、石油类、氨氮、悬浮物、五日生化需氧量、总磷</w:t>
                  </w:r>
                </w:p>
              </w:tc>
              <w:tc>
                <w:tcPr>
                  <w:tcW w:w="998" w:type="dxa"/>
                  <w:vAlign w:val="center"/>
                </w:tcPr>
                <w:p>
                  <w:pPr>
                    <w:pStyle w:val="29"/>
                    <w:spacing w:line="360" w:lineRule="exact"/>
                    <w:rPr>
                      <w:rFonts w:eastAsiaTheme="minorEastAsia"/>
                      <w:color w:val="auto"/>
                      <w:szCs w:val="21"/>
                    </w:rPr>
                  </w:pPr>
                  <w:r>
                    <w:rPr>
                      <w:rFonts w:eastAsiaTheme="minorEastAsia"/>
                      <w:color w:val="auto"/>
                      <w:szCs w:val="21"/>
                    </w:rPr>
                    <w:t>1次/年</w:t>
                  </w:r>
                </w:p>
              </w:tc>
              <w:tc>
                <w:tcPr>
                  <w:tcW w:w="2479" w:type="dxa"/>
                  <w:vAlign w:val="center"/>
                </w:tcPr>
                <w:p>
                  <w:pPr>
                    <w:pStyle w:val="29"/>
                    <w:spacing w:line="360" w:lineRule="exact"/>
                    <w:ind w:firstLine="210" w:firstLineChars="100"/>
                    <w:jc w:val="both"/>
                    <w:rPr>
                      <w:rFonts w:eastAsiaTheme="minorEastAsia"/>
                      <w:color w:val="auto"/>
                      <w:szCs w:val="21"/>
                    </w:rPr>
                  </w:pPr>
                  <w:r>
                    <w:rPr>
                      <w:color w:val="auto"/>
                    </w:rPr>
                    <w:t>《污水排入城镇下水道水质标准》（GB/T31962-2015）的A等级标准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83" w:type="dxa"/>
                  <w:vAlign w:val="center"/>
                </w:tcPr>
                <w:p>
                  <w:pPr>
                    <w:pStyle w:val="29"/>
                    <w:spacing w:line="360" w:lineRule="exact"/>
                    <w:rPr>
                      <w:rFonts w:eastAsiaTheme="minorEastAsia"/>
                      <w:color w:val="auto"/>
                      <w:szCs w:val="21"/>
                    </w:rPr>
                  </w:pPr>
                  <w:r>
                    <w:rPr>
                      <w:rFonts w:eastAsiaTheme="minorEastAsia"/>
                      <w:color w:val="auto"/>
                      <w:szCs w:val="21"/>
                    </w:rPr>
                    <w:t>雨水</w:t>
                  </w:r>
                </w:p>
              </w:tc>
              <w:tc>
                <w:tcPr>
                  <w:tcW w:w="1842" w:type="dxa"/>
                  <w:vAlign w:val="center"/>
                </w:tcPr>
                <w:p>
                  <w:pPr>
                    <w:pStyle w:val="29"/>
                    <w:spacing w:line="360" w:lineRule="exact"/>
                    <w:ind w:firstLine="210" w:firstLineChars="100"/>
                    <w:jc w:val="left"/>
                    <w:rPr>
                      <w:rFonts w:eastAsiaTheme="minorEastAsia"/>
                      <w:color w:val="auto"/>
                      <w:szCs w:val="21"/>
                    </w:rPr>
                  </w:pPr>
                  <w:r>
                    <w:rPr>
                      <w:rFonts w:eastAsiaTheme="minorEastAsia"/>
                      <w:color w:val="auto"/>
                      <w:szCs w:val="21"/>
                    </w:rPr>
                    <w:t>雨水排放口</w:t>
                  </w:r>
                </w:p>
              </w:tc>
              <w:tc>
                <w:tcPr>
                  <w:tcW w:w="2406" w:type="dxa"/>
                  <w:vAlign w:val="center"/>
                </w:tcPr>
                <w:p>
                  <w:pPr>
                    <w:pStyle w:val="29"/>
                    <w:spacing w:line="360" w:lineRule="exact"/>
                    <w:ind w:firstLine="210" w:firstLineChars="100"/>
                    <w:jc w:val="left"/>
                    <w:rPr>
                      <w:bCs w:val="0"/>
                      <w:snapToGrid/>
                      <w:color w:val="auto"/>
                      <w:kern w:val="0"/>
                      <w:szCs w:val="21"/>
                      <w:lang w:val="en-US"/>
                    </w:rPr>
                  </w:pPr>
                  <w:r>
                    <w:rPr>
                      <w:bCs w:val="0"/>
                      <w:snapToGrid/>
                      <w:color w:val="auto"/>
                      <w:kern w:val="0"/>
                      <w:szCs w:val="21"/>
                      <w:lang w:val="en-US"/>
                    </w:rPr>
                    <w:t>CODcr、石油类、SS</w:t>
                  </w:r>
                </w:p>
              </w:tc>
              <w:tc>
                <w:tcPr>
                  <w:tcW w:w="998" w:type="dxa"/>
                  <w:vAlign w:val="center"/>
                </w:tcPr>
                <w:p>
                  <w:pPr>
                    <w:pStyle w:val="29"/>
                    <w:spacing w:line="360" w:lineRule="exact"/>
                    <w:rPr>
                      <w:rFonts w:eastAsiaTheme="minorEastAsia"/>
                      <w:color w:val="auto"/>
                      <w:szCs w:val="21"/>
                    </w:rPr>
                  </w:pPr>
                  <w:r>
                    <w:rPr>
                      <w:rFonts w:eastAsiaTheme="minorEastAsia"/>
                      <w:color w:val="auto"/>
                      <w:szCs w:val="21"/>
                    </w:rPr>
                    <w:t>1次/年</w:t>
                  </w:r>
                </w:p>
              </w:tc>
              <w:tc>
                <w:tcPr>
                  <w:tcW w:w="2479" w:type="dxa"/>
                  <w:vAlign w:val="center"/>
                </w:tcPr>
                <w:p>
                  <w:pPr>
                    <w:pStyle w:val="29"/>
                    <w:spacing w:line="360" w:lineRule="exact"/>
                    <w:ind w:firstLine="210" w:firstLineChars="100"/>
                    <w:jc w:val="both"/>
                    <w:rPr>
                      <w:color w:val="auto"/>
                    </w:rPr>
                  </w:pPr>
                  <w:r>
                    <w:rPr>
                      <w:color w:val="auto"/>
                    </w:rPr>
                    <w:t>--</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rPr>
              <w:t>废水</w:t>
            </w:r>
            <w:r>
              <w:rPr>
                <w:rFonts w:ascii="Times New Roman" w:hAnsi="Times New Roman" w:cs="Times New Roman"/>
                <w:b/>
                <w:sz w:val="24"/>
                <w:szCs w:val="24"/>
              </w:rPr>
              <w:t>环境影响分析结论</w:t>
            </w:r>
          </w:p>
          <w:p>
            <w:pPr>
              <w:spacing w:line="360" w:lineRule="auto"/>
              <w:ind w:firstLine="482" w:firstLineChars="200"/>
              <w:rPr>
                <w:rFonts w:ascii="Times New Roman" w:hAnsi="Times New Roman" w:cs="Times New Roman"/>
                <w:sz w:val="24"/>
              </w:rPr>
            </w:pPr>
            <w:r>
              <w:rPr>
                <w:rFonts w:ascii="Times New Roman" w:hAnsi="Times New Roman" w:eastAsia="宋体" w:cs="Times New Roman"/>
                <w:b/>
                <w:sz w:val="24"/>
              </w:rPr>
              <w:t>①</w:t>
            </w:r>
            <w:r>
              <w:rPr>
                <w:rFonts w:ascii="Times New Roman" w:hAnsi="Times New Roman" w:cs="Times New Roman"/>
                <w:b/>
                <w:sz w:val="24"/>
              </w:rPr>
              <w:t>生活污水环境影响分析</w:t>
            </w:r>
            <w:r>
              <w:rPr>
                <w:rFonts w:ascii="Times New Roman" w:hAnsi="Times New Roman" w:cs="Times New Roman"/>
                <w:b/>
                <w:sz w:val="24"/>
                <w:szCs w:val="24"/>
              </w:rPr>
              <w:t>结论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程分析可知，项目生活污水产生量为2.56m³/d，合计为768m³/a；厨房废水先进入1个1m³的隔油池进行预处理，再和生活区其他生活污水一起进入1#化粪池处理，办公楼生活污水进入2#化粪池处理，生活污水经两化粪池处理后统一进入1套处理能力为10m³/d的一体化污水处理设施处理。同时项目拟设置1个有效容积为10m³的再生水收集池对雨天处理后的生活污水进行暂存，可满足暂存要求；近期（园区污水处理厂建成前），非雨天项目产生的废水可完全回用于绿化不外排；而雨天项目产生的废水不能用于绿化，生活污水产生量为768m³/a，而项目绿化需水量为1759.5m³/a，大于项目区生活污水产生量，因此项目区雨天产生的废水暂存于再生水收集池后，完全可回用于项目区非雨天绿化，不外排。综上，项目区生活污水在近期（园区污水处理厂建成前）可得到合理处置。远期（园区污水处理厂建成后），根据《云南省东川再就业特区天生桥特色产业园规划》，产业园将规划二座污水处理厂，在产业园中部规划一座日处理规模为近期2.0万m³/d，远期3.0万m³/d的污水处理厂；中期在产业园的北部规划一座占地40亩，日处理规模为1.0万m³/d的污水处理厂。该项目位于天生桥特色产业园中部，可预处理后直接进入中部污水处理厂。若污水处理厂及配套管网建成后，该项目产生的生活污水通过隔油池、化粪池预处理达到《污水排入城镇下水道水质标准》（GB/T31962-2015）表1 A级标准后，进入东川再就业特区天生桥特色产业园污水处理厂集中处理。因此，生活污水近期（园区污水处理厂建成前）回用和远期（园区污水处理厂建成后）进入东川再就业特区天生桥特色产业园污水处理厂的可行性。对地表水环境影响较小。</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初期雨水环境影响分析</w:t>
            </w:r>
            <w:r>
              <w:rPr>
                <w:rFonts w:ascii="Times New Roman" w:hAnsi="Times New Roman" w:cs="Times New Roman"/>
                <w:b/>
                <w:sz w:val="24"/>
                <w:szCs w:val="24"/>
              </w:rPr>
              <w:t>结论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根据工程分析可知，该项目厂区初期雨水产生量约为8.7m³/次，该项目拟配套设置了1个10m³的初期雨水收集池，对厂区的初期雨水进行收集沉淀处理，回用用于项目区绿化，不外排；对环境影响较小。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3</w:t>
            </w:r>
            <w:r>
              <w:rPr>
                <w:rFonts w:ascii="Times New Roman" w:hAnsi="Times New Roman" w:cs="Times New Roman"/>
                <w:b/>
                <w:sz w:val="24"/>
                <w:szCs w:val="24"/>
              </w:rPr>
              <w:t xml:space="preserve"> 运营期</w:t>
            </w:r>
            <w:r>
              <w:rPr>
                <w:rFonts w:ascii="Times New Roman" w:hAnsi="Times New Roman" w:cs="Times New Roman"/>
                <w:b/>
                <w:sz w:val="24"/>
              </w:rPr>
              <w:t>噪声</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szCs w:val="24"/>
              </w:rPr>
              <w:t>（1）</w:t>
            </w:r>
            <w:r>
              <w:rPr>
                <w:rFonts w:ascii="Times New Roman" w:hAnsi="Times New Roman" w:cs="Times New Roman"/>
                <w:b/>
                <w:sz w:val="24"/>
              </w:rPr>
              <w:t>运营期噪声污染源强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项目噪声污染源主要为设备噪声，其源强如下表所示。</w:t>
            </w:r>
          </w:p>
          <w:p>
            <w:pPr>
              <w:jc w:val="center"/>
              <w:rPr>
                <w:rFonts w:ascii="Times New Roman" w:hAnsi="Times New Roman" w:cs="Times New Roman"/>
                <w:b/>
                <w:szCs w:val="24"/>
              </w:rPr>
            </w:pPr>
            <w:r>
              <w:rPr>
                <w:rFonts w:ascii="Times New Roman" w:hAnsi="Times New Roman" w:cs="Times New Roman"/>
                <w:b/>
                <w:szCs w:val="24"/>
              </w:rPr>
              <w:t>表4.2.</w:t>
            </w:r>
            <w:r>
              <w:rPr>
                <w:rFonts w:ascii="Times New Roman" w:hAnsi="Times New Roman" w:cs="Times New Roman"/>
                <w:b/>
              </w:rPr>
              <w:t>3</w:t>
            </w:r>
            <w:r>
              <w:rPr>
                <w:rFonts w:ascii="Times New Roman" w:hAnsi="Times New Roman" w:cs="Times New Roman"/>
                <w:b/>
                <w:szCs w:val="24"/>
              </w:rPr>
              <w:t>-1 项目主要生产设备噪声源强一览表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702"/>
              <w:gridCol w:w="1559"/>
              <w:gridCol w:w="1134"/>
              <w:gridCol w:w="1242"/>
              <w:gridCol w:w="1016"/>
              <w:gridCol w:w="1148"/>
              <w:gridCol w:w="1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Align w:val="center"/>
                </w:tcPr>
                <w:p>
                  <w:pPr>
                    <w:pStyle w:val="29"/>
                    <w:spacing w:line="360" w:lineRule="exact"/>
                    <w:rPr>
                      <w:color w:val="auto"/>
                      <w:szCs w:val="21"/>
                    </w:rPr>
                  </w:pPr>
                  <w:r>
                    <w:rPr>
                      <w:color w:val="auto"/>
                      <w:szCs w:val="21"/>
                    </w:rPr>
                    <w:t>主要生产单元</w:t>
                  </w:r>
                </w:p>
              </w:tc>
              <w:tc>
                <w:tcPr>
                  <w:tcW w:w="702" w:type="dxa"/>
                  <w:tcBorders>
                    <w:right w:val="single" w:color="auto" w:sz="4" w:space="0"/>
                  </w:tcBorders>
                  <w:vAlign w:val="center"/>
                </w:tcPr>
                <w:p>
                  <w:pPr>
                    <w:pStyle w:val="29"/>
                    <w:spacing w:line="360" w:lineRule="exact"/>
                    <w:rPr>
                      <w:color w:val="auto"/>
                      <w:szCs w:val="21"/>
                    </w:rPr>
                  </w:pPr>
                  <w:r>
                    <w:rPr>
                      <w:color w:val="auto"/>
                      <w:szCs w:val="21"/>
                    </w:rPr>
                    <w:t>主要工艺</w:t>
                  </w:r>
                </w:p>
              </w:tc>
              <w:tc>
                <w:tcPr>
                  <w:tcW w:w="1559" w:type="dxa"/>
                  <w:tcBorders>
                    <w:right w:val="single" w:color="auto" w:sz="4" w:space="0"/>
                  </w:tcBorders>
                  <w:vAlign w:val="center"/>
                </w:tcPr>
                <w:p>
                  <w:pPr>
                    <w:pStyle w:val="29"/>
                    <w:spacing w:line="360" w:lineRule="exact"/>
                    <w:rPr>
                      <w:color w:val="auto"/>
                      <w:szCs w:val="21"/>
                    </w:rPr>
                  </w:pPr>
                  <w:r>
                    <w:rPr>
                      <w:color w:val="auto"/>
                      <w:szCs w:val="21"/>
                    </w:rPr>
                    <w:t>生产设施</w:t>
                  </w:r>
                </w:p>
              </w:tc>
              <w:tc>
                <w:tcPr>
                  <w:tcW w:w="1134" w:type="dxa"/>
                  <w:tcBorders>
                    <w:left w:val="single" w:color="auto" w:sz="4" w:space="0"/>
                  </w:tcBorders>
                  <w:vAlign w:val="center"/>
                </w:tcPr>
                <w:p>
                  <w:pPr>
                    <w:pStyle w:val="29"/>
                    <w:spacing w:line="360" w:lineRule="exact"/>
                    <w:rPr>
                      <w:color w:val="auto"/>
                      <w:szCs w:val="21"/>
                    </w:rPr>
                  </w:pPr>
                  <w:r>
                    <w:rPr>
                      <w:color w:val="auto"/>
                      <w:szCs w:val="21"/>
                    </w:rPr>
                    <w:t>规格型号</w:t>
                  </w:r>
                </w:p>
              </w:tc>
              <w:tc>
                <w:tcPr>
                  <w:tcW w:w="1242"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产生强度〔dB（A）〕</w:t>
                  </w:r>
                </w:p>
              </w:tc>
              <w:tc>
                <w:tcPr>
                  <w:tcW w:w="1016"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降噪措施</w:t>
                  </w:r>
                </w:p>
              </w:tc>
              <w:tc>
                <w:tcPr>
                  <w:tcW w:w="1148" w:type="dxa"/>
                  <w:tcBorders>
                    <w:left w:val="single" w:color="auto" w:sz="4" w:space="0"/>
                  </w:tcBorders>
                  <w:vAlign w:val="center"/>
                </w:tcPr>
                <w:p>
                  <w:pPr>
                    <w:pStyle w:val="29"/>
                    <w:spacing w:line="360" w:lineRule="exact"/>
                    <w:rPr>
                      <w:color w:val="auto"/>
                      <w:szCs w:val="21"/>
                    </w:rPr>
                  </w:pPr>
                  <w:r>
                    <w:rPr>
                      <w:color w:val="auto"/>
                      <w:szCs w:val="21"/>
                    </w:rPr>
                    <w:t>排放强度〔dB（A）〕</w:t>
                  </w:r>
                </w:p>
              </w:tc>
              <w:tc>
                <w:tcPr>
                  <w:tcW w:w="1062" w:type="dxa"/>
                  <w:vAlign w:val="center"/>
                </w:tcPr>
                <w:p>
                  <w:pPr>
                    <w:pStyle w:val="29"/>
                    <w:spacing w:line="360" w:lineRule="exact"/>
                    <w:rPr>
                      <w:color w:val="auto"/>
                      <w:szCs w:val="21"/>
                    </w:rPr>
                  </w:pPr>
                  <w:r>
                    <w:rPr>
                      <w:color w:val="auto"/>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auto"/>
                      <w:szCs w:val="21"/>
                    </w:rPr>
                  </w:pPr>
                  <w:r>
                    <w:rPr>
                      <w:color w:val="auto"/>
                      <w:szCs w:val="21"/>
                    </w:rPr>
                    <w:t>主体工程</w:t>
                  </w:r>
                </w:p>
              </w:tc>
              <w:tc>
                <w:tcPr>
                  <w:tcW w:w="702" w:type="dxa"/>
                  <w:vMerge w:val="restart"/>
                  <w:tcBorders>
                    <w:right w:val="single" w:color="auto" w:sz="4" w:space="0"/>
                  </w:tcBorders>
                  <w:vAlign w:val="center"/>
                </w:tcPr>
                <w:p>
                  <w:pPr>
                    <w:pStyle w:val="29"/>
                    <w:spacing w:line="360" w:lineRule="exact"/>
                    <w:rPr>
                      <w:color w:val="auto"/>
                      <w:szCs w:val="21"/>
                    </w:rPr>
                  </w:pPr>
                  <w:r>
                    <w:rPr>
                      <w:color w:val="auto"/>
                      <w:szCs w:val="21"/>
                    </w:rPr>
                    <w:t>破碎工序</w:t>
                  </w: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上料机</w:t>
                  </w:r>
                </w:p>
              </w:tc>
              <w:tc>
                <w:tcPr>
                  <w:tcW w:w="1134" w:type="dxa"/>
                  <w:tcBorders>
                    <w:left w:val="single" w:color="auto" w:sz="4" w:space="0"/>
                  </w:tcBorders>
                  <w:vAlign w:val="center"/>
                </w:tcPr>
                <w:p>
                  <w:pPr>
                    <w:pStyle w:val="29"/>
                    <w:spacing w:line="360" w:lineRule="exact"/>
                    <w:rPr>
                      <w:color w:val="auto"/>
                      <w:szCs w:val="21"/>
                    </w:rPr>
                  </w:pPr>
                  <w:r>
                    <w:rPr>
                      <w:color w:val="auto"/>
                      <w:szCs w:val="21"/>
                    </w:rPr>
                    <w:t>--</w:t>
                  </w:r>
                </w:p>
              </w:tc>
              <w:tc>
                <w:tcPr>
                  <w:tcW w:w="1242" w:type="dxa"/>
                  <w:tcBorders>
                    <w:right w:val="single" w:color="auto" w:sz="4" w:space="0"/>
                  </w:tcBorders>
                  <w:vAlign w:val="center"/>
                </w:tcPr>
                <w:p>
                  <w:pPr>
                    <w:pStyle w:val="29"/>
                    <w:spacing w:line="360" w:lineRule="exact"/>
                    <w:rPr>
                      <w:color w:val="auto"/>
                      <w:szCs w:val="21"/>
                    </w:rPr>
                  </w:pPr>
                  <w:r>
                    <w:rPr>
                      <w:color w:val="auto"/>
                      <w:szCs w:val="21"/>
                    </w:rPr>
                    <w:t>80</w:t>
                  </w:r>
                </w:p>
              </w:tc>
              <w:tc>
                <w:tcPr>
                  <w:tcW w:w="1016" w:type="dxa"/>
                  <w:vMerge w:val="restart"/>
                  <w:tcBorders>
                    <w:left w:val="single" w:color="auto" w:sz="4" w:space="0"/>
                    <w:right w:val="single" w:color="auto" w:sz="4" w:space="0"/>
                  </w:tcBorders>
                  <w:vAlign w:val="center"/>
                </w:tcPr>
                <w:p>
                  <w:pPr>
                    <w:pStyle w:val="29"/>
                    <w:spacing w:line="360" w:lineRule="exact"/>
                    <w:ind w:firstLine="210" w:firstLineChars="100"/>
                    <w:jc w:val="both"/>
                    <w:rPr>
                      <w:color w:val="auto"/>
                      <w:szCs w:val="21"/>
                    </w:rPr>
                  </w:pPr>
                  <w:r>
                    <w:rPr>
                      <w:bCs w:val="0"/>
                      <w:color w:val="auto"/>
                    </w:rPr>
                    <w:t>隔音房、减震垫、消声器、墙体阻隔等</w:t>
                  </w:r>
                </w:p>
              </w:tc>
              <w:tc>
                <w:tcPr>
                  <w:tcW w:w="1148" w:type="dxa"/>
                  <w:tcBorders>
                    <w:left w:val="single" w:color="auto" w:sz="4" w:space="0"/>
                  </w:tcBorders>
                  <w:vAlign w:val="center"/>
                </w:tcPr>
                <w:p>
                  <w:pPr>
                    <w:pStyle w:val="29"/>
                    <w:spacing w:line="360" w:lineRule="exact"/>
                    <w:rPr>
                      <w:color w:val="auto"/>
                      <w:szCs w:val="21"/>
                    </w:rPr>
                  </w:pPr>
                  <w:r>
                    <w:rPr>
                      <w:color w:val="auto"/>
                      <w:szCs w:val="21"/>
                    </w:rPr>
                    <w:t>65</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702" w:type="dxa"/>
                  <w:vMerge w:val="continue"/>
                  <w:tcBorders>
                    <w:right w:val="single" w:color="auto" w:sz="4" w:space="0"/>
                  </w:tcBorders>
                  <w:vAlign w:val="center"/>
                </w:tcPr>
                <w:p>
                  <w:pPr>
                    <w:pStyle w:val="29"/>
                    <w:spacing w:line="360" w:lineRule="exact"/>
                    <w:rPr>
                      <w:color w:val="auto"/>
                      <w:szCs w:val="21"/>
                    </w:rPr>
                  </w:pP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破碎机</w:t>
                  </w:r>
                </w:p>
              </w:tc>
              <w:tc>
                <w:tcPr>
                  <w:tcW w:w="1134" w:type="dxa"/>
                  <w:tcBorders>
                    <w:left w:val="single" w:color="auto" w:sz="4" w:space="0"/>
                  </w:tcBorders>
                  <w:vAlign w:val="center"/>
                </w:tcPr>
                <w:p>
                  <w:pPr>
                    <w:pStyle w:val="29"/>
                    <w:spacing w:line="360" w:lineRule="exact"/>
                    <w:rPr>
                      <w:color w:val="auto"/>
                      <w:szCs w:val="21"/>
                    </w:rPr>
                  </w:pPr>
                  <w:r>
                    <w:rPr>
                      <w:color w:val="auto"/>
                      <w:szCs w:val="21"/>
                    </w:rPr>
                    <w:t>--</w:t>
                  </w:r>
                </w:p>
              </w:tc>
              <w:tc>
                <w:tcPr>
                  <w:tcW w:w="1242" w:type="dxa"/>
                  <w:tcBorders>
                    <w:right w:val="single" w:color="auto" w:sz="4" w:space="0"/>
                  </w:tcBorders>
                  <w:vAlign w:val="center"/>
                </w:tcPr>
                <w:p>
                  <w:pPr>
                    <w:pStyle w:val="29"/>
                    <w:spacing w:line="360" w:lineRule="exact"/>
                    <w:rPr>
                      <w:color w:val="auto"/>
                      <w:szCs w:val="21"/>
                    </w:rPr>
                  </w:pPr>
                  <w:r>
                    <w:rPr>
                      <w:color w:val="auto"/>
                      <w:szCs w:val="21"/>
                    </w:rPr>
                    <w:t>110</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80</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702" w:type="dxa"/>
                  <w:vMerge w:val="continue"/>
                  <w:tcBorders>
                    <w:right w:val="single" w:color="auto" w:sz="4" w:space="0"/>
                  </w:tcBorders>
                  <w:vAlign w:val="center"/>
                </w:tcPr>
                <w:p>
                  <w:pPr>
                    <w:pStyle w:val="29"/>
                    <w:spacing w:line="360" w:lineRule="exact"/>
                    <w:rPr>
                      <w:color w:val="auto"/>
                      <w:szCs w:val="21"/>
                    </w:rPr>
                  </w:pP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皮带运输机</w:t>
                  </w:r>
                </w:p>
              </w:tc>
              <w:tc>
                <w:tcPr>
                  <w:tcW w:w="1134" w:type="dxa"/>
                  <w:tcBorders>
                    <w:left w:val="single" w:color="auto" w:sz="4" w:space="0"/>
                  </w:tcBorders>
                  <w:vAlign w:val="center"/>
                </w:tcPr>
                <w:p>
                  <w:pPr>
                    <w:pStyle w:val="29"/>
                    <w:spacing w:line="360" w:lineRule="exact"/>
                    <w:rPr>
                      <w:color w:val="auto"/>
                      <w:szCs w:val="21"/>
                    </w:rPr>
                  </w:pPr>
                  <w:r>
                    <w:rPr>
                      <w:color w:val="auto"/>
                      <w:szCs w:val="21"/>
                    </w:rPr>
                    <w:t>B800</w:t>
                  </w:r>
                </w:p>
              </w:tc>
              <w:tc>
                <w:tcPr>
                  <w:tcW w:w="1242" w:type="dxa"/>
                  <w:tcBorders>
                    <w:right w:val="single" w:color="auto" w:sz="4" w:space="0"/>
                  </w:tcBorders>
                  <w:vAlign w:val="center"/>
                </w:tcPr>
                <w:p>
                  <w:pPr>
                    <w:pStyle w:val="29"/>
                    <w:spacing w:line="360" w:lineRule="exact"/>
                    <w:rPr>
                      <w:color w:val="auto"/>
                      <w:szCs w:val="21"/>
                    </w:rPr>
                  </w:pPr>
                  <w:r>
                    <w:rPr>
                      <w:color w:val="auto"/>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75</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702" w:type="dxa"/>
                  <w:vMerge w:val="restart"/>
                  <w:tcBorders>
                    <w:right w:val="single" w:color="auto" w:sz="4" w:space="0"/>
                  </w:tcBorders>
                  <w:vAlign w:val="center"/>
                </w:tcPr>
                <w:p>
                  <w:pPr>
                    <w:pStyle w:val="29"/>
                    <w:spacing w:line="360" w:lineRule="exact"/>
                    <w:rPr>
                      <w:color w:val="auto"/>
                      <w:szCs w:val="21"/>
                    </w:rPr>
                  </w:pPr>
                  <w:r>
                    <w:rPr>
                      <w:color w:val="auto"/>
                      <w:szCs w:val="21"/>
                    </w:rPr>
                    <w:t>分选工序</w:t>
                  </w: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磁选机</w:t>
                  </w:r>
                </w:p>
              </w:tc>
              <w:tc>
                <w:tcPr>
                  <w:tcW w:w="1134" w:type="dxa"/>
                  <w:tcBorders>
                    <w:left w:val="single" w:color="auto" w:sz="4" w:space="0"/>
                  </w:tcBorders>
                  <w:vAlign w:val="center"/>
                </w:tcPr>
                <w:p>
                  <w:pPr>
                    <w:pStyle w:val="29"/>
                    <w:spacing w:line="360" w:lineRule="exact"/>
                    <w:rPr>
                      <w:color w:val="auto"/>
                      <w:szCs w:val="21"/>
                    </w:rPr>
                  </w:pPr>
                  <w:r>
                    <w:rPr>
                      <w:color w:val="auto"/>
                      <w:szCs w:val="21"/>
                    </w:rPr>
                    <w:t>--</w:t>
                  </w:r>
                </w:p>
              </w:tc>
              <w:tc>
                <w:tcPr>
                  <w:tcW w:w="1242" w:type="dxa"/>
                  <w:tcBorders>
                    <w:right w:val="single" w:color="auto" w:sz="4" w:space="0"/>
                  </w:tcBorders>
                  <w:vAlign w:val="center"/>
                </w:tcPr>
                <w:p>
                  <w:pPr>
                    <w:pStyle w:val="29"/>
                    <w:spacing w:line="360" w:lineRule="exact"/>
                    <w:rPr>
                      <w:color w:val="auto"/>
                      <w:szCs w:val="21"/>
                    </w:rPr>
                  </w:pPr>
                  <w:r>
                    <w:rPr>
                      <w:color w:val="auto"/>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75</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702" w:type="dxa"/>
                  <w:vMerge w:val="continue"/>
                  <w:tcBorders>
                    <w:right w:val="single" w:color="auto" w:sz="4" w:space="0"/>
                  </w:tcBorders>
                  <w:vAlign w:val="center"/>
                </w:tcPr>
                <w:p>
                  <w:pPr>
                    <w:pStyle w:val="29"/>
                    <w:spacing w:line="360" w:lineRule="exact"/>
                    <w:rPr>
                      <w:color w:val="auto"/>
                      <w:szCs w:val="21"/>
                    </w:rPr>
                  </w:pP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涡电流分选机</w:t>
                  </w:r>
                </w:p>
              </w:tc>
              <w:tc>
                <w:tcPr>
                  <w:tcW w:w="1134" w:type="dxa"/>
                  <w:tcBorders>
                    <w:left w:val="single" w:color="auto" w:sz="4" w:space="0"/>
                  </w:tcBorders>
                  <w:vAlign w:val="center"/>
                </w:tcPr>
                <w:p>
                  <w:pPr>
                    <w:pStyle w:val="29"/>
                    <w:spacing w:line="360" w:lineRule="exact"/>
                    <w:rPr>
                      <w:color w:val="auto"/>
                      <w:szCs w:val="21"/>
                    </w:rPr>
                  </w:pPr>
                  <w:r>
                    <w:rPr>
                      <w:color w:val="auto"/>
                      <w:szCs w:val="21"/>
                    </w:rPr>
                    <w:t>--</w:t>
                  </w:r>
                </w:p>
              </w:tc>
              <w:tc>
                <w:tcPr>
                  <w:tcW w:w="1242" w:type="dxa"/>
                  <w:tcBorders>
                    <w:right w:val="single" w:color="auto" w:sz="4" w:space="0"/>
                  </w:tcBorders>
                  <w:vAlign w:val="center"/>
                </w:tcPr>
                <w:p>
                  <w:pPr>
                    <w:pStyle w:val="29"/>
                    <w:spacing w:line="360" w:lineRule="exact"/>
                    <w:rPr>
                      <w:color w:val="auto"/>
                      <w:szCs w:val="21"/>
                    </w:rPr>
                  </w:pPr>
                  <w:r>
                    <w:rPr>
                      <w:color w:val="auto"/>
                      <w:szCs w:val="21"/>
                    </w:rPr>
                    <w:t>85</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70</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702" w:type="dxa"/>
                  <w:vMerge w:val="continue"/>
                  <w:tcBorders>
                    <w:right w:val="single" w:color="auto" w:sz="4" w:space="0"/>
                  </w:tcBorders>
                  <w:vAlign w:val="center"/>
                </w:tcPr>
                <w:p>
                  <w:pPr>
                    <w:pStyle w:val="29"/>
                    <w:spacing w:line="360" w:lineRule="exact"/>
                    <w:rPr>
                      <w:color w:val="auto"/>
                      <w:szCs w:val="21"/>
                    </w:rPr>
                  </w:pP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色选机</w:t>
                  </w:r>
                </w:p>
              </w:tc>
              <w:tc>
                <w:tcPr>
                  <w:tcW w:w="1134" w:type="dxa"/>
                  <w:tcBorders>
                    <w:left w:val="single" w:color="auto" w:sz="4" w:space="0"/>
                  </w:tcBorders>
                  <w:vAlign w:val="center"/>
                </w:tcPr>
                <w:p>
                  <w:pPr>
                    <w:pStyle w:val="29"/>
                    <w:spacing w:line="360" w:lineRule="exact"/>
                    <w:rPr>
                      <w:color w:val="auto"/>
                      <w:szCs w:val="21"/>
                    </w:rPr>
                  </w:pPr>
                  <w:r>
                    <w:rPr>
                      <w:color w:val="auto"/>
                      <w:szCs w:val="21"/>
                    </w:rPr>
                    <w:t>HJ-FZSB</w:t>
                  </w:r>
                </w:p>
              </w:tc>
              <w:tc>
                <w:tcPr>
                  <w:tcW w:w="1242" w:type="dxa"/>
                  <w:tcBorders>
                    <w:right w:val="single" w:color="auto" w:sz="4" w:space="0"/>
                  </w:tcBorders>
                  <w:vAlign w:val="center"/>
                </w:tcPr>
                <w:p>
                  <w:pPr>
                    <w:pStyle w:val="29"/>
                    <w:spacing w:line="360" w:lineRule="exact"/>
                    <w:rPr>
                      <w:color w:val="auto"/>
                      <w:szCs w:val="21"/>
                    </w:rPr>
                  </w:pPr>
                  <w:r>
                    <w:rPr>
                      <w:color w:val="auto"/>
                      <w:szCs w:val="21"/>
                    </w:rPr>
                    <w:t>85</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70</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702" w:type="dxa"/>
                  <w:vMerge w:val="continue"/>
                  <w:tcBorders>
                    <w:right w:val="single" w:color="auto" w:sz="4" w:space="0"/>
                  </w:tcBorders>
                  <w:vAlign w:val="center"/>
                </w:tcPr>
                <w:p>
                  <w:pPr>
                    <w:pStyle w:val="29"/>
                    <w:spacing w:line="360" w:lineRule="exact"/>
                    <w:rPr>
                      <w:color w:val="auto"/>
                      <w:szCs w:val="21"/>
                    </w:rPr>
                  </w:pP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皮带运输机</w:t>
                  </w:r>
                </w:p>
              </w:tc>
              <w:tc>
                <w:tcPr>
                  <w:tcW w:w="1134" w:type="dxa"/>
                  <w:tcBorders>
                    <w:left w:val="single" w:color="auto" w:sz="4" w:space="0"/>
                  </w:tcBorders>
                  <w:vAlign w:val="center"/>
                </w:tcPr>
                <w:p>
                  <w:pPr>
                    <w:pStyle w:val="29"/>
                    <w:spacing w:line="360" w:lineRule="exact"/>
                    <w:rPr>
                      <w:color w:val="auto"/>
                      <w:szCs w:val="21"/>
                    </w:rPr>
                  </w:pPr>
                  <w:r>
                    <w:rPr>
                      <w:color w:val="auto"/>
                      <w:szCs w:val="21"/>
                    </w:rPr>
                    <w:t>B800</w:t>
                  </w:r>
                </w:p>
              </w:tc>
              <w:tc>
                <w:tcPr>
                  <w:tcW w:w="1242" w:type="dxa"/>
                  <w:tcBorders>
                    <w:right w:val="single" w:color="auto" w:sz="4" w:space="0"/>
                  </w:tcBorders>
                  <w:vAlign w:val="center"/>
                </w:tcPr>
                <w:p>
                  <w:pPr>
                    <w:pStyle w:val="29"/>
                    <w:spacing w:line="360" w:lineRule="exact"/>
                    <w:rPr>
                      <w:color w:val="auto"/>
                      <w:szCs w:val="21"/>
                    </w:rPr>
                  </w:pPr>
                  <w:r>
                    <w:rPr>
                      <w:color w:val="auto"/>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75</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auto"/>
                      <w:szCs w:val="21"/>
                    </w:rPr>
                  </w:pPr>
                  <w:r>
                    <w:rPr>
                      <w:color w:val="auto"/>
                      <w:szCs w:val="21"/>
                    </w:rPr>
                    <w:t>储运工程</w:t>
                  </w:r>
                </w:p>
              </w:tc>
              <w:tc>
                <w:tcPr>
                  <w:tcW w:w="702" w:type="dxa"/>
                  <w:vMerge w:val="restart"/>
                  <w:tcBorders>
                    <w:right w:val="single" w:color="auto" w:sz="4" w:space="0"/>
                  </w:tcBorders>
                  <w:vAlign w:val="center"/>
                </w:tcPr>
                <w:p>
                  <w:pPr>
                    <w:pStyle w:val="29"/>
                    <w:spacing w:line="360" w:lineRule="exact"/>
                    <w:rPr>
                      <w:color w:val="auto"/>
                      <w:szCs w:val="21"/>
                    </w:rPr>
                  </w:pPr>
                  <w:r>
                    <w:rPr>
                      <w:color w:val="auto"/>
                      <w:szCs w:val="21"/>
                    </w:rPr>
                    <w:t>储运</w:t>
                  </w: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打包机</w:t>
                  </w:r>
                </w:p>
              </w:tc>
              <w:tc>
                <w:tcPr>
                  <w:tcW w:w="1134" w:type="dxa"/>
                  <w:tcBorders>
                    <w:left w:val="single" w:color="auto" w:sz="4" w:space="0"/>
                  </w:tcBorders>
                  <w:vAlign w:val="center"/>
                </w:tcPr>
                <w:p>
                  <w:pPr>
                    <w:pStyle w:val="29"/>
                    <w:spacing w:line="360" w:lineRule="exact"/>
                    <w:rPr>
                      <w:color w:val="auto"/>
                      <w:szCs w:val="21"/>
                    </w:rPr>
                  </w:pPr>
                  <w:r>
                    <w:rPr>
                      <w:color w:val="auto"/>
                      <w:szCs w:val="21"/>
                    </w:rPr>
                    <w:t>--</w:t>
                  </w:r>
                </w:p>
              </w:tc>
              <w:tc>
                <w:tcPr>
                  <w:tcW w:w="1242" w:type="dxa"/>
                  <w:tcBorders>
                    <w:right w:val="single" w:color="auto" w:sz="4" w:space="0"/>
                  </w:tcBorders>
                  <w:vAlign w:val="center"/>
                </w:tcPr>
                <w:p>
                  <w:pPr>
                    <w:pStyle w:val="29"/>
                    <w:spacing w:line="360" w:lineRule="exact"/>
                    <w:rPr>
                      <w:color w:val="auto"/>
                      <w:szCs w:val="21"/>
                    </w:rPr>
                  </w:pPr>
                  <w:r>
                    <w:rPr>
                      <w:color w:val="auto"/>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75</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702" w:type="dxa"/>
                  <w:vMerge w:val="continue"/>
                  <w:tcBorders>
                    <w:right w:val="single" w:color="auto" w:sz="4" w:space="0"/>
                  </w:tcBorders>
                  <w:vAlign w:val="center"/>
                </w:tcPr>
                <w:p>
                  <w:pPr>
                    <w:pStyle w:val="29"/>
                    <w:spacing w:line="360" w:lineRule="exact"/>
                    <w:rPr>
                      <w:color w:val="auto"/>
                      <w:szCs w:val="21"/>
                    </w:rPr>
                  </w:pP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叉车</w:t>
                  </w:r>
                </w:p>
              </w:tc>
              <w:tc>
                <w:tcPr>
                  <w:tcW w:w="1134" w:type="dxa"/>
                  <w:tcBorders>
                    <w:left w:val="single" w:color="auto" w:sz="4" w:space="0"/>
                  </w:tcBorders>
                  <w:vAlign w:val="center"/>
                </w:tcPr>
                <w:p>
                  <w:pPr>
                    <w:pStyle w:val="29"/>
                    <w:spacing w:line="360" w:lineRule="exact"/>
                    <w:rPr>
                      <w:color w:val="auto"/>
                      <w:szCs w:val="21"/>
                    </w:rPr>
                  </w:pPr>
                  <w:r>
                    <w:rPr>
                      <w:color w:val="auto"/>
                      <w:szCs w:val="21"/>
                    </w:rPr>
                    <w:t>5t</w:t>
                  </w:r>
                </w:p>
              </w:tc>
              <w:tc>
                <w:tcPr>
                  <w:tcW w:w="1242" w:type="dxa"/>
                  <w:tcBorders>
                    <w:right w:val="single" w:color="auto" w:sz="4" w:space="0"/>
                  </w:tcBorders>
                  <w:vAlign w:val="center"/>
                </w:tcPr>
                <w:p>
                  <w:pPr>
                    <w:pStyle w:val="29"/>
                    <w:spacing w:line="360" w:lineRule="exact"/>
                    <w:rPr>
                      <w:color w:val="auto"/>
                      <w:szCs w:val="21"/>
                    </w:rPr>
                  </w:pPr>
                  <w:r>
                    <w:rPr>
                      <w:color w:val="auto"/>
                      <w:szCs w:val="21"/>
                    </w:rPr>
                    <w:t>95</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80</w:t>
                  </w:r>
                </w:p>
              </w:tc>
              <w:tc>
                <w:tcPr>
                  <w:tcW w:w="1062" w:type="dxa"/>
                  <w:vAlign w:val="center"/>
                </w:tcPr>
                <w:p>
                  <w:pPr>
                    <w:pStyle w:val="29"/>
                    <w:spacing w:line="360" w:lineRule="exact"/>
                    <w:rPr>
                      <w:color w:val="auto"/>
                      <w:szCs w:val="21"/>
                    </w:rPr>
                  </w:pPr>
                  <w:r>
                    <w:rPr>
                      <w:color w:val="auto"/>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restart"/>
                  <w:vAlign w:val="center"/>
                </w:tcPr>
                <w:p>
                  <w:pPr>
                    <w:pStyle w:val="29"/>
                    <w:spacing w:line="360" w:lineRule="exact"/>
                    <w:rPr>
                      <w:color w:val="auto"/>
                      <w:szCs w:val="21"/>
                    </w:rPr>
                  </w:pPr>
                  <w:r>
                    <w:rPr>
                      <w:color w:val="auto"/>
                      <w:szCs w:val="21"/>
                    </w:rPr>
                    <w:t>环保工程</w:t>
                  </w:r>
                </w:p>
              </w:tc>
              <w:tc>
                <w:tcPr>
                  <w:tcW w:w="702" w:type="dxa"/>
                  <w:vMerge w:val="restart"/>
                  <w:tcBorders>
                    <w:right w:val="single" w:color="auto" w:sz="4" w:space="0"/>
                  </w:tcBorders>
                  <w:vAlign w:val="center"/>
                </w:tcPr>
                <w:p>
                  <w:pPr>
                    <w:pStyle w:val="29"/>
                    <w:spacing w:line="360" w:lineRule="exact"/>
                    <w:rPr>
                      <w:color w:val="auto"/>
                      <w:szCs w:val="21"/>
                    </w:rPr>
                  </w:pPr>
                  <w:r>
                    <w:rPr>
                      <w:color w:val="auto"/>
                      <w:szCs w:val="21"/>
                    </w:rPr>
                    <w:t>废气处理</w:t>
                  </w: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集气罩（含风机）</w:t>
                  </w:r>
                </w:p>
              </w:tc>
              <w:tc>
                <w:tcPr>
                  <w:tcW w:w="1134" w:type="dxa"/>
                  <w:tcBorders>
                    <w:left w:val="single" w:color="auto" w:sz="4" w:space="0"/>
                  </w:tcBorders>
                  <w:vAlign w:val="center"/>
                </w:tcPr>
                <w:p>
                  <w:pPr>
                    <w:pStyle w:val="29"/>
                    <w:spacing w:line="360" w:lineRule="exact"/>
                    <w:rPr>
                      <w:color w:val="auto"/>
                      <w:szCs w:val="21"/>
                    </w:rPr>
                  </w:pPr>
                  <w:r>
                    <w:rPr>
                      <w:color w:val="auto"/>
                      <w:szCs w:val="21"/>
                    </w:rPr>
                    <w:t>集气效率不低于92%</w:t>
                  </w:r>
                </w:p>
              </w:tc>
              <w:tc>
                <w:tcPr>
                  <w:tcW w:w="1242" w:type="dxa"/>
                  <w:tcBorders>
                    <w:right w:val="single" w:color="auto" w:sz="4" w:space="0"/>
                  </w:tcBorders>
                  <w:vAlign w:val="center"/>
                </w:tcPr>
                <w:p>
                  <w:pPr>
                    <w:pStyle w:val="29"/>
                    <w:spacing w:line="360" w:lineRule="exact"/>
                    <w:rPr>
                      <w:color w:val="auto"/>
                      <w:szCs w:val="21"/>
                    </w:rPr>
                  </w:pPr>
                  <w:r>
                    <w:rPr>
                      <w:color w:val="auto"/>
                      <w:szCs w:val="21"/>
                    </w:rPr>
                    <w:t>95</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80</w:t>
                  </w:r>
                </w:p>
              </w:tc>
              <w:tc>
                <w:tcPr>
                  <w:tcW w:w="1062" w:type="dxa"/>
                  <w:vAlign w:val="center"/>
                </w:tcPr>
                <w:p>
                  <w:pPr>
                    <w:pStyle w:val="29"/>
                    <w:spacing w:line="360" w:lineRule="exact"/>
                    <w:rPr>
                      <w:color w:val="auto"/>
                      <w:szCs w:val="21"/>
                    </w:rPr>
                  </w:pPr>
                  <w:r>
                    <w:rPr>
                      <w:color w:val="auto"/>
                      <w:szCs w:val="21"/>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5" w:type="dxa"/>
                  <w:vMerge w:val="continue"/>
                  <w:vAlign w:val="center"/>
                </w:tcPr>
                <w:p>
                  <w:pPr>
                    <w:pStyle w:val="29"/>
                    <w:spacing w:line="360" w:lineRule="exact"/>
                    <w:rPr>
                      <w:color w:val="auto"/>
                      <w:szCs w:val="21"/>
                    </w:rPr>
                  </w:pPr>
                </w:p>
              </w:tc>
              <w:tc>
                <w:tcPr>
                  <w:tcW w:w="702" w:type="dxa"/>
                  <w:vMerge w:val="continue"/>
                  <w:tcBorders>
                    <w:right w:val="single" w:color="auto" w:sz="4" w:space="0"/>
                  </w:tcBorders>
                  <w:vAlign w:val="center"/>
                </w:tcPr>
                <w:p>
                  <w:pPr>
                    <w:pStyle w:val="29"/>
                    <w:spacing w:line="360" w:lineRule="exact"/>
                    <w:rPr>
                      <w:color w:val="auto"/>
                      <w:szCs w:val="21"/>
                    </w:rPr>
                  </w:pPr>
                </w:p>
              </w:tc>
              <w:tc>
                <w:tcPr>
                  <w:tcW w:w="155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布袋除尘器（含风机）</w:t>
                  </w:r>
                </w:p>
              </w:tc>
              <w:tc>
                <w:tcPr>
                  <w:tcW w:w="1134" w:type="dxa"/>
                  <w:tcBorders>
                    <w:left w:val="single" w:color="auto" w:sz="4" w:space="0"/>
                  </w:tcBorders>
                  <w:vAlign w:val="center"/>
                </w:tcPr>
                <w:p>
                  <w:pPr>
                    <w:pStyle w:val="29"/>
                    <w:spacing w:line="360" w:lineRule="exact"/>
                    <w:rPr>
                      <w:color w:val="auto"/>
                      <w:szCs w:val="21"/>
                    </w:rPr>
                  </w:pPr>
                  <w:r>
                    <w:rPr>
                      <w:color w:val="auto"/>
                      <w:szCs w:val="21"/>
                    </w:rPr>
                    <w:t>去除效率不低于95%</w:t>
                  </w:r>
                </w:p>
              </w:tc>
              <w:tc>
                <w:tcPr>
                  <w:tcW w:w="1242" w:type="dxa"/>
                  <w:tcBorders>
                    <w:right w:val="single" w:color="auto" w:sz="4" w:space="0"/>
                  </w:tcBorders>
                  <w:vAlign w:val="center"/>
                </w:tcPr>
                <w:p>
                  <w:pPr>
                    <w:pStyle w:val="29"/>
                    <w:spacing w:line="360" w:lineRule="exact"/>
                    <w:rPr>
                      <w:color w:val="auto"/>
                      <w:szCs w:val="21"/>
                    </w:rPr>
                  </w:pPr>
                  <w:r>
                    <w:rPr>
                      <w:color w:val="auto"/>
                      <w:szCs w:val="21"/>
                    </w:rPr>
                    <w:t>90</w:t>
                  </w:r>
                </w:p>
              </w:tc>
              <w:tc>
                <w:tcPr>
                  <w:tcW w:w="1016" w:type="dxa"/>
                  <w:vMerge w:val="continue"/>
                  <w:tcBorders>
                    <w:left w:val="single" w:color="auto" w:sz="4" w:space="0"/>
                    <w:right w:val="single" w:color="auto" w:sz="4" w:space="0"/>
                  </w:tcBorders>
                  <w:vAlign w:val="center"/>
                </w:tcPr>
                <w:p>
                  <w:pPr>
                    <w:pStyle w:val="29"/>
                    <w:spacing w:line="360" w:lineRule="exact"/>
                    <w:rPr>
                      <w:color w:val="auto"/>
                      <w:szCs w:val="21"/>
                    </w:rPr>
                  </w:pPr>
                </w:p>
              </w:tc>
              <w:tc>
                <w:tcPr>
                  <w:tcW w:w="1148" w:type="dxa"/>
                  <w:tcBorders>
                    <w:left w:val="single" w:color="auto" w:sz="4" w:space="0"/>
                  </w:tcBorders>
                  <w:vAlign w:val="center"/>
                </w:tcPr>
                <w:p>
                  <w:pPr>
                    <w:pStyle w:val="29"/>
                    <w:spacing w:line="360" w:lineRule="exact"/>
                    <w:rPr>
                      <w:color w:val="auto"/>
                      <w:szCs w:val="21"/>
                    </w:rPr>
                  </w:pPr>
                  <w:r>
                    <w:rPr>
                      <w:color w:val="auto"/>
                      <w:szCs w:val="21"/>
                    </w:rPr>
                    <w:t>75</w:t>
                  </w:r>
                </w:p>
              </w:tc>
              <w:tc>
                <w:tcPr>
                  <w:tcW w:w="1062" w:type="dxa"/>
                  <w:vAlign w:val="center"/>
                </w:tcPr>
                <w:p>
                  <w:pPr>
                    <w:pStyle w:val="29"/>
                    <w:spacing w:line="360" w:lineRule="exact"/>
                    <w:rPr>
                      <w:color w:val="auto"/>
                      <w:szCs w:val="21"/>
                    </w:rPr>
                  </w:pPr>
                  <w:r>
                    <w:rPr>
                      <w:color w:val="auto"/>
                      <w:szCs w:val="21"/>
                    </w:rPr>
                    <w:t>连续产生</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（2）厂界噪声预测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本环评采用环安科技有限公司根据《环境影响评价技术导则 声环境》（HJ2.4-2009）开发的“环境噪声影响评价系统Noisesystem1.1”噪声预测软件，对项目设备厂界噪声进行预测。</w:t>
            </w:r>
          </w:p>
          <w:p>
            <w:pPr>
              <w:spacing w:line="360" w:lineRule="auto"/>
              <w:ind w:firstLine="482" w:firstLineChars="200"/>
              <w:rPr>
                <w:rFonts w:ascii="Times New Roman" w:hAnsi="Times New Roman" w:cs="Times New Roman"/>
                <w:b/>
                <w:sz w:val="24"/>
                <w:szCs w:val="24"/>
              </w:rPr>
            </w:pPr>
            <w:bookmarkStart w:id="4" w:name="_Toc9337268"/>
            <w:bookmarkStart w:id="5" w:name="_Toc13390404"/>
            <w:r>
              <w:rPr>
                <w:rFonts w:ascii="Times New Roman" w:hAnsi="Times New Roman" w:cs="Times New Roman"/>
                <w:b/>
                <w:sz w:val="24"/>
                <w:szCs w:val="24"/>
              </w:rPr>
              <w:t>①声级计算</w:t>
            </w:r>
            <w:bookmarkEnd w:id="4"/>
            <w:bookmarkEnd w:id="5"/>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建设项目声源在预测点产生的等效声级贡献值（Leq g）计算公式：</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object>
                <v:shape id="_x0000_i1030" o:spt="75" type="#_x0000_t75" style="height:34.2pt;width:13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式中：Leqg--建设项目声源在预测点的等效声级贡献值，dB（A）；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LAi-- i声源在预测点产生的A 声级，dB（A）；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T---预测计算的时间段，s；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Ti--i 声源在T 时段内的运行时间，s。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预测点的预测等效声级(L eq )计算公式</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object>
                <v:shape id="_x0000_i1031" o:spt="75" type="#_x0000_t75" style="height:20.4pt;width:141.6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 eq g--建设项目声源在预测点的等效声级贡献值，dB（A）；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 eqb--预测点的背景值，dB（A）</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②户外声传播衰减计算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预测模式如下：</w:t>
            </w:r>
          </w:p>
          <w:p>
            <w:pPr>
              <w:spacing w:line="360" w:lineRule="auto"/>
              <w:jc w:val="center"/>
              <w:rPr>
                <w:rFonts w:ascii="Times New Roman" w:hAnsi="Times New Roman" w:cs="Times New Roman"/>
                <w:sz w:val="24"/>
                <w:szCs w:val="24"/>
              </w:rPr>
            </w:pPr>
            <w:bookmarkStart w:id="6" w:name="_Toc9337269"/>
            <w:bookmarkStart w:id="7" w:name="_Toc13390405"/>
            <w:r>
              <w:rPr>
                <w:rFonts w:ascii="Times New Roman" w:hAnsi="Times New Roman" w:cs="Times New Roman"/>
                <w:sz w:val="24"/>
                <w:szCs w:val="24"/>
              </w:rPr>
              <w:t>LA（r）=Lr</w:t>
            </w:r>
            <w:r>
              <w:rPr>
                <w:rFonts w:ascii="Times New Roman" w:hAnsi="Times New Roman" w:cs="Times New Roman"/>
                <w:sz w:val="24"/>
                <w:szCs w:val="24"/>
                <w:vertAlign w:val="subscript"/>
              </w:rPr>
              <w:t>0</w:t>
            </w:r>
            <w:r>
              <w:rPr>
                <w:rFonts w:ascii="Times New Roman" w:hAnsi="Times New Roman" w:cs="Times New Roman"/>
                <w:sz w:val="24"/>
                <w:szCs w:val="24"/>
              </w:rPr>
              <w:t>-20g（r/r</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Cambria Math" w:hAnsi="Times New Roman" w:cs="Times New Roman"/>
                <w:sz w:val="24"/>
                <w:szCs w:val="24"/>
              </w:rPr>
              <w:t>△</w:t>
            </w:r>
            <w:r>
              <w:rPr>
                <w:rFonts w:ascii="Times New Roman" w:hAnsi="Times New Roman" w:cs="Times New Roman"/>
                <w:sz w:val="24"/>
                <w:szCs w:val="24"/>
              </w:rPr>
              <w:t>L</w:t>
            </w:r>
            <w:bookmarkEnd w:id="6"/>
            <w:bookmarkEnd w:id="7"/>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式中：LA（r）--距声源r米处受声点的A声级；</w:t>
            </w:r>
          </w:p>
          <w:p>
            <w:pPr>
              <w:spacing w:line="360" w:lineRule="auto"/>
              <w:ind w:firstLine="480" w:firstLineChars="200"/>
              <w:rPr>
                <w:rFonts w:ascii="Times New Roman" w:hAnsi="Times New Roman" w:cs="Times New Roman"/>
                <w:sz w:val="24"/>
                <w:szCs w:val="24"/>
              </w:rPr>
            </w:pPr>
            <w:bookmarkStart w:id="8" w:name="_Toc13390406"/>
            <w:bookmarkStart w:id="9" w:name="_Toc9337270"/>
            <w:r>
              <w:rPr>
                <w:rFonts w:ascii="Times New Roman" w:hAnsi="Times New Roman" w:cs="Times New Roman"/>
                <w:sz w:val="24"/>
                <w:szCs w:val="24"/>
              </w:rPr>
              <w:t xml:space="preserve">      Lr</w:t>
            </w:r>
            <w:r>
              <w:rPr>
                <w:rFonts w:ascii="Times New Roman" w:hAnsi="Times New Roman" w:cs="Times New Roman"/>
                <w:sz w:val="24"/>
                <w:szCs w:val="24"/>
                <w:vertAlign w:val="subscript"/>
              </w:rPr>
              <w:t>0</w:t>
            </w:r>
            <w:r>
              <w:rPr>
                <w:rFonts w:ascii="Times New Roman" w:hAnsi="Times New Roman" w:cs="Times New Roman"/>
                <w:sz w:val="24"/>
                <w:szCs w:val="24"/>
              </w:rPr>
              <w:t>--参考点声源强度；</w:t>
            </w:r>
            <w:bookmarkEnd w:id="8"/>
            <w:bookmarkEnd w:id="9"/>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r--预测受声点与源之间的距离（m）；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r</w:t>
            </w:r>
            <w:r>
              <w:rPr>
                <w:rFonts w:ascii="Times New Roman" w:hAnsi="Times New Roman" w:cs="Times New Roman"/>
                <w:sz w:val="24"/>
                <w:szCs w:val="24"/>
                <w:vertAlign w:val="subscript"/>
              </w:rPr>
              <w:t>0</w:t>
            </w:r>
            <w:r>
              <w:rPr>
                <w:rFonts w:ascii="Times New Roman" w:hAnsi="Times New Roman" w:cs="Times New Roman"/>
                <w:sz w:val="24"/>
                <w:szCs w:val="24"/>
              </w:rPr>
              <w:t>--参考点与源之间的距离（m）。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w:t>
            </w:r>
            <w:r>
              <w:rPr>
                <w:rFonts w:ascii="Cambria Math" w:hAnsi="Times New Roman" w:cs="Times New Roman"/>
                <w:sz w:val="24"/>
                <w:szCs w:val="24"/>
              </w:rPr>
              <w:t>△</w:t>
            </w:r>
            <w:r>
              <w:rPr>
                <w:rFonts w:ascii="Times New Roman" w:hAnsi="Times New Roman" w:cs="Times New Roman"/>
                <w:sz w:val="24"/>
                <w:szCs w:val="24"/>
              </w:rPr>
              <w:t>L--其它衰减因素</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影响</w:t>
            </w:r>
            <w:r>
              <w:rPr>
                <w:rFonts w:ascii="Cambria Math" w:hAnsi="Times New Roman" w:cs="Times New Roman"/>
                <w:sz w:val="24"/>
                <w:szCs w:val="24"/>
              </w:rPr>
              <w:t>△</w:t>
            </w:r>
            <w:r>
              <w:rPr>
                <w:rFonts w:ascii="Times New Roman" w:hAnsi="Times New Roman" w:cs="Times New Roman"/>
                <w:sz w:val="24"/>
                <w:szCs w:val="24"/>
              </w:rPr>
              <w:t>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各受声点的声源叠加按下列公式计算：</w:t>
            </w:r>
          </w:p>
          <w:p>
            <w:pPr>
              <w:spacing w:line="360" w:lineRule="auto"/>
              <w:jc w:val="center"/>
              <w:rPr>
                <w:rFonts w:ascii="Times New Roman" w:hAnsi="Times New Roman" w:cs="Times New Roman"/>
                <w:sz w:val="24"/>
                <w:szCs w:val="24"/>
              </w:rPr>
            </w:pPr>
            <w:bookmarkStart w:id="10" w:name="_Toc9337271"/>
            <w:bookmarkStart w:id="11" w:name="_Toc13390407"/>
            <w:r>
              <w:rPr>
                <w:rFonts w:ascii="Times New Roman" w:hAnsi="Times New Roman" w:cs="Times New Roman"/>
                <w:sz w:val="24"/>
                <w:szCs w:val="24"/>
              </w:rPr>
              <w:t>LA=10g［</w:t>
            </w:r>
            <w:r>
              <w:rPr>
                <w:rFonts w:ascii="Times New Roman" w:hAnsi="Times New Roman" w:cs="Times New Roman"/>
                <w:sz w:val="24"/>
                <w:szCs w:val="24"/>
              </w:rPr>
              <w:object>
                <v:shape id="_x0000_i1032" o:spt="75" type="#_x0000_t75" style="height:41.4pt;width:50.4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cs="Times New Roman"/>
                <w:sz w:val="24"/>
                <w:szCs w:val="24"/>
              </w:rPr>
              <w:t>］</w:t>
            </w:r>
            <w:bookmarkEnd w:id="10"/>
            <w:bookmarkEnd w:id="11"/>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式中：Li--第i个声源声值；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LA--某点噪声总叠加值；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n--声源个数。</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③预测点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预测点均设置为东、南、西、北四个厂界。</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④预测结果与评价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经过预测，项目厂界东、南、西、北预测点的噪声预测结果如下表所示。</w:t>
            </w:r>
          </w:p>
          <w:p>
            <w:pPr>
              <w:jc w:val="center"/>
              <w:rPr>
                <w:rFonts w:ascii="Times New Roman" w:hAnsi="Times New Roman" w:cs="Times New Roman"/>
                <w:b/>
                <w:szCs w:val="24"/>
              </w:rPr>
            </w:pPr>
            <w:r>
              <w:rPr>
                <w:rFonts w:ascii="Times New Roman" w:hAnsi="Times New Roman" w:cs="Times New Roman"/>
                <w:b/>
                <w:szCs w:val="24"/>
              </w:rPr>
              <w:t>表4.2.3-2 项目建成后预测点的噪声预测值  单位：dB（A）</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2" w:type="dxa"/>
                  <w:vAlign w:val="center"/>
                </w:tcPr>
                <w:p>
                  <w:pPr>
                    <w:pStyle w:val="29"/>
                    <w:spacing w:line="360" w:lineRule="exact"/>
                    <w:rPr>
                      <w:color w:val="auto"/>
                      <w:szCs w:val="21"/>
                    </w:rPr>
                  </w:pPr>
                  <w:r>
                    <w:rPr>
                      <w:color w:val="auto"/>
                      <w:szCs w:val="21"/>
                    </w:rPr>
                    <w:t>预测值</w:t>
                  </w:r>
                </w:p>
              </w:tc>
              <w:tc>
                <w:tcPr>
                  <w:tcW w:w="1904" w:type="dxa"/>
                  <w:vAlign w:val="center"/>
                </w:tcPr>
                <w:p>
                  <w:pPr>
                    <w:pStyle w:val="29"/>
                    <w:spacing w:line="360" w:lineRule="exact"/>
                    <w:rPr>
                      <w:color w:val="auto"/>
                      <w:szCs w:val="21"/>
                    </w:rPr>
                  </w:pPr>
                  <w:r>
                    <w:rPr>
                      <w:color w:val="auto"/>
                      <w:szCs w:val="21"/>
                    </w:rPr>
                    <w:t>厂界东</w:t>
                  </w:r>
                </w:p>
              </w:tc>
              <w:tc>
                <w:tcPr>
                  <w:tcW w:w="1807" w:type="dxa"/>
                  <w:vAlign w:val="center"/>
                </w:tcPr>
                <w:p>
                  <w:pPr>
                    <w:pStyle w:val="29"/>
                    <w:spacing w:line="360" w:lineRule="exact"/>
                    <w:rPr>
                      <w:color w:val="auto"/>
                      <w:szCs w:val="21"/>
                    </w:rPr>
                  </w:pPr>
                  <w:r>
                    <w:rPr>
                      <w:color w:val="auto"/>
                      <w:szCs w:val="21"/>
                    </w:rPr>
                    <w:t>厂界南</w:t>
                  </w:r>
                </w:p>
              </w:tc>
              <w:tc>
                <w:tcPr>
                  <w:tcW w:w="1827" w:type="dxa"/>
                  <w:vAlign w:val="center"/>
                </w:tcPr>
                <w:p>
                  <w:pPr>
                    <w:pStyle w:val="29"/>
                    <w:spacing w:line="360" w:lineRule="exact"/>
                    <w:rPr>
                      <w:color w:val="auto"/>
                      <w:szCs w:val="21"/>
                    </w:rPr>
                  </w:pPr>
                  <w:r>
                    <w:rPr>
                      <w:color w:val="auto"/>
                      <w:szCs w:val="21"/>
                    </w:rPr>
                    <w:t>厂界西</w:t>
                  </w:r>
                </w:p>
              </w:tc>
              <w:tc>
                <w:tcPr>
                  <w:tcW w:w="1768" w:type="dxa"/>
                  <w:vAlign w:val="center"/>
                </w:tcPr>
                <w:p>
                  <w:pPr>
                    <w:pStyle w:val="29"/>
                    <w:spacing w:line="360" w:lineRule="exact"/>
                    <w:rPr>
                      <w:color w:val="auto"/>
                      <w:szCs w:val="21"/>
                    </w:rPr>
                  </w:pPr>
                  <w:r>
                    <w:rPr>
                      <w:color w:val="auto"/>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9"/>
                    <w:spacing w:line="360" w:lineRule="exact"/>
                    <w:rPr>
                      <w:color w:val="auto"/>
                      <w:szCs w:val="21"/>
                    </w:rPr>
                  </w:pPr>
                  <w:r>
                    <w:rPr>
                      <w:color w:val="auto"/>
                      <w:szCs w:val="21"/>
                    </w:rPr>
                    <w:t>昼</w:t>
                  </w:r>
                </w:p>
              </w:tc>
              <w:tc>
                <w:tcPr>
                  <w:tcW w:w="1904"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52.3</w:t>
                  </w:r>
                </w:p>
              </w:tc>
              <w:tc>
                <w:tcPr>
                  <w:tcW w:w="1807"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48.6</w:t>
                  </w:r>
                </w:p>
              </w:tc>
              <w:tc>
                <w:tcPr>
                  <w:tcW w:w="1827"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51.9</w:t>
                  </w:r>
                </w:p>
              </w:tc>
              <w:tc>
                <w:tcPr>
                  <w:tcW w:w="1768"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9"/>
                    <w:spacing w:line="360" w:lineRule="exact"/>
                    <w:rPr>
                      <w:color w:val="auto"/>
                      <w:szCs w:val="21"/>
                    </w:rPr>
                  </w:pPr>
                  <w:r>
                    <w:rPr>
                      <w:color w:val="auto"/>
                      <w:szCs w:val="21"/>
                    </w:rPr>
                    <w:t>夜</w:t>
                  </w:r>
                </w:p>
              </w:tc>
              <w:tc>
                <w:tcPr>
                  <w:tcW w:w="1904"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52.3</w:t>
                  </w:r>
                </w:p>
              </w:tc>
              <w:tc>
                <w:tcPr>
                  <w:tcW w:w="1807"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48.6</w:t>
                  </w:r>
                </w:p>
              </w:tc>
              <w:tc>
                <w:tcPr>
                  <w:tcW w:w="1827"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51.9</w:t>
                  </w:r>
                </w:p>
              </w:tc>
              <w:tc>
                <w:tcPr>
                  <w:tcW w:w="1768"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47.8</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（3）对环境保护目标影响预测</w:t>
            </w:r>
          </w:p>
          <w:p>
            <w:pPr>
              <w:pStyle w:val="37"/>
              <w:ind w:firstLine="480"/>
              <w:rPr>
                <w:rFonts w:eastAsiaTheme="minorEastAsia"/>
                <w:szCs w:val="24"/>
              </w:rPr>
            </w:pPr>
            <w:r>
              <w:rPr>
                <w:rFonts w:eastAsiaTheme="minorEastAsia"/>
                <w:szCs w:val="24"/>
              </w:rPr>
              <w:t>根据项目环境保护目标分布，项目区声环境50m评价范围内无声环境保护目标，因此项目噪声对环境影响较小。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（4）自行监测要求</w:t>
            </w:r>
          </w:p>
          <w:p>
            <w:pPr>
              <w:pStyle w:val="37"/>
              <w:ind w:firstLine="480"/>
              <w:rPr>
                <w:rFonts w:eastAsiaTheme="minorEastAsia"/>
                <w:szCs w:val="24"/>
              </w:rPr>
            </w:pPr>
            <w:r>
              <w:rPr>
                <w:rFonts w:eastAsiaTheme="minorEastAsia"/>
                <w:szCs w:val="24"/>
              </w:rPr>
              <w:t>根据《排污单位自行监测技术指南 总则》（HJ819-2017）的要求，项目噪声自行监测要求如下表所示。</w:t>
            </w:r>
          </w:p>
          <w:p>
            <w:pPr>
              <w:pStyle w:val="31"/>
              <w:spacing w:beforeLines="0"/>
              <w:rPr>
                <w:rFonts w:hAnsi="Times New Roman" w:eastAsiaTheme="minorEastAsia"/>
                <w:sz w:val="21"/>
                <w:szCs w:val="21"/>
              </w:rPr>
            </w:pPr>
            <w:r>
              <w:rPr>
                <w:rFonts w:hAnsi="Times New Roman" w:eastAsiaTheme="minorEastAsia"/>
                <w:sz w:val="21"/>
                <w:szCs w:val="21"/>
              </w:rPr>
              <w:t>表4.2.3-3  厂界噪声自行监测计划一览表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29"/>
                    <w:widowControl w:val="0"/>
                    <w:spacing w:line="360" w:lineRule="exact"/>
                    <w:rPr>
                      <w:rFonts w:eastAsiaTheme="minorEastAsia"/>
                      <w:color w:val="auto"/>
                    </w:rPr>
                  </w:pPr>
                  <w:r>
                    <w:rPr>
                      <w:rFonts w:eastAsiaTheme="minorEastAsia"/>
                      <w:color w:val="auto"/>
                    </w:rPr>
                    <w:t>对象</w:t>
                  </w:r>
                </w:p>
              </w:tc>
              <w:tc>
                <w:tcPr>
                  <w:tcW w:w="1276" w:type="dxa"/>
                  <w:vAlign w:val="center"/>
                </w:tcPr>
                <w:p>
                  <w:pPr>
                    <w:pStyle w:val="29"/>
                    <w:widowControl w:val="0"/>
                    <w:spacing w:line="360" w:lineRule="exact"/>
                    <w:rPr>
                      <w:rFonts w:eastAsiaTheme="minorEastAsia"/>
                      <w:color w:val="auto"/>
                    </w:rPr>
                  </w:pPr>
                  <w:r>
                    <w:rPr>
                      <w:rFonts w:eastAsiaTheme="minorEastAsia"/>
                      <w:color w:val="auto"/>
                    </w:rPr>
                    <w:t>监测点位</w:t>
                  </w:r>
                </w:p>
              </w:tc>
              <w:tc>
                <w:tcPr>
                  <w:tcW w:w="1417" w:type="dxa"/>
                  <w:vAlign w:val="center"/>
                </w:tcPr>
                <w:p>
                  <w:pPr>
                    <w:pStyle w:val="29"/>
                    <w:widowControl w:val="0"/>
                    <w:spacing w:line="360" w:lineRule="exact"/>
                    <w:rPr>
                      <w:rFonts w:eastAsiaTheme="minorEastAsia"/>
                      <w:color w:val="auto"/>
                    </w:rPr>
                  </w:pPr>
                  <w:r>
                    <w:rPr>
                      <w:rFonts w:eastAsiaTheme="minorEastAsia"/>
                      <w:color w:val="auto"/>
                    </w:rPr>
                    <w:t>监测因子</w:t>
                  </w:r>
                </w:p>
              </w:tc>
              <w:tc>
                <w:tcPr>
                  <w:tcW w:w="1702" w:type="dxa"/>
                  <w:vAlign w:val="center"/>
                </w:tcPr>
                <w:p>
                  <w:pPr>
                    <w:pStyle w:val="29"/>
                    <w:widowControl w:val="0"/>
                    <w:spacing w:line="360" w:lineRule="exact"/>
                    <w:rPr>
                      <w:rFonts w:eastAsiaTheme="minorEastAsia"/>
                      <w:color w:val="auto"/>
                    </w:rPr>
                  </w:pPr>
                  <w:r>
                    <w:rPr>
                      <w:rFonts w:eastAsiaTheme="minorEastAsia"/>
                      <w:color w:val="auto"/>
                    </w:rPr>
                    <w:t>最低监测频率</w:t>
                  </w:r>
                </w:p>
              </w:tc>
              <w:tc>
                <w:tcPr>
                  <w:tcW w:w="3477" w:type="dxa"/>
                  <w:vAlign w:val="center"/>
                </w:tcPr>
                <w:p>
                  <w:pPr>
                    <w:pStyle w:val="29"/>
                    <w:widowControl w:val="0"/>
                    <w:spacing w:line="360" w:lineRule="exact"/>
                    <w:rPr>
                      <w:rFonts w:eastAsiaTheme="minorEastAsia"/>
                      <w:color w:val="auto"/>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29"/>
                    <w:widowControl w:val="0"/>
                    <w:spacing w:line="360" w:lineRule="exact"/>
                    <w:rPr>
                      <w:rFonts w:eastAsiaTheme="minorEastAsia"/>
                      <w:color w:val="auto"/>
                    </w:rPr>
                  </w:pPr>
                  <w:r>
                    <w:rPr>
                      <w:rFonts w:eastAsiaTheme="minorEastAsia"/>
                      <w:color w:val="auto"/>
                    </w:rPr>
                    <w:t>噪声</w:t>
                  </w:r>
                </w:p>
              </w:tc>
              <w:tc>
                <w:tcPr>
                  <w:tcW w:w="1276" w:type="dxa"/>
                  <w:vAlign w:val="center"/>
                </w:tcPr>
                <w:p>
                  <w:pPr>
                    <w:pStyle w:val="29"/>
                    <w:widowControl w:val="0"/>
                    <w:spacing w:line="360" w:lineRule="exact"/>
                    <w:rPr>
                      <w:rFonts w:eastAsiaTheme="minorEastAsia"/>
                      <w:color w:val="auto"/>
                    </w:rPr>
                  </w:pPr>
                  <w:r>
                    <w:rPr>
                      <w:rFonts w:eastAsiaTheme="minorEastAsia"/>
                      <w:color w:val="auto"/>
                    </w:rPr>
                    <w:t>厂界四周</w:t>
                  </w:r>
                </w:p>
              </w:tc>
              <w:tc>
                <w:tcPr>
                  <w:tcW w:w="1417" w:type="dxa"/>
                  <w:vAlign w:val="center"/>
                </w:tcPr>
                <w:p>
                  <w:pPr>
                    <w:pStyle w:val="29"/>
                    <w:widowControl w:val="0"/>
                    <w:spacing w:line="360" w:lineRule="exact"/>
                    <w:rPr>
                      <w:rFonts w:eastAsiaTheme="minorEastAsia"/>
                      <w:color w:val="auto"/>
                    </w:rPr>
                  </w:pPr>
                  <w:r>
                    <w:rPr>
                      <w:rFonts w:eastAsiaTheme="minorEastAsia"/>
                      <w:color w:val="auto"/>
                    </w:rPr>
                    <w:t>等效连续A声级</w:t>
                  </w:r>
                </w:p>
              </w:tc>
              <w:tc>
                <w:tcPr>
                  <w:tcW w:w="1702" w:type="dxa"/>
                  <w:vAlign w:val="center"/>
                </w:tcPr>
                <w:p>
                  <w:pPr>
                    <w:pStyle w:val="29"/>
                    <w:widowControl w:val="0"/>
                    <w:spacing w:line="360" w:lineRule="exact"/>
                    <w:rPr>
                      <w:rFonts w:eastAsiaTheme="minorEastAsia"/>
                      <w:color w:val="auto"/>
                    </w:rPr>
                  </w:pPr>
                  <w:r>
                    <w:rPr>
                      <w:rFonts w:eastAsiaTheme="minorEastAsia"/>
                      <w:color w:val="auto"/>
                    </w:rPr>
                    <w:t>1次/季</w:t>
                  </w:r>
                </w:p>
              </w:tc>
              <w:tc>
                <w:tcPr>
                  <w:tcW w:w="3477" w:type="dxa"/>
                  <w:vAlign w:val="center"/>
                </w:tcPr>
                <w:p>
                  <w:pPr>
                    <w:pStyle w:val="29"/>
                    <w:widowControl w:val="0"/>
                    <w:spacing w:line="360" w:lineRule="exact"/>
                    <w:ind w:firstLine="210" w:firstLineChars="100"/>
                    <w:jc w:val="both"/>
                    <w:rPr>
                      <w:rFonts w:eastAsiaTheme="minorEastAsia"/>
                      <w:color w:val="auto"/>
                    </w:rPr>
                  </w:pPr>
                  <w:r>
                    <w:rPr>
                      <w:color w:val="auto"/>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4.2.4 运营期固体废物环境影响和保护措施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（1）固体废物污染源强分析</w:t>
            </w:r>
          </w:p>
          <w:p>
            <w:pPr>
              <w:pStyle w:val="37"/>
              <w:ind w:firstLine="480"/>
              <w:rPr>
                <w:rFonts w:eastAsiaTheme="minorEastAsia"/>
                <w:szCs w:val="24"/>
              </w:rPr>
            </w:pPr>
            <w:r>
              <w:rPr>
                <w:rFonts w:eastAsiaTheme="minorEastAsia"/>
                <w:szCs w:val="24"/>
              </w:rPr>
              <w:t>根据项目工程内容及生产工艺，项目主要固体废物包括：分选废料、收集粉尘、设备维修产生的废机油及废弃沾油抹布、生活垃圾、餐厨废物、隔油池浮油和污水处理设施污泥，其产生及处置情况如下：</w:t>
            </w:r>
          </w:p>
          <w:p>
            <w:pPr>
              <w:pStyle w:val="37"/>
              <w:ind w:firstLine="482"/>
              <w:rPr>
                <w:b/>
              </w:rPr>
            </w:pPr>
            <w:r>
              <w:rPr>
                <w:b/>
              </w:rPr>
              <w:t>①分选废料</w:t>
            </w:r>
          </w:p>
          <w:p>
            <w:pPr>
              <w:pStyle w:val="37"/>
              <w:ind w:firstLine="480"/>
              <w:rPr>
                <w:rFonts w:eastAsiaTheme="minorEastAsia"/>
                <w:szCs w:val="24"/>
              </w:rPr>
            </w:pPr>
            <w:r>
              <w:rPr>
                <w:rFonts w:eastAsiaTheme="minorEastAsia"/>
                <w:szCs w:val="24"/>
              </w:rPr>
              <w:t>根据项目生产工艺可知，项目通过对废铝混合料进行破碎分选，得到所需的主要产品铝料，根据实际情况，收集的废铝混合料中含有铁、塑料、锌、铜等，因此分别在磁选、涡电流分选和色选过程会分别产生相应的废铁料、废塑料和废锌、铜等杂料。根据废铝混合料的成分可知，项目废铁料产生量约为1.5万t/a，废塑料产生量约为0.8万t/a，废锌、铜等产生量约为0.7万t/a。均属于一般工业固体废物，分类收集后暂存于废料暂存库外卖相关回收单位再生利用；处置率为100%。</w:t>
            </w:r>
          </w:p>
          <w:p>
            <w:pPr>
              <w:pStyle w:val="37"/>
              <w:ind w:firstLine="482"/>
              <w:rPr>
                <w:b/>
              </w:rPr>
            </w:pPr>
            <w:r>
              <w:rPr>
                <w:b/>
              </w:rPr>
              <w:t>②收集粉尘</w:t>
            </w:r>
          </w:p>
          <w:p>
            <w:pPr>
              <w:pStyle w:val="37"/>
              <w:ind w:firstLine="480"/>
              <w:rPr>
                <w:rFonts w:eastAsiaTheme="minorEastAsia"/>
                <w:szCs w:val="24"/>
              </w:rPr>
            </w:pPr>
            <w:r>
              <w:rPr>
                <w:rFonts w:eastAsiaTheme="minorEastAsia"/>
                <w:szCs w:val="24"/>
              </w:rPr>
              <w:t>根据项目生产工艺可知，项目配套设置的1台处置效率不低于95%的布袋除尘器对粉尘进行处理，根据粉尘分析章节可知，项目收集粉尘量约为31.46t/a，该收集粉尘的主要成分为铝，因此统一收集后，返回生产系统进行分选；处置率为100%。</w:t>
            </w:r>
          </w:p>
          <w:p>
            <w:pPr>
              <w:pStyle w:val="37"/>
              <w:ind w:firstLine="482"/>
              <w:rPr>
                <w:b/>
              </w:rPr>
            </w:pPr>
            <w:r>
              <w:rPr>
                <w:b/>
              </w:rPr>
              <w:t>③废机油及废弃沾油抹布</w:t>
            </w:r>
          </w:p>
          <w:p>
            <w:pPr>
              <w:pStyle w:val="37"/>
              <w:ind w:firstLine="480"/>
              <w:rPr>
                <w:rFonts w:eastAsiaTheme="minorEastAsia"/>
                <w:szCs w:val="24"/>
              </w:rPr>
            </w:pPr>
            <w:r>
              <w:rPr>
                <w:rFonts w:eastAsiaTheme="minorEastAsia"/>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表4.2.4-1  国家危险废物名录（2021年）（摘抄）</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2"/>
              <w:gridCol w:w="863"/>
              <w:gridCol w:w="1052"/>
              <w:gridCol w:w="301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9"/>
                    <w:spacing w:line="360" w:lineRule="exact"/>
                    <w:rPr>
                      <w:color w:val="auto"/>
                      <w:szCs w:val="21"/>
                    </w:rPr>
                  </w:pPr>
                  <w:r>
                    <w:rPr>
                      <w:color w:val="auto"/>
                      <w:szCs w:val="21"/>
                    </w:rPr>
                    <w:t>项目危废</w:t>
                  </w:r>
                </w:p>
              </w:tc>
              <w:tc>
                <w:tcPr>
                  <w:tcW w:w="1302" w:type="dxa"/>
                  <w:vAlign w:val="center"/>
                </w:tcPr>
                <w:p>
                  <w:pPr>
                    <w:pStyle w:val="29"/>
                    <w:spacing w:line="360" w:lineRule="exact"/>
                    <w:rPr>
                      <w:color w:val="auto"/>
                      <w:szCs w:val="21"/>
                    </w:rPr>
                  </w:pPr>
                  <w:r>
                    <w:rPr>
                      <w:color w:val="auto"/>
                      <w:szCs w:val="21"/>
                    </w:rPr>
                    <w:t>废物类别</w:t>
                  </w:r>
                </w:p>
              </w:tc>
              <w:tc>
                <w:tcPr>
                  <w:tcW w:w="863" w:type="dxa"/>
                  <w:vAlign w:val="center"/>
                </w:tcPr>
                <w:p>
                  <w:pPr>
                    <w:pStyle w:val="29"/>
                    <w:spacing w:line="360" w:lineRule="exact"/>
                    <w:rPr>
                      <w:color w:val="auto"/>
                      <w:szCs w:val="21"/>
                    </w:rPr>
                  </w:pPr>
                  <w:r>
                    <w:rPr>
                      <w:color w:val="auto"/>
                      <w:szCs w:val="21"/>
                    </w:rPr>
                    <w:t>行业来源</w:t>
                  </w:r>
                </w:p>
              </w:tc>
              <w:tc>
                <w:tcPr>
                  <w:tcW w:w="1052" w:type="dxa"/>
                  <w:vAlign w:val="center"/>
                </w:tcPr>
                <w:p>
                  <w:pPr>
                    <w:pStyle w:val="29"/>
                    <w:spacing w:line="360" w:lineRule="exact"/>
                    <w:rPr>
                      <w:color w:val="auto"/>
                      <w:szCs w:val="21"/>
                    </w:rPr>
                  </w:pPr>
                  <w:r>
                    <w:rPr>
                      <w:color w:val="auto"/>
                      <w:szCs w:val="21"/>
                    </w:rPr>
                    <w:t>废物代码</w:t>
                  </w:r>
                </w:p>
              </w:tc>
              <w:tc>
                <w:tcPr>
                  <w:tcW w:w="3011" w:type="dxa"/>
                  <w:vAlign w:val="center"/>
                </w:tcPr>
                <w:p>
                  <w:pPr>
                    <w:pStyle w:val="29"/>
                    <w:spacing w:line="360" w:lineRule="exact"/>
                    <w:rPr>
                      <w:color w:val="auto"/>
                      <w:szCs w:val="21"/>
                    </w:rPr>
                  </w:pPr>
                  <w:r>
                    <w:rPr>
                      <w:color w:val="auto"/>
                      <w:szCs w:val="21"/>
                    </w:rPr>
                    <w:t>危险废物</w:t>
                  </w:r>
                </w:p>
              </w:tc>
              <w:tc>
                <w:tcPr>
                  <w:tcW w:w="1033" w:type="dxa"/>
                  <w:vAlign w:val="center"/>
                </w:tcPr>
                <w:p>
                  <w:pPr>
                    <w:pStyle w:val="29"/>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9"/>
                    <w:spacing w:line="360" w:lineRule="exact"/>
                    <w:rPr>
                      <w:color w:val="auto"/>
                      <w:szCs w:val="21"/>
                    </w:rPr>
                  </w:pPr>
                  <w:r>
                    <w:rPr>
                      <w:color w:val="auto"/>
                      <w:szCs w:val="21"/>
                    </w:rPr>
                    <w:t>废机油</w:t>
                  </w:r>
                </w:p>
              </w:tc>
              <w:tc>
                <w:tcPr>
                  <w:tcW w:w="1302" w:type="dxa"/>
                  <w:vAlign w:val="center"/>
                </w:tcPr>
                <w:p>
                  <w:pPr>
                    <w:pStyle w:val="29"/>
                    <w:spacing w:line="360" w:lineRule="exact"/>
                    <w:rPr>
                      <w:color w:val="auto"/>
                      <w:szCs w:val="21"/>
                    </w:rPr>
                  </w:pPr>
                  <w:r>
                    <w:rPr>
                      <w:color w:val="auto"/>
                      <w:szCs w:val="21"/>
                    </w:rPr>
                    <w:t>HW08废矿物油与含矿物油废物</w:t>
                  </w:r>
                </w:p>
              </w:tc>
              <w:tc>
                <w:tcPr>
                  <w:tcW w:w="863" w:type="dxa"/>
                  <w:vAlign w:val="center"/>
                </w:tcPr>
                <w:p>
                  <w:pPr>
                    <w:pStyle w:val="29"/>
                    <w:spacing w:line="360" w:lineRule="exact"/>
                    <w:rPr>
                      <w:color w:val="auto"/>
                      <w:szCs w:val="21"/>
                    </w:rPr>
                  </w:pPr>
                  <w:r>
                    <w:rPr>
                      <w:color w:val="auto"/>
                      <w:szCs w:val="21"/>
                    </w:rPr>
                    <w:t>非特定行业</w:t>
                  </w:r>
                </w:p>
              </w:tc>
              <w:tc>
                <w:tcPr>
                  <w:tcW w:w="1052" w:type="dxa"/>
                  <w:vAlign w:val="center"/>
                </w:tcPr>
                <w:p>
                  <w:pPr>
                    <w:pStyle w:val="29"/>
                    <w:spacing w:line="360" w:lineRule="exact"/>
                    <w:rPr>
                      <w:color w:val="auto"/>
                      <w:szCs w:val="21"/>
                    </w:rPr>
                  </w:pPr>
                  <w:r>
                    <w:rPr>
                      <w:color w:val="auto"/>
                      <w:szCs w:val="21"/>
                    </w:rPr>
                    <w:t>900-214-08</w:t>
                  </w:r>
                </w:p>
              </w:tc>
              <w:tc>
                <w:tcPr>
                  <w:tcW w:w="3011" w:type="dxa"/>
                  <w:vAlign w:val="center"/>
                </w:tcPr>
                <w:p>
                  <w:pPr>
                    <w:pStyle w:val="29"/>
                    <w:spacing w:line="360" w:lineRule="exact"/>
                    <w:ind w:firstLine="210" w:firstLineChars="100"/>
                    <w:jc w:val="left"/>
                    <w:rPr>
                      <w:color w:val="auto"/>
                      <w:szCs w:val="21"/>
                    </w:rPr>
                  </w:pPr>
                  <w:r>
                    <w:rPr>
                      <w:color w:val="auto"/>
                      <w:szCs w:val="21"/>
                    </w:rPr>
                    <w:t>车辆、轮船及其它机械维修过程中产生的废发动机油、制动器油、自动变速器油、齿轮油等废润滑油</w:t>
                  </w:r>
                </w:p>
              </w:tc>
              <w:tc>
                <w:tcPr>
                  <w:tcW w:w="1033" w:type="dxa"/>
                  <w:vAlign w:val="center"/>
                </w:tcPr>
                <w:p>
                  <w:pPr>
                    <w:pStyle w:val="29"/>
                    <w:spacing w:line="360" w:lineRule="exact"/>
                    <w:rPr>
                      <w:color w:val="auto"/>
                      <w:szCs w:val="21"/>
                    </w:rPr>
                  </w:pPr>
                  <w:r>
                    <w:rPr>
                      <w:color w:val="auto"/>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9"/>
                    <w:spacing w:line="360" w:lineRule="exact"/>
                    <w:rPr>
                      <w:color w:val="auto"/>
                      <w:szCs w:val="21"/>
                    </w:rPr>
                  </w:pPr>
                  <w:r>
                    <w:rPr>
                      <w:color w:val="auto"/>
                      <w:szCs w:val="21"/>
                    </w:rPr>
                    <w:t>沾油的抹布</w:t>
                  </w:r>
                </w:p>
              </w:tc>
              <w:tc>
                <w:tcPr>
                  <w:tcW w:w="1302" w:type="dxa"/>
                  <w:vAlign w:val="center"/>
                </w:tcPr>
                <w:p>
                  <w:pPr>
                    <w:pStyle w:val="29"/>
                    <w:spacing w:line="360" w:lineRule="exact"/>
                    <w:rPr>
                      <w:color w:val="auto"/>
                      <w:szCs w:val="21"/>
                    </w:rPr>
                  </w:pPr>
                  <w:r>
                    <w:rPr>
                      <w:color w:val="auto"/>
                      <w:szCs w:val="21"/>
                    </w:rPr>
                    <w:t>HW49其他废物</w:t>
                  </w:r>
                </w:p>
              </w:tc>
              <w:tc>
                <w:tcPr>
                  <w:tcW w:w="863" w:type="dxa"/>
                  <w:vAlign w:val="center"/>
                </w:tcPr>
                <w:p>
                  <w:pPr>
                    <w:pStyle w:val="29"/>
                    <w:spacing w:line="360" w:lineRule="exact"/>
                    <w:rPr>
                      <w:color w:val="auto"/>
                      <w:szCs w:val="21"/>
                    </w:rPr>
                  </w:pPr>
                  <w:r>
                    <w:rPr>
                      <w:color w:val="auto"/>
                      <w:szCs w:val="21"/>
                    </w:rPr>
                    <w:t>非特定行业</w:t>
                  </w:r>
                </w:p>
              </w:tc>
              <w:tc>
                <w:tcPr>
                  <w:tcW w:w="1052" w:type="dxa"/>
                  <w:vAlign w:val="center"/>
                </w:tcPr>
                <w:p>
                  <w:pPr>
                    <w:pStyle w:val="29"/>
                    <w:spacing w:line="360" w:lineRule="exact"/>
                    <w:rPr>
                      <w:color w:val="auto"/>
                      <w:szCs w:val="21"/>
                    </w:rPr>
                  </w:pPr>
                  <w:r>
                    <w:rPr>
                      <w:color w:val="auto"/>
                      <w:szCs w:val="21"/>
                    </w:rPr>
                    <w:t>900-041-49</w:t>
                  </w:r>
                </w:p>
              </w:tc>
              <w:tc>
                <w:tcPr>
                  <w:tcW w:w="3011" w:type="dxa"/>
                  <w:vAlign w:val="center"/>
                </w:tcPr>
                <w:p>
                  <w:pPr>
                    <w:pStyle w:val="29"/>
                    <w:spacing w:line="360" w:lineRule="exact"/>
                    <w:ind w:firstLine="210" w:firstLineChars="100"/>
                    <w:jc w:val="left"/>
                    <w:rPr>
                      <w:color w:val="auto"/>
                      <w:szCs w:val="21"/>
                    </w:rPr>
                  </w:pPr>
                  <w:r>
                    <w:rPr>
                      <w:color w:val="auto"/>
                      <w:szCs w:val="21"/>
                    </w:rPr>
                    <w:t>含有或沾染毒性、感染性危险废物的废弃包装物、容器、过滤吸附介质</w:t>
                  </w:r>
                </w:p>
              </w:tc>
              <w:tc>
                <w:tcPr>
                  <w:tcW w:w="1033" w:type="dxa"/>
                  <w:vAlign w:val="center"/>
                </w:tcPr>
                <w:p>
                  <w:pPr>
                    <w:pStyle w:val="29"/>
                    <w:spacing w:line="360" w:lineRule="exact"/>
                    <w:rPr>
                      <w:color w:val="auto"/>
                      <w:szCs w:val="21"/>
                    </w:rPr>
                  </w:pPr>
                  <w:r>
                    <w:rPr>
                      <w:color w:val="auto"/>
                      <w:szCs w:val="21"/>
                    </w:rPr>
                    <w:t>T/In</w:t>
                  </w:r>
                </w:p>
              </w:tc>
            </w:tr>
          </w:tbl>
          <w:p>
            <w:pPr>
              <w:pStyle w:val="37"/>
              <w:spacing w:beforeLines="50"/>
              <w:ind w:firstLine="480"/>
              <w:rPr>
                <w:szCs w:val="24"/>
              </w:rPr>
            </w:pPr>
            <w:r>
              <w:rPr>
                <w:szCs w:val="24"/>
              </w:rPr>
              <w:t>根据设计，项目区每年废机油产生量约为80kg，废弃沾油抹布产生量为10kg。根据《国家危险废物名录》（2021版）“危险废物豁免管理清单”的要求，本项目豁免危险废物清单如下：</w:t>
            </w:r>
          </w:p>
          <w:p>
            <w:pPr>
              <w:jc w:val="center"/>
              <w:rPr>
                <w:rFonts w:ascii="Times New Roman" w:hAnsi="Times New Roman" w:cs="Times New Roman"/>
                <w:b/>
                <w:szCs w:val="24"/>
              </w:rPr>
            </w:pPr>
            <w:r>
              <w:rPr>
                <w:rFonts w:ascii="Times New Roman" w:hAnsi="Times New Roman" w:cs="Times New Roman"/>
                <w:b/>
                <w:szCs w:val="24"/>
              </w:rPr>
              <w:t>表4.2.4-2 本项目豁免危险废物清单一览表</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0" w:type="dxa"/>
                  <w:vAlign w:val="center"/>
                </w:tcPr>
                <w:p>
                  <w:pPr>
                    <w:pStyle w:val="29"/>
                    <w:spacing w:line="360" w:lineRule="exact"/>
                    <w:rPr>
                      <w:color w:val="auto"/>
                      <w:szCs w:val="21"/>
                    </w:rPr>
                  </w:pPr>
                  <w:r>
                    <w:rPr>
                      <w:color w:val="auto"/>
                      <w:szCs w:val="21"/>
                    </w:rPr>
                    <w:t>废物类别</w:t>
                  </w:r>
                </w:p>
              </w:tc>
              <w:tc>
                <w:tcPr>
                  <w:tcW w:w="1481" w:type="dxa"/>
                  <w:vAlign w:val="center"/>
                </w:tcPr>
                <w:p>
                  <w:pPr>
                    <w:pStyle w:val="29"/>
                    <w:spacing w:line="360" w:lineRule="exact"/>
                    <w:rPr>
                      <w:color w:val="auto"/>
                      <w:szCs w:val="21"/>
                    </w:rPr>
                  </w:pPr>
                  <w:r>
                    <w:rPr>
                      <w:color w:val="auto"/>
                      <w:szCs w:val="21"/>
                    </w:rPr>
                    <w:t>危险废物</w:t>
                  </w:r>
                </w:p>
              </w:tc>
              <w:tc>
                <w:tcPr>
                  <w:tcW w:w="1252" w:type="dxa"/>
                  <w:vAlign w:val="center"/>
                </w:tcPr>
                <w:p>
                  <w:pPr>
                    <w:pStyle w:val="29"/>
                    <w:spacing w:line="360" w:lineRule="exact"/>
                    <w:rPr>
                      <w:color w:val="auto"/>
                      <w:szCs w:val="21"/>
                    </w:rPr>
                  </w:pPr>
                  <w:r>
                    <w:rPr>
                      <w:color w:val="auto"/>
                      <w:szCs w:val="21"/>
                    </w:rPr>
                    <w:t>豁免环节</w:t>
                  </w:r>
                </w:p>
              </w:tc>
              <w:tc>
                <w:tcPr>
                  <w:tcW w:w="1656" w:type="dxa"/>
                  <w:vAlign w:val="center"/>
                </w:tcPr>
                <w:p>
                  <w:pPr>
                    <w:pStyle w:val="29"/>
                    <w:spacing w:line="360" w:lineRule="exact"/>
                    <w:rPr>
                      <w:color w:val="auto"/>
                      <w:szCs w:val="21"/>
                    </w:rPr>
                  </w:pPr>
                  <w:r>
                    <w:rPr>
                      <w:color w:val="auto"/>
                      <w:szCs w:val="21"/>
                    </w:rPr>
                    <w:t>豁免条件</w:t>
                  </w:r>
                </w:p>
              </w:tc>
              <w:tc>
                <w:tcPr>
                  <w:tcW w:w="2689" w:type="dxa"/>
                  <w:vAlign w:val="center"/>
                </w:tcPr>
                <w:p>
                  <w:pPr>
                    <w:pStyle w:val="29"/>
                    <w:spacing w:line="360" w:lineRule="exact"/>
                    <w:rPr>
                      <w:color w:val="auto"/>
                      <w:szCs w:val="21"/>
                    </w:rPr>
                  </w:pPr>
                  <w:r>
                    <w:rPr>
                      <w:color w:val="auto"/>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29"/>
                    <w:spacing w:line="360" w:lineRule="exact"/>
                    <w:rPr>
                      <w:color w:val="auto"/>
                      <w:szCs w:val="21"/>
                    </w:rPr>
                  </w:pPr>
                  <w:r>
                    <w:rPr>
                      <w:color w:val="auto"/>
                      <w:szCs w:val="21"/>
                    </w:rPr>
                    <w:t>900-041-49</w:t>
                  </w:r>
                </w:p>
              </w:tc>
              <w:tc>
                <w:tcPr>
                  <w:tcW w:w="1481" w:type="dxa"/>
                  <w:vAlign w:val="center"/>
                </w:tcPr>
                <w:p>
                  <w:pPr>
                    <w:autoSpaceDE w:val="0"/>
                    <w:autoSpaceDN w:val="0"/>
                    <w:adjustRightInd w:val="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废弃的含油抹布、劳保用品</w:t>
                  </w:r>
                </w:p>
              </w:tc>
              <w:tc>
                <w:tcPr>
                  <w:tcW w:w="1252" w:type="dxa"/>
                  <w:vAlign w:val="center"/>
                </w:tcPr>
                <w:p>
                  <w:pPr>
                    <w:pStyle w:val="29"/>
                    <w:spacing w:line="360" w:lineRule="exact"/>
                    <w:rPr>
                      <w:color w:val="auto"/>
                      <w:szCs w:val="21"/>
                    </w:rPr>
                  </w:pPr>
                  <w:r>
                    <w:rPr>
                      <w:color w:val="auto"/>
                      <w:szCs w:val="21"/>
                    </w:rPr>
                    <w:t>全部环节</w:t>
                  </w:r>
                </w:p>
              </w:tc>
              <w:tc>
                <w:tcPr>
                  <w:tcW w:w="1656" w:type="dxa"/>
                  <w:vAlign w:val="center"/>
                </w:tcPr>
                <w:p>
                  <w:pPr>
                    <w:pStyle w:val="29"/>
                    <w:spacing w:line="360" w:lineRule="exact"/>
                    <w:rPr>
                      <w:color w:val="auto"/>
                      <w:szCs w:val="21"/>
                    </w:rPr>
                  </w:pPr>
                  <w:r>
                    <w:rPr>
                      <w:color w:val="auto"/>
                      <w:szCs w:val="21"/>
                    </w:rPr>
                    <w:t>未分类收集</w:t>
                  </w:r>
                </w:p>
              </w:tc>
              <w:tc>
                <w:tcPr>
                  <w:tcW w:w="2689" w:type="dxa"/>
                  <w:vAlign w:val="center"/>
                </w:tcPr>
                <w:p>
                  <w:pPr>
                    <w:pStyle w:val="29"/>
                    <w:spacing w:line="360" w:lineRule="exact"/>
                    <w:rPr>
                      <w:color w:val="auto"/>
                      <w:szCs w:val="21"/>
                    </w:rPr>
                  </w:pPr>
                  <w:r>
                    <w:rPr>
                      <w:color w:val="auto"/>
                      <w:szCs w:val="21"/>
                    </w:rPr>
                    <w:t>全过程不按危险废物管理</w:t>
                  </w:r>
                </w:p>
              </w:tc>
            </w:tr>
          </w:tbl>
          <w:p>
            <w:pPr>
              <w:pStyle w:val="37"/>
              <w:spacing w:beforeLines="50"/>
              <w:ind w:firstLine="480"/>
              <w:rPr>
                <w:szCs w:val="24"/>
              </w:rPr>
            </w:pPr>
            <w:r>
              <w:rPr>
                <w:szCs w:val="24"/>
              </w:rPr>
              <w:t>由上表可知，项目产生的废弃沾油抹布全部环节已被豁免，委托环卫部门清运处理；厂区拟建设了1个5m²的危险废物贮存间对废机油进行暂存，委托有资质的单位处置，处置率为100%。</w:t>
            </w:r>
          </w:p>
          <w:p>
            <w:pPr>
              <w:pStyle w:val="37"/>
              <w:ind w:firstLine="482"/>
              <w:rPr>
                <w:rFonts w:eastAsiaTheme="minorEastAsia"/>
                <w:b/>
                <w:szCs w:val="24"/>
              </w:rPr>
            </w:pPr>
            <w:r>
              <w:rPr>
                <w:b/>
                <w:szCs w:val="24"/>
              </w:rPr>
              <w:t>④</w:t>
            </w:r>
            <w:r>
              <w:rPr>
                <w:rFonts w:eastAsiaTheme="minorEastAsia"/>
                <w:b/>
                <w:szCs w:val="24"/>
              </w:rPr>
              <w:t>生活垃圾</w:t>
            </w:r>
          </w:p>
          <w:p>
            <w:pPr>
              <w:pStyle w:val="37"/>
              <w:ind w:firstLine="480"/>
              <w:rPr>
                <w:rFonts w:eastAsiaTheme="minorEastAsia"/>
                <w:szCs w:val="24"/>
              </w:rPr>
            </w:pPr>
            <w:r>
              <w:rPr>
                <w:rFonts w:eastAsiaTheme="minorEastAsia"/>
                <w:szCs w:val="24"/>
              </w:rPr>
              <w:t>根据项目特点可知，该项目拟定员工32人，生活产生量按1kg/（人·d）计，则生活垃圾产生量为32kg/d（9.6t/a）。生活垃圾集中收集后，委托环卫部门定期清运处置，处置率为100%。</w:t>
            </w:r>
          </w:p>
          <w:p>
            <w:pPr>
              <w:pStyle w:val="37"/>
              <w:ind w:firstLine="482"/>
              <w:rPr>
                <w:rFonts w:eastAsiaTheme="minorEastAsia"/>
                <w:b/>
                <w:szCs w:val="24"/>
              </w:rPr>
            </w:pPr>
            <w:r>
              <w:rPr>
                <w:b/>
                <w:szCs w:val="24"/>
              </w:rPr>
              <w:t>⑤</w:t>
            </w:r>
            <w:r>
              <w:rPr>
                <w:rFonts w:eastAsiaTheme="minorEastAsia"/>
                <w:b/>
                <w:szCs w:val="24"/>
              </w:rPr>
              <w:t>餐厨废物</w:t>
            </w:r>
          </w:p>
          <w:p>
            <w:pPr>
              <w:pStyle w:val="37"/>
              <w:ind w:firstLine="480"/>
              <w:rPr>
                <w:rFonts w:eastAsiaTheme="minorEastAsia"/>
                <w:szCs w:val="24"/>
              </w:rPr>
            </w:pPr>
            <w:r>
              <w:rPr>
                <w:rFonts w:eastAsiaTheme="minorEastAsia"/>
                <w:szCs w:val="24"/>
              </w:rPr>
              <w:t>根据项目特点可知，项目餐厨废物产生量约为3kg/d（合计0.9t/a），统一收集后委托有资质的单位进行处置，处置率为100%。</w:t>
            </w:r>
          </w:p>
          <w:p>
            <w:pPr>
              <w:pStyle w:val="37"/>
              <w:ind w:firstLine="482"/>
              <w:rPr>
                <w:rFonts w:eastAsiaTheme="minorEastAsia"/>
                <w:b/>
                <w:szCs w:val="24"/>
              </w:rPr>
            </w:pPr>
            <w:r>
              <w:rPr>
                <w:rFonts w:eastAsiaTheme="minorEastAsia"/>
                <w:b/>
                <w:szCs w:val="24"/>
              </w:rPr>
              <w:t>⑥隔油池浮油</w:t>
            </w:r>
          </w:p>
          <w:p>
            <w:pPr>
              <w:pStyle w:val="37"/>
              <w:ind w:firstLine="480"/>
              <w:rPr>
                <w:rFonts w:eastAsiaTheme="minorEastAsia"/>
                <w:szCs w:val="24"/>
              </w:rPr>
            </w:pPr>
            <w:r>
              <w:rPr>
                <w:rFonts w:eastAsiaTheme="minorEastAsia"/>
                <w:szCs w:val="24"/>
              </w:rPr>
              <w:t>根据项目特点可知，项目针对于厨房生活污水，项目拟设置1个1m³的隔油池对厨房废水进行预处理；该隔油池会产生隔油池浮油，产生量约为20kg/a；委托有资质的单位进行清理和处置，处置率为100%。</w:t>
            </w:r>
          </w:p>
          <w:p>
            <w:pPr>
              <w:pStyle w:val="37"/>
              <w:ind w:firstLine="482"/>
              <w:rPr>
                <w:rFonts w:eastAsiaTheme="minorEastAsia"/>
                <w:b/>
                <w:szCs w:val="24"/>
              </w:rPr>
            </w:pPr>
            <w:r>
              <w:rPr>
                <w:b/>
                <w:szCs w:val="24"/>
              </w:rPr>
              <w:t>⑦</w:t>
            </w:r>
            <w:r>
              <w:rPr>
                <w:rFonts w:eastAsiaTheme="minorEastAsia"/>
                <w:b/>
                <w:szCs w:val="24"/>
              </w:rPr>
              <w:t>污水处理设施污泥</w:t>
            </w:r>
          </w:p>
          <w:p>
            <w:pPr>
              <w:pStyle w:val="37"/>
              <w:ind w:firstLine="480"/>
            </w:pPr>
            <w:r>
              <w:rPr>
                <w:rFonts w:eastAsiaTheme="minorEastAsia"/>
                <w:szCs w:val="24"/>
              </w:rPr>
              <w:t>根据项目特点可知，项目化粪池、一体化污水处理设施在处理废水的过程中，将产生一定的污泥，污泥主要来源于SS</w:t>
            </w:r>
            <w:r>
              <w:t>和BOD</w:t>
            </w:r>
            <w:r>
              <w:rPr>
                <w:vertAlign w:val="subscript"/>
              </w:rPr>
              <w:t>5</w:t>
            </w:r>
            <w:r>
              <w:t>的去除，SS消减量为0.207t/a，BOD</w:t>
            </w:r>
            <w:r>
              <w:rPr>
                <w:vertAlign w:val="subscript"/>
              </w:rPr>
              <w:t>5</w:t>
            </w:r>
            <w:r>
              <w:t>消减量为0.164t/a，以每去除1kgBOD</w:t>
            </w:r>
            <w:r>
              <w:rPr>
                <w:vertAlign w:val="subscript"/>
              </w:rPr>
              <w:t>5</w:t>
            </w:r>
            <w:r>
              <w:t>产生污泥0.8kg和去除1kgSS产生污泥1kg计，则预计污泥产生量为0.34t/a。委托环卫部门清运处理，其处置率为100%。</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（2）固体废物环境影响和保护措施分析</w:t>
            </w:r>
          </w:p>
          <w:p>
            <w:pPr>
              <w:pStyle w:val="37"/>
              <w:ind w:firstLine="480"/>
              <w:rPr>
                <w:rFonts w:eastAsiaTheme="minorEastAsia"/>
                <w:szCs w:val="24"/>
              </w:rPr>
            </w:pPr>
            <w:r>
              <w:rPr>
                <w:rFonts w:eastAsiaTheme="minorEastAsia"/>
                <w:szCs w:val="24"/>
              </w:rPr>
              <w:t>根据固体废物污染源强分析可知，项目产生的固体废物，其环境影响和保护措施分析具体如下：</w:t>
            </w:r>
          </w:p>
          <w:p>
            <w:pPr>
              <w:pStyle w:val="31"/>
              <w:spacing w:beforeLines="0"/>
              <w:rPr>
                <w:rFonts w:hAnsi="Times New Roman" w:eastAsiaTheme="minorEastAsia"/>
                <w:sz w:val="21"/>
                <w:szCs w:val="21"/>
              </w:rPr>
            </w:pPr>
            <w:r>
              <w:rPr>
                <w:rFonts w:hAnsi="Times New Roman" w:eastAsiaTheme="minorEastAsia"/>
                <w:sz w:val="21"/>
                <w:szCs w:val="21"/>
              </w:rPr>
              <w:t>表4.2.4-2  固体废物环境影响和保护措施分析一览表</w:t>
            </w:r>
          </w:p>
          <w:tbl>
            <w:tblPr>
              <w:tblStyle w:val="19"/>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4"/>
              <w:gridCol w:w="765"/>
              <w:gridCol w:w="976"/>
              <w:gridCol w:w="837"/>
              <w:gridCol w:w="1080"/>
              <w:gridCol w:w="1597"/>
              <w:gridCol w:w="1761"/>
              <w:gridCol w:w="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Align w:val="center"/>
                </w:tcPr>
                <w:p>
                  <w:pPr>
                    <w:pStyle w:val="29"/>
                    <w:spacing w:line="360" w:lineRule="exact"/>
                    <w:rPr>
                      <w:rFonts w:eastAsiaTheme="minorEastAsia"/>
                      <w:color w:val="auto"/>
                      <w:szCs w:val="21"/>
                    </w:rPr>
                  </w:pPr>
                  <w:r>
                    <w:rPr>
                      <w:rFonts w:eastAsiaTheme="minorEastAsia"/>
                      <w:color w:val="auto"/>
                      <w:szCs w:val="21"/>
                    </w:rPr>
                    <w:t>序号</w:t>
                  </w:r>
                </w:p>
              </w:tc>
              <w:tc>
                <w:tcPr>
                  <w:tcW w:w="765" w:type="dxa"/>
                  <w:vAlign w:val="center"/>
                </w:tcPr>
                <w:p>
                  <w:pPr>
                    <w:pStyle w:val="29"/>
                    <w:spacing w:line="360" w:lineRule="exact"/>
                    <w:rPr>
                      <w:rFonts w:eastAsiaTheme="minorEastAsia"/>
                      <w:color w:val="auto"/>
                      <w:szCs w:val="21"/>
                    </w:rPr>
                  </w:pPr>
                  <w:r>
                    <w:rPr>
                      <w:rFonts w:eastAsiaTheme="minorEastAsia"/>
                      <w:color w:val="auto"/>
                      <w:szCs w:val="21"/>
                    </w:rPr>
                    <w:t>产生环节</w:t>
                  </w: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名称</w:t>
                  </w:r>
                </w:p>
              </w:tc>
              <w:tc>
                <w:tcPr>
                  <w:tcW w:w="837" w:type="dxa"/>
                  <w:vAlign w:val="center"/>
                </w:tcPr>
                <w:p>
                  <w:pPr>
                    <w:pStyle w:val="29"/>
                    <w:spacing w:line="360" w:lineRule="exact"/>
                    <w:rPr>
                      <w:rFonts w:eastAsiaTheme="minorEastAsia"/>
                      <w:color w:val="auto"/>
                      <w:szCs w:val="21"/>
                    </w:rPr>
                  </w:pPr>
                  <w:r>
                    <w:rPr>
                      <w:rFonts w:eastAsiaTheme="minorEastAsia"/>
                      <w:color w:val="auto"/>
                      <w:szCs w:val="21"/>
                    </w:rPr>
                    <w:t>属性</w:t>
                  </w: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产生量</w:t>
                  </w:r>
                </w:p>
              </w:tc>
              <w:tc>
                <w:tcPr>
                  <w:tcW w:w="1597" w:type="dxa"/>
                  <w:vAlign w:val="center"/>
                </w:tcPr>
                <w:p>
                  <w:pPr>
                    <w:pStyle w:val="29"/>
                    <w:spacing w:line="360" w:lineRule="exact"/>
                    <w:rPr>
                      <w:rFonts w:eastAsiaTheme="minorEastAsia"/>
                      <w:color w:val="auto"/>
                      <w:szCs w:val="21"/>
                    </w:rPr>
                  </w:pPr>
                  <w:r>
                    <w:rPr>
                      <w:rFonts w:eastAsiaTheme="minorEastAsia"/>
                      <w:color w:val="auto"/>
                      <w:szCs w:val="21"/>
                    </w:rPr>
                    <w:t>贮存方式</w:t>
                  </w:r>
                </w:p>
              </w:tc>
              <w:tc>
                <w:tcPr>
                  <w:tcW w:w="1761" w:type="dxa"/>
                  <w:vAlign w:val="center"/>
                </w:tcPr>
                <w:p>
                  <w:pPr>
                    <w:pStyle w:val="29"/>
                    <w:spacing w:line="360" w:lineRule="exact"/>
                    <w:rPr>
                      <w:rFonts w:eastAsiaTheme="minorEastAsia"/>
                      <w:color w:val="auto"/>
                      <w:szCs w:val="21"/>
                    </w:rPr>
                  </w:pPr>
                  <w:r>
                    <w:rPr>
                      <w:rFonts w:eastAsiaTheme="minorEastAsia"/>
                      <w:color w:val="auto"/>
                      <w:szCs w:val="21"/>
                    </w:rPr>
                    <w:t>利用处置方式和去向</w:t>
                  </w: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restart"/>
                  <w:vAlign w:val="center"/>
                </w:tcPr>
                <w:p>
                  <w:pPr>
                    <w:pStyle w:val="29"/>
                    <w:spacing w:line="360" w:lineRule="exact"/>
                    <w:rPr>
                      <w:rFonts w:eastAsiaTheme="minorEastAsia"/>
                      <w:color w:val="auto"/>
                      <w:szCs w:val="21"/>
                    </w:rPr>
                  </w:pPr>
                  <w:r>
                    <w:rPr>
                      <w:rFonts w:eastAsiaTheme="minorEastAsia"/>
                      <w:color w:val="auto"/>
                      <w:szCs w:val="21"/>
                    </w:rPr>
                    <w:t>1</w:t>
                  </w:r>
                </w:p>
              </w:tc>
              <w:tc>
                <w:tcPr>
                  <w:tcW w:w="765" w:type="dxa"/>
                  <w:vMerge w:val="restart"/>
                  <w:vAlign w:val="center"/>
                </w:tcPr>
                <w:p>
                  <w:pPr>
                    <w:pStyle w:val="29"/>
                    <w:spacing w:line="360" w:lineRule="exact"/>
                    <w:rPr>
                      <w:rFonts w:eastAsiaTheme="minorEastAsia"/>
                      <w:color w:val="auto"/>
                      <w:szCs w:val="21"/>
                    </w:rPr>
                  </w:pPr>
                  <w:r>
                    <w:rPr>
                      <w:rFonts w:eastAsiaTheme="minorEastAsia"/>
                      <w:color w:val="auto"/>
                      <w:szCs w:val="21"/>
                    </w:rPr>
                    <w:t>分选</w:t>
                  </w: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废铁料</w:t>
                  </w:r>
                </w:p>
              </w:tc>
              <w:tc>
                <w:tcPr>
                  <w:tcW w:w="837" w:type="dxa"/>
                  <w:vMerge w:val="restart"/>
                  <w:vAlign w:val="center"/>
                </w:tcPr>
                <w:p>
                  <w:pPr>
                    <w:pStyle w:val="29"/>
                    <w:spacing w:line="360" w:lineRule="exact"/>
                    <w:rPr>
                      <w:rFonts w:eastAsiaTheme="minorEastAsia"/>
                      <w:color w:val="auto"/>
                      <w:szCs w:val="21"/>
                    </w:rPr>
                  </w:pPr>
                  <w:r>
                    <w:rPr>
                      <w:rFonts w:eastAsiaTheme="minorEastAsia"/>
                      <w:color w:val="auto"/>
                      <w:szCs w:val="21"/>
                    </w:rPr>
                    <w:t>一般工业固废</w:t>
                  </w: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1.5万t/a</w:t>
                  </w:r>
                </w:p>
              </w:tc>
              <w:tc>
                <w:tcPr>
                  <w:tcW w:w="1597" w:type="dxa"/>
                  <w:vMerge w:val="restart"/>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在废料暂存库临时暂存。</w:t>
                  </w:r>
                </w:p>
              </w:tc>
              <w:tc>
                <w:tcPr>
                  <w:tcW w:w="1761" w:type="dxa"/>
                  <w:vMerge w:val="restart"/>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外卖相关回收单位再生利用。</w:t>
                  </w: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1.5万t/a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auto"/>
                      <w:szCs w:val="21"/>
                    </w:rPr>
                  </w:pPr>
                </w:p>
              </w:tc>
              <w:tc>
                <w:tcPr>
                  <w:tcW w:w="765" w:type="dxa"/>
                  <w:vMerge w:val="continue"/>
                  <w:vAlign w:val="center"/>
                </w:tcPr>
                <w:p>
                  <w:pPr>
                    <w:pStyle w:val="29"/>
                    <w:spacing w:line="360" w:lineRule="exact"/>
                    <w:rPr>
                      <w:rFonts w:eastAsiaTheme="minorEastAsia"/>
                      <w:color w:val="auto"/>
                      <w:szCs w:val="21"/>
                    </w:rPr>
                  </w:pP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废塑料</w:t>
                  </w:r>
                </w:p>
              </w:tc>
              <w:tc>
                <w:tcPr>
                  <w:tcW w:w="837" w:type="dxa"/>
                  <w:vMerge w:val="continue"/>
                  <w:vAlign w:val="center"/>
                </w:tcPr>
                <w:p>
                  <w:pPr>
                    <w:pStyle w:val="29"/>
                    <w:spacing w:line="360" w:lineRule="exact"/>
                    <w:rPr>
                      <w:rFonts w:eastAsiaTheme="minorEastAsia"/>
                      <w:color w:val="auto"/>
                      <w:szCs w:val="21"/>
                    </w:rPr>
                  </w:pP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0.8万t/a</w:t>
                  </w:r>
                </w:p>
              </w:tc>
              <w:tc>
                <w:tcPr>
                  <w:tcW w:w="1597" w:type="dxa"/>
                  <w:vMerge w:val="continue"/>
                  <w:vAlign w:val="center"/>
                </w:tcPr>
                <w:p>
                  <w:pPr>
                    <w:pStyle w:val="29"/>
                    <w:spacing w:line="360" w:lineRule="exact"/>
                    <w:rPr>
                      <w:rFonts w:eastAsiaTheme="minorEastAsia"/>
                      <w:color w:val="auto"/>
                      <w:szCs w:val="21"/>
                    </w:rPr>
                  </w:pPr>
                </w:p>
              </w:tc>
              <w:tc>
                <w:tcPr>
                  <w:tcW w:w="1761" w:type="dxa"/>
                  <w:vMerge w:val="continue"/>
                  <w:vAlign w:val="center"/>
                </w:tcPr>
                <w:p>
                  <w:pPr>
                    <w:pStyle w:val="29"/>
                    <w:spacing w:line="360" w:lineRule="exact"/>
                    <w:rPr>
                      <w:rFonts w:eastAsiaTheme="minorEastAsia"/>
                      <w:color w:val="auto"/>
                      <w:szCs w:val="21"/>
                    </w:rPr>
                  </w:pP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0.8万t/a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auto"/>
                      <w:szCs w:val="21"/>
                    </w:rPr>
                  </w:pPr>
                </w:p>
              </w:tc>
              <w:tc>
                <w:tcPr>
                  <w:tcW w:w="765" w:type="dxa"/>
                  <w:vMerge w:val="continue"/>
                  <w:vAlign w:val="center"/>
                </w:tcPr>
                <w:p>
                  <w:pPr>
                    <w:pStyle w:val="29"/>
                    <w:spacing w:line="360" w:lineRule="exact"/>
                    <w:rPr>
                      <w:rFonts w:eastAsiaTheme="minorEastAsia"/>
                      <w:color w:val="auto"/>
                      <w:szCs w:val="21"/>
                    </w:rPr>
                  </w:pP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废锌、铜等</w:t>
                  </w:r>
                </w:p>
              </w:tc>
              <w:tc>
                <w:tcPr>
                  <w:tcW w:w="837" w:type="dxa"/>
                  <w:vMerge w:val="continue"/>
                  <w:vAlign w:val="center"/>
                </w:tcPr>
                <w:p>
                  <w:pPr>
                    <w:pStyle w:val="29"/>
                    <w:spacing w:line="360" w:lineRule="exact"/>
                    <w:rPr>
                      <w:rFonts w:eastAsiaTheme="minorEastAsia"/>
                      <w:color w:val="auto"/>
                      <w:szCs w:val="21"/>
                    </w:rPr>
                  </w:pP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0.7万t/a</w:t>
                  </w:r>
                </w:p>
              </w:tc>
              <w:tc>
                <w:tcPr>
                  <w:tcW w:w="1597" w:type="dxa"/>
                  <w:vMerge w:val="continue"/>
                  <w:vAlign w:val="center"/>
                </w:tcPr>
                <w:p>
                  <w:pPr>
                    <w:pStyle w:val="29"/>
                    <w:spacing w:line="360" w:lineRule="exact"/>
                    <w:rPr>
                      <w:rFonts w:eastAsiaTheme="minorEastAsia"/>
                      <w:color w:val="auto"/>
                      <w:szCs w:val="21"/>
                    </w:rPr>
                  </w:pPr>
                </w:p>
              </w:tc>
              <w:tc>
                <w:tcPr>
                  <w:tcW w:w="1761" w:type="dxa"/>
                  <w:vMerge w:val="continue"/>
                  <w:vAlign w:val="center"/>
                </w:tcPr>
                <w:p>
                  <w:pPr>
                    <w:pStyle w:val="29"/>
                    <w:spacing w:line="360" w:lineRule="exact"/>
                    <w:rPr>
                      <w:rFonts w:eastAsiaTheme="minorEastAsia"/>
                      <w:color w:val="auto"/>
                      <w:szCs w:val="21"/>
                    </w:rPr>
                  </w:pP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0.7万t/a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Align w:val="center"/>
                </w:tcPr>
                <w:p>
                  <w:pPr>
                    <w:pStyle w:val="29"/>
                    <w:spacing w:line="360" w:lineRule="exact"/>
                    <w:rPr>
                      <w:rFonts w:eastAsiaTheme="minorEastAsia"/>
                      <w:color w:val="auto"/>
                      <w:szCs w:val="21"/>
                    </w:rPr>
                  </w:pPr>
                  <w:r>
                    <w:rPr>
                      <w:rFonts w:eastAsiaTheme="minorEastAsia"/>
                      <w:color w:val="auto"/>
                      <w:szCs w:val="21"/>
                    </w:rPr>
                    <w:t>2</w:t>
                  </w:r>
                </w:p>
              </w:tc>
              <w:tc>
                <w:tcPr>
                  <w:tcW w:w="765" w:type="dxa"/>
                  <w:tcBorders>
                    <w:bottom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布袋除尘器</w:t>
                  </w: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收集粉尘</w:t>
                  </w:r>
                </w:p>
              </w:tc>
              <w:tc>
                <w:tcPr>
                  <w:tcW w:w="837" w:type="dxa"/>
                  <w:vAlign w:val="center"/>
                </w:tcPr>
                <w:p>
                  <w:pPr>
                    <w:pStyle w:val="29"/>
                    <w:spacing w:line="360" w:lineRule="exact"/>
                    <w:rPr>
                      <w:rFonts w:eastAsiaTheme="minorEastAsia"/>
                      <w:color w:val="auto"/>
                      <w:szCs w:val="21"/>
                    </w:rPr>
                  </w:pPr>
                  <w:r>
                    <w:rPr>
                      <w:rFonts w:eastAsiaTheme="minorEastAsia"/>
                      <w:color w:val="auto"/>
                      <w:szCs w:val="21"/>
                    </w:rPr>
                    <w:t>一般工业固废</w:t>
                  </w:r>
                </w:p>
              </w:tc>
              <w:tc>
                <w:tcPr>
                  <w:tcW w:w="1080" w:type="dxa"/>
                  <w:vAlign w:val="center"/>
                </w:tcPr>
                <w:p>
                  <w:pPr>
                    <w:pStyle w:val="29"/>
                    <w:spacing w:line="360" w:lineRule="exact"/>
                    <w:rPr>
                      <w:rFonts w:eastAsiaTheme="minorEastAsia"/>
                      <w:color w:val="auto"/>
                      <w:szCs w:val="21"/>
                    </w:rPr>
                  </w:pPr>
                  <w:r>
                    <w:rPr>
                      <w:rFonts w:eastAsiaTheme="minorEastAsia"/>
                      <w:color w:val="auto"/>
                      <w:szCs w:val="24"/>
                    </w:rPr>
                    <w:t>31.46t/a</w:t>
                  </w:r>
                </w:p>
              </w:tc>
              <w:tc>
                <w:tcPr>
                  <w:tcW w:w="1597"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在原料堆存区临时暂存。</w:t>
                  </w:r>
                </w:p>
              </w:tc>
              <w:tc>
                <w:tcPr>
                  <w:tcW w:w="1761"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统一收集后外卖废品站。</w:t>
                  </w:r>
                </w:p>
              </w:tc>
              <w:tc>
                <w:tcPr>
                  <w:tcW w:w="968" w:type="dxa"/>
                  <w:vAlign w:val="center"/>
                </w:tcPr>
                <w:p>
                  <w:pPr>
                    <w:pStyle w:val="29"/>
                    <w:spacing w:line="360" w:lineRule="exact"/>
                    <w:rPr>
                      <w:rFonts w:eastAsiaTheme="minorEastAsia"/>
                      <w:color w:val="auto"/>
                      <w:szCs w:val="21"/>
                    </w:rPr>
                  </w:pPr>
                  <w:r>
                    <w:rPr>
                      <w:rFonts w:eastAsiaTheme="minorEastAsia"/>
                      <w:color w:val="auto"/>
                      <w:szCs w:val="24"/>
                    </w:rPr>
                    <w:t>31.46t/a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trPr>
              <w:tc>
                <w:tcPr>
                  <w:tcW w:w="624" w:type="dxa"/>
                  <w:vMerge w:val="restart"/>
                  <w:vAlign w:val="center"/>
                </w:tcPr>
                <w:p>
                  <w:pPr>
                    <w:pStyle w:val="29"/>
                    <w:spacing w:line="360" w:lineRule="exact"/>
                    <w:rPr>
                      <w:rFonts w:eastAsiaTheme="minorEastAsia"/>
                      <w:color w:val="auto"/>
                      <w:szCs w:val="21"/>
                    </w:rPr>
                  </w:pPr>
                  <w:r>
                    <w:rPr>
                      <w:rFonts w:eastAsiaTheme="minorEastAsia"/>
                      <w:color w:val="auto"/>
                      <w:szCs w:val="21"/>
                    </w:rPr>
                    <w:t>3</w:t>
                  </w:r>
                </w:p>
              </w:tc>
              <w:tc>
                <w:tcPr>
                  <w:tcW w:w="765" w:type="dxa"/>
                  <w:vMerge w:val="restart"/>
                  <w:vAlign w:val="center"/>
                </w:tcPr>
                <w:p>
                  <w:pPr>
                    <w:pStyle w:val="29"/>
                    <w:spacing w:line="360" w:lineRule="exact"/>
                    <w:rPr>
                      <w:rFonts w:eastAsiaTheme="minorEastAsia"/>
                      <w:color w:val="auto"/>
                      <w:szCs w:val="21"/>
                    </w:rPr>
                  </w:pPr>
                  <w:r>
                    <w:rPr>
                      <w:rFonts w:eastAsiaTheme="minorEastAsia"/>
                      <w:color w:val="auto"/>
                      <w:szCs w:val="21"/>
                    </w:rPr>
                    <w:t>设备维护</w:t>
                  </w: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废机油</w:t>
                  </w:r>
                </w:p>
              </w:tc>
              <w:tc>
                <w:tcPr>
                  <w:tcW w:w="837" w:type="dxa"/>
                  <w:tcBorders>
                    <w:bottom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危险废物</w:t>
                  </w: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80kg/a</w:t>
                  </w:r>
                </w:p>
              </w:tc>
              <w:tc>
                <w:tcPr>
                  <w:tcW w:w="1597" w:type="dxa"/>
                  <w:tcBorders>
                    <w:bottom w:val="single" w:color="auto" w:sz="4" w:space="0"/>
                  </w:tcBorders>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厂区拟建设了1个5m²的危险废物贮存间对废机油进行暂存。</w:t>
                  </w:r>
                </w:p>
              </w:tc>
              <w:tc>
                <w:tcPr>
                  <w:tcW w:w="1761" w:type="dxa"/>
                  <w:tcBorders>
                    <w:bottom w:val="single" w:color="auto" w:sz="4" w:space="0"/>
                  </w:tcBorders>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委托有资质的单位处置。</w:t>
                  </w: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auto"/>
                      <w:szCs w:val="21"/>
                    </w:rPr>
                  </w:pPr>
                </w:p>
              </w:tc>
              <w:tc>
                <w:tcPr>
                  <w:tcW w:w="765" w:type="dxa"/>
                  <w:vMerge w:val="continue"/>
                  <w:vAlign w:val="center"/>
                </w:tcPr>
                <w:p>
                  <w:pPr>
                    <w:pStyle w:val="29"/>
                    <w:spacing w:line="360" w:lineRule="exact"/>
                    <w:rPr>
                      <w:rFonts w:eastAsiaTheme="minorEastAsia"/>
                      <w:color w:val="auto"/>
                      <w:szCs w:val="21"/>
                    </w:rPr>
                  </w:pP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废弃沾油抹布</w:t>
                  </w:r>
                </w:p>
              </w:tc>
              <w:tc>
                <w:tcPr>
                  <w:tcW w:w="837" w:type="dxa"/>
                  <w:tcBorders>
                    <w:top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豁免的危险废物</w:t>
                  </w: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10kg/a</w:t>
                  </w:r>
                </w:p>
              </w:tc>
              <w:tc>
                <w:tcPr>
                  <w:tcW w:w="1597" w:type="dxa"/>
                  <w:tcBorders>
                    <w:top w:val="single" w:color="auto" w:sz="4" w:space="0"/>
                  </w:tcBorders>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使用垃圾桶集中收集，日产日清。</w:t>
                  </w:r>
                </w:p>
              </w:tc>
              <w:tc>
                <w:tcPr>
                  <w:tcW w:w="1761" w:type="dxa"/>
                  <w:tcBorders>
                    <w:top w:val="single" w:color="auto" w:sz="4" w:space="0"/>
                  </w:tcBorders>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委托环卫部门定期清运处置。</w:t>
                  </w: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restart"/>
                  <w:vAlign w:val="center"/>
                </w:tcPr>
                <w:p>
                  <w:pPr>
                    <w:pStyle w:val="29"/>
                    <w:spacing w:line="360" w:lineRule="exact"/>
                    <w:rPr>
                      <w:rFonts w:eastAsiaTheme="minorEastAsia"/>
                      <w:color w:val="auto"/>
                      <w:szCs w:val="21"/>
                    </w:rPr>
                  </w:pPr>
                  <w:r>
                    <w:rPr>
                      <w:rFonts w:eastAsiaTheme="minorEastAsia"/>
                      <w:color w:val="auto"/>
                      <w:szCs w:val="21"/>
                    </w:rPr>
                    <w:t>4</w:t>
                  </w:r>
                </w:p>
              </w:tc>
              <w:tc>
                <w:tcPr>
                  <w:tcW w:w="765" w:type="dxa"/>
                  <w:vMerge w:val="restart"/>
                  <w:vAlign w:val="center"/>
                </w:tcPr>
                <w:p>
                  <w:pPr>
                    <w:pStyle w:val="29"/>
                    <w:spacing w:line="360" w:lineRule="exact"/>
                    <w:rPr>
                      <w:rFonts w:eastAsiaTheme="minorEastAsia"/>
                      <w:color w:val="auto"/>
                      <w:szCs w:val="21"/>
                    </w:rPr>
                  </w:pPr>
                  <w:r>
                    <w:rPr>
                      <w:rFonts w:eastAsiaTheme="minorEastAsia"/>
                      <w:color w:val="auto"/>
                      <w:szCs w:val="21"/>
                    </w:rPr>
                    <w:t>员工生活</w:t>
                  </w: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生活垃圾</w:t>
                  </w:r>
                </w:p>
              </w:tc>
              <w:tc>
                <w:tcPr>
                  <w:tcW w:w="837" w:type="dxa"/>
                  <w:vMerge w:val="restart"/>
                  <w:vAlign w:val="center"/>
                </w:tcPr>
                <w:p>
                  <w:pPr>
                    <w:pStyle w:val="29"/>
                    <w:spacing w:line="360" w:lineRule="exact"/>
                    <w:rPr>
                      <w:rFonts w:eastAsiaTheme="minorEastAsia"/>
                      <w:color w:val="auto"/>
                      <w:szCs w:val="21"/>
                    </w:rPr>
                  </w:pPr>
                  <w:r>
                    <w:rPr>
                      <w:rFonts w:eastAsiaTheme="minorEastAsia"/>
                      <w:color w:val="auto"/>
                      <w:szCs w:val="21"/>
                    </w:rPr>
                    <w:t>生活固废</w:t>
                  </w: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9.6t/a</w:t>
                  </w:r>
                </w:p>
              </w:tc>
              <w:tc>
                <w:tcPr>
                  <w:tcW w:w="1597"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使用垃圾桶集中收集，日产日清。</w:t>
                  </w:r>
                </w:p>
              </w:tc>
              <w:tc>
                <w:tcPr>
                  <w:tcW w:w="1761"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委托环卫部门定期清运处置。</w:t>
                  </w: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9.6t/a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auto"/>
                      <w:szCs w:val="21"/>
                    </w:rPr>
                  </w:pPr>
                </w:p>
              </w:tc>
              <w:tc>
                <w:tcPr>
                  <w:tcW w:w="765" w:type="dxa"/>
                  <w:vMerge w:val="continue"/>
                  <w:vAlign w:val="center"/>
                </w:tcPr>
                <w:p>
                  <w:pPr>
                    <w:pStyle w:val="29"/>
                    <w:spacing w:line="360" w:lineRule="exact"/>
                    <w:rPr>
                      <w:rFonts w:eastAsiaTheme="minorEastAsia"/>
                      <w:color w:val="auto"/>
                      <w:szCs w:val="21"/>
                    </w:rPr>
                  </w:pP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餐厨废物</w:t>
                  </w:r>
                </w:p>
              </w:tc>
              <w:tc>
                <w:tcPr>
                  <w:tcW w:w="837" w:type="dxa"/>
                  <w:vMerge w:val="continue"/>
                  <w:vAlign w:val="center"/>
                </w:tcPr>
                <w:p>
                  <w:pPr>
                    <w:pStyle w:val="29"/>
                    <w:spacing w:line="360" w:lineRule="exact"/>
                    <w:rPr>
                      <w:rFonts w:eastAsiaTheme="minorEastAsia"/>
                      <w:color w:val="auto"/>
                      <w:szCs w:val="21"/>
                    </w:rPr>
                  </w:pP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0.9t/a</w:t>
                  </w:r>
                </w:p>
              </w:tc>
              <w:tc>
                <w:tcPr>
                  <w:tcW w:w="1597"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收集桶统一收集</w:t>
                  </w:r>
                </w:p>
              </w:tc>
              <w:tc>
                <w:tcPr>
                  <w:tcW w:w="1761"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委托有资质的单位进行处置</w:t>
                  </w: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0.9t/a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auto"/>
                      <w:szCs w:val="21"/>
                    </w:rPr>
                  </w:pPr>
                </w:p>
              </w:tc>
              <w:tc>
                <w:tcPr>
                  <w:tcW w:w="765" w:type="dxa"/>
                  <w:vMerge w:val="continue"/>
                  <w:vAlign w:val="center"/>
                </w:tcPr>
                <w:p>
                  <w:pPr>
                    <w:pStyle w:val="29"/>
                    <w:spacing w:line="360" w:lineRule="exact"/>
                    <w:rPr>
                      <w:rFonts w:eastAsiaTheme="minorEastAsia"/>
                      <w:color w:val="auto"/>
                      <w:szCs w:val="21"/>
                    </w:rPr>
                  </w:pP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隔油池浮油</w:t>
                  </w:r>
                </w:p>
              </w:tc>
              <w:tc>
                <w:tcPr>
                  <w:tcW w:w="837" w:type="dxa"/>
                  <w:vMerge w:val="continue"/>
                  <w:vAlign w:val="center"/>
                </w:tcPr>
                <w:p>
                  <w:pPr>
                    <w:pStyle w:val="29"/>
                    <w:spacing w:line="360" w:lineRule="exact"/>
                    <w:rPr>
                      <w:rFonts w:eastAsiaTheme="minorEastAsia"/>
                      <w:color w:val="auto"/>
                      <w:szCs w:val="21"/>
                    </w:rPr>
                  </w:pP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20kg/a</w:t>
                  </w:r>
                </w:p>
              </w:tc>
              <w:tc>
                <w:tcPr>
                  <w:tcW w:w="1597"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即清即运，不贮存</w:t>
                  </w:r>
                </w:p>
              </w:tc>
              <w:tc>
                <w:tcPr>
                  <w:tcW w:w="1761"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委托有资质的单位进行清理和处置</w:t>
                  </w: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20kg/a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29"/>
                    <w:spacing w:line="360" w:lineRule="exact"/>
                    <w:rPr>
                      <w:rFonts w:eastAsiaTheme="minorEastAsia"/>
                      <w:color w:val="auto"/>
                      <w:szCs w:val="21"/>
                    </w:rPr>
                  </w:pPr>
                </w:p>
              </w:tc>
              <w:tc>
                <w:tcPr>
                  <w:tcW w:w="765" w:type="dxa"/>
                  <w:vMerge w:val="continue"/>
                  <w:vAlign w:val="center"/>
                </w:tcPr>
                <w:p>
                  <w:pPr>
                    <w:pStyle w:val="29"/>
                    <w:spacing w:line="360" w:lineRule="exact"/>
                    <w:rPr>
                      <w:rFonts w:eastAsiaTheme="minorEastAsia"/>
                      <w:color w:val="auto"/>
                      <w:szCs w:val="21"/>
                    </w:rPr>
                  </w:pPr>
                </w:p>
              </w:tc>
              <w:tc>
                <w:tcPr>
                  <w:tcW w:w="976" w:type="dxa"/>
                  <w:vAlign w:val="center"/>
                </w:tcPr>
                <w:p>
                  <w:pPr>
                    <w:pStyle w:val="29"/>
                    <w:spacing w:line="360" w:lineRule="exact"/>
                    <w:rPr>
                      <w:rFonts w:eastAsiaTheme="minorEastAsia"/>
                      <w:color w:val="auto"/>
                      <w:szCs w:val="21"/>
                    </w:rPr>
                  </w:pPr>
                  <w:r>
                    <w:rPr>
                      <w:rFonts w:eastAsiaTheme="minorEastAsia"/>
                      <w:color w:val="auto"/>
                      <w:szCs w:val="21"/>
                    </w:rPr>
                    <w:t>污水处理设施污泥</w:t>
                  </w:r>
                </w:p>
              </w:tc>
              <w:tc>
                <w:tcPr>
                  <w:tcW w:w="837" w:type="dxa"/>
                  <w:vMerge w:val="continue"/>
                  <w:vAlign w:val="center"/>
                </w:tcPr>
                <w:p>
                  <w:pPr>
                    <w:pStyle w:val="29"/>
                    <w:spacing w:line="360" w:lineRule="exact"/>
                    <w:rPr>
                      <w:rFonts w:eastAsiaTheme="minorEastAsia"/>
                      <w:color w:val="auto"/>
                      <w:szCs w:val="21"/>
                    </w:rPr>
                  </w:pPr>
                </w:p>
              </w:tc>
              <w:tc>
                <w:tcPr>
                  <w:tcW w:w="1080" w:type="dxa"/>
                  <w:vAlign w:val="center"/>
                </w:tcPr>
                <w:p>
                  <w:pPr>
                    <w:pStyle w:val="29"/>
                    <w:spacing w:line="360" w:lineRule="exact"/>
                    <w:rPr>
                      <w:rFonts w:eastAsiaTheme="minorEastAsia"/>
                      <w:color w:val="auto"/>
                      <w:szCs w:val="21"/>
                    </w:rPr>
                  </w:pPr>
                  <w:r>
                    <w:rPr>
                      <w:rFonts w:eastAsiaTheme="minorEastAsia"/>
                      <w:color w:val="auto"/>
                      <w:szCs w:val="21"/>
                    </w:rPr>
                    <w:t>0.34t/a</w:t>
                  </w:r>
                </w:p>
              </w:tc>
              <w:tc>
                <w:tcPr>
                  <w:tcW w:w="1597"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即清即运，不贮存</w:t>
                  </w:r>
                </w:p>
              </w:tc>
              <w:tc>
                <w:tcPr>
                  <w:tcW w:w="1761" w:type="dxa"/>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委托环卫部门清运处理</w:t>
                  </w:r>
                </w:p>
              </w:tc>
              <w:tc>
                <w:tcPr>
                  <w:tcW w:w="968" w:type="dxa"/>
                  <w:vAlign w:val="center"/>
                </w:tcPr>
                <w:p>
                  <w:pPr>
                    <w:pStyle w:val="29"/>
                    <w:spacing w:line="360" w:lineRule="exact"/>
                    <w:rPr>
                      <w:rFonts w:eastAsiaTheme="minorEastAsia"/>
                      <w:color w:val="auto"/>
                      <w:szCs w:val="21"/>
                    </w:rPr>
                  </w:pPr>
                  <w:r>
                    <w:rPr>
                      <w:rFonts w:eastAsiaTheme="minorEastAsia"/>
                      <w:color w:val="auto"/>
                      <w:szCs w:val="21"/>
                    </w:rPr>
                    <w:t>0.34t/a</w:t>
                  </w:r>
                </w:p>
              </w:tc>
            </w:tr>
          </w:tbl>
          <w:p>
            <w:pPr>
              <w:pStyle w:val="37"/>
              <w:spacing w:beforeLines="50"/>
              <w:ind w:firstLine="480"/>
              <w:rPr>
                <w:szCs w:val="24"/>
              </w:rPr>
            </w:pPr>
            <w:r>
              <w:rPr>
                <w:szCs w:val="24"/>
              </w:rPr>
              <w:t>由上表可知，项目针对固废废物采取的保护措施具体实施如下：</w:t>
            </w:r>
          </w:p>
          <w:p>
            <w:pPr>
              <w:pStyle w:val="37"/>
              <w:ind w:firstLine="480"/>
              <w:rPr>
                <w:szCs w:val="24"/>
              </w:rPr>
            </w:pPr>
            <w:r>
              <w:rPr>
                <w:rFonts w:ascii="宋体"/>
                <w:szCs w:val="24"/>
              </w:rPr>
              <w:t>①</w:t>
            </w:r>
            <w:r>
              <w:rPr>
                <w:szCs w:val="24"/>
              </w:rPr>
              <w:t>项目产生的分选废料、收集粉尘等一般工业固废均可得到合理处置。</w:t>
            </w:r>
          </w:p>
          <w:p>
            <w:pPr>
              <w:pStyle w:val="37"/>
              <w:ind w:firstLine="480"/>
              <w:rPr>
                <w:szCs w:val="24"/>
              </w:rPr>
            </w:pPr>
            <w:r>
              <w:rPr>
                <w:szCs w:val="24"/>
              </w:rPr>
              <w:t>②针对项目产生的废机油，厂区拟建设了1个5m²的危险废物贮存间对废机油进行暂存。委托有资质的单位处置，要求项目危险废物贮存间严格进行地面和裙墙防腐防渗，内部设置导流渠和收集池，规范设置标识标牌等。</w:t>
            </w:r>
          </w:p>
          <w:p>
            <w:pPr>
              <w:pStyle w:val="37"/>
              <w:ind w:firstLine="480"/>
              <w:rPr>
                <w:szCs w:val="24"/>
              </w:rPr>
            </w:pPr>
            <w:r>
              <w:rPr>
                <w:rFonts w:ascii="宋体"/>
                <w:szCs w:val="24"/>
              </w:rPr>
              <w:t>③</w:t>
            </w:r>
            <w:r>
              <w:rPr>
                <w:szCs w:val="24"/>
              </w:rPr>
              <w:t>针对员工生活产生的生活固废及废弃沾油抹布，其中生活垃圾、废弃沾油抹布、污水处理设施污泥委托环卫部门定期清运处置；餐厨废物和隔油池浮油分别委托有资质的单位进行清理和处置。</w:t>
            </w:r>
          </w:p>
          <w:p>
            <w:pPr>
              <w:pStyle w:val="37"/>
              <w:ind w:firstLine="480"/>
              <w:rPr>
                <w:szCs w:val="24"/>
              </w:rPr>
            </w:pPr>
            <w:r>
              <w:rPr>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（3）环境管理要求</w:t>
            </w:r>
          </w:p>
          <w:p>
            <w:pPr>
              <w:pStyle w:val="37"/>
              <w:ind w:firstLine="482"/>
              <w:rPr>
                <w:rFonts w:eastAsiaTheme="minorEastAsia"/>
                <w:b/>
                <w:szCs w:val="24"/>
              </w:rPr>
            </w:pPr>
            <w:r>
              <w:rPr>
                <w:rFonts w:ascii="宋体"/>
                <w:b/>
                <w:szCs w:val="24"/>
              </w:rPr>
              <w:t>①</w:t>
            </w:r>
            <w:r>
              <w:rPr>
                <w:rFonts w:eastAsiaTheme="minorEastAsia"/>
                <w:b/>
                <w:szCs w:val="24"/>
              </w:rPr>
              <w:t>危险废物管理要求</w:t>
            </w:r>
          </w:p>
          <w:p>
            <w:pPr>
              <w:pStyle w:val="37"/>
              <w:ind w:firstLine="480"/>
              <w:rPr>
                <w:szCs w:val="24"/>
              </w:rPr>
            </w:pPr>
            <w:r>
              <w:rPr>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1"/>
              <w:spacing w:beforeLines="0"/>
              <w:rPr>
                <w:rFonts w:hAnsi="Times New Roman" w:eastAsiaTheme="minorEastAsia"/>
                <w:sz w:val="21"/>
                <w:szCs w:val="21"/>
              </w:rPr>
            </w:pPr>
            <w:r>
              <w:rPr>
                <w:rFonts w:hAnsi="Times New Roman" w:eastAsiaTheme="minorEastAsia"/>
                <w:sz w:val="21"/>
                <w:szCs w:val="21"/>
              </w:rPr>
              <w:t>表4.2.4-3 项目危险废物管理要求一览表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705"/>
              <w:gridCol w:w="7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29"/>
                    <w:spacing w:before="78"/>
                    <w:ind w:left="11"/>
                    <w:rPr>
                      <w:rFonts w:eastAsiaTheme="minorEastAsia"/>
                      <w:color w:val="auto"/>
                    </w:rPr>
                  </w:pPr>
                  <w:r>
                    <w:rPr>
                      <w:rFonts w:eastAsiaTheme="minorEastAsia"/>
                      <w:color w:val="auto"/>
                    </w:rPr>
                    <w:t>序号</w:t>
                  </w:r>
                </w:p>
              </w:tc>
              <w:tc>
                <w:tcPr>
                  <w:tcW w:w="705" w:type="dxa"/>
                  <w:vAlign w:val="center"/>
                </w:tcPr>
                <w:p>
                  <w:pPr>
                    <w:pStyle w:val="29"/>
                    <w:spacing w:before="78"/>
                    <w:ind w:left="11"/>
                    <w:rPr>
                      <w:rFonts w:eastAsiaTheme="minorEastAsia"/>
                      <w:color w:val="auto"/>
                    </w:rPr>
                  </w:pPr>
                  <w:r>
                    <w:rPr>
                      <w:rFonts w:eastAsiaTheme="minorEastAsia"/>
                      <w:color w:val="auto"/>
                    </w:rPr>
                    <w:t>环节</w:t>
                  </w:r>
                </w:p>
              </w:tc>
              <w:tc>
                <w:tcPr>
                  <w:tcW w:w="7275" w:type="dxa"/>
                  <w:vAlign w:val="center"/>
                </w:tcPr>
                <w:p>
                  <w:pPr>
                    <w:pStyle w:val="29"/>
                    <w:spacing w:before="78"/>
                    <w:ind w:left="11"/>
                    <w:rPr>
                      <w:rFonts w:eastAsiaTheme="minorEastAsia"/>
                      <w:color w:val="auto"/>
                    </w:rPr>
                  </w:pPr>
                  <w:r>
                    <w:rPr>
                      <w:rFonts w:eastAsiaTheme="minorEastAsia"/>
                      <w:color w:val="auto"/>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jc w:val="center"/>
              </w:trPr>
              <w:tc>
                <w:tcPr>
                  <w:tcW w:w="628" w:type="dxa"/>
                  <w:vAlign w:val="center"/>
                </w:tcPr>
                <w:p>
                  <w:pPr>
                    <w:pStyle w:val="29"/>
                    <w:spacing w:before="78"/>
                    <w:ind w:left="11"/>
                    <w:rPr>
                      <w:rFonts w:eastAsiaTheme="minorEastAsia"/>
                      <w:color w:val="auto"/>
                    </w:rPr>
                  </w:pPr>
                  <w:r>
                    <w:rPr>
                      <w:rFonts w:eastAsiaTheme="minorEastAsia"/>
                      <w:color w:val="auto"/>
                    </w:rPr>
                    <w:t>1</w:t>
                  </w:r>
                </w:p>
              </w:tc>
              <w:tc>
                <w:tcPr>
                  <w:tcW w:w="705" w:type="dxa"/>
                  <w:vAlign w:val="center"/>
                </w:tcPr>
                <w:p>
                  <w:pPr>
                    <w:pStyle w:val="29"/>
                    <w:spacing w:before="78"/>
                    <w:ind w:left="11"/>
                    <w:rPr>
                      <w:rFonts w:eastAsiaTheme="minorEastAsia"/>
                      <w:color w:val="auto"/>
                    </w:rPr>
                  </w:pPr>
                  <w:r>
                    <w:rPr>
                      <w:rFonts w:eastAsiaTheme="minorEastAsia"/>
                      <w:color w:val="auto"/>
                    </w:rPr>
                    <w:t>收集过程</w:t>
                  </w:r>
                </w:p>
              </w:tc>
              <w:tc>
                <w:tcPr>
                  <w:tcW w:w="7275" w:type="dxa"/>
                  <w:vAlign w:val="center"/>
                </w:tcPr>
                <w:p>
                  <w:pPr>
                    <w:pStyle w:val="29"/>
                    <w:spacing w:before="78"/>
                    <w:ind w:left="11" w:firstLine="210" w:firstLineChars="100"/>
                    <w:jc w:val="left"/>
                    <w:rPr>
                      <w:rFonts w:eastAsiaTheme="minorEastAsia"/>
                      <w:color w:val="auto"/>
                    </w:rPr>
                  </w:pPr>
                  <w:r>
                    <w:rPr>
                      <w:rFonts w:eastAsiaTheme="minorEastAsia"/>
                      <w:color w:val="auto"/>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29"/>
                    <w:spacing w:before="78"/>
                    <w:ind w:left="11"/>
                    <w:rPr>
                      <w:rFonts w:eastAsiaTheme="minorEastAsia"/>
                      <w:color w:val="auto"/>
                    </w:rPr>
                  </w:pPr>
                  <w:r>
                    <w:rPr>
                      <w:rFonts w:eastAsiaTheme="minorEastAsia"/>
                      <w:color w:val="auto"/>
                    </w:rPr>
                    <w:t>2</w:t>
                  </w:r>
                </w:p>
              </w:tc>
              <w:tc>
                <w:tcPr>
                  <w:tcW w:w="705" w:type="dxa"/>
                  <w:vAlign w:val="center"/>
                </w:tcPr>
                <w:p>
                  <w:pPr>
                    <w:pStyle w:val="29"/>
                    <w:spacing w:before="78"/>
                    <w:ind w:left="11"/>
                    <w:rPr>
                      <w:rFonts w:eastAsiaTheme="minorEastAsia"/>
                      <w:color w:val="auto"/>
                    </w:rPr>
                  </w:pPr>
                  <w:r>
                    <w:rPr>
                      <w:rFonts w:eastAsiaTheme="minorEastAsia"/>
                      <w:color w:val="auto"/>
                    </w:rPr>
                    <w:t>贮存过程</w:t>
                  </w:r>
                </w:p>
              </w:tc>
              <w:tc>
                <w:tcPr>
                  <w:tcW w:w="7275" w:type="dxa"/>
                  <w:vAlign w:val="center"/>
                </w:tcPr>
                <w:p>
                  <w:pPr>
                    <w:pStyle w:val="29"/>
                    <w:spacing w:before="78"/>
                    <w:ind w:left="11" w:firstLine="210" w:firstLineChars="100"/>
                    <w:jc w:val="left"/>
                    <w:rPr>
                      <w:rFonts w:eastAsiaTheme="minorEastAsia"/>
                      <w:color w:val="auto"/>
                    </w:rPr>
                  </w:pPr>
                  <w:r>
                    <w:rPr>
                      <w:rFonts w:ascii="宋体"/>
                      <w:color w:val="auto"/>
                    </w:rPr>
                    <w:t>①</w:t>
                  </w:r>
                  <w:r>
                    <w:rPr>
                      <w:rFonts w:eastAsiaTheme="minorEastAsia"/>
                      <w:color w:val="auto"/>
                    </w:rPr>
                    <w:t>要做好危险废物贮存间的防渗、防泄漏工作。</w:t>
                  </w:r>
                </w:p>
                <w:p>
                  <w:pPr>
                    <w:pStyle w:val="29"/>
                    <w:spacing w:before="78"/>
                    <w:ind w:left="11" w:firstLine="210" w:firstLineChars="100"/>
                    <w:jc w:val="left"/>
                    <w:rPr>
                      <w:rFonts w:eastAsiaTheme="minorEastAsia"/>
                      <w:color w:val="auto"/>
                    </w:rPr>
                  </w:pPr>
                  <w:r>
                    <w:rPr>
                      <w:rFonts w:ascii="宋体"/>
                      <w:color w:val="auto"/>
                    </w:rPr>
                    <w:t>②</w:t>
                  </w:r>
                  <w:r>
                    <w:rPr>
                      <w:rFonts w:eastAsiaTheme="minorEastAsia"/>
                      <w:color w:val="auto"/>
                    </w:rPr>
                    <w:t>危险废物堆场必须封顶，并做好防雨工作，场内须做好防渗措施。</w:t>
                  </w:r>
                </w:p>
                <w:p>
                  <w:pPr>
                    <w:pStyle w:val="29"/>
                    <w:spacing w:before="78"/>
                    <w:ind w:left="11" w:firstLine="210" w:firstLineChars="100"/>
                    <w:jc w:val="left"/>
                    <w:rPr>
                      <w:rFonts w:eastAsiaTheme="minorEastAsia"/>
                      <w:color w:val="auto"/>
                    </w:rPr>
                  </w:pPr>
                  <w:r>
                    <w:rPr>
                      <w:rFonts w:ascii="宋体"/>
                      <w:color w:val="auto"/>
                    </w:rPr>
                    <w:t>③</w:t>
                  </w:r>
                  <w:r>
                    <w:rPr>
                      <w:rFonts w:eastAsiaTheme="minorEastAsia"/>
                      <w:color w:val="auto"/>
                    </w:rPr>
                    <w:t>危险废物需用符合标准的容器盛装，容器上需粘贴符合《危险废物贮存污染控制标准》（GB18597-2001）附录A所示的标签。</w:t>
                  </w:r>
                </w:p>
                <w:p>
                  <w:pPr>
                    <w:pStyle w:val="29"/>
                    <w:spacing w:before="78"/>
                    <w:ind w:left="11" w:firstLine="210" w:firstLineChars="100"/>
                    <w:jc w:val="left"/>
                    <w:rPr>
                      <w:rFonts w:eastAsiaTheme="minorEastAsia"/>
                      <w:color w:val="auto"/>
                    </w:rPr>
                  </w:pPr>
                  <w:r>
                    <w:rPr>
                      <w:rFonts w:ascii="宋体"/>
                      <w:color w:val="auto"/>
                    </w:rPr>
                    <w:t>④</w:t>
                  </w:r>
                  <w:r>
                    <w:rPr>
                      <w:rFonts w:eastAsiaTheme="minorEastAsia"/>
                      <w:color w:val="auto"/>
                    </w:rPr>
                    <w:t>危险废物贮存间必须按GB15562.2《环境保护图形标志—固体废物贮存（处置）场》的规定设置警示标志。</w:t>
                  </w:r>
                </w:p>
                <w:p>
                  <w:pPr>
                    <w:pStyle w:val="29"/>
                    <w:spacing w:before="78"/>
                    <w:ind w:left="11" w:firstLine="210" w:firstLineChars="100"/>
                    <w:jc w:val="left"/>
                    <w:rPr>
                      <w:rFonts w:eastAsiaTheme="minorEastAsia"/>
                      <w:color w:val="auto"/>
                    </w:rPr>
                  </w:pPr>
                  <w:r>
                    <w:rPr>
                      <w:rFonts w:ascii="宋体"/>
                      <w:color w:val="auto"/>
                    </w:rPr>
                    <w:t>⑤</w:t>
                  </w:r>
                  <w:r>
                    <w:rPr>
                      <w:rFonts w:eastAsiaTheme="minorEastAsia"/>
                      <w:color w:val="auto"/>
                    </w:rPr>
                    <w:t>装载危险废物的容器要满足相应的强度要求，必须完好无损。</w:t>
                  </w:r>
                </w:p>
                <w:p>
                  <w:pPr>
                    <w:pStyle w:val="29"/>
                    <w:spacing w:before="78"/>
                    <w:ind w:left="11" w:firstLine="210" w:firstLineChars="100"/>
                    <w:jc w:val="left"/>
                    <w:rPr>
                      <w:rFonts w:eastAsiaTheme="minorEastAsia"/>
                      <w:color w:val="auto"/>
                    </w:rPr>
                  </w:pPr>
                  <w:r>
                    <w:rPr>
                      <w:rFonts w:ascii="宋体"/>
                      <w:color w:val="auto"/>
                    </w:rPr>
                    <w:t>⑥</w:t>
                  </w:r>
                  <w:r>
                    <w:rPr>
                      <w:rFonts w:eastAsiaTheme="minorEastAsia"/>
                      <w:color w:val="auto"/>
                    </w:rPr>
                    <w:t>盛装危险废物的容器材质和衬里要与危险废物性质相容（不相互反应）。</w:t>
                  </w:r>
                </w:p>
                <w:p>
                  <w:pPr>
                    <w:pStyle w:val="29"/>
                    <w:spacing w:before="78"/>
                    <w:ind w:left="11" w:firstLine="210" w:firstLineChars="100"/>
                    <w:jc w:val="left"/>
                    <w:rPr>
                      <w:rFonts w:eastAsiaTheme="minorEastAsia"/>
                      <w:color w:val="auto"/>
                    </w:rPr>
                  </w:pPr>
                  <w:r>
                    <w:rPr>
                      <w:rFonts w:ascii="宋体"/>
                      <w:color w:val="auto"/>
                    </w:rPr>
                    <w:t>⑦</w:t>
                  </w:r>
                  <w:r>
                    <w:rPr>
                      <w:rFonts w:eastAsiaTheme="minorEastAsia"/>
                      <w:color w:val="auto"/>
                    </w:rPr>
                    <w:t>盛装危险废物容器都应有防漏裙脚或储漏盘，防漏裙脚或储漏盘的材料要与危险废物相容。</w:t>
                  </w:r>
                </w:p>
                <w:p>
                  <w:pPr>
                    <w:pStyle w:val="29"/>
                    <w:spacing w:before="78"/>
                    <w:ind w:left="11" w:firstLine="210" w:firstLineChars="100"/>
                    <w:jc w:val="left"/>
                    <w:rPr>
                      <w:rFonts w:eastAsiaTheme="minorEastAsia"/>
                      <w:color w:val="auto"/>
                    </w:rPr>
                  </w:pPr>
                  <w:r>
                    <w:rPr>
                      <w:rFonts w:ascii="宋体"/>
                      <w:color w:val="auto"/>
                    </w:rPr>
                    <w:t>⑧</w:t>
                  </w:r>
                  <w:r>
                    <w:rPr>
                      <w:rFonts w:eastAsiaTheme="minorEastAsia"/>
                      <w:color w:val="auto"/>
                    </w:rPr>
                    <w:t>作好危险废物贮存情况的记录，记录上须注明危险废物的名称、来源、数量、特性和包装容器的类别、入库日期、存放库位、废物出库日期及接收单位名称。记录和货单在危险废物处置后继续保留三年。</w:t>
                  </w:r>
                </w:p>
                <w:p>
                  <w:pPr>
                    <w:pStyle w:val="29"/>
                    <w:spacing w:before="78"/>
                    <w:ind w:left="11" w:firstLine="210" w:firstLineChars="100"/>
                    <w:jc w:val="left"/>
                    <w:rPr>
                      <w:rFonts w:eastAsiaTheme="minorEastAsia"/>
                      <w:color w:val="auto"/>
                    </w:rPr>
                  </w:pPr>
                  <w:r>
                    <w:rPr>
                      <w:rFonts w:ascii="宋体"/>
                      <w:color w:val="auto"/>
                    </w:rPr>
                    <w:t>⑨</w:t>
                  </w:r>
                  <w:r>
                    <w:rPr>
                      <w:rFonts w:eastAsiaTheme="minorEastAsia"/>
                      <w:color w:val="auto"/>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29"/>
                    <w:spacing w:before="78"/>
                    <w:ind w:left="11"/>
                    <w:rPr>
                      <w:rFonts w:eastAsiaTheme="minorEastAsia"/>
                      <w:color w:val="auto"/>
                    </w:rPr>
                  </w:pPr>
                  <w:r>
                    <w:rPr>
                      <w:rFonts w:eastAsiaTheme="minorEastAsia"/>
                      <w:color w:val="auto"/>
                    </w:rPr>
                    <w:t>3</w:t>
                  </w:r>
                </w:p>
              </w:tc>
              <w:tc>
                <w:tcPr>
                  <w:tcW w:w="705" w:type="dxa"/>
                  <w:vAlign w:val="center"/>
                </w:tcPr>
                <w:p>
                  <w:pPr>
                    <w:pStyle w:val="29"/>
                    <w:spacing w:before="78"/>
                    <w:ind w:left="11"/>
                    <w:rPr>
                      <w:rFonts w:eastAsiaTheme="minorEastAsia"/>
                      <w:color w:val="auto"/>
                    </w:rPr>
                  </w:pPr>
                  <w:r>
                    <w:rPr>
                      <w:rFonts w:eastAsiaTheme="minorEastAsia"/>
                      <w:color w:val="auto"/>
                    </w:rPr>
                    <w:t>委托转移</w:t>
                  </w:r>
                </w:p>
              </w:tc>
              <w:tc>
                <w:tcPr>
                  <w:tcW w:w="7275" w:type="dxa"/>
                  <w:vAlign w:val="center"/>
                </w:tcPr>
                <w:p>
                  <w:pPr>
                    <w:pStyle w:val="29"/>
                    <w:spacing w:before="78"/>
                    <w:ind w:left="11" w:firstLine="210" w:firstLineChars="100"/>
                    <w:jc w:val="left"/>
                    <w:rPr>
                      <w:rFonts w:eastAsiaTheme="minorEastAsia"/>
                      <w:color w:val="auto"/>
                    </w:rPr>
                  </w:pPr>
                  <w:r>
                    <w:rPr>
                      <w:rFonts w:eastAsiaTheme="minorEastAsia"/>
                      <w:color w:val="auto"/>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29"/>
                    <w:spacing w:before="78"/>
                    <w:ind w:left="11"/>
                    <w:rPr>
                      <w:rFonts w:eastAsiaTheme="minorEastAsia"/>
                      <w:color w:val="auto"/>
                    </w:rPr>
                  </w:pPr>
                  <w:r>
                    <w:rPr>
                      <w:rFonts w:eastAsiaTheme="minorEastAsia"/>
                      <w:color w:val="auto"/>
                    </w:rPr>
                    <w:t>4</w:t>
                  </w:r>
                </w:p>
              </w:tc>
              <w:tc>
                <w:tcPr>
                  <w:tcW w:w="705" w:type="dxa"/>
                  <w:vAlign w:val="center"/>
                </w:tcPr>
                <w:p>
                  <w:pPr>
                    <w:pStyle w:val="29"/>
                    <w:spacing w:before="78"/>
                    <w:ind w:left="11"/>
                    <w:rPr>
                      <w:rFonts w:eastAsiaTheme="minorEastAsia"/>
                      <w:color w:val="auto"/>
                    </w:rPr>
                  </w:pPr>
                  <w:r>
                    <w:rPr>
                      <w:rFonts w:eastAsiaTheme="minorEastAsia"/>
                      <w:color w:val="auto"/>
                    </w:rPr>
                    <w:t>危险废物贮存间的建设及管理</w:t>
                  </w:r>
                </w:p>
              </w:tc>
              <w:tc>
                <w:tcPr>
                  <w:tcW w:w="7275" w:type="dxa"/>
                  <w:vAlign w:val="center"/>
                </w:tcPr>
                <w:p>
                  <w:pPr>
                    <w:pStyle w:val="29"/>
                    <w:spacing w:before="78"/>
                    <w:ind w:left="11" w:firstLine="210" w:firstLineChars="100"/>
                    <w:jc w:val="left"/>
                    <w:rPr>
                      <w:rFonts w:eastAsiaTheme="minorEastAsia"/>
                      <w:color w:val="auto"/>
                    </w:rPr>
                  </w:pPr>
                  <w:r>
                    <w:rPr>
                      <w:rFonts w:ascii="宋体"/>
                      <w:color w:val="auto"/>
                    </w:rPr>
                    <w:t>①</w:t>
                  </w:r>
                  <w:r>
                    <w:rPr>
                      <w:rFonts w:eastAsiaTheme="minorEastAsia"/>
                      <w:color w:val="auto"/>
                    </w:rPr>
                    <w:t>危险废物贮存间必须要密闭建设，门口内侧设立围堰，地面应做好硬化及“三防”措施；</w:t>
                  </w:r>
                </w:p>
                <w:p>
                  <w:pPr>
                    <w:pStyle w:val="29"/>
                    <w:spacing w:before="78"/>
                    <w:ind w:left="11" w:firstLine="210" w:firstLineChars="100"/>
                    <w:jc w:val="left"/>
                    <w:rPr>
                      <w:rFonts w:eastAsiaTheme="minorEastAsia"/>
                      <w:color w:val="auto"/>
                    </w:rPr>
                  </w:pPr>
                  <w:r>
                    <w:rPr>
                      <w:rFonts w:ascii="宋体"/>
                      <w:color w:val="auto"/>
                    </w:rPr>
                    <w:t>②</w:t>
                  </w:r>
                  <w:r>
                    <w:rPr>
                      <w:rFonts w:eastAsiaTheme="minorEastAsia"/>
                      <w:color w:val="auto"/>
                    </w:rPr>
                    <w:t>危险废物贮存间门口需张贴标准规范的危险废物标识和危险信息版，屋内张贴企业《危险废物管理制度》；</w:t>
                  </w:r>
                </w:p>
                <w:p>
                  <w:pPr>
                    <w:pStyle w:val="29"/>
                    <w:spacing w:before="78"/>
                    <w:ind w:left="11" w:firstLine="210" w:firstLineChars="100"/>
                    <w:jc w:val="left"/>
                    <w:rPr>
                      <w:rFonts w:eastAsiaTheme="minorEastAsia"/>
                      <w:color w:val="auto"/>
                    </w:rPr>
                  </w:pPr>
                  <w:r>
                    <w:rPr>
                      <w:rFonts w:ascii="宋体"/>
                      <w:color w:val="auto"/>
                    </w:rPr>
                    <w:t>③</w:t>
                  </w:r>
                  <w:r>
                    <w:rPr>
                      <w:rFonts w:eastAsiaTheme="minorEastAsia"/>
                      <w:color w:val="auto"/>
                    </w:rPr>
                    <w:t>危险废物贮存间需按照“双人双锁”制度管理；</w:t>
                  </w:r>
                </w:p>
                <w:p>
                  <w:pPr>
                    <w:pStyle w:val="29"/>
                    <w:spacing w:before="78"/>
                    <w:ind w:left="11" w:firstLine="210" w:firstLineChars="100"/>
                    <w:jc w:val="left"/>
                    <w:rPr>
                      <w:rFonts w:eastAsiaTheme="minorEastAsia"/>
                      <w:color w:val="auto"/>
                    </w:rPr>
                  </w:pPr>
                  <w:r>
                    <w:rPr>
                      <w:rFonts w:ascii="宋体"/>
                      <w:color w:val="auto"/>
                    </w:rPr>
                    <w:t>④</w:t>
                  </w:r>
                  <w:r>
                    <w:rPr>
                      <w:rFonts w:eastAsiaTheme="minorEastAsia"/>
                      <w:color w:val="auto"/>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9"/>
                    <w:spacing w:before="78"/>
                    <w:ind w:left="11" w:firstLine="210" w:firstLineChars="100"/>
                    <w:jc w:val="left"/>
                    <w:rPr>
                      <w:rFonts w:eastAsiaTheme="minorEastAsia"/>
                      <w:color w:val="auto"/>
                    </w:rPr>
                  </w:pPr>
                  <w:r>
                    <w:rPr>
                      <w:rFonts w:ascii="宋体"/>
                      <w:color w:val="auto"/>
                    </w:rPr>
                    <w:t>⑤</w:t>
                  </w:r>
                  <w:r>
                    <w:rPr>
                      <w:rFonts w:eastAsiaTheme="minorEastAsia"/>
                      <w:color w:val="auto"/>
                    </w:rPr>
                    <w:t>建立台账并悬挂于危险废物贮存间内；</w:t>
                  </w:r>
                </w:p>
                <w:p>
                  <w:pPr>
                    <w:pStyle w:val="29"/>
                    <w:spacing w:before="78"/>
                    <w:ind w:left="11" w:firstLine="210" w:firstLineChars="100"/>
                    <w:jc w:val="left"/>
                    <w:rPr>
                      <w:rFonts w:eastAsiaTheme="minorEastAsia"/>
                      <w:color w:val="auto"/>
                    </w:rPr>
                  </w:pPr>
                  <w:r>
                    <w:rPr>
                      <w:rFonts w:ascii="宋体"/>
                      <w:color w:val="auto"/>
                    </w:rPr>
                    <w:t>⑥</w:t>
                  </w:r>
                  <w:r>
                    <w:rPr>
                      <w:rFonts w:eastAsiaTheme="minorEastAsia"/>
                      <w:color w:val="auto"/>
                    </w:rPr>
                    <w:t>危险废物贮存间内禁止存放除危险废物及应急工具及其他物品；</w:t>
                  </w:r>
                </w:p>
              </w:tc>
            </w:tr>
          </w:tbl>
          <w:p>
            <w:pPr>
              <w:pStyle w:val="37"/>
              <w:spacing w:beforeLines="50"/>
              <w:ind w:firstLine="482"/>
              <w:rPr>
                <w:rFonts w:eastAsiaTheme="minorEastAsia"/>
                <w:b/>
                <w:szCs w:val="24"/>
              </w:rPr>
            </w:pPr>
            <w:bookmarkStart w:id="12" w:name="_Toc484976361"/>
            <w:r>
              <w:rPr>
                <w:rFonts w:ascii="宋体"/>
                <w:b/>
                <w:szCs w:val="24"/>
              </w:rPr>
              <w:t>②</w:t>
            </w:r>
            <w:r>
              <w:rPr>
                <w:rFonts w:eastAsiaTheme="minorEastAsia"/>
                <w:b/>
                <w:szCs w:val="24"/>
              </w:rPr>
              <w:t>生活垃圾管理要求</w:t>
            </w:r>
          </w:p>
          <w:p>
            <w:pPr>
              <w:pStyle w:val="37"/>
              <w:ind w:firstLine="480"/>
              <w:rPr>
                <w:szCs w:val="24"/>
              </w:rPr>
            </w:pPr>
            <w:r>
              <w:rPr>
                <w:szCs w:val="24"/>
              </w:rPr>
              <w:t>项目产生的生活垃圾应做到日产日清。</w:t>
            </w:r>
          </w:p>
          <w:bookmarkEnd w:id="12"/>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4.2.5 地下水、土壤环境影响和保护措施</w:t>
            </w:r>
          </w:p>
          <w:p>
            <w:pPr>
              <w:pStyle w:val="37"/>
              <w:ind w:firstLine="361" w:firstLineChars="150"/>
              <w:rPr>
                <w:rFonts w:eastAsiaTheme="minorEastAsia"/>
                <w:b/>
                <w:szCs w:val="24"/>
              </w:rPr>
            </w:pPr>
            <w:r>
              <w:rPr>
                <w:rFonts w:eastAsiaTheme="minorEastAsia"/>
                <w:b/>
                <w:szCs w:val="24"/>
              </w:rPr>
              <w:t>（1）污染源及污染物类型</w:t>
            </w:r>
          </w:p>
          <w:p>
            <w:pPr>
              <w:pStyle w:val="37"/>
              <w:ind w:firstLine="480"/>
              <w:rPr>
                <w:szCs w:val="24"/>
              </w:rPr>
            </w:pPr>
            <w:r>
              <w:rPr>
                <w:szCs w:val="24"/>
              </w:rPr>
              <w:t>污染物从污染源进入地下水、土壤所经过的路径称为地下水、土壤污染途径，地下水、土壤污染途径是多种多样的。根据项目的特点，该项目可能对地下水、土壤造成污染的途径主要有：废机油等在地面防渗层发生破损的情况下会发生渗漏，对地下水、土壤造成污染，其污染物类型包括石油类。</w:t>
            </w:r>
          </w:p>
          <w:p>
            <w:pPr>
              <w:pStyle w:val="37"/>
              <w:ind w:firstLine="361" w:firstLineChars="150"/>
              <w:rPr>
                <w:rFonts w:eastAsiaTheme="minorEastAsia"/>
                <w:b/>
                <w:szCs w:val="24"/>
              </w:rPr>
            </w:pPr>
            <w:r>
              <w:rPr>
                <w:rFonts w:eastAsiaTheme="minorEastAsia"/>
                <w:b/>
                <w:szCs w:val="24"/>
              </w:rPr>
              <w:t>（2）污染源及污染途径</w:t>
            </w:r>
          </w:p>
          <w:p>
            <w:pPr>
              <w:pStyle w:val="37"/>
              <w:ind w:firstLine="480"/>
              <w:rPr>
                <w:szCs w:val="24"/>
              </w:rPr>
            </w:pPr>
            <w:r>
              <w:rPr>
                <w:szCs w:val="24"/>
              </w:rPr>
              <w:t>污染物从污染源进入地下水所经过的路径称为地下水污染途径，地下水污染途径是多种多样的。根据项目的特点，该项目可能对地下水、土壤造成污染的途径主要有：废机油在地面防渗层发生破损的情况下会发生渗漏，对地下水、土壤造成污染。</w:t>
            </w:r>
          </w:p>
          <w:p>
            <w:pPr>
              <w:pStyle w:val="37"/>
              <w:ind w:firstLine="361" w:firstLineChars="150"/>
              <w:rPr>
                <w:rFonts w:eastAsiaTheme="minorEastAsia"/>
                <w:b/>
                <w:szCs w:val="24"/>
              </w:rPr>
            </w:pPr>
            <w:r>
              <w:rPr>
                <w:rFonts w:eastAsiaTheme="minorEastAsia"/>
                <w:b/>
                <w:szCs w:val="24"/>
              </w:rPr>
              <w:t>（2）防控措施</w:t>
            </w:r>
          </w:p>
          <w:p>
            <w:pPr>
              <w:pStyle w:val="37"/>
              <w:ind w:firstLine="480"/>
              <w:rPr>
                <w:szCs w:val="24"/>
              </w:rPr>
            </w:pPr>
            <w:r>
              <w:rPr>
                <w:szCs w:val="24"/>
              </w:rPr>
              <w:t>该项目地下水、土壤污染防治措施按照“源头控制、分区防治、应急响应”相结合的原则，从污染物的产生、入渗、扩散、应急响应进行控制。</w:t>
            </w:r>
          </w:p>
          <w:p>
            <w:pPr>
              <w:pStyle w:val="37"/>
              <w:ind w:firstLine="482"/>
              <w:rPr>
                <w:b/>
                <w:szCs w:val="24"/>
              </w:rPr>
            </w:pPr>
            <w:r>
              <w:rPr>
                <w:rFonts w:ascii="宋体"/>
                <w:b/>
                <w:szCs w:val="24"/>
              </w:rPr>
              <w:t>①</w:t>
            </w:r>
            <w:r>
              <w:rPr>
                <w:b/>
                <w:szCs w:val="24"/>
              </w:rPr>
              <w:t>源头控制措施</w:t>
            </w:r>
          </w:p>
          <w:p>
            <w:pPr>
              <w:pStyle w:val="37"/>
              <w:ind w:firstLine="480"/>
              <w:rPr>
                <w:szCs w:val="24"/>
              </w:rPr>
            </w:pPr>
            <w:r>
              <w:rPr>
                <w:szCs w:val="24"/>
              </w:rPr>
              <w:t>严格按照公司制定的规范管理要求进行危险废物的管理。</w:t>
            </w:r>
          </w:p>
          <w:p>
            <w:pPr>
              <w:pStyle w:val="37"/>
              <w:ind w:firstLine="482"/>
              <w:rPr>
                <w:b/>
                <w:szCs w:val="24"/>
              </w:rPr>
            </w:pPr>
            <w:r>
              <w:rPr>
                <w:rFonts w:ascii="宋体"/>
                <w:b/>
                <w:szCs w:val="24"/>
              </w:rPr>
              <w:t>②</w:t>
            </w:r>
            <w:r>
              <w:rPr>
                <w:b/>
                <w:szCs w:val="24"/>
              </w:rPr>
              <w:t>分区控制措施</w:t>
            </w:r>
          </w:p>
          <w:p>
            <w:pPr>
              <w:pStyle w:val="37"/>
              <w:ind w:firstLine="480"/>
              <w:rPr>
                <w:szCs w:val="24"/>
              </w:rPr>
            </w:pPr>
            <w:r>
              <w:rPr>
                <w:szCs w:val="24"/>
              </w:rPr>
              <w:t>根据以上分区原则可知，项目分区防渗具体如下：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宋体" w:hAnsi="Times New Roman" w:eastAsia="宋体"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重点防渗区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sz w:val="24"/>
                <w:szCs w:val="24"/>
                <w:vertAlign w:val="superscript"/>
              </w:rPr>
              <w:t>-10</w:t>
            </w:r>
            <w:r>
              <w:rPr>
                <w:rFonts w:ascii="Times New Roman" w:hAnsi="Times New Roman" w:cs="Times New Roman"/>
                <w:sz w:val="24"/>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宋体" w:hAnsi="Times New Roman" w:eastAsia="宋体"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一般防渗区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根据分区防渗规范要求，项目生产车间、各水处理设施区域划定为一般防渗区，一般防渗区措施在地面应采取粘土铺底，并在上层铺30cm的混凝土进行硬化。确保防渗性能，使其渗透系数≤1.0×10</w:t>
            </w:r>
            <w:r>
              <w:rPr>
                <w:rFonts w:ascii="Times New Roman" w:hAnsi="Times New Roman" w:cs="Times New Roman"/>
                <w:sz w:val="24"/>
                <w:szCs w:val="24"/>
                <w:vertAlign w:val="superscript"/>
              </w:rPr>
              <w:t>-7</w:t>
            </w:r>
            <w:r>
              <w:rPr>
                <w:rFonts w:ascii="Times New Roman" w:hAnsi="Times New Roman" w:cs="Times New Roman"/>
                <w:sz w:val="24"/>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宋体" w:hAnsi="Times New Roman" w:eastAsia="宋体"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简单防渗区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根据项目特点，对于基本上不产生污染物的简单防渗区，不采取专门针对地下水污染的防治措施。</w:t>
            </w:r>
          </w:p>
          <w:p>
            <w:pPr>
              <w:pStyle w:val="37"/>
              <w:ind w:firstLine="361" w:firstLineChars="150"/>
              <w:rPr>
                <w:rFonts w:eastAsiaTheme="minorEastAsia"/>
                <w:b/>
                <w:szCs w:val="24"/>
              </w:rPr>
            </w:pPr>
            <w:r>
              <w:rPr>
                <w:rFonts w:eastAsiaTheme="minorEastAsia"/>
                <w:b/>
                <w:szCs w:val="24"/>
              </w:rPr>
              <w:t>（3）地下水环境影响跟踪监测计划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由于项目地下水影响较小，因此该项目不设置地下水环境影响跟踪监测计划。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4.2.6 生态环境影响和保护措施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该项目位于云南省东川再就业特区天生桥特色产业园，属于工业园区，且不新增用地，生态环境影响较小。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4.2.7 环境风险影响和防治措施</w:t>
            </w:r>
          </w:p>
          <w:p>
            <w:pPr>
              <w:pStyle w:val="37"/>
              <w:ind w:firstLine="361" w:firstLineChars="150"/>
              <w:rPr>
                <w:rFonts w:eastAsiaTheme="minorEastAsia"/>
                <w:b/>
                <w:szCs w:val="24"/>
              </w:rPr>
            </w:pPr>
            <w:r>
              <w:rPr>
                <w:rFonts w:eastAsiaTheme="minorEastAsia"/>
                <w:b/>
                <w:szCs w:val="24"/>
              </w:rPr>
              <w:t>（1）风险物质的分布情况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pPr>
              <w:spacing w:line="360" w:lineRule="auto"/>
              <w:ind w:firstLine="480" w:firstLineChars="200"/>
              <w:rPr>
                <w:rFonts w:ascii="Times New Roman" w:hAnsi="Times New Roman" w:cs="Times New Roman"/>
                <w:sz w:val="24"/>
                <w:szCs w:val="24"/>
              </w:rPr>
            </w:pPr>
          </w:p>
          <w:p>
            <w:pPr>
              <w:pStyle w:val="31"/>
              <w:spacing w:beforeLines="0"/>
              <w:rPr>
                <w:rFonts w:hAnsi="Times New Roman" w:eastAsiaTheme="minorEastAsia"/>
                <w:sz w:val="21"/>
                <w:szCs w:val="21"/>
              </w:rPr>
            </w:pPr>
          </w:p>
          <w:p>
            <w:pPr>
              <w:pStyle w:val="31"/>
              <w:spacing w:beforeLines="0"/>
              <w:rPr>
                <w:rFonts w:hAnsi="Times New Roman" w:eastAsiaTheme="minorEastAsia"/>
                <w:sz w:val="21"/>
                <w:szCs w:val="21"/>
              </w:rPr>
            </w:pPr>
            <w:r>
              <w:rPr>
                <w:rFonts w:hAnsi="Times New Roman" w:eastAsiaTheme="minorEastAsia"/>
                <w:sz w:val="21"/>
                <w:szCs w:val="21"/>
              </w:rPr>
              <w:t>表4.2.7-1  项目涉及的危险物质基本情况一览表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973"/>
              <w:gridCol w:w="1078"/>
              <w:gridCol w:w="953"/>
              <w:gridCol w:w="999"/>
              <w:gridCol w:w="1122"/>
              <w:gridCol w:w="2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29"/>
                    <w:spacing w:line="360" w:lineRule="exact"/>
                    <w:rPr>
                      <w:color w:val="auto"/>
                      <w:szCs w:val="21"/>
                    </w:rPr>
                  </w:pPr>
                  <w:r>
                    <w:rPr>
                      <w:color w:val="auto"/>
                      <w:szCs w:val="21"/>
                    </w:rPr>
                    <w:t>产生环节</w:t>
                  </w:r>
                </w:p>
              </w:tc>
              <w:tc>
                <w:tcPr>
                  <w:tcW w:w="973" w:type="dxa"/>
                  <w:vAlign w:val="center"/>
                </w:tcPr>
                <w:p>
                  <w:pPr>
                    <w:pStyle w:val="29"/>
                    <w:spacing w:line="360" w:lineRule="exact"/>
                    <w:rPr>
                      <w:color w:val="auto"/>
                      <w:szCs w:val="21"/>
                    </w:rPr>
                  </w:pPr>
                  <w:r>
                    <w:rPr>
                      <w:color w:val="auto"/>
                      <w:szCs w:val="21"/>
                    </w:rPr>
                    <w:t>危险物质</w:t>
                  </w:r>
                </w:p>
              </w:tc>
              <w:tc>
                <w:tcPr>
                  <w:tcW w:w="1078" w:type="dxa"/>
                  <w:vAlign w:val="center"/>
                </w:tcPr>
                <w:p>
                  <w:pPr>
                    <w:pStyle w:val="29"/>
                    <w:spacing w:line="360" w:lineRule="exact"/>
                    <w:rPr>
                      <w:color w:val="auto"/>
                      <w:szCs w:val="21"/>
                    </w:rPr>
                  </w:pPr>
                  <w:r>
                    <w:rPr>
                      <w:color w:val="auto"/>
                      <w:szCs w:val="21"/>
                    </w:rPr>
                    <w:t>年使用/产生量</w:t>
                  </w:r>
                </w:p>
              </w:tc>
              <w:tc>
                <w:tcPr>
                  <w:tcW w:w="953" w:type="dxa"/>
                  <w:tcBorders>
                    <w:right w:val="single" w:color="auto" w:sz="4" w:space="0"/>
                  </w:tcBorders>
                  <w:vAlign w:val="center"/>
                </w:tcPr>
                <w:p>
                  <w:pPr>
                    <w:pStyle w:val="29"/>
                    <w:spacing w:line="360" w:lineRule="exact"/>
                    <w:rPr>
                      <w:color w:val="auto"/>
                      <w:szCs w:val="21"/>
                    </w:rPr>
                  </w:pPr>
                  <w:r>
                    <w:rPr>
                      <w:color w:val="auto"/>
                      <w:szCs w:val="21"/>
                    </w:rPr>
                    <w:t>最大储存量</w:t>
                  </w:r>
                </w:p>
              </w:tc>
              <w:tc>
                <w:tcPr>
                  <w:tcW w:w="99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临界量</w:t>
                  </w:r>
                </w:p>
              </w:tc>
              <w:tc>
                <w:tcPr>
                  <w:tcW w:w="1122" w:type="dxa"/>
                  <w:tcBorders>
                    <w:left w:val="single" w:color="auto" w:sz="4" w:space="0"/>
                  </w:tcBorders>
                  <w:vAlign w:val="center"/>
                </w:tcPr>
                <w:p>
                  <w:pPr>
                    <w:pStyle w:val="29"/>
                    <w:spacing w:line="360" w:lineRule="exact"/>
                    <w:rPr>
                      <w:color w:val="auto"/>
                      <w:szCs w:val="21"/>
                    </w:rPr>
                  </w:pPr>
                  <w:r>
                    <w:rPr>
                      <w:color w:val="auto"/>
                      <w:szCs w:val="21"/>
                    </w:rPr>
                    <w:t>Q值</w:t>
                  </w:r>
                </w:p>
              </w:tc>
              <w:tc>
                <w:tcPr>
                  <w:tcW w:w="2745" w:type="dxa"/>
                  <w:vAlign w:val="center"/>
                </w:tcPr>
                <w:p>
                  <w:pPr>
                    <w:pStyle w:val="29"/>
                    <w:spacing w:line="360" w:lineRule="exact"/>
                    <w:rPr>
                      <w:color w:val="auto"/>
                      <w:szCs w:val="21"/>
                    </w:rPr>
                  </w:pPr>
                  <w:r>
                    <w:rPr>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6" w:hRule="atLeast"/>
                <w:jc w:val="center"/>
              </w:trPr>
              <w:tc>
                <w:tcPr>
                  <w:tcW w:w="738" w:type="dxa"/>
                  <w:vAlign w:val="center"/>
                </w:tcPr>
                <w:p>
                  <w:pPr>
                    <w:pStyle w:val="29"/>
                    <w:spacing w:line="360" w:lineRule="exact"/>
                    <w:rPr>
                      <w:color w:val="auto"/>
                      <w:szCs w:val="21"/>
                    </w:rPr>
                  </w:pPr>
                  <w:r>
                    <w:rPr>
                      <w:color w:val="auto"/>
                      <w:szCs w:val="21"/>
                    </w:rPr>
                    <w:t>产生污染物</w:t>
                  </w:r>
                </w:p>
              </w:tc>
              <w:tc>
                <w:tcPr>
                  <w:tcW w:w="973" w:type="dxa"/>
                  <w:vAlign w:val="center"/>
                </w:tcPr>
                <w:p>
                  <w:pPr>
                    <w:pStyle w:val="29"/>
                    <w:spacing w:line="360" w:lineRule="exact"/>
                    <w:rPr>
                      <w:color w:val="auto"/>
                      <w:szCs w:val="21"/>
                    </w:rPr>
                  </w:pPr>
                  <w:r>
                    <w:rPr>
                      <w:color w:val="auto"/>
                      <w:szCs w:val="21"/>
                    </w:rPr>
                    <w:t>废机油</w:t>
                  </w:r>
                </w:p>
              </w:tc>
              <w:tc>
                <w:tcPr>
                  <w:tcW w:w="1078" w:type="dxa"/>
                  <w:vAlign w:val="center"/>
                </w:tcPr>
                <w:p>
                  <w:pPr>
                    <w:pStyle w:val="29"/>
                    <w:spacing w:line="360" w:lineRule="exact"/>
                    <w:rPr>
                      <w:color w:val="auto"/>
                      <w:szCs w:val="21"/>
                    </w:rPr>
                  </w:pPr>
                  <w:r>
                    <w:rPr>
                      <w:color w:val="auto"/>
                      <w:szCs w:val="21"/>
                    </w:rPr>
                    <w:t>80kg/a</w:t>
                  </w:r>
                </w:p>
              </w:tc>
              <w:tc>
                <w:tcPr>
                  <w:tcW w:w="953" w:type="dxa"/>
                  <w:tcBorders>
                    <w:right w:val="single" w:color="auto" w:sz="4" w:space="0"/>
                  </w:tcBorders>
                  <w:vAlign w:val="center"/>
                </w:tcPr>
                <w:p>
                  <w:pPr>
                    <w:pStyle w:val="29"/>
                    <w:spacing w:line="360" w:lineRule="exact"/>
                    <w:rPr>
                      <w:color w:val="auto"/>
                      <w:szCs w:val="21"/>
                    </w:rPr>
                  </w:pPr>
                  <w:r>
                    <w:rPr>
                      <w:color w:val="auto"/>
                      <w:szCs w:val="21"/>
                    </w:rPr>
                    <w:t>0.08t/a</w:t>
                  </w:r>
                </w:p>
              </w:tc>
              <w:tc>
                <w:tcPr>
                  <w:tcW w:w="99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2500t/a</w:t>
                  </w:r>
                </w:p>
              </w:tc>
              <w:tc>
                <w:tcPr>
                  <w:tcW w:w="1122" w:type="dxa"/>
                  <w:tcBorders>
                    <w:left w:val="single" w:color="auto" w:sz="4" w:space="0"/>
                  </w:tcBorders>
                  <w:vAlign w:val="center"/>
                </w:tcPr>
                <w:p>
                  <w:pPr>
                    <w:jc w:val="center"/>
                    <w:rPr>
                      <w:rFonts w:ascii="Times New Roman" w:hAnsi="Times New Roman" w:cs="Times New Roman"/>
                    </w:rPr>
                  </w:pPr>
                  <w:r>
                    <w:rPr>
                      <w:rFonts w:ascii="Times New Roman" w:hAnsi="Times New Roman" w:eastAsia="宋体" w:cs="Times New Roman"/>
                      <w:bCs/>
                      <w:snapToGrid w:val="0"/>
                      <w:kern w:val="32"/>
                      <w:lang w:val="zh-CN"/>
                    </w:rPr>
                    <w:t>0.000032</w:t>
                  </w:r>
                </w:p>
              </w:tc>
              <w:tc>
                <w:tcPr>
                  <w:tcW w:w="2745" w:type="dxa"/>
                  <w:vAlign w:val="center"/>
                </w:tcPr>
                <w:p>
                  <w:pPr>
                    <w:pStyle w:val="29"/>
                    <w:spacing w:line="360" w:lineRule="exact"/>
                    <w:ind w:left="11" w:firstLine="210" w:firstLineChars="100"/>
                    <w:jc w:val="both"/>
                    <w:rPr>
                      <w:color w:val="auto"/>
                    </w:rPr>
                  </w:pPr>
                  <w:r>
                    <w:rPr>
                      <w:rFonts w:eastAsiaTheme="minorEastAsia"/>
                      <w:color w:val="auto"/>
                      <w:szCs w:val="21"/>
                    </w:rPr>
                    <w:t>拟设置1个5m²的危险废物贮存间，对项目产生的废机油进行暂存。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29"/>
                    <w:spacing w:line="360" w:lineRule="exact"/>
                    <w:rPr>
                      <w:color w:val="auto"/>
                      <w:szCs w:val="21"/>
                    </w:rPr>
                  </w:pPr>
                  <w:r>
                    <w:rPr>
                      <w:color w:val="auto"/>
                      <w:szCs w:val="21"/>
                    </w:rPr>
                    <w:t>使用</w:t>
                  </w:r>
                </w:p>
              </w:tc>
              <w:tc>
                <w:tcPr>
                  <w:tcW w:w="973" w:type="dxa"/>
                  <w:vAlign w:val="center"/>
                </w:tcPr>
                <w:p>
                  <w:pPr>
                    <w:pStyle w:val="29"/>
                    <w:spacing w:line="360" w:lineRule="exact"/>
                    <w:rPr>
                      <w:color w:val="auto"/>
                      <w:szCs w:val="21"/>
                    </w:rPr>
                  </w:pPr>
                  <w:r>
                    <w:rPr>
                      <w:color w:val="auto"/>
                      <w:szCs w:val="21"/>
                    </w:rPr>
                    <w:t>次氯酸钠</w:t>
                  </w:r>
                </w:p>
              </w:tc>
              <w:tc>
                <w:tcPr>
                  <w:tcW w:w="1078" w:type="dxa"/>
                  <w:vAlign w:val="center"/>
                </w:tcPr>
                <w:p>
                  <w:pPr>
                    <w:pStyle w:val="29"/>
                    <w:spacing w:line="360" w:lineRule="exact"/>
                    <w:rPr>
                      <w:color w:val="auto"/>
                      <w:szCs w:val="21"/>
                    </w:rPr>
                  </w:pPr>
                  <w:r>
                    <w:rPr>
                      <w:color w:val="auto"/>
                      <w:szCs w:val="21"/>
                    </w:rPr>
                    <w:t>0.05t/a</w:t>
                  </w:r>
                </w:p>
              </w:tc>
              <w:tc>
                <w:tcPr>
                  <w:tcW w:w="953" w:type="dxa"/>
                  <w:tcBorders>
                    <w:right w:val="single" w:color="auto" w:sz="4" w:space="0"/>
                  </w:tcBorders>
                  <w:vAlign w:val="center"/>
                </w:tcPr>
                <w:p>
                  <w:pPr>
                    <w:pStyle w:val="29"/>
                    <w:spacing w:line="360" w:lineRule="exact"/>
                    <w:ind w:left="11"/>
                    <w:rPr>
                      <w:color w:val="auto"/>
                      <w:szCs w:val="21"/>
                    </w:rPr>
                  </w:pPr>
                  <w:r>
                    <w:rPr>
                      <w:color w:val="auto"/>
                      <w:szCs w:val="21"/>
                    </w:rPr>
                    <w:t>0.05t</w:t>
                  </w:r>
                </w:p>
              </w:tc>
              <w:tc>
                <w:tcPr>
                  <w:tcW w:w="999" w:type="dxa"/>
                  <w:tcBorders>
                    <w:left w:val="single" w:color="auto" w:sz="4" w:space="0"/>
                    <w:right w:val="single" w:color="auto" w:sz="4" w:space="0"/>
                  </w:tcBorders>
                  <w:vAlign w:val="center"/>
                </w:tcPr>
                <w:p>
                  <w:pPr>
                    <w:pStyle w:val="29"/>
                    <w:spacing w:line="360" w:lineRule="exact"/>
                    <w:rPr>
                      <w:color w:val="auto"/>
                      <w:szCs w:val="21"/>
                    </w:rPr>
                  </w:pPr>
                  <w:r>
                    <w:rPr>
                      <w:color w:val="auto"/>
                      <w:szCs w:val="21"/>
                    </w:rPr>
                    <w:t>5t</w:t>
                  </w:r>
                </w:p>
              </w:tc>
              <w:tc>
                <w:tcPr>
                  <w:tcW w:w="1122" w:type="dxa"/>
                  <w:tcBorders>
                    <w:left w:val="single" w:color="auto" w:sz="4" w:space="0"/>
                  </w:tcBorders>
                  <w:vAlign w:val="center"/>
                </w:tcPr>
                <w:p>
                  <w:pPr>
                    <w:pStyle w:val="29"/>
                    <w:spacing w:line="360" w:lineRule="exact"/>
                    <w:rPr>
                      <w:color w:val="auto"/>
                      <w:szCs w:val="21"/>
                    </w:rPr>
                  </w:pPr>
                  <w:r>
                    <w:rPr>
                      <w:color w:val="auto"/>
                      <w:szCs w:val="21"/>
                    </w:rPr>
                    <w:t>0.01</w:t>
                  </w:r>
                </w:p>
              </w:tc>
              <w:tc>
                <w:tcPr>
                  <w:tcW w:w="2745" w:type="dxa"/>
                  <w:vAlign w:val="center"/>
                </w:tcPr>
                <w:p>
                  <w:pPr>
                    <w:pStyle w:val="29"/>
                    <w:spacing w:line="360" w:lineRule="exact"/>
                    <w:ind w:left="11" w:firstLine="210" w:firstLineChars="100"/>
                    <w:jc w:val="both"/>
                    <w:rPr>
                      <w:color w:val="auto"/>
                    </w:rPr>
                  </w:pPr>
                  <w:r>
                    <w:rPr>
                      <w:color w:val="auto"/>
                    </w:rPr>
                    <w:t>采用袋装贮存于办公区内，保持干燥</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项目涉及危险物质的理化性质如下表所示。</w:t>
            </w:r>
          </w:p>
          <w:p>
            <w:pPr>
              <w:pStyle w:val="31"/>
              <w:spacing w:beforeLines="0"/>
              <w:rPr>
                <w:rFonts w:hAnsi="Times New Roman" w:eastAsiaTheme="minorEastAsia"/>
                <w:sz w:val="21"/>
                <w:szCs w:val="21"/>
              </w:rPr>
            </w:pPr>
            <w:r>
              <w:rPr>
                <w:rFonts w:hAnsi="Times New Roman" w:eastAsiaTheme="minorEastAsia"/>
                <w:sz w:val="21"/>
                <w:szCs w:val="21"/>
              </w:rPr>
              <w:t>表4.2.7-2  危险物质主要成分基本性质一览表</w:t>
            </w:r>
          </w:p>
          <w:tbl>
            <w:tblPr>
              <w:tblStyle w:val="19"/>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491"/>
              <w:gridCol w:w="1231"/>
              <w:gridCol w:w="1193"/>
              <w:gridCol w:w="36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restart"/>
                  <w:vAlign w:val="center"/>
                </w:tcPr>
                <w:p>
                  <w:pPr>
                    <w:pStyle w:val="29"/>
                    <w:spacing w:line="360" w:lineRule="exact"/>
                    <w:rPr>
                      <w:color w:val="auto"/>
                      <w:szCs w:val="21"/>
                    </w:rPr>
                  </w:pPr>
                  <w:r>
                    <w:rPr>
                      <w:color w:val="auto"/>
                      <w:szCs w:val="21"/>
                    </w:rPr>
                    <w:t>废机油</w:t>
                  </w:r>
                </w:p>
              </w:tc>
              <w:tc>
                <w:tcPr>
                  <w:tcW w:w="1491" w:type="dxa"/>
                </w:tcPr>
                <w:p>
                  <w:pPr>
                    <w:pStyle w:val="29"/>
                    <w:spacing w:line="360" w:lineRule="exact"/>
                    <w:rPr>
                      <w:color w:val="auto"/>
                      <w:szCs w:val="21"/>
                    </w:rPr>
                  </w:pPr>
                  <w:r>
                    <w:rPr>
                      <w:color w:val="auto"/>
                      <w:szCs w:val="21"/>
                    </w:rPr>
                    <w:t>废物类别</w:t>
                  </w:r>
                </w:p>
              </w:tc>
              <w:tc>
                <w:tcPr>
                  <w:tcW w:w="6096" w:type="dxa"/>
                  <w:gridSpan w:val="3"/>
                  <w:vAlign w:val="center"/>
                </w:tcPr>
                <w:p>
                  <w:pPr>
                    <w:pStyle w:val="29"/>
                    <w:spacing w:line="360" w:lineRule="exact"/>
                    <w:ind w:left="11" w:firstLine="210" w:firstLineChars="100"/>
                    <w:jc w:val="left"/>
                    <w:rPr>
                      <w:color w:val="auto"/>
                      <w:szCs w:val="21"/>
                    </w:rPr>
                  </w:pPr>
                  <w:r>
                    <w:rPr>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9"/>
                    <w:spacing w:line="360" w:lineRule="exact"/>
                    <w:rPr>
                      <w:color w:val="auto"/>
                      <w:szCs w:val="21"/>
                    </w:rPr>
                  </w:pPr>
                </w:p>
              </w:tc>
              <w:tc>
                <w:tcPr>
                  <w:tcW w:w="1491" w:type="dxa"/>
                  <w:vAlign w:val="center"/>
                </w:tcPr>
                <w:p>
                  <w:pPr>
                    <w:pStyle w:val="29"/>
                    <w:spacing w:line="360" w:lineRule="exact"/>
                    <w:rPr>
                      <w:color w:val="auto"/>
                      <w:szCs w:val="21"/>
                    </w:rPr>
                  </w:pPr>
                  <w:r>
                    <w:rPr>
                      <w:color w:val="auto"/>
                      <w:szCs w:val="21"/>
                    </w:rPr>
                    <w:t>废物代码</w:t>
                  </w:r>
                </w:p>
              </w:tc>
              <w:tc>
                <w:tcPr>
                  <w:tcW w:w="6096" w:type="dxa"/>
                  <w:gridSpan w:val="3"/>
                  <w:vAlign w:val="center"/>
                </w:tcPr>
                <w:p>
                  <w:pPr>
                    <w:pStyle w:val="29"/>
                    <w:spacing w:line="360" w:lineRule="exact"/>
                    <w:ind w:left="11" w:firstLine="210" w:firstLineChars="100"/>
                    <w:jc w:val="left"/>
                    <w:rPr>
                      <w:color w:val="auto"/>
                      <w:szCs w:val="21"/>
                    </w:rPr>
                  </w:pPr>
                  <w:r>
                    <w:rPr>
                      <w:color w:val="auto"/>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9"/>
                    <w:spacing w:line="360" w:lineRule="exact"/>
                    <w:rPr>
                      <w:color w:val="auto"/>
                      <w:szCs w:val="21"/>
                    </w:rPr>
                  </w:pPr>
                </w:p>
              </w:tc>
              <w:tc>
                <w:tcPr>
                  <w:tcW w:w="1491" w:type="dxa"/>
                  <w:vAlign w:val="center"/>
                </w:tcPr>
                <w:p>
                  <w:pPr>
                    <w:pStyle w:val="29"/>
                    <w:spacing w:line="360" w:lineRule="exact"/>
                    <w:rPr>
                      <w:color w:val="auto"/>
                      <w:szCs w:val="21"/>
                    </w:rPr>
                  </w:pPr>
                  <w:r>
                    <w:rPr>
                      <w:color w:val="auto"/>
                      <w:szCs w:val="21"/>
                    </w:rPr>
                    <w:t>危险特征</w:t>
                  </w:r>
                </w:p>
              </w:tc>
              <w:tc>
                <w:tcPr>
                  <w:tcW w:w="6096" w:type="dxa"/>
                  <w:gridSpan w:val="3"/>
                  <w:vAlign w:val="center"/>
                </w:tcPr>
                <w:p>
                  <w:pPr>
                    <w:pStyle w:val="29"/>
                    <w:spacing w:line="360" w:lineRule="exact"/>
                    <w:ind w:left="11" w:firstLine="210" w:firstLineChars="100"/>
                    <w:jc w:val="left"/>
                    <w:rPr>
                      <w:color w:val="auto"/>
                      <w:szCs w:val="21"/>
                    </w:rPr>
                  </w:pPr>
                  <w:r>
                    <w:rPr>
                      <w:color w:val="auto"/>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29"/>
                    <w:spacing w:line="360" w:lineRule="exact"/>
                    <w:rPr>
                      <w:color w:val="auto"/>
                      <w:szCs w:val="21"/>
                    </w:rPr>
                  </w:pPr>
                </w:p>
              </w:tc>
              <w:tc>
                <w:tcPr>
                  <w:tcW w:w="1491" w:type="dxa"/>
                  <w:vAlign w:val="center"/>
                </w:tcPr>
                <w:p>
                  <w:pPr>
                    <w:pStyle w:val="29"/>
                    <w:spacing w:line="360" w:lineRule="exact"/>
                    <w:rPr>
                      <w:color w:val="auto"/>
                      <w:szCs w:val="21"/>
                    </w:rPr>
                  </w:pPr>
                  <w:r>
                    <w:rPr>
                      <w:color w:val="auto"/>
                      <w:szCs w:val="21"/>
                    </w:rPr>
                    <w:t>危险特性</w:t>
                  </w:r>
                </w:p>
              </w:tc>
              <w:tc>
                <w:tcPr>
                  <w:tcW w:w="6096" w:type="dxa"/>
                  <w:gridSpan w:val="3"/>
                  <w:vAlign w:val="center"/>
                </w:tcPr>
                <w:p>
                  <w:pPr>
                    <w:pStyle w:val="29"/>
                    <w:spacing w:line="360" w:lineRule="exact"/>
                    <w:ind w:left="11" w:firstLine="210" w:firstLineChars="100"/>
                    <w:jc w:val="left"/>
                    <w:rPr>
                      <w:color w:val="auto"/>
                      <w:szCs w:val="21"/>
                    </w:rPr>
                  </w:pPr>
                  <w:r>
                    <w:rPr>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次氯酸钠</w:t>
                  </w: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文别名：</w:t>
                  </w:r>
                </w:p>
              </w:tc>
              <w:tc>
                <w:tcPr>
                  <w:tcW w:w="123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次氯酸钠</w:t>
                  </w:r>
                </w:p>
              </w:tc>
              <w:tc>
                <w:tcPr>
                  <w:tcW w:w="1193"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英文名称：</w:t>
                  </w:r>
                </w:p>
              </w:tc>
              <w:tc>
                <w:tcPr>
                  <w:tcW w:w="367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CAS号：</w:t>
                  </w:r>
                </w:p>
              </w:tc>
              <w:tc>
                <w:tcPr>
                  <w:tcW w:w="123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7681-52-9</w:t>
                  </w:r>
                </w:p>
              </w:tc>
              <w:tc>
                <w:tcPr>
                  <w:tcW w:w="1193" w:type="dxa"/>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UN号：</w:t>
                  </w:r>
                </w:p>
              </w:tc>
              <w:tc>
                <w:tcPr>
                  <w:tcW w:w="367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危险性类别：</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GHS警示词：</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危险性说明：</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理化特性：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燃烧与爆炸危险性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活性反应：</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禁忌物：</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49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毒性：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LD50：8500mg/kg（大鼠腹腔）</w:t>
                  </w:r>
                </w:p>
              </w:tc>
            </w:tr>
          </w:tbl>
          <w:p>
            <w:pPr>
              <w:pStyle w:val="37"/>
              <w:spacing w:beforeLines="50"/>
              <w:ind w:firstLine="361" w:firstLineChars="150"/>
              <w:rPr>
                <w:rFonts w:eastAsiaTheme="minorEastAsia"/>
                <w:b/>
                <w:szCs w:val="24"/>
              </w:rPr>
            </w:pPr>
            <w:r>
              <w:rPr>
                <w:rFonts w:eastAsiaTheme="minorEastAsia"/>
                <w:b/>
                <w:szCs w:val="24"/>
              </w:rPr>
              <w:t>（2）可能影响途径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该项目废机油在存储及运输过程中火灾、爆炸、泄露的环境风险。影响途经具体如下：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1 \* GB3</w:instrText>
            </w:r>
            <w:r>
              <w:rPr>
                <w:rFonts w:ascii="Times New Roman" w:hAnsi="Times New Roman" w:cs="Times New Roman"/>
                <w:sz w:val="24"/>
                <w:szCs w:val="24"/>
              </w:rPr>
              <w:fldChar w:fldCharType="separate"/>
            </w:r>
            <w:r>
              <w:rPr>
                <w:rFonts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③人员在生产车间吸烟、使用明火等，可能发生火灾、爆炸的风险。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④次氯酸钠发生泄漏对人或水生生物造成影响。</w:t>
            </w:r>
          </w:p>
          <w:p>
            <w:pPr>
              <w:pStyle w:val="37"/>
              <w:ind w:firstLine="361" w:firstLineChars="150"/>
              <w:rPr>
                <w:rFonts w:eastAsiaTheme="minorEastAsia"/>
                <w:b/>
                <w:szCs w:val="24"/>
              </w:rPr>
            </w:pPr>
            <w:r>
              <w:rPr>
                <w:rFonts w:eastAsiaTheme="minorEastAsia"/>
                <w:b/>
                <w:szCs w:val="24"/>
              </w:rPr>
              <w:t>（3）环境风险防范措施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根据该项目环境影响途经，提出以下风险防范措施：</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①</w:t>
            </w:r>
            <w:r>
              <w:rPr>
                <w:rFonts w:ascii="Times New Roman" w:hAnsi="Times New Roman" w:cs="Times New Roman"/>
                <w:sz w:val="24"/>
                <w:szCs w:val="24"/>
              </w:rPr>
              <w:t>废机油应储存于规范的危险废物贮存间；</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②</w:t>
            </w:r>
            <w:r>
              <w:rPr>
                <w:rFonts w:ascii="Times New Roman" w:hAnsi="Times New Roman" w:cs="Times New Roman"/>
                <w:sz w:val="24"/>
                <w:szCs w:val="24"/>
              </w:rPr>
              <w:t>项目区配备相应品种的消防器材；</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③</w:t>
            </w:r>
            <w:r>
              <w:rPr>
                <w:rFonts w:ascii="Times New Roman" w:hAnsi="Times New Roman" w:cs="Times New Roman"/>
                <w:sz w:val="24"/>
                <w:szCs w:val="24"/>
              </w:rPr>
              <w:t>严格按照安全、消防部门以及安全预评价的要求存储区出入口处设置消防设备。</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④</w:t>
            </w:r>
            <w:r>
              <w:rPr>
                <w:rFonts w:ascii="Times New Roman" w:hAnsi="Times New Roman" w:cs="Times New Roman"/>
                <w:sz w:val="24"/>
                <w:szCs w:val="24"/>
              </w:rPr>
              <w:t>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5 \* GB3 </w:instrText>
            </w:r>
            <w:r>
              <w:rPr>
                <w:rFonts w:ascii="Times New Roman" w:hAnsi="Times New Roman" w:cs="Times New Roman"/>
                <w:sz w:val="24"/>
                <w:szCs w:val="24"/>
              </w:rPr>
              <w:fldChar w:fldCharType="separate"/>
            </w:r>
            <w:r>
              <w:rPr>
                <w:rFonts w:ascii="宋体" w:hAnsi="Times New Roman" w:eastAsia="宋体" w:cs="Times New Roman"/>
                <w:sz w:val="24"/>
                <w:szCs w:val="24"/>
              </w:rPr>
              <w:t>⑤</w:t>
            </w:r>
            <w:r>
              <w:rPr>
                <w:rFonts w:ascii="Times New Roman" w:hAnsi="Times New Roman" w:cs="Times New Roman"/>
                <w:sz w:val="24"/>
                <w:szCs w:val="24"/>
              </w:rPr>
              <w:fldChar w:fldCharType="end"/>
            </w:r>
            <w:r>
              <w:rPr>
                <w:rFonts w:ascii="Times New Roman" w:hAnsi="Times New Roman" w:cs="Times New Roman"/>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⑥次氯酸钠入库时，严格检验物品质量、数量、包装情况、有无泄漏。入库后应采取适当的养护措施，在贮存期内，定期检查，发现其品质变化、包装破损、渗漏等，应及时处理。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⑦项目应严格按照《建设项目环境风险评价技术导则》（HJ 169-2018）的要求，设置应急池，根据事故水量计算公式：</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总</w:t>
            </w:r>
            <w:r>
              <w:rPr>
                <w:rFonts w:ascii="Times New Roman" w:hAnsi="Times New Roman" w:cs="Times New Roman"/>
                <w:sz w:val="24"/>
                <w:szCs w:val="24"/>
              </w:rPr>
              <w:t>=（V</w:t>
            </w:r>
            <w:r>
              <w:rPr>
                <w:rFonts w:ascii="Times New Roman" w:hAnsi="Times New Roman" w:cs="Times New Roman"/>
                <w:sz w:val="24"/>
                <w:szCs w:val="24"/>
                <w:vertAlign w:val="subscript"/>
              </w:rPr>
              <w:t>1</w:t>
            </w:r>
            <w:r>
              <w:rPr>
                <w:rFonts w:ascii="Times New Roman" w:hAnsi="Times New Roman" w:cs="Times New Roman"/>
                <w:sz w:val="24"/>
                <w:szCs w:val="24"/>
              </w:rPr>
              <w:t>+V</w:t>
            </w:r>
            <w:r>
              <w:rPr>
                <w:rFonts w:ascii="Times New Roman" w:hAnsi="Times New Roman" w:cs="Times New Roman"/>
                <w:sz w:val="24"/>
                <w:szCs w:val="24"/>
                <w:vertAlign w:val="subscript"/>
              </w:rPr>
              <w:t>2</w:t>
            </w:r>
            <w:r>
              <w:rPr>
                <w:rFonts w:ascii="Times New Roman" w:hAnsi="Times New Roman" w:cs="Times New Roman"/>
                <w:sz w:val="24"/>
                <w:szCs w:val="24"/>
              </w:rPr>
              <w:t>-V</w:t>
            </w:r>
            <w:r>
              <w:rPr>
                <w:rFonts w:ascii="Times New Roman" w:hAnsi="Times New Roman" w:cs="Times New Roman"/>
                <w:sz w:val="24"/>
                <w:szCs w:val="24"/>
                <w:vertAlign w:val="subscript"/>
              </w:rPr>
              <w:t>3</w:t>
            </w:r>
            <w:r>
              <w:rPr>
                <w:rFonts w:ascii="Times New Roman" w:hAnsi="Times New Roman" w:cs="Times New Roman"/>
                <w:sz w:val="24"/>
                <w:szCs w:val="24"/>
              </w:rPr>
              <w:t>）max+V</w:t>
            </w:r>
            <w:r>
              <w:rPr>
                <w:rFonts w:ascii="Times New Roman" w:hAnsi="Times New Roman" w:cs="Times New Roman"/>
                <w:sz w:val="24"/>
                <w:szCs w:val="24"/>
                <w:vertAlign w:val="subscript"/>
              </w:rPr>
              <w:t>4</w:t>
            </w:r>
            <w:r>
              <w:rPr>
                <w:rFonts w:ascii="Times New Roman" w:hAnsi="Times New Roman" w:cs="Times New Roman"/>
                <w:sz w:val="24"/>
                <w:szCs w:val="24"/>
              </w:rPr>
              <w:t>+V</w:t>
            </w:r>
            <w:r>
              <w:rPr>
                <w:rFonts w:ascii="Times New Roman" w:hAnsi="Times New Roman" w:cs="Times New Roman"/>
                <w:sz w:val="24"/>
                <w:szCs w:val="24"/>
                <w:vertAlign w:val="subscript"/>
              </w:rPr>
              <w:t>5</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其中： V</w:t>
            </w:r>
            <w:r>
              <w:rPr>
                <w:rFonts w:ascii="Times New Roman" w:hAnsi="Times New Roman" w:cs="Times New Roman"/>
                <w:sz w:val="24"/>
                <w:szCs w:val="24"/>
                <w:vertAlign w:val="subscript"/>
              </w:rPr>
              <w:t>1</w:t>
            </w:r>
            <w:r>
              <w:rPr>
                <w:rFonts w:ascii="Times New Roman" w:hAnsi="Times New Roman" w:cs="Times New Roman"/>
                <w:sz w:val="24"/>
                <w:szCs w:val="24"/>
              </w:rPr>
              <w:t>：收集系统范围内发生事故的一个罐组或一套装置的物料量，m³；</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：发生事故的储罐或装置的消防水量，m³；</w:t>
            </w:r>
          </w:p>
          <w:p>
            <w:pPr>
              <w:spacing w:line="360" w:lineRule="auto"/>
              <w:ind w:firstLine="480" w:firstLineChars="200"/>
              <w:rPr>
                <w:rFonts w:ascii="Times New Roman" w:hAnsi="Times New Roman" w:cs="Times New Roman"/>
                <w:sz w:val="24"/>
                <w:szCs w:val="24"/>
                <w:vertAlign w:val="subscript"/>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3</w:t>
            </w:r>
            <w:r>
              <w:rPr>
                <w:rFonts w:ascii="Times New Roman" w:hAnsi="Times New Roman" w:cs="Times New Roman"/>
                <w:sz w:val="24"/>
                <w:szCs w:val="24"/>
              </w:rPr>
              <w:t>：发生事故时可以传输到其他储存或处理设施的物料量，m³；</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4</w:t>
            </w:r>
            <w:r>
              <w:rPr>
                <w:rFonts w:ascii="Times New Roman" w:hAnsi="Times New Roman" w:cs="Times New Roman"/>
                <w:sz w:val="24"/>
                <w:szCs w:val="24"/>
              </w:rPr>
              <w:t>：发生事故时仍必须进入该收集系统的生产废水量，m³；</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V</w:t>
            </w:r>
            <w:r>
              <w:rPr>
                <w:rFonts w:ascii="Times New Roman" w:hAnsi="Times New Roman" w:cs="Times New Roman"/>
                <w:sz w:val="24"/>
                <w:szCs w:val="24"/>
                <w:vertAlign w:val="subscript"/>
              </w:rPr>
              <w:t>5</w:t>
            </w:r>
            <w:r>
              <w:rPr>
                <w:rFonts w:ascii="Times New Roman" w:hAnsi="Times New Roman" w:cs="Times New Roman"/>
                <w:sz w:val="24"/>
                <w:szCs w:val="24"/>
              </w:rPr>
              <w:t>：发生事故时可能进入该系统的降雨量，m³；</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风险评价技术导则》（HJ69-2018）的要求及项目实际情况，项目存在的的风险物质为废机油及次氯酸钠，但在危险废物贮存间内将分别配套设置了导流渠、收集池等设施，因此该风险物质不会泄漏到危险废物贮存间外；而次氯酸钠为固体，泄漏可能性较小。因此该项目风险废水主要为火灾时消防事故废水，该事故出现在雨天的几率极小，发生期间基本无雨水产生，另外也可能存在生活污水泄漏。综上，项目V</w:t>
            </w:r>
            <w:r>
              <w:rPr>
                <w:rFonts w:ascii="Times New Roman" w:hAnsi="Times New Roman" w:cs="Times New Roman"/>
                <w:sz w:val="24"/>
                <w:szCs w:val="24"/>
                <w:vertAlign w:val="subscript"/>
              </w:rPr>
              <w:t>1</w:t>
            </w:r>
            <w:r>
              <w:rPr>
                <w:rFonts w:ascii="Times New Roman" w:hAnsi="Times New Roman" w:cs="Times New Roman"/>
                <w:sz w:val="24"/>
                <w:szCs w:val="24"/>
              </w:rPr>
              <w:t>为0；V</w:t>
            </w:r>
            <w:r>
              <w:rPr>
                <w:rFonts w:ascii="Times New Roman" w:hAnsi="Times New Roman" w:cs="Times New Roman"/>
                <w:sz w:val="24"/>
                <w:szCs w:val="24"/>
                <w:vertAlign w:val="subscript"/>
              </w:rPr>
              <w:t>2</w:t>
            </w:r>
            <w:r>
              <w:rPr>
                <w:rFonts w:ascii="Times New Roman" w:hAnsi="Times New Roman" w:cs="Times New Roman"/>
                <w:sz w:val="24"/>
                <w:szCs w:val="24"/>
              </w:rPr>
              <w:t>取13m³；而项目设置的10m³的初期雨水收集池可作为临时使用，则V</w:t>
            </w:r>
            <w:r>
              <w:rPr>
                <w:rFonts w:ascii="Times New Roman" w:hAnsi="Times New Roman" w:cs="Times New Roman"/>
                <w:sz w:val="24"/>
                <w:szCs w:val="24"/>
                <w:vertAlign w:val="subscript"/>
              </w:rPr>
              <w:t>3</w:t>
            </w:r>
            <w:r>
              <w:rPr>
                <w:rFonts w:ascii="Times New Roman" w:hAnsi="Times New Roman" w:cs="Times New Roman"/>
                <w:sz w:val="24"/>
                <w:szCs w:val="24"/>
              </w:rPr>
              <w:t>为10m³；V</w:t>
            </w:r>
            <w:r>
              <w:rPr>
                <w:rFonts w:ascii="Times New Roman" w:hAnsi="Times New Roman" w:cs="Times New Roman"/>
                <w:sz w:val="24"/>
                <w:szCs w:val="24"/>
                <w:vertAlign w:val="subscript"/>
              </w:rPr>
              <w:t>4</w:t>
            </w:r>
            <w:r>
              <w:rPr>
                <w:rFonts w:ascii="Times New Roman" w:hAnsi="Times New Roman" w:cs="Times New Roman"/>
                <w:sz w:val="24"/>
                <w:szCs w:val="24"/>
              </w:rPr>
              <w:t>为0m³；V5为0，综上，项目事故废水V总为3m³，项目设置拟设置1个有效容积不低于5m³的应急池。对风险事故废水进行收集，以满足事故状态下收集泄漏物料、污染消防水、污染雨水和生活污水的需要。</w:t>
            </w:r>
          </w:p>
          <w:p>
            <w:pPr>
              <w:pStyle w:val="37"/>
              <w:ind w:firstLine="361" w:firstLineChars="150"/>
              <w:rPr>
                <w:rFonts w:eastAsiaTheme="minorEastAsia"/>
                <w:b/>
                <w:szCs w:val="24"/>
              </w:rPr>
            </w:pPr>
            <w:r>
              <w:rPr>
                <w:rFonts w:eastAsiaTheme="minorEastAsia"/>
                <w:b/>
                <w:szCs w:val="24"/>
              </w:rPr>
              <w:t>（4）环境风险结论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sz w:val="24"/>
                <w:szCs w:val="24"/>
              </w:rPr>
            </w:pPr>
            <w:bookmarkStart w:id="13" w:name="_Toc72228649"/>
            <w:r>
              <w:rPr>
                <w:rFonts w:ascii="Times New Roman" w:hAnsi="Times New Roman" w:cs="Times New Roman"/>
                <w:b/>
                <w:sz w:val="24"/>
                <w:szCs w:val="24"/>
              </w:rPr>
              <w:t>4.3 环保投资估算</w:t>
            </w:r>
            <w:bookmarkEnd w:id="13"/>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项目总投资10212.62万元，其中基建环保投资为97.11万元，占总投资的0.951%。年环保投资运行费用约为12.7万元，项目拟采取措施的具体内容、责任主体、实施时段及环境保护投入资金如下表所示。</w:t>
            </w:r>
          </w:p>
          <w:p>
            <w:pPr>
              <w:pStyle w:val="31"/>
              <w:spacing w:beforeLines="0"/>
              <w:rPr>
                <w:rFonts w:hAnsi="Times New Roman" w:eastAsiaTheme="minorEastAsia"/>
                <w:sz w:val="21"/>
                <w:szCs w:val="21"/>
              </w:rPr>
            </w:pPr>
            <w:r>
              <w:rPr>
                <w:rFonts w:hAnsi="Times New Roman" w:eastAsiaTheme="minorEastAsia"/>
                <w:sz w:val="21"/>
                <w:szCs w:val="21"/>
              </w:rPr>
              <w:t>表4.3-1  项目环保投资一览表 单位：万元</w:t>
            </w:r>
          </w:p>
          <w:tbl>
            <w:tblPr>
              <w:tblStyle w:val="18"/>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585"/>
              <w:gridCol w:w="663"/>
              <w:gridCol w:w="1412"/>
              <w:gridCol w:w="2545"/>
              <w:gridCol w:w="794"/>
              <w:gridCol w:w="701"/>
              <w:gridCol w:w="77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restart"/>
                  <w:vAlign w:val="center"/>
                </w:tcPr>
                <w:p>
                  <w:pPr>
                    <w:pStyle w:val="29"/>
                    <w:spacing w:line="360" w:lineRule="exact"/>
                    <w:rPr>
                      <w:color w:val="auto"/>
                      <w:szCs w:val="21"/>
                    </w:rPr>
                  </w:pPr>
                  <w:r>
                    <w:rPr>
                      <w:color w:val="auto"/>
                      <w:szCs w:val="21"/>
                    </w:rPr>
                    <w:t>时期</w:t>
                  </w:r>
                </w:p>
              </w:tc>
              <w:tc>
                <w:tcPr>
                  <w:tcW w:w="1248" w:type="dxa"/>
                  <w:gridSpan w:val="2"/>
                  <w:vMerge w:val="restart"/>
                  <w:vAlign w:val="center"/>
                </w:tcPr>
                <w:p>
                  <w:pPr>
                    <w:pStyle w:val="29"/>
                    <w:spacing w:line="360" w:lineRule="exact"/>
                    <w:rPr>
                      <w:color w:val="auto"/>
                      <w:szCs w:val="21"/>
                    </w:rPr>
                  </w:pPr>
                  <w:r>
                    <w:rPr>
                      <w:color w:val="auto"/>
                      <w:szCs w:val="21"/>
                    </w:rPr>
                    <w:t>类型</w:t>
                  </w:r>
                </w:p>
              </w:tc>
              <w:tc>
                <w:tcPr>
                  <w:tcW w:w="3957" w:type="dxa"/>
                  <w:gridSpan w:val="2"/>
                  <w:vAlign w:val="center"/>
                </w:tcPr>
                <w:p>
                  <w:pPr>
                    <w:pStyle w:val="29"/>
                    <w:spacing w:line="360" w:lineRule="exact"/>
                    <w:rPr>
                      <w:color w:val="auto"/>
                      <w:szCs w:val="21"/>
                    </w:rPr>
                  </w:pPr>
                  <w:r>
                    <w:rPr>
                      <w:color w:val="auto"/>
                      <w:szCs w:val="21"/>
                    </w:rPr>
                    <w:t>环保措施</w:t>
                  </w:r>
                </w:p>
              </w:tc>
              <w:tc>
                <w:tcPr>
                  <w:tcW w:w="1495" w:type="dxa"/>
                  <w:gridSpan w:val="2"/>
                  <w:vAlign w:val="center"/>
                </w:tcPr>
                <w:p>
                  <w:pPr>
                    <w:pStyle w:val="29"/>
                    <w:spacing w:line="360" w:lineRule="exact"/>
                    <w:rPr>
                      <w:color w:val="auto"/>
                      <w:szCs w:val="21"/>
                    </w:rPr>
                  </w:pPr>
                  <w:r>
                    <w:rPr>
                      <w:color w:val="auto"/>
                      <w:szCs w:val="21"/>
                    </w:rPr>
                    <w:t>建设期资金投入（万元）</w:t>
                  </w:r>
                </w:p>
              </w:tc>
              <w:tc>
                <w:tcPr>
                  <w:tcW w:w="1467" w:type="dxa"/>
                  <w:gridSpan w:val="2"/>
                  <w:vAlign w:val="center"/>
                </w:tcPr>
                <w:p>
                  <w:pPr>
                    <w:pStyle w:val="29"/>
                    <w:spacing w:line="360" w:lineRule="exact"/>
                    <w:rPr>
                      <w:color w:val="auto"/>
                      <w:szCs w:val="21"/>
                    </w:rPr>
                  </w:pPr>
                  <w:r>
                    <w:rPr>
                      <w:color w:val="auto"/>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1248" w:type="dxa"/>
                  <w:gridSpan w:val="2"/>
                  <w:vMerge w:val="continue"/>
                  <w:vAlign w:val="center"/>
                </w:tcPr>
                <w:p>
                  <w:pPr>
                    <w:pStyle w:val="29"/>
                    <w:spacing w:line="360" w:lineRule="exact"/>
                    <w:rPr>
                      <w:color w:val="auto"/>
                      <w:szCs w:val="21"/>
                    </w:rPr>
                  </w:pPr>
                </w:p>
              </w:tc>
              <w:tc>
                <w:tcPr>
                  <w:tcW w:w="1412" w:type="dxa"/>
                  <w:vAlign w:val="center"/>
                </w:tcPr>
                <w:p>
                  <w:pPr>
                    <w:pStyle w:val="29"/>
                    <w:spacing w:line="360" w:lineRule="exact"/>
                    <w:rPr>
                      <w:color w:val="auto"/>
                      <w:szCs w:val="21"/>
                    </w:rPr>
                  </w:pPr>
                  <w:r>
                    <w:rPr>
                      <w:color w:val="auto"/>
                      <w:szCs w:val="21"/>
                    </w:rPr>
                    <w:t>环保项目</w:t>
                  </w:r>
                </w:p>
              </w:tc>
              <w:tc>
                <w:tcPr>
                  <w:tcW w:w="2545" w:type="dxa"/>
                  <w:vAlign w:val="center"/>
                </w:tcPr>
                <w:p>
                  <w:pPr>
                    <w:pStyle w:val="29"/>
                    <w:spacing w:line="360" w:lineRule="exact"/>
                    <w:rPr>
                      <w:color w:val="auto"/>
                      <w:szCs w:val="21"/>
                    </w:rPr>
                  </w:pPr>
                  <w:r>
                    <w:rPr>
                      <w:color w:val="auto"/>
                      <w:szCs w:val="21"/>
                    </w:rPr>
                    <w:t>数量</w:t>
                  </w:r>
                </w:p>
              </w:tc>
              <w:tc>
                <w:tcPr>
                  <w:tcW w:w="794" w:type="dxa"/>
                  <w:vAlign w:val="center"/>
                </w:tcPr>
                <w:p>
                  <w:pPr>
                    <w:pStyle w:val="29"/>
                    <w:spacing w:line="360" w:lineRule="exact"/>
                    <w:rPr>
                      <w:color w:val="auto"/>
                      <w:szCs w:val="21"/>
                    </w:rPr>
                  </w:pPr>
                  <w:r>
                    <w:rPr>
                      <w:color w:val="auto"/>
                      <w:szCs w:val="21"/>
                    </w:rPr>
                    <w:t>建设费用</w:t>
                  </w:r>
                </w:p>
              </w:tc>
              <w:tc>
                <w:tcPr>
                  <w:tcW w:w="701" w:type="dxa"/>
                  <w:vAlign w:val="center"/>
                </w:tcPr>
                <w:p>
                  <w:pPr>
                    <w:pStyle w:val="29"/>
                    <w:spacing w:line="360" w:lineRule="exact"/>
                    <w:rPr>
                      <w:color w:val="auto"/>
                      <w:szCs w:val="21"/>
                    </w:rPr>
                  </w:pPr>
                  <w:r>
                    <w:rPr>
                      <w:color w:val="auto"/>
                      <w:szCs w:val="21"/>
                    </w:rPr>
                    <w:t>责任主体</w:t>
                  </w:r>
                </w:p>
              </w:tc>
              <w:tc>
                <w:tcPr>
                  <w:tcW w:w="771" w:type="dxa"/>
                  <w:vAlign w:val="center"/>
                </w:tcPr>
                <w:p>
                  <w:pPr>
                    <w:pStyle w:val="29"/>
                    <w:spacing w:line="360" w:lineRule="exact"/>
                    <w:rPr>
                      <w:color w:val="auto"/>
                      <w:szCs w:val="21"/>
                    </w:rPr>
                  </w:pPr>
                  <w:r>
                    <w:rPr>
                      <w:color w:val="auto"/>
                      <w:szCs w:val="21"/>
                    </w:rPr>
                    <w:t>运行维护费用</w:t>
                  </w:r>
                </w:p>
              </w:tc>
              <w:tc>
                <w:tcPr>
                  <w:tcW w:w="696" w:type="dxa"/>
                  <w:vAlign w:val="center"/>
                </w:tcPr>
                <w:p>
                  <w:pPr>
                    <w:pStyle w:val="29"/>
                    <w:spacing w:line="360" w:lineRule="exact"/>
                    <w:rPr>
                      <w:color w:val="auto"/>
                      <w:szCs w:val="21"/>
                    </w:rPr>
                  </w:pPr>
                  <w:r>
                    <w:rPr>
                      <w:color w:val="auto"/>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restart"/>
                  <w:vAlign w:val="center"/>
                </w:tcPr>
                <w:p>
                  <w:pPr>
                    <w:pStyle w:val="29"/>
                    <w:spacing w:line="360" w:lineRule="exact"/>
                    <w:rPr>
                      <w:color w:val="auto"/>
                      <w:szCs w:val="21"/>
                    </w:rPr>
                  </w:pPr>
                  <w:r>
                    <w:rPr>
                      <w:color w:val="auto"/>
                      <w:szCs w:val="21"/>
                    </w:rPr>
                    <w:t>施工期污染源</w:t>
                  </w:r>
                </w:p>
              </w:tc>
              <w:tc>
                <w:tcPr>
                  <w:tcW w:w="585" w:type="dxa"/>
                  <w:vAlign w:val="center"/>
                </w:tcPr>
                <w:p>
                  <w:pPr>
                    <w:pStyle w:val="29"/>
                    <w:spacing w:line="360" w:lineRule="exact"/>
                    <w:rPr>
                      <w:color w:val="auto"/>
                      <w:szCs w:val="21"/>
                    </w:rPr>
                  </w:pPr>
                  <w:r>
                    <w:rPr>
                      <w:color w:val="auto"/>
                      <w:szCs w:val="21"/>
                    </w:rPr>
                    <w:t>废气</w:t>
                  </w:r>
                </w:p>
              </w:tc>
              <w:tc>
                <w:tcPr>
                  <w:tcW w:w="663" w:type="dxa"/>
                  <w:vAlign w:val="center"/>
                </w:tcPr>
                <w:p>
                  <w:pPr>
                    <w:pStyle w:val="29"/>
                    <w:spacing w:line="360" w:lineRule="exact"/>
                    <w:rPr>
                      <w:color w:val="auto"/>
                      <w:szCs w:val="21"/>
                    </w:rPr>
                  </w:pPr>
                  <w:r>
                    <w:rPr>
                      <w:color w:val="auto"/>
                      <w:szCs w:val="21"/>
                    </w:rPr>
                    <w:t>扬尘</w:t>
                  </w:r>
                </w:p>
              </w:tc>
              <w:tc>
                <w:tcPr>
                  <w:tcW w:w="1412" w:type="dxa"/>
                  <w:vAlign w:val="center"/>
                </w:tcPr>
                <w:p>
                  <w:pPr>
                    <w:pStyle w:val="29"/>
                    <w:spacing w:line="360" w:lineRule="exact"/>
                    <w:rPr>
                      <w:color w:val="auto"/>
                    </w:rPr>
                  </w:pPr>
                  <w:r>
                    <w:rPr>
                      <w:color w:val="auto"/>
                    </w:rPr>
                    <w:t>洒水抑尘设施</w:t>
                  </w:r>
                </w:p>
              </w:tc>
              <w:tc>
                <w:tcPr>
                  <w:tcW w:w="2545" w:type="dxa"/>
                  <w:vAlign w:val="center"/>
                </w:tcPr>
                <w:p>
                  <w:pPr>
                    <w:pStyle w:val="29"/>
                    <w:spacing w:line="360" w:lineRule="exact"/>
                    <w:ind w:firstLine="210" w:firstLineChars="100"/>
                    <w:jc w:val="both"/>
                    <w:rPr>
                      <w:color w:val="auto"/>
                      <w:szCs w:val="21"/>
                    </w:rPr>
                  </w:pPr>
                  <w:r>
                    <w:rPr>
                      <w:color w:val="auto"/>
                      <w:szCs w:val="21"/>
                    </w:rPr>
                    <w:t>1套</w:t>
                  </w:r>
                </w:p>
              </w:tc>
              <w:tc>
                <w:tcPr>
                  <w:tcW w:w="794" w:type="dxa"/>
                  <w:vAlign w:val="center"/>
                </w:tcPr>
                <w:p>
                  <w:pPr>
                    <w:pStyle w:val="29"/>
                    <w:spacing w:line="360" w:lineRule="exact"/>
                    <w:rPr>
                      <w:color w:val="auto"/>
                      <w:szCs w:val="21"/>
                    </w:rPr>
                  </w:pPr>
                  <w:r>
                    <w:rPr>
                      <w:color w:val="auto"/>
                      <w:szCs w:val="21"/>
                    </w:rPr>
                    <w:t>2</w:t>
                  </w:r>
                </w:p>
              </w:tc>
              <w:tc>
                <w:tcPr>
                  <w:tcW w:w="701" w:type="dxa"/>
                  <w:vMerge w:val="restart"/>
                  <w:vAlign w:val="center"/>
                </w:tcPr>
                <w:p>
                  <w:pPr>
                    <w:pStyle w:val="29"/>
                    <w:spacing w:line="360" w:lineRule="exact"/>
                    <w:rPr>
                      <w:color w:val="auto"/>
                      <w:szCs w:val="21"/>
                    </w:rPr>
                  </w:pPr>
                  <w:r>
                    <w:rPr>
                      <w:color w:val="auto"/>
                      <w:szCs w:val="21"/>
                    </w:rPr>
                    <w:t>施工单位</w:t>
                  </w:r>
                </w:p>
              </w:tc>
              <w:tc>
                <w:tcPr>
                  <w:tcW w:w="771" w:type="dxa"/>
                  <w:vAlign w:val="center"/>
                </w:tcPr>
                <w:p>
                  <w:pPr>
                    <w:pStyle w:val="29"/>
                    <w:spacing w:line="360" w:lineRule="exact"/>
                    <w:rPr>
                      <w:color w:val="auto"/>
                      <w:szCs w:val="21"/>
                    </w:rPr>
                  </w:pPr>
                  <w:r>
                    <w:rPr>
                      <w:color w:val="auto"/>
                      <w:szCs w:val="21"/>
                    </w:rPr>
                    <w:t>--</w:t>
                  </w:r>
                </w:p>
              </w:tc>
              <w:tc>
                <w:tcPr>
                  <w:tcW w:w="696" w:type="dxa"/>
                  <w:vMerge w:val="restart"/>
                  <w:vAlign w:val="center"/>
                </w:tcPr>
                <w:p>
                  <w:pPr>
                    <w:pStyle w:val="29"/>
                    <w:spacing w:line="360" w:lineRule="exact"/>
                    <w:rPr>
                      <w:color w:val="auto"/>
                      <w:szCs w:val="21"/>
                    </w:rPr>
                  </w:pPr>
                  <w:r>
                    <w:rPr>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Align w:val="center"/>
                </w:tcPr>
                <w:p>
                  <w:pPr>
                    <w:pStyle w:val="29"/>
                    <w:spacing w:line="360" w:lineRule="exact"/>
                    <w:rPr>
                      <w:color w:val="auto"/>
                      <w:szCs w:val="21"/>
                    </w:rPr>
                  </w:pPr>
                  <w:r>
                    <w:rPr>
                      <w:color w:val="auto"/>
                      <w:szCs w:val="21"/>
                    </w:rPr>
                    <w:t>废水</w:t>
                  </w:r>
                </w:p>
              </w:tc>
              <w:tc>
                <w:tcPr>
                  <w:tcW w:w="663" w:type="dxa"/>
                  <w:vAlign w:val="center"/>
                </w:tcPr>
                <w:p>
                  <w:pPr>
                    <w:pStyle w:val="29"/>
                    <w:spacing w:line="360" w:lineRule="exact"/>
                    <w:rPr>
                      <w:color w:val="auto"/>
                      <w:szCs w:val="21"/>
                    </w:rPr>
                  </w:pPr>
                  <w:r>
                    <w:rPr>
                      <w:color w:val="auto"/>
                      <w:szCs w:val="21"/>
                    </w:rPr>
                    <w:t>施工废水</w:t>
                  </w:r>
                </w:p>
              </w:tc>
              <w:tc>
                <w:tcPr>
                  <w:tcW w:w="1412" w:type="dxa"/>
                  <w:vAlign w:val="center"/>
                </w:tcPr>
                <w:p>
                  <w:pPr>
                    <w:pStyle w:val="29"/>
                    <w:spacing w:line="360" w:lineRule="exact"/>
                    <w:rPr>
                      <w:color w:val="auto"/>
                      <w:szCs w:val="21"/>
                    </w:rPr>
                  </w:pPr>
                  <w:r>
                    <w:rPr>
                      <w:color w:val="auto"/>
                      <w:szCs w:val="21"/>
                    </w:rPr>
                    <w:t>临时沉淀池</w:t>
                  </w:r>
                </w:p>
              </w:tc>
              <w:tc>
                <w:tcPr>
                  <w:tcW w:w="2545" w:type="dxa"/>
                  <w:vAlign w:val="center"/>
                </w:tcPr>
                <w:p>
                  <w:pPr>
                    <w:pStyle w:val="29"/>
                    <w:spacing w:line="360" w:lineRule="exact"/>
                    <w:ind w:firstLine="210" w:firstLineChars="100"/>
                    <w:jc w:val="both"/>
                    <w:rPr>
                      <w:color w:val="auto"/>
                      <w:szCs w:val="21"/>
                    </w:rPr>
                  </w:pPr>
                  <w:r>
                    <w:rPr>
                      <w:color w:val="auto"/>
                      <w:szCs w:val="21"/>
                    </w:rPr>
                    <w:t>1个，20m³</w:t>
                  </w:r>
                </w:p>
              </w:tc>
              <w:tc>
                <w:tcPr>
                  <w:tcW w:w="794" w:type="dxa"/>
                  <w:vAlign w:val="center"/>
                </w:tcPr>
                <w:p>
                  <w:pPr>
                    <w:pStyle w:val="29"/>
                    <w:spacing w:line="360" w:lineRule="exact"/>
                    <w:rPr>
                      <w:color w:val="auto"/>
                      <w:szCs w:val="21"/>
                    </w:rPr>
                  </w:pPr>
                  <w:r>
                    <w:rPr>
                      <w:color w:val="auto"/>
                      <w:szCs w:val="21"/>
                    </w:rPr>
                    <w:t>1</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Align w:val="center"/>
                </w:tcPr>
                <w:p>
                  <w:pPr>
                    <w:pStyle w:val="29"/>
                    <w:spacing w:line="360" w:lineRule="exact"/>
                    <w:rPr>
                      <w:color w:val="auto"/>
                      <w:szCs w:val="21"/>
                    </w:rPr>
                  </w:pPr>
                  <w:r>
                    <w:rPr>
                      <w:color w:val="auto"/>
                      <w:szCs w:val="21"/>
                    </w:rPr>
                    <w:t>噪声</w:t>
                  </w:r>
                </w:p>
              </w:tc>
              <w:tc>
                <w:tcPr>
                  <w:tcW w:w="663" w:type="dxa"/>
                  <w:vAlign w:val="center"/>
                </w:tcPr>
                <w:p>
                  <w:pPr>
                    <w:pStyle w:val="29"/>
                    <w:spacing w:line="360" w:lineRule="exact"/>
                    <w:rPr>
                      <w:color w:val="auto"/>
                      <w:szCs w:val="21"/>
                    </w:rPr>
                  </w:pPr>
                  <w:r>
                    <w:rPr>
                      <w:color w:val="auto"/>
                      <w:szCs w:val="21"/>
                    </w:rPr>
                    <w:t>施工噪声</w:t>
                  </w:r>
                </w:p>
              </w:tc>
              <w:tc>
                <w:tcPr>
                  <w:tcW w:w="1412" w:type="dxa"/>
                  <w:vAlign w:val="center"/>
                </w:tcPr>
                <w:p>
                  <w:pPr>
                    <w:pStyle w:val="29"/>
                    <w:spacing w:line="360" w:lineRule="exact"/>
                    <w:rPr>
                      <w:color w:val="auto"/>
                      <w:szCs w:val="21"/>
                    </w:rPr>
                  </w:pPr>
                  <w:r>
                    <w:rPr>
                      <w:color w:val="auto"/>
                    </w:rPr>
                    <w:t>遮挡围墙</w:t>
                  </w:r>
                </w:p>
              </w:tc>
              <w:tc>
                <w:tcPr>
                  <w:tcW w:w="2545" w:type="dxa"/>
                  <w:vAlign w:val="center"/>
                </w:tcPr>
                <w:p>
                  <w:pPr>
                    <w:pStyle w:val="29"/>
                    <w:spacing w:line="360" w:lineRule="exact"/>
                    <w:ind w:firstLine="210" w:firstLineChars="100"/>
                    <w:jc w:val="both"/>
                    <w:rPr>
                      <w:color w:val="auto"/>
                      <w:szCs w:val="21"/>
                    </w:rPr>
                  </w:pPr>
                  <w:r>
                    <w:rPr>
                      <w:color w:val="auto"/>
                      <w:szCs w:val="21"/>
                    </w:rPr>
                    <w:t>2.5m高，围挡</w:t>
                  </w:r>
                </w:p>
              </w:tc>
              <w:tc>
                <w:tcPr>
                  <w:tcW w:w="794" w:type="dxa"/>
                  <w:vAlign w:val="center"/>
                </w:tcPr>
                <w:p>
                  <w:pPr>
                    <w:pStyle w:val="29"/>
                    <w:spacing w:line="360" w:lineRule="exact"/>
                    <w:rPr>
                      <w:color w:val="auto"/>
                      <w:szCs w:val="21"/>
                    </w:rPr>
                  </w:pPr>
                  <w:r>
                    <w:rPr>
                      <w:color w:val="auto"/>
                      <w:szCs w:val="21"/>
                    </w:rPr>
                    <w:t>2</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441" w:type="dxa"/>
                  <w:vMerge w:val="restart"/>
                  <w:vAlign w:val="center"/>
                </w:tcPr>
                <w:p>
                  <w:pPr>
                    <w:pStyle w:val="29"/>
                    <w:spacing w:line="360" w:lineRule="exact"/>
                    <w:rPr>
                      <w:color w:val="auto"/>
                      <w:szCs w:val="21"/>
                    </w:rPr>
                  </w:pPr>
                  <w:r>
                    <w:rPr>
                      <w:color w:val="auto"/>
                      <w:szCs w:val="21"/>
                    </w:rPr>
                    <w:t>运营期污染源</w:t>
                  </w:r>
                </w:p>
              </w:tc>
              <w:tc>
                <w:tcPr>
                  <w:tcW w:w="585" w:type="dxa"/>
                  <w:vMerge w:val="restart"/>
                  <w:vAlign w:val="center"/>
                </w:tcPr>
                <w:p>
                  <w:pPr>
                    <w:pStyle w:val="29"/>
                    <w:spacing w:line="360" w:lineRule="exact"/>
                    <w:rPr>
                      <w:color w:val="auto"/>
                      <w:szCs w:val="21"/>
                    </w:rPr>
                  </w:pPr>
                  <w:r>
                    <w:rPr>
                      <w:color w:val="auto"/>
                      <w:szCs w:val="21"/>
                    </w:rPr>
                    <w:t>废气</w:t>
                  </w:r>
                </w:p>
              </w:tc>
              <w:tc>
                <w:tcPr>
                  <w:tcW w:w="663" w:type="dxa"/>
                  <w:vAlign w:val="center"/>
                </w:tcPr>
                <w:p>
                  <w:pPr>
                    <w:pStyle w:val="29"/>
                    <w:spacing w:line="360" w:lineRule="exact"/>
                    <w:rPr>
                      <w:color w:val="auto"/>
                      <w:szCs w:val="21"/>
                    </w:rPr>
                  </w:pPr>
                  <w:r>
                    <w:rPr>
                      <w:color w:val="auto"/>
                      <w:szCs w:val="21"/>
                    </w:rPr>
                    <w:t>粉尘</w:t>
                  </w:r>
                </w:p>
              </w:tc>
              <w:tc>
                <w:tcPr>
                  <w:tcW w:w="1412" w:type="dxa"/>
                  <w:vAlign w:val="center"/>
                </w:tcPr>
                <w:p>
                  <w:pPr>
                    <w:pStyle w:val="29"/>
                    <w:spacing w:line="360" w:lineRule="exact"/>
                    <w:rPr>
                      <w:color w:val="auto"/>
                      <w:szCs w:val="21"/>
                    </w:rPr>
                  </w:pPr>
                  <w:r>
                    <w:rPr>
                      <w:color w:val="auto"/>
                      <w:szCs w:val="21"/>
                    </w:rPr>
                    <w:t>粉尘处理设施</w:t>
                  </w:r>
                </w:p>
              </w:tc>
              <w:tc>
                <w:tcPr>
                  <w:tcW w:w="2545" w:type="dxa"/>
                  <w:vAlign w:val="center"/>
                </w:tcPr>
                <w:p>
                  <w:pPr>
                    <w:pStyle w:val="29"/>
                    <w:spacing w:line="360" w:lineRule="exact"/>
                    <w:ind w:firstLine="210" w:firstLineChars="100"/>
                    <w:jc w:val="both"/>
                    <w:rPr>
                      <w:color w:val="auto"/>
                      <w:szCs w:val="24"/>
                    </w:rPr>
                  </w:pPr>
                  <w:r>
                    <w:rPr>
                      <w:color w:val="auto"/>
                      <w:szCs w:val="24"/>
                    </w:rPr>
                    <w:t>①集气罩：每条生产线各配套设置</w:t>
                  </w:r>
                  <w:r>
                    <w:rPr>
                      <w:rFonts w:hint="eastAsia"/>
                      <w:color w:val="auto"/>
                      <w:szCs w:val="24"/>
                    </w:rPr>
                    <w:t>1</w:t>
                  </w:r>
                  <w:r>
                    <w:rPr>
                      <w:color w:val="auto"/>
                      <w:szCs w:val="24"/>
                    </w:rPr>
                    <w:t>个，合计设置</w:t>
                  </w:r>
                  <w:r>
                    <w:rPr>
                      <w:rFonts w:hint="eastAsia"/>
                      <w:color w:val="auto"/>
                      <w:szCs w:val="24"/>
                    </w:rPr>
                    <w:t>2</w:t>
                  </w:r>
                  <w:r>
                    <w:rPr>
                      <w:color w:val="auto"/>
                      <w:szCs w:val="24"/>
                    </w:rPr>
                    <w:t>个</w:t>
                  </w:r>
                  <w:r>
                    <w:rPr>
                      <w:rFonts w:hint="eastAsia"/>
                      <w:color w:val="auto"/>
                      <w:szCs w:val="24"/>
                    </w:rPr>
                    <w:t>，风机</w:t>
                  </w:r>
                  <w:r>
                    <w:rPr>
                      <w:color w:val="auto"/>
                      <w:szCs w:val="24"/>
                    </w:rPr>
                    <w:t>风量为</w:t>
                  </w:r>
                  <w:r>
                    <w:rPr>
                      <w:rFonts w:hint="eastAsia"/>
                      <w:color w:val="auto"/>
                      <w:szCs w:val="24"/>
                    </w:rPr>
                    <w:t>3</w:t>
                  </w:r>
                  <w:r>
                    <w:rPr>
                      <w:color w:val="auto"/>
                      <w:szCs w:val="24"/>
                    </w:rPr>
                    <w:t>000m³/h</w:t>
                  </w:r>
                  <w:r>
                    <w:rPr>
                      <w:rFonts w:hint="eastAsia"/>
                      <w:color w:val="auto"/>
                      <w:szCs w:val="24"/>
                    </w:rPr>
                    <w:t>·个</w:t>
                  </w:r>
                  <w:r>
                    <w:rPr>
                      <w:color w:val="auto"/>
                      <w:szCs w:val="24"/>
                    </w:rPr>
                    <w:t>，合计风量为</w:t>
                  </w:r>
                  <w:r>
                    <w:rPr>
                      <w:rFonts w:hint="eastAsia"/>
                      <w:color w:val="auto"/>
                      <w:szCs w:val="24"/>
                    </w:rPr>
                    <w:t>6</w:t>
                  </w:r>
                  <w:r>
                    <w:rPr>
                      <w:color w:val="auto"/>
                      <w:szCs w:val="24"/>
                    </w:rPr>
                    <w:t>000m³/h。集气效率不低于92%。</w:t>
                  </w:r>
                </w:p>
                <w:p>
                  <w:pPr>
                    <w:pStyle w:val="29"/>
                    <w:spacing w:line="360" w:lineRule="exact"/>
                    <w:ind w:firstLine="210" w:firstLineChars="100"/>
                    <w:jc w:val="both"/>
                    <w:rPr>
                      <w:color w:val="auto"/>
                      <w:szCs w:val="24"/>
                    </w:rPr>
                  </w:pPr>
                  <w:r>
                    <w:rPr>
                      <w:color w:val="auto"/>
                      <w:szCs w:val="24"/>
                    </w:rPr>
                    <w:t>②布袋除尘器：共设置1台，其粉尘处理效率不低于95%。</w:t>
                  </w:r>
                </w:p>
                <w:p>
                  <w:pPr>
                    <w:pStyle w:val="29"/>
                    <w:spacing w:line="360" w:lineRule="exact"/>
                    <w:ind w:firstLine="210" w:firstLineChars="100"/>
                    <w:jc w:val="both"/>
                    <w:rPr>
                      <w:color w:val="auto"/>
                      <w:szCs w:val="21"/>
                    </w:rPr>
                  </w:pPr>
                  <w:r>
                    <w:rPr>
                      <w:rFonts w:hint="eastAsia" w:ascii="宋体" w:hAnsi="宋体" w:cs="宋体"/>
                      <w:color w:val="auto"/>
                      <w:szCs w:val="24"/>
                    </w:rPr>
                    <w:t>③</w:t>
                  </w:r>
                  <w:r>
                    <w:rPr>
                      <w:color w:val="auto"/>
                      <w:szCs w:val="24"/>
                    </w:rPr>
                    <w:t>排气筒：设置1根排气筒，其参数为高15m、Φ0.</w:t>
                  </w:r>
                  <w:r>
                    <w:rPr>
                      <w:rFonts w:hint="eastAsia"/>
                      <w:color w:val="auto"/>
                      <w:szCs w:val="24"/>
                    </w:rPr>
                    <w:t>4</w:t>
                  </w:r>
                  <w:r>
                    <w:rPr>
                      <w:color w:val="auto"/>
                      <w:szCs w:val="24"/>
                    </w:rPr>
                    <w:t>m，编号为DA001。</w:t>
                  </w:r>
                </w:p>
              </w:tc>
              <w:tc>
                <w:tcPr>
                  <w:tcW w:w="794" w:type="dxa"/>
                  <w:vAlign w:val="center"/>
                </w:tcPr>
                <w:p>
                  <w:pPr>
                    <w:pStyle w:val="29"/>
                    <w:spacing w:line="360" w:lineRule="exact"/>
                    <w:rPr>
                      <w:color w:val="auto"/>
                      <w:szCs w:val="21"/>
                    </w:rPr>
                  </w:pPr>
                  <w:r>
                    <w:rPr>
                      <w:color w:val="auto"/>
                      <w:szCs w:val="21"/>
                    </w:rPr>
                    <w:t>36</w:t>
                  </w:r>
                </w:p>
              </w:tc>
              <w:tc>
                <w:tcPr>
                  <w:tcW w:w="701" w:type="dxa"/>
                  <w:vMerge w:val="restart"/>
                  <w:vAlign w:val="center"/>
                </w:tcPr>
                <w:p>
                  <w:pPr>
                    <w:pStyle w:val="29"/>
                    <w:spacing w:line="360" w:lineRule="exact"/>
                    <w:rPr>
                      <w:color w:val="auto"/>
                      <w:szCs w:val="21"/>
                    </w:rPr>
                  </w:pPr>
                  <w:r>
                    <w:rPr>
                      <w:color w:val="auto"/>
                      <w:szCs w:val="21"/>
                    </w:rPr>
                    <w:t>施工单位</w:t>
                  </w:r>
                </w:p>
              </w:tc>
              <w:tc>
                <w:tcPr>
                  <w:tcW w:w="771" w:type="dxa"/>
                  <w:vAlign w:val="center"/>
                </w:tcPr>
                <w:p>
                  <w:pPr>
                    <w:pStyle w:val="29"/>
                    <w:spacing w:line="360" w:lineRule="exact"/>
                    <w:rPr>
                      <w:color w:val="auto"/>
                      <w:szCs w:val="21"/>
                    </w:rPr>
                  </w:pPr>
                  <w:r>
                    <w:rPr>
                      <w:color w:val="auto"/>
                      <w:szCs w:val="21"/>
                    </w:rPr>
                    <w:t>2.6</w:t>
                  </w:r>
                </w:p>
              </w:tc>
              <w:tc>
                <w:tcPr>
                  <w:tcW w:w="696" w:type="dxa"/>
                  <w:vMerge w:val="restart"/>
                  <w:vAlign w:val="center"/>
                </w:tcPr>
                <w:p>
                  <w:pPr>
                    <w:pStyle w:val="29"/>
                    <w:spacing w:line="360" w:lineRule="exact"/>
                    <w:rPr>
                      <w:color w:val="auto"/>
                      <w:szCs w:val="21"/>
                    </w:rPr>
                  </w:pPr>
                  <w:r>
                    <w:rPr>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663" w:type="dxa"/>
                  <w:vAlign w:val="center"/>
                </w:tcPr>
                <w:p>
                  <w:pPr>
                    <w:pStyle w:val="29"/>
                    <w:spacing w:line="360" w:lineRule="exact"/>
                    <w:rPr>
                      <w:color w:val="auto"/>
                      <w:szCs w:val="21"/>
                    </w:rPr>
                  </w:pPr>
                  <w:r>
                    <w:rPr>
                      <w:color w:val="auto"/>
                      <w:szCs w:val="21"/>
                    </w:rPr>
                    <w:t>厨房油烟</w:t>
                  </w:r>
                </w:p>
              </w:tc>
              <w:tc>
                <w:tcPr>
                  <w:tcW w:w="1412" w:type="dxa"/>
                  <w:vAlign w:val="center"/>
                </w:tcPr>
                <w:p>
                  <w:pPr>
                    <w:pStyle w:val="29"/>
                    <w:spacing w:line="360" w:lineRule="exact"/>
                    <w:rPr>
                      <w:color w:val="auto"/>
                      <w:szCs w:val="21"/>
                    </w:rPr>
                  </w:pPr>
                  <w:r>
                    <w:rPr>
                      <w:color w:val="auto"/>
                      <w:szCs w:val="21"/>
                    </w:rPr>
                    <w:t>油烟净化器</w:t>
                  </w:r>
                </w:p>
              </w:tc>
              <w:tc>
                <w:tcPr>
                  <w:tcW w:w="2545" w:type="dxa"/>
                  <w:vAlign w:val="center"/>
                </w:tcPr>
                <w:p>
                  <w:pPr>
                    <w:pStyle w:val="29"/>
                    <w:spacing w:line="360" w:lineRule="exact"/>
                    <w:ind w:firstLine="210" w:firstLineChars="100"/>
                    <w:jc w:val="left"/>
                    <w:rPr>
                      <w:color w:val="auto"/>
                      <w:szCs w:val="21"/>
                    </w:rPr>
                  </w:pPr>
                  <w:r>
                    <w:rPr>
                      <w:color w:val="auto"/>
                      <w:szCs w:val="21"/>
                    </w:rPr>
                    <w:t>拟配套设置1台处理效率不低于60%的油烟净化器和1.5m的烟道</w:t>
                  </w:r>
                </w:p>
              </w:tc>
              <w:tc>
                <w:tcPr>
                  <w:tcW w:w="794" w:type="dxa"/>
                  <w:vAlign w:val="center"/>
                </w:tcPr>
                <w:p>
                  <w:pPr>
                    <w:pStyle w:val="29"/>
                    <w:spacing w:line="360" w:lineRule="exact"/>
                    <w:rPr>
                      <w:color w:val="auto"/>
                      <w:szCs w:val="21"/>
                    </w:rPr>
                  </w:pPr>
                  <w:r>
                    <w:rPr>
                      <w:color w:val="auto"/>
                      <w:szCs w:val="21"/>
                    </w:rPr>
                    <w:t>1</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0.1</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restart"/>
                  <w:vAlign w:val="center"/>
                </w:tcPr>
                <w:p>
                  <w:pPr>
                    <w:pStyle w:val="29"/>
                    <w:spacing w:line="360" w:lineRule="exact"/>
                    <w:rPr>
                      <w:color w:val="auto"/>
                      <w:szCs w:val="21"/>
                    </w:rPr>
                  </w:pPr>
                  <w:r>
                    <w:rPr>
                      <w:color w:val="auto"/>
                      <w:szCs w:val="21"/>
                    </w:rPr>
                    <w:t>废水</w:t>
                  </w:r>
                </w:p>
              </w:tc>
              <w:tc>
                <w:tcPr>
                  <w:tcW w:w="2075" w:type="dxa"/>
                  <w:gridSpan w:val="2"/>
                  <w:vAlign w:val="center"/>
                </w:tcPr>
                <w:p>
                  <w:pPr>
                    <w:pStyle w:val="29"/>
                    <w:spacing w:line="360" w:lineRule="exact"/>
                    <w:rPr>
                      <w:rFonts w:eastAsiaTheme="minorEastAsia"/>
                      <w:color w:val="auto"/>
                      <w:szCs w:val="21"/>
                    </w:rPr>
                  </w:pPr>
                  <w:r>
                    <w:rPr>
                      <w:rFonts w:eastAsiaTheme="minorEastAsia"/>
                      <w:color w:val="auto"/>
                      <w:szCs w:val="21"/>
                    </w:rPr>
                    <w:t>雨污分流</w:t>
                  </w:r>
                </w:p>
              </w:tc>
              <w:tc>
                <w:tcPr>
                  <w:tcW w:w="2545" w:type="dxa"/>
                  <w:vAlign w:val="center"/>
                </w:tcPr>
                <w:p>
                  <w:pPr>
                    <w:pStyle w:val="29"/>
                    <w:spacing w:line="360" w:lineRule="exact"/>
                    <w:ind w:firstLine="210" w:firstLineChars="100"/>
                    <w:jc w:val="left"/>
                    <w:rPr>
                      <w:color w:val="auto"/>
                      <w:szCs w:val="21"/>
                    </w:rPr>
                  </w:pPr>
                  <w:r>
                    <w:rPr>
                      <w:color w:val="auto"/>
                      <w:szCs w:val="21"/>
                    </w:rPr>
                    <w:t>雨水管网</w:t>
                  </w:r>
                </w:p>
              </w:tc>
              <w:tc>
                <w:tcPr>
                  <w:tcW w:w="794" w:type="dxa"/>
                  <w:vAlign w:val="center"/>
                </w:tcPr>
                <w:p>
                  <w:pPr>
                    <w:pStyle w:val="29"/>
                    <w:spacing w:line="360" w:lineRule="exact"/>
                    <w:rPr>
                      <w:color w:val="auto"/>
                      <w:szCs w:val="21"/>
                    </w:rPr>
                  </w:pPr>
                  <w:r>
                    <w:rPr>
                      <w:color w:val="auto"/>
                      <w:szCs w:val="21"/>
                    </w:rPr>
                    <w:t>--</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663" w:type="dxa"/>
                  <w:vAlign w:val="center"/>
                </w:tcPr>
                <w:p>
                  <w:pPr>
                    <w:pStyle w:val="29"/>
                    <w:spacing w:line="360" w:lineRule="exact"/>
                    <w:rPr>
                      <w:color w:val="auto"/>
                      <w:szCs w:val="21"/>
                    </w:rPr>
                  </w:pPr>
                  <w:r>
                    <w:rPr>
                      <w:color w:val="auto"/>
                      <w:szCs w:val="21"/>
                    </w:rPr>
                    <w:t>初期雨水</w:t>
                  </w:r>
                </w:p>
              </w:tc>
              <w:tc>
                <w:tcPr>
                  <w:tcW w:w="1412" w:type="dxa"/>
                  <w:vAlign w:val="center"/>
                </w:tcPr>
                <w:p>
                  <w:pPr>
                    <w:pStyle w:val="29"/>
                    <w:spacing w:line="360" w:lineRule="exact"/>
                    <w:rPr>
                      <w:color w:val="auto"/>
                      <w:szCs w:val="21"/>
                    </w:rPr>
                  </w:pPr>
                  <w:r>
                    <w:rPr>
                      <w:color w:val="auto"/>
                      <w:szCs w:val="21"/>
                    </w:rPr>
                    <w:t>初期雨水收集池</w:t>
                  </w:r>
                </w:p>
              </w:tc>
              <w:tc>
                <w:tcPr>
                  <w:tcW w:w="2545" w:type="dxa"/>
                  <w:vAlign w:val="center"/>
                </w:tcPr>
                <w:p>
                  <w:pPr>
                    <w:pStyle w:val="29"/>
                    <w:spacing w:line="360" w:lineRule="exact"/>
                    <w:ind w:firstLine="210" w:firstLineChars="100"/>
                    <w:jc w:val="left"/>
                    <w:rPr>
                      <w:color w:val="auto"/>
                      <w:szCs w:val="21"/>
                    </w:rPr>
                  </w:pPr>
                  <w:r>
                    <w:rPr>
                      <w:color w:val="auto"/>
                      <w:szCs w:val="21"/>
                    </w:rPr>
                    <w:t>1个10m³</w:t>
                  </w:r>
                </w:p>
              </w:tc>
              <w:tc>
                <w:tcPr>
                  <w:tcW w:w="794" w:type="dxa"/>
                  <w:vAlign w:val="center"/>
                </w:tcPr>
                <w:p>
                  <w:pPr>
                    <w:pStyle w:val="29"/>
                    <w:spacing w:line="360" w:lineRule="exact"/>
                    <w:rPr>
                      <w:color w:val="auto"/>
                      <w:szCs w:val="21"/>
                    </w:rPr>
                  </w:pPr>
                  <w:r>
                    <w:rPr>
                      <w:color w:val="auto"/>
                      <w:szCs w:val="21"/>
                    </w:rPr>
                    <w:t>5</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663" w:type="dxa"/>
                  <w:vMerge w:val="restart"/>
                  <w:vAlign w:val="center"/>
                </w:tcPr>
                <w:p>
                  <w:pPr>
                    <w:pStyle w:val="29"/>
                    <w:spacing w:line="360" w:lineRule="exact"/>
                    <w:rPr>
                      <w:color w:val="auto"/>
                      <w:szCs w:val="21"/>
                    </w:rPr>
                  </w:pPr>
                  <w:r>
                    <w:rPr>
                      <w:color w:val="auto"/>
                      <w:szCs w:val="21"/>
                    </w:rPr>
                    <w:t>生活污水</w:t>
                  </w:r>
                </w:p>
              </w:tc>
              <w:tc>
                <w:tcPr>
                  <w:tcW w:w="1412" w:type="dxa"/>
                  <w:vAlign w:val="center"/>
                </w:tcPr>
                <w:p>
                  <w:pPr>
                    <w:pStyle w:val="29"/>
                    <w:spacing w:line="360" w:lineRule="exact"/>
                    <w:rPr>
                      <w:color w:val="auto"/>
                      <w:szCs w:val="21"/>
                    </w:rPr>
                  </w:pPr>
                  <w:r>
                    <w:rPr>
                      <w:color w:val="auto"/>
                      <w:szCs w:val="21"/>
                    </w:rPr>
                    <w:t>隔油池</w:t>
                  </w:r>
                </w:p>
              </w:tc>
              <w:tc>
                <w:tcPr>
                  <w:tcW w:w="2545" w:type="dxa"/>
                  <w:vAlign w:val="center"/>
                </w:tcPr>
                <w:p>
                  <w:pPr>
                    <w:pStyle w:val="29"/>
                    <w:spacing w:line="360" w:lineRule="exact"/>
                    <w:ind w:firstLine="210" w:firstLineChars="100"/>
                    <w:jc w:val="left"/>
                    <w:rPr>
                      <w:color w:val="auto"/>
                      <w:szCs w:val="21"/>
                    </w:rPr>
                  </w:pPr>
                  <w:r>
                    <w:rPr>
                      <w:color w:val="auto"/>
                      <w:szCs w:val="21"/>
                    </w:rPr>
                    <w:t xml:space="preserve">1个1m³ </w:t>
                  </w:r>
                </w:p>
              </w:tc>
              <w:tc>
                <w:tcPr>
                  <w:tcW w:w="794" w:type="dxa"/>
                  <w:vAlign w:val="center"/>
                </w:tcPr>
                <w:p>
                  <w:pPr>
                    <w:pStyle w:val="29"/>
                    <w:spacing w:line="360" w:lineRule="exact"/>
                    <w:rPr>
                      <w:color w:val="auto"/>
                      <w:szCs w:val="21"/>
                    </w:rPr>
                  </w:pPr>
                  <w:r>
                    <w:rPr>
                      <w:color w:val="auto"/>
                      <w:szCs w:val="21"/>
                    </w:rPr>
                    <w:t>0.5</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663" w:type="dxa"/>
                  <w:vMerge w:val="continue"/>
                  <w:vAlign w:val="center"/>
                </w:tcPr>
                <w:p>
                  <w:pPr>
                    <w:pStyle w:val="29"/>
                    <w:spacing w:line="360" w:lineRule="exact"/>
                    <w:rPr>
                      <w:color w:val="auto"/>
                      <w:szCs w:val="21"/>
                    </w:rPr>
                  </w:pPr>
                </w:p>
              </w:tc>
              <w:tc>
                <w:tcPr>
                  <w:tcW w:w="1412" w:type="dxa"/>
                  <w:vAlign w:val="center"/>
                </w:tcPr>
                <w:p>
                  <w:pPr>
                    <w:pStyle w:val="29"/>
                    <w:spacing w:line="360" w:lineRule="exact"/>
                    <w:rPr>
                      <w:color w:val="auto"/>
                      <w:szCs w:val="21"/>
                    </w:rPr>
                  </w:pPr>
                  <w:r>
                    <w:rPr>
                      <w:color w:val="auto"/>
                      <w:szCs w:val="21"/>
                    </w:rPr>
                    <w:t>化粪池</w:t>
                  </w:r>
                </w:p>
              </w:tc>
              <w:tc>
                <w:tcPr>
                  <w:tcW w:w="2545" w:type="dxa"/>
                  <w:vAlign w:val="center"/>
                </w:tcPr>
                <w:p>
                  <w:pPr>
                    <w:pStyle w:val="29"/>
                    <w:spacing w:line="360" w:lineRule="exact"/>
                    <w:ind w:firstLine="210" w:firstLineChars="100"/>
                    <w:jc w:val="left"/>
                    <w:rPr>
                      <w:color w:val="auto"/>
                      <w:szCs w:val="21"/>
                    </w:rPr>
                  </w:pPr>
                  <w:r>
                    <w:rPr>
                      <w:color w:val="auto"/>
                      <w:szCs w:val="21"/>
                    </w:rPr>
                    <w:t>2个有效容积为4m³/个</w:t>
                  </w:r>
                </w:p>
              </w:tc>
              <w:tc>
                <w:tcPr>
                  <w:tcW w:w="794" w:type="dxa"/>
                  <w:vAlign w:val="center"/>
                </w:tcPr>
                <w:p>
                  <w:pPr>
                    <w:pStyle w:val="29"/>
                    <w:spacing w:line="360" w:lineRule="exact"/>
                    <w:rPr>
                      <w:color w:val="auto"/>
                      <w:szCs w:val="21"/>
                    </w:rPr>
                  </w:pPr>
                  <w:r>
                    <w:rPr>
                      <w:color w:val="auto"/>
                      <w:szCs w:val="21"/>
                    </w:rPr>
                    <w:t>4</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663" w:type="dxa"/>
                  <w:vMerge w:val="continue"/>
                  <w:vAlign w:val="center"/>
                </w:tcPr>
                <w:p>
                  <w:pPr>
                    <w:pStyle w:val="29"/>
                    <w:spacing w:line="360" w:lineRule="exact"/>
                    <w:rPr>
                      <w:color w:val="auto"/>
                      <w:szCs w:val="21"/>
                    </w:rPr>
                  </w:pPr>
                </w:p>
              </w:tc>
              <w:tc>
                <w:tcPr>
                  <w:tcW w:w="1412" w:type="dxa"/>
                  <w:vAlign w:val="center"/>
                </w:tcPr>
                <w:p>
                  <w:pPr>
                    <w:pStyle w:val="29"/>
                    <w:spacing w:line="360" w:lineRule="exact"/>
                    <w:rPr>
                      <w:color w:val="auto"/>
                      <w:szCs w:val="21"/>
                    </w:rPr>
                  </w:pPr>
                  <w:r>
                    <w:rPr>
                      <w:rFonts w:eastAsiaTheme="minorEastAsia"/>
                      <w:color w:val="auto"/>
                      <w:szCs w:val="21"/>
                    </w:rPr>
                    <w:t>一体化污水处理设施</w:t>
                  </w:r>
                </w:p>
              </w:tc>
              <w:tc>
                <w:tcPr>
                  <w:tcW w:w="2545" w:type="dxa"/>
                  <w:vAlign w:val="center"/>
                </w:tcPr>
                <w:p>
                  <w:pPr>
                    <w:pStyle w:val="29"/>
                    <w:spacing w:line="360" w:lineRule="exact"/>
                    <w:ind w:firstLine="210" w:firstLineChars="100"/>
                    <w:jc w:val="left"/>
                    <w:rPr>
                      <w:color w:val="auto"/>
                      <w:szCs w:val="21"/>
                    </w:rPr>
                  </w:pPr>
                  <w:r>
                    <w:rPr>
                      <w:color w:val="auto"/>
                      <w:szCs w:val="21"/>
                    </w:rPr>
                    <w:t>1套处理能力为10m³/d</w:t>
                  </w:r>
                </w:p>
              </w:tc>
              <w:tc>
                <w:tcPr>
                  <w:tcW w:w="794" w:type="dxa"/>
                  <w:vAlign w:val="center"/>
                </w:tcPr>
                <w:p>
                  <w:pPr>
                    <w:pStyle w:val="29"/>
                    <w:spacing w:line="360" w:lineRule="exact"/>
                    <w:rPr>
                      <w:color w:val="auto"/>
                      <w:szCs w:val="21"/>
                    </w:rPr>
                  </w:pPr>
                  <w:r>
                    <w:rPr>
                      <w:color w:val="auto"/>
                      <w:szCs w:val="21"/>
                    </w:rPr>
                    <w:t>15</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2</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663" w:type="dxa"/>
                  <w:vMerge w:val="continue"/>
                  <w:vAlign w:val="center"/>
                </w:tcPr>
                <w:p>
                  <w:pPr>
                    <w:pStyle w:val="29"/>
                    <w:spacing w:line="360" w:lineRule="exact"/>
                    <w:rPr>
                      <w:color w:val="auto"/>
                      <w:szCs w:val="21"/>
                    </w:rPr>
                  </w:pPr>
                </w:p>
              </w:tc>
              <w:tc>
                <w:tcPr>
                  <w:tcW w:w="1412" w:type="dxa"/>
                  <w:vAlign w:val="center"/>
                </w:tcPr>
                <w:p>
                  <w:pPr>
                    <w:pStyle w:val="29"/>
                    <w:spacing w:line="360" w:lineRule="exact"/>
                    <w:rPr>
                      <w:color w:val="auto"/>
                      <w:szCs w:val="21"/>
                    </w:rPr>
                  </w:pPr>
                  <w:r>
                    <w:rPr>
                      <w:rFonts w:eastAsiaTheme="minorEastAsia"/>
                      <w:color w:val="auto"/>
                      <w:szCs w:val="21"/>
                    </w:rPr>
                    <w:t>再生水收集池</w:t>
                  </w:r>
                </w:p>
              </w:tc>
              <w:tc>
                <w:tcPr>
                  <w:tcW w:w="2545" w:type="dxa"/>
                  <w:vAlign w:val="center"/>
                </w:tcPr>
                <w:p>
                  <w:pPr>
                    <w:pStyle w:val="29"/>
                    <w:spacing w:line="360" w:lineRule="exact"/>
                    <w:ind w:firstLine="210" w:firstLineChars="100"/>
                    <w:jc w:val="left"/>
                    <w:rPr>
                      <w:color w:val="auto"/>
                      <w:szCs w:val="21"/>
                    </w:rPr>
                  </w:pPr>
                  <w:r>
                    <w:rPr>
                      <w:color w:val="auto"/>
                      <w:szCs w:val="21"/>
                    </w:rPr>
                    <w:t>1个有效容积为10m³</w:t>
                  </w:r>
                </w:p>
              </w:tc>
              <w:tc>
                <w:tcPr>
                  <w:tcW w:w="794" w:type="dxa"/>
                  <w:vAlign w:val="center"/>
                </w:tcPr>
                <w:p>
                  <w:pPr>
                    <w:pStyle w:val="29"/>
                    <w:spacing w:line="360" w:lineRule="exact"/>
                    <w:rPr>
                      <w:color w:val="auto"/>
                      <w:szCs w:val="21"/>
                    </w:rPr>
                  </w:pPr>
                  <w:r>
                    <w:rPr>
                      <w:color w:val="auto"/>
                      <w:szCs w:val="21"/>
                    </w:rPr>
                    <w:t>6</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1248" w:type="dxa"/>
                  <w:gridSpan w:val="2"/>
                  <w:vMerge w:val="restart"/>
                  <w:vAlign w:val="center"/>
                </w:tcPr>
                <w:p>
                  <w:pPr>
                    <w:pStyle w:val="29"/>
                    <w:spacing w:line="360" w:lineRule="exact"/>
                    <w:rPr>
                      <w:color w:val="auto"/>
                      <w:szCs w:val="21"/>
                    </w:rPr>
                  </w:pPr>
                  <w:r>
                    <w:rPr>
                      <w:color w:val="auto"/>
                      <w:szCs w:val="21"/>
                    </w:rPr>
                    <w:t>地下水防渗</w:t>
                  </w:r>
                </w:p>
              </w:tc>
              <w:tc>
                <w:tcPr>
                  <w:tcW w:w="1412" w:type="dxa"/>
                  <w:vAlign w:val="center"/>
                </w:tcPr>
                <w:p>
                  <w:pPr>
                    <w:pStyle w:val="29"/>
                    <w:spacing w:line="360" w:lineRule="exact"/>
                    <w:rPr>
                      <w:color w:val="auto"/>
                      <w:szCs w:val="21"/>
                    </w:rPr>
                  </w:pPr>
                  <w:r>
                    <w:rPr>
                      <w:color w:val="auto"/>
                      <w:szCs w:val="21"/>
                    </w:rPr>
                    <w:t>重点防渗区</w:t>
                  </w:r>
                </w:p>
              </w:tc>
              <w:tc>
                <w:tcPr>
                  <w:tcW w:w="2545" w:type="dxa"/>
                  <w:vAlign w:val="center"/>
                </w:tcPr>
                <w:p>
                  <w:pPr>
                    <w:pStyle w:val="29"/>
                    <w:spacing w:line="360" w:lineRule="exact"/>
                    <w:ind w:firstLine="210" w:firstLineChars="100"/>
                    <w:jc w:val="left"/>
                    <w:rPr>
                      <w:color w:val="auto"/>
                      <w:szCs w:val="21"/>
                      <w:lang w:val="en-US"/>
                    </w:rPr>
                  </w:pPr>
                  <w:r>
                    <w:rPr>
                      <w:color w:val="auto"/>
                      <w:szCs w:val="21"/>
                    </w:rPr>
                    <w:t>危险废物贮存间地面和裙墙应采用不低于2mm厚的HDPE膜或其他人工防渗材料进行防渗，使其渗透系数≤10</w:t>
                  </w:r>
                  <w:r>
                    <w:rPr>
                      <w:color w:val="auto"/>
                      <w:szCs w:val="21"/>
                      <w:vertAlign w:val="superscript"/>
                    </w:rPr>
                    <w:t>-10</w:t>
                  </w:r>
                  <w:r>
                    <w:rPr>
                      <w:color w:val="auto"/>
                      <w:szCs w:val="21"/>
                    </w:rPr>
                    <w:t>cm/s</w:t>
                  </w:r>
                </w:p>
              </w:tc>
              <w:tc>
                <w:tcPr>
                  <w:tcW w:w="794" w:type="dxa"/>
                  <w:vAlign w:val="center"/>
                </w:tcPr>
                <w:p>
                  <w:pPr>
                    <w:pStyle w:val="29"/>
                    <w:spacing w:line="360" w:lineRule="exact"/>
                    <w:rPr>
                      <w:color w:val="auto"/>
                      <w:szCs w:val="21"/>
                    </w:rPr>
                  </w:pPr>
                  <w:r>
                    <w:rPr>
                      <w:color w:val="auto"/>
                      <w:szCs w:val="21"/>
                    </w:rPr>
                    <w:t>0.5</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1248" w:type="dxa"/>
                  <w:gridSpan w:val="2"/>
                  <w:vMerge w:val="continue"/>
                  <w:vAlign w:val="center"/>
                </w:tcPr>
                <w:p>
                  <w:pPr>
                    <w:pStyle w:val="29"/>
                    <w:spacing w:line="360" w:lineRule="exact"/>
                    <w:rPr>
                      <w:color w:val="auto"/>
                      <w:szCs w:val="21"/>
                    </w:rPr>
                  </w:pPr>
                </w:p>
              </w:tc>
              <w:tc>
                <w:tcPr>
                  <w:tcW w:w="1412" w:type="dxa"/>
                  <w:vAlign w:val="center"/>
                </w:tcPr>
                <w:p>
                  <w:pPr>
                    <w:pStyle w:val="29"/>
                    <w:spacing w:line="360" w:lineRule="exact"/>
                    <w:rPr>
                      <w:color w:val="auto"/>
                      <w:szCs w:val="21"/>
                    </w:rPr>
                  </w:pPr>
                  <w:r>
                    <w:rPr>
                      <w:color w:val="auto"/>
                      <w:szCs w:val="21"/>
                    </w:rPr>
                    <w:t>一般防渗区</w:t>
                  </w:r>
                </w:p>
              </w:tc>
              <w:tc>
                <w:tcPr>
                  <w:tcW w:w="2545" w:type="dxa"/>
                  <w:vAlign w:val="center"/>
                </w:tcPr>
                <w:p>
                  <w:pPr>
                    <w:pStyle w:val="29"/>
                    <w:spacing w:line="360" w:lineRule="exact"/>
                    <w:ind w:firstLine="210" w:firstLineChars="100"/>
                    <w:jc w:val="left"/>
                    <w:rPr>
                      <w:color w:val="auto"/>
                      <w:sz w:val="24"/>
                      <w:szCs w:val="24"/>
                    </w:rPr>
                  </w:pPr>
                  <w:r>
                    <w:rPr>
                      <w:color w:val="auto"/>
                      <w:szCs w:val="21"/>
                    </w:rPr>
                    <w:t>项目一般防渗区措施在地面采取粘土铺底，并在上层铺30cm的混凝土进行硬化。确保防渗性能，使其渗透系数≤1.0×10</w:t>
                  </w:r>
                  <w:r>
                    <w:rPr>
                      <w:color w:val="auto"/>
                      <w:szCs w:val="21"/>
                      <w:vertAlign w:val="superscript"/>
                    </w:rPr>
                    <w:t>-7</w:t>
                  </w:r>
                  <w:r>
                    <w:rPr>
                      <w:color w:val="auto"/>
                      <w:szCs w:val="21"/>
                    </w:rPr>
                    <w:t>cm/s。</w:t>
                  </w:r>
                </w:p>
              </w:tc>
              <w:tc>
                <w:tcPr>
                  <w:tcW w:w="794" w:type="dxa"/>
                  <w:vAlign w:val="center"/>
                </w:tcPr>
                <w:p>
                  <w:pPr>
                    <w:pStyle w:val="29"/>
                    <w:spacing w:line="360" w:lineRule="exact"/>
                    <w:rPr>
                      <w:color w:val="auto"/>
                      <w:szCs w:val="21"/>
                    </w:rPr>
                  </w:pPr>
                  <w:r>
                    <w:rPr>
                      <w:color w:val="auto"/>
                      <w:szCs w:val="21"/>
                    </w:rPr>
                    <w:t>3</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Align w:val="center"/>
                </w:tcPr>
                <w:p>
                  <w:pPr>
                    <w:pStyle w:val="29"/>
                    <w:spacing w:line="360" w:lineRule="exact"/>
                    <w:rPr>
                      <w:color w:val="auto"/>
                      <w:szCs w:val="21"/>
                    </w:rPr>
                  </w:pPr>
                  <w:r>
                    <w:rPr>
                      <w:color w:val="auto"/>
                      <w:szCs w:val="21"/>
                    </w:rPr>
                    <w:t>噪声</w:t>
                  </w:r>
                </w:p>
              </w:tc>
              <w:tc>
                <w:tcPr>
                  <w:tcW w:w="663" w:type="dxa"/>
                  <w:vAlign w:val="center"/>
                </w:tcPr>
                <w:p>
                  <w:pPr>
                    <w:pStyle w:val="29"/>
                    <w:spacing w:line="360" w:lineRule="exact"/>
                    <w:rPr>
                      <w:color w:val="auto"/>
                      <w:szCs w:val="21"/>
                    </w:rPr>
                  </w:pPr>
                  <w:r>
                    <w:rPr>
                      <w:color w:val="auto"/>
                      <w:szCs w:val="21"/>
                    </w:rPr>
                    <w:t>设备噪声</w:t>
                  </w:r>
                </w:p>
              </w:tc>
              <w:tc>
                <w:tcPr>
                  <w:tcW w:w="1412" w:type="dxa"/>
                  <w:vAlign w:val="center"/>
                </w:tcPr>
                <w:p>
                  <w:pPr>
                    <w:pStyle w:val="29"/>
                    <w:spacing w:line="360" w:lineRule="exact"/>
                    <w:rPr>
                      <w:color w:val="auto"/>
                      <w:szCs w:val="21"/>
                    </w:rPr>
                  </w:pPr>
                  <w:r>
                    <w:rPr>
                      <w:bCs w:val="0"/>
                      <w:color w:val="auto"/>
                    </w:rPr>
                    <w:t>隔音房、减震垫、消声器、墙体阻隔等</w:t>
                  </w:r>
                </w:p>
              </w:tc>
              <w:tc>
                <w:tcPr>
                  <w:tcW w:w="2545" w:type="dxa"/>
                  <w:vAlign w:val="center"/>
                </w:tcPr>
                <w:p>
                  <w:pPr>
                    <w:pStyle w:val="29"/>
                    <w:spacing w:line="360" w:lineRule="exact"/>
                    <w:ind w:firstLine="210" w:firstLineChars="100"/>
                    <w:jc w:val="left"/>
                    <w:rPr>
                      <w:color w:val="auto"/>
                      <w:szCs w:val="21"/>
                    </w:rPr>
                  </w:pPr>
                  <w:r>
                    <w:rPr>
                      <w:color w:val="auto"/>
                      <w:szCs w:val="21"/>
                    </w:rPr>
                    <w:t>2套隔音房，其他设施设备基础加装减震垫、消声器等。</w:t>
                  </w:r>
                </w:p>
              </w:tc>
              <w:tc>
                <w:tcPr>
                  <w:tcW w:w="794" w:type="dxa"/>
                  <w:vAlign w:val="center"/>
                </w:tcPr>
                <w:p>
                  <w:pPr>
                    <w:pStyle w:val="29"/>
                    <w:spacing w:line="360" w:lineRule="exact"/>
                    <w:rPr>
                      <w:color w:val="auto"/>
                      <w:szCs w:val="21"/>
                    </w:rPr>
                  </w:pPr>
                  <w:r>
                    <w:rPr>
                      <w:color w:val="auto"/>
                      <w:szCs w:val="21"/>
                    </w:rPr>
                    <w:t>12</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restart"/>
                  <w:vAlign w:val="center"/>
                </w:tcPr>
                <w:p>
                  <w:pPr>
                    <w:pStyle w:val="29"/>
                    <w:spacing w:line="360" w:lineRule="exact"/>
                    <w:rPr>
                      <w:color w:val="auto"/>
                      <w:szCs w:val="21"/>
                    </w:rPr>
                  </w:pPr>
                  <w:r>
                    <w:rPr>
                      <w:color w:val="auto"/>
                      <w:szCs w:val="21"/>
                    </w:rPr>
                    <w:t>固废</w:t>
                  </w:r>
                </w:p>
              </w:tc>
              <w:tc>
                <w:tcPr>
                  <w:tcW w:w="663" w:type="dxa"/>
                  <w:vAlign w:val="center"/>
                </w:tcPr>
                <w:p>
                  <w:pPr>
                    <w:pStyle w:val="29"/>
                    <w:spacing w:line="360" w:lineRule="exact"/>
                    <w:rPr>
                      <w:color w:val="auto"/>
                      <w:szCs w:val="21"/>
                    </w:rPr>
                  </w:pPr>
                  <w:r>
                    <w:rPr>
                      <w:color w:val="auto"/>
                      <w:szCs w:val="21"/>
                    </w:rPr>
                    <w:t>危险废物</w:t>
                  </w:r>
                </w:p>
              </w:tc>
              <w:tc>
                <w:tcPr>
                  <w:tcW w:w="1412" w:type="dxa"/>
                  <w:vAlign w:val="center"/>
                </w:tcPr>
                <w:p>
                  <w:pPr>
                    <w:pStyle w:val="29"/>
                    <w:spacing w:line="360" w:lineRule="exact"/>
                    <w:rPr>
                      <w:color w:val="auto"/>
                      <w:szCs w:val="21"/>
                    </w:rPr>
                  </w:pPr>
                  <w:r>
                    <w:rPr>
                      <w:color w:val="auto"/>
                      <w:szCs w:val="21"/>
                    </w:rPr>
                    <w:t>危险废物贮存间</w:t>
                  </w:r>
                </w:p>
              </w:tc>
              <w:tc>
                <w:tcPr>
                  <w:tcW w:w="2545" w:type="dxa"/>
                  <w:vAlign w:val="center"/>
                </w:tcPr>
                <w:p>
                  <w:pPr>
                    <w:pStyle w:val="29"/>
                    <w:spacing w:line="360" w:lineRule="exact"/>
                    <w:ind w:firstLine="210" w:firstLineChars="100"/>
                    <w:jc w:val="left"/>
                    <w:rPr>
                      <w:color w:val="auto"/>
                      <w:szCs w:val="21"/>
                    </w:rPr>
                  </w:pPr>
                  <w:r>
                    <w:rPr>
                      <w:color w:val="auto"/>
                      <w:szCs w:val="21"/>
                    </w:rPr>
                    <w:t>1个5m²</w:t>
                  </w:r>
                </w:p>
              </w:tc>
              <w:tc>
                <w:tcPr>
                  <w:tcW w:w="794" w:type="dxa"/>
                  <w:vAlign w:val="center"/>
                </w:tcPr>
                <w:p>
                  <w:pPr>
                    <w:pStyle w:val="29"/>
                    <w:spacing w:line="360" w:lineRule="exact"/>
                    <w:rPr>
                      <w:color w:val="auto"/>
                      <w:szCs w:val="21"/>
                    </w:rPr>
                  </w:pPr>
                  <w:r>
                    <w:rPr>
                      <w:color w:val="auto"/>
                      <w:szCs w:val="21"/>
                    </w:rPr>
                    <w:t>1</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6</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663" w:type="dxa"/>
                  <w:vAlign w:val="center"/>
                </w:tcPr>
                <w:p>
                  <w:pPr>
                    <w:pStyle w:val="29"/>
                    <w:spacing w:line="360" w:lineRule="exact"/>
                    <w:rPr>
                      <w:color w:val="auto"/>
                      <w:szCs w:val="21"/>
                    </w:rPr>
                  </w:pPr>
                  <w:r>
                    <w:rPr>
                      <w:color w:val="auto"/>
                      <w:szCs w:val="21"/>
                    </w:rPr>
                    <w:t>分选废料</w:t>
                  </w:r>
                </w:p>
              </w:tc>
              <w:tc>
                <w:tcPr>
                  <w:tcW w:w="1412" w:type="dxa"/>
                  <w:vAlign w:val="center"/>
                </w:tcPr>
                <w:p>
                  <w:pPr>
                    <w:pStyle w:val="29"/>
                    <w:spacing w:line="360" w:lineRule="exact"/>
                    <w:rPr>
                      <w:color w:val="auto"/>
                      <w:szCs w:val="21"/>
                    </w:rPr>
                  </w:pPr>
                  <w:r>
                    <w:rPr>
                      <w:color w:val="auto"/>
                      <w:szCs w:val="21"/>
                    </w:rPr>
                    <w:t>废料暂存库</w:t>
                  </w:r>
                </w:p>
              </w:tc>
              <w:tc>
                <w:tcPr>
                  <w:tcW w:w="2545" w:type="dxa"/>
                  <w:vAlign w:val="center"/>
                </w:tcPr>
                <w:p>
                  <w:pPr>
                    <w:pStyle w:val="29"/>
                    <w:spacing w:line="360" w:lineRule="exact"/>
                    <w:ind w:firstLine="210" w:firstLineChars="100"/>
                    <w:jc w:val="left"/>
                    <w:rPr>
                      <w:color w:val="auto"/>
                      <w:szCs w:val="21"/>
                    </w:rPr>
                  </w:pPr>
                  <w:r>
                    <w:rPr>
                      <w:color w:val="auto"/>
                      <w:szCs w:val="24"/>
                    </w:rPr>
                    <w:t>废料暂存库的面积约为203.99m²，分类暂存。</w:t>
                  </w:r>
                </w:p>
              </w:tc>
              <w:tc>
                <w:tcPr>
                  <w:tcW w:w="794" w:type="dxa"/>
                  <w:vAlign w:val="center"/>
                </w:tcPr>
                <w:p>
                  <w:pPr>
                    <w:pStyle w:val="29"/>
                    <w:spacing w:line="360" w:lineRule="exact"/>
                    <w:rPr>
                      <w:color w:val="auto"/>
                      <w:szCs w:val="21"/>
                    </w:rPr>
                  </w:pPr>
                  <w:r>
                    <w:rPr>
                      <w:color w:val="auto"/>
                      <w:szCs w:val="21"/>
                    </w:rPr>
                    <w:t>2</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663" w:type="dxa"/>
                  <w:vAlign w:val="center"/>
                </w:tcPr>
                <w:p>
                  <w:pPr>
                    <w:pStyle w:val="29"/>
                    <w:spacing w:line="360" w:lineRule="exact"/>
                    <w:rPr>
                      <w:color w:val="auto"/>
                      <w:szCs w:val="21"/>
                    </w:rPr>
                  </w:pPr>
                  <w:r>
                    <w:rPr>
                      <w:color w:val="auto"/>
                      <w:szCs w:val="21"/>
                    </w:rPr>
                    <w:t>生活垃圾</w:t>
                  </w:r>
                </w:p>
              </w:tc>
              <w:tc>
                <w:tcPr>
                  <w:tcW w:w="1412" w:type="dxa"/>
                  <w:vAlign w:val="center"/>
                </w:tcPr>
                <w:p>
                  <w:pPr>
                    <w:pStyle w:val="29"/>
                    <w:spacing w:line="360" w:lineRule="exact"/>
                    <w:rPr>
                      <w:color w:val="auto"/>
                      <w:szCs w:val="21"/>
                    </w:rPr>
                  </w:pPr>
                  <w:r>
                    <w:rPr>
                      <w:color w:val="auto"/>
                      <w:szCs w:val="21"/>
                    </w:rPr>
                    <w:t>生活垃圾桶</w:t>
                  </w:r>
                </w:p>
              </w:tc>
              <w:tc>
                <w:tcPr>
                  <w:tcW w:w="2545" w:type="dxa"/>
                  <w:vAlign w:val="center"/>
                </w:tcPr>
                <w:p>
                  <w:pPr>
                    <w:pStyle w:val="29"/>
                    <w:spacing w:line="360" w:lineRule="exact"/>
                    <w:ind w:firstLine="210" w:firstLineChars="100"/>
                    <w:jc w:val="left"/>
                    <w:rPr>
                      <w:color w:val="auto"/>
                      <w:szCs w:val="21"/>
                    </w:rPr>
                  </w:pPr>
                  <w:r>
                    <w:rPr>
                      <w:color w:val="auto"/>
                      <w:szCs w:val="21"/>
                    </w:rPr>
                    <w:t>--</w:t>
                  </w:r>
                </w:p>
              </w:tc>
              <w:tc>
                <w:tcPr>
                  <w:tcW w:w="794" w:type="dxa"/>
                  <w:vAlign w:val="center"/>
                </w:tcPr>
                <w:p>
                  <w:pPr>
                    <w:pStyle w:val="29"/>
                    <w:spacing w:line="360" w:lineRule="exact"/>
                    <w:rPr>
                      <w:color w:val="auto"/>
                      <w:szCs w:val="21"/>
                    </w:rPr>
                  </w:pPr>
                  <w:r>
                    <w:rPr>
                      <w:color w:val="auto"/>
                      <w:szCs w:val="21"/>
                    </w:rPr>
                    <w:t>0.01</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2</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Align w:val="center"/>
                </w:tcPr>
                <w:p>
                  <w:pPr>
                    <w:pStyle w:val="29"/>
                    <w:spacing w:line="360" w:lineRule="exact"/>
                    <w:rPr>
                      <w:color w:val="auto"/>
                      <w:szCs w:val="21"/>
                    </w:rPr>
                  </w:pPr>
                  <w:r>
                    <w:rPr>
                      <w:color w:val="auto"/>
                      <w:szCs w:val="21"/>
                    </w:rPr>
                    <w:t>环境风险</w:t>
                  </w:r>
                </w:p>
              </w:tc>
              <w:tc>
                <w:tcPr>
                  <w:tcW w:w="663" w:type="dxa"/>
                  <w:vAlign w:val="center"/>
                </w:tcPr>
                <w:p>
                  <w:pPr>
                    <w:pStyle w:val="29"/>
                    <w:spacing w:line="360" w:lineRule="exact"/>
                    <w:rPr>
                      <w:color w:val="auto"/>
                      <w:szCs w:val="21"/>
                    </w:rPr>
                  </w:pPr>
                  <w:r>
                    <w:rPr>
                      <w:color w:val="auto"/>
                      <w:szCs w:val="21"/>
                    </w:rPr>
                    <w:t>事故废水</w:t>
                  </w:r>
                </w:p>
              </w:tc>
              <w:tc>
                <w:tcPr>
                  <w:tcW w:w="1412" w:type="dxa"/>
                  <w:vAlign w:val="center"/>
                </w:tcPr>
                <w:p>
                  <w:pPr>
                    <w:pStyle w:val="29"/>
                    <w:spacing w:line="360" w:lineRule="exact"/>
                    <w:rPr>
                      <w:color w:val="auto"/>
                      <w:szCs w:val="21"/>
                    </w:rPr>
                  </w:pPr>
                  <w:r>
                    <w:rPr>
                      <w:color w:val="auto"/>
                      <w:szCs w:val="21"/>
                    </w:rPr>
                    <w:t>应急池</w:t>
                  </w:r>
                </w:p>
              </w:tc>
              <w:tc>
                <w:tcPr>
                  <w:tcW w:w="2545" w:type="dxa"/>
                  <w:vAlign w:val="center"/>
                </w:tcPr>
                <w:p>
                  <w:pPr>
                    <w:pStyle w:val="29"/>
                    <w:spacing w:line="360" w:lineRule="exact"/>
                    <w:ind w:firstLine="210" w:firstLineChars="100"/>
                    <w:jc w:val="left"/>
                    <w:rPr>
                      <w:color w:val="auto"/>
                      <w:szCs w:val="21"/>
                    </w:rPr>
                  </w:pPr>
                  <w:r>
                    <w:rPr>
                      <w:color w:val="auto"/>
                      <w:szCs w:val="21"/>
                    </w:rPr>
                    <w:t>1个有效容积不低于5m³</w:t>
                  </w:r>
                </w:p>
              </w:tc>
              <w:tc>
                <w:tcPr>
                  <w:tcW w:w="794" w:type="dxa"/>
                  <w:vAlign w:val="center"/>
                </w:tcPr>
                <w:p>
                  <w:pPr>
                    <w:pStyle w:val="29"/>
                    <w:spacing w:line="360" w:lineRule="exact"/>
                    <w:rPr>
                      <w:color w:val="auto"/>
                      <w:szCs w:val="21"/>
                    </w:rPr>
                  </w:pPr>
                  <w:r>
                    <w:rPr>
                      <w:color w:val="auto"/>
                      <w:szCs w:val="21"/>
                    </w:rPr>
                    <w:t>3</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restart"/>
                  <w:vAlign w:val="center"/>
                </w:tcPr>
                <w:p>
                  <w:pPr>
                    <w:pStyle w:val="29"/>
                    <w:spacing w:line="360" w:lineRule="exact"/>
                    <w:rPr>
                      <w:color w:val="auto"/>
                      <w:szCs w:val="21"/>
                    </w:rPr>
                  </w:pPr>
                  <w:r>
                    <w:rPr>
                      <w:color w:val="auto"/>
                      <w:szCs w:val="21"/>
                    </w:rPr>
                    <w:t>其他</w:t>
                  </w:r>
                </w:p>
              </w:tc>
              <w:tc>
                <w:tcPr>
                  <w:tcW w:w="2075" w:type="dxa"/>
                  <w:gridSpan w:val="2"/>
                  <w:vAlign w:val="center"/>
                </w:tcPr>
                <w:p>
                  <w:pPr>
                    <w:pStyle w:val="29"/>
                    <w:spacing w:line="360" w:lineRule="exact"/>
                    <w:rPr>
                      <w:color w:val="auto"/>
                      <w:szCs w:val="21"/>
                    </w:rPr>
                  </w:pPr>
                  <w:r>
                    <w:rPr>
                      <w:color w:val="auto"/>
                      <w:szCs w:val="21"/>
                    </w:rPr>
                    <w:t>标识牌</w:t>
                  </w:r>
                </w:p>
              </w:tc>
              <w:tc>
                <w:tcPr>
                  <w:tcW w:w="2545" w:type="dxa"/>
                  <w:vAlign w:val="center"/>
                </w:tcPr>
                <w:p>
                  <w:pPr>
                    <w:pStyle w:val="29"/>
                    <w:spacing w:line="360" w:lineRule="exact"/>
                    <w:ind w:firstLine="210" w:firstLineChars="100"/>
                    <w:jc w:val="left"/>
                    <w:rPr>
                      <w:color w:val="auto"/>
                      <w:szCs w:val="21"/>
                    </w:rPr>
                  </w:pPr>
                  <w:r>
                    <w:rPr>
                      <w:color w:val="auto"/>
                      <w:szCs w:val="21"/>
                    </w:rPr>
                    <w:t>--</w:t>
                  </w:r>
                </w:p>
              </w:tc>
              <w:tc>
                <w:tcPr>
                  <w:tcW w:w="794" w:type="dxa"/>
                  <w:vAlign w:val="center"/>
                </w:tcPr>
                <w:p>
                  <w:pPr>
                    <w:pStyle w:val="29"/>
                    <w:spacing w:line="360" w:lineRule="exact"/>
                    <w:rPr>
                      <w:color w:val="auto"/>
                      <w:szCs w:val="21"/>
                    </w:rPr>
                  </w:pPr>
                  <w:r>
                    <w:rPr>
                      <w:color w:val="auto"/>
                      <w:szCs w:val="21"/>
                    </w:rPr>
                    <w:t>0.1</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1" w:type="dxa"/>
                  <w:vMerge w:val="continue"/>
                  <w:vAlign w:val="center"/>
                </w:tcPr>
                <w:p>
                  <w:pPr>
                    <w:pStyle w:val="29"/>
                    <w:spacing w:line="360" w:lineRule="exact"/>
                    <w:rPr>
                      <w:color w:val="auto"/>
                      <w:szCs w:val="21"/>
                    </w:rPr>
                  </w:pPr>
                </w:p>
              </w:tc>
              <w:tc>
                <w:tcPr>
                  <w:tcW w:w="585" w:type="dxa"/>
                  <w:vMerge w:val="continue"/>
                  <w:vAlign w:val="center"/>
                </w:tcPr>
                <w:p>
                  <w:pPr>
                    <w:pStyle w:val="29"/>
                    <w:spacing w:line="360" w:lineRule="exact"/>
                    <w:rPr>
                      <w:color w:val="auto"/>
                      <w:szCs w:val="21"/>
                    </w:rPr>
                  </w:pPr>
                </w:p>
              </w:tc>
              <w:tc>
                <w:tcPr>
                  <w:tcW w:w="2075" w:type="dxa"/>
                  <w:gridSpan w:val="2"/>
                  <w:vAlign w:val="center"/>
                </w:tcPr>
                <w:p>
                  <w:pPr>
                    <w:pStyle w:val="29"/>
                    <w:spacing w:line="360" w:lineRule="exact"/>
                    <w:rPr>
                      <w:color w:val="auto"/>
                      <w:szCs w:val="21"/>
                    </w:rPr>
                  </w:pPr>
                  <w:r>
                    <w:rPr>
                      <w:color w:val="auto"/>
                      <w:szCs w:val="21"/>
                    </w:rPr>
                    <w:t>绿化</w:t>
                  </w:r>
                </w:p>
              </w:tc>
              <w:tc>
                <w:tcPr>
                  <w:tcW w:w="2545" w:type="dxa"/>
                  <w:vAlign w:val="center"/>
                </w:tcPr>
                <w:p>
                  <w:pPr>
                    <w:pStyle w:val="29"/>
                    <w:spacing w:line="360" w:lineRule="exact"/>
                    <w:ind w:firstLine="210" w:firstLineChars="100"/>
                    <w:jc w:val="left"/>
                    <w:rPr>
                      <w:color w:val="auto"/>
                      <w:szCs w:val="21"/>
                    </w:rPr>
                  </w:pPr>
                  <w:r>
                    <w:rPr>
                      <w:color w:val="auto"/>
                      <w:szCs w:val="21"/>
                    </w:rPr>
                    <w:t>2300</w:t>
                  </w:r>
                  <w:r>
                    <w:rPr>
                      <w:color w:val="auto"/>
                    </w:rPr>
                    <w:t>m²</w:t>
                  </w:r>
                </w:p>
              </w:tc>
              <w:tc>
                <w:tcPr>
                  <w:tcW w:w="794" w:type="dxa"/>
                  <w:vAlign w:val="center"/>
                </w:tcPr>
                <w:p>
                  <w:pPr>
                    <w:pStyle w:val="29"/>
                    <w:spacing w:line="360" w:lineRule="exact"/>
                    <w:rPr>
                      <w:color w:val="auto"/>
                      <w:szCs w:val="21"/>
                    </w:rPr>
                  </w:pPr>
                  <w:r>
                    <w:rPr>
                      <w:color w:val="auto"/>
                      <w:szCs w:val="21"/>
                    </w:rPr>
                    <w:t>3</w:t>
                  </w:r>
                </w:p>
              </w:tc>
              <w:tc>
                <w:tcPr>
                  <w:tcW w:w="701" w:type="dxa"/>
                  <w:vMerge w:val="continue"/>
                  <w:vAlign w:val="center"/>
                </w:tcPr>
                <w:p>
                  <w:pPr>
                    <w:pStyle w:val="29"/>
                    <w:spacing w:line="360" w:lineRule="exact"/>
                    <w:rPr>
                      <w:color w:val="auto"/>
                      <w:szCs w:val="21"/>
                    </w:rPr>
                  </w:pPr>
                </w:p>
              </w:tc>
              <w:tc>
                <w:tcPr>
                  <w:tcW w:w="771" w:type="dxa"/>
                  <w:vAlign w:val="center"/>
                </w:tcPr>
                <w:p>
                  <w:pPr>
                    <w:pStyle w:val="29"/>
                    <w:spacing w:line="360" w:lineRule="exact"/>
                    <w:rPr>
                      <w:color w:val="auto"/>
                      <w:szCs w:val="21"/>
                    </w:rPr>
                  </w:pPr>
                  <w:r>
                    <w:rPr>
                      <w:color w:val="auto"/>
                      <w:szCs w:val="21"/>
                    </w:rPr>
                    <w:t>0</w:t>
                  </w:r>
                </w:p>
              </w:tc>
              <w:tc>
                <w:tcPr>
                  <w:tcW w:w="696" w:type="dxa"/>
                  <w:vMerge w:val="continue"/>
                  <w:vAlign w:val="center"/>
                </w:tcPr>
                <w:p>
                  <w:pPr>
                    <w:pStyle w:val="29"/>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6" w:type="dxa"/>
                  <w:gridSpan w:val="5"/>
                  <w:vAlign w:val="center"/>
                </w:tcPr>
                <w:p>
                  <w:pPr>
                    <w:pStyle w:val="29"/>
                    <w:spacing w:line="360" w:lineRule="exact"/>
                    <w:rPr>
                      <w:color w:val="auto"/>
                      <w:szCs w:val="21"/>
                    </w:rPr>
                  </w:pPr>
                  <w:r>
                    <w:rPr>
                      <w:color w:val="auto"/>
                      <w:szCs w:val="21"/>
                    </w:rPr>
                    <w:t>管理相关费用</w:t>
                  </w:r>
                </w:p>
              </w:tc>
              <w:tc>
                <w:tcPr>
                  <w:tcW w:w="2962" w:type="dxa"/>
                  <w:gridSpan w:val="4"/>
                  <w:vAlign w:val="center"/>
                </w:tcPr>
                <w:p>
                  <w:pPr>
                    <w:pStyle w:val="29"/>
                    <w:spacing w:line="360" w:lineRule="exact"/>
                    <w:rPr>
                      <w:color w:val="auto"/>
                      <w:szCs w:val="21"/>
                    </w:rPr>
                  </w:pPr>
                  <w:r>
                    <w:rPr>
                      <w:color w:val="auto"/>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6" w:type="dxa"/>
                  <w:gridSpan w:val="5"/>
                  <w:vAlign w:val="center"/>
                </w:tcPr>
                <w:p>
                  <w:pPr>
                    <w:pStyle w:val="29"/>
                    <w:spacing w:line="360" w:lineRule="exact"/>
                    <w:rPr>
                      <w:color w:val="auto"/>
                      <w:szCs w:val="21"/>
                    </w:rPr>
                  </w:pPr>
                  <w:r>
                    <w:rPr>
                      <w:color w:val="auto"/>
                      <w:szCs w:val="21"/>
                    </w:rPr>
                    <w:t>合计</w:t>
                  </w:r>
                </w:p>
              </w:tc>
              <w:tc>
                <w:tcPr>
                  <w:tcW w:w="794" w:type="dxa"/>
                  <w:vAlign w:val="center"/>
                </w:tcPr>
                <w:p>
                  <w:pPr>
                    <w:pStyle w:val="29"/>
                    <w:spacing w:line="360" w:lineRule="exact"/>
                    <w:rPr>
                      <w:color w:val="auto"/>
                      <w:szCs w:val="21"/>
                    </w:rPr>
                  </w:pPr>
                  <w:r>
                    <w:rPr>
                      <w:color w:val="auto"/>
                      <w:szCs w:val="21"/>
                    </w:rPr>
                    <w:t>97.11</w:t>
                  </w:r>
                </w:p>
              </w:tc>
              <w:tc>
                <w:tcPr>
                  <w:tcW w:w="701" w:type="dxa"/>
                  <w:vAlign w:val="center"/>
                </w:tcPr>
                <w:p>
                  <w:pPr>
                    <w:pStyle w:val="29"/>
                    <w:spacing w:line="360" w:lineRule="exact"/>
                    <w:rPr>
                      <w:color w:val="auto"/>
                      <w:szCs w:val="21"/>
                    </w:rPr>
                  </w:pPr>
                  <w:r>
                    <w:rPr>
                      <w:color w:val="auto"/>
                      <w:szCs w:val="21"/>
                    </w:rPr>
                    <w:t>--</w:t>
                  </w:r>
                </w:p>
              </w:tc>
              <w:tc>
                <w:tcPr>
                  <w:tcW w:w="771" w:type="dxa"/>
                  <w:vAlign w:val="center"/>
                </w:tcPr>
                <w:p>
                  <w:pPr>
                    <w:pStyle w:val="29"/>
                    <w:spacing w:line="360" w:lineRule="exact"/>
                    <w:rPr>
                      <w:color w:val="auto"/>
                      <w:szCs w:val="21"/>
                    </w:rPr>
                  </w:pPr>
                  <w:r>
                    <w:rPr>
                      <w:color w:val="auto"/>
                      <w:szCs w:val="21"/>
                    </w:rPr>
                    <w:t>12.7</w:t>
                  </w:r>
                </w:p>
              </w:tc>
              <w:tc>
                <w:tcPr>
                  <w:tcW w:w="696" w:type="dxa"/>
                  <w:vAlign w:val="center"/>
                </w:tcPr>
                <w:p>
                  <w:pPr>
                    <w:pStyle w:val="29"/>
                    <w:spacing w:line="360" w:lineRule="exact"/>
                    <w:rPr>
                      <w:color w:val="auto"/>
                      <w:szCs w:val="21"/>
                    </w:rPr>
                  </w:pPr>
                  <w:r>
                    <w:rPr>
                      <w:color w:val="auto"/>
                      <w:szCs w:val="21"/>
                    </w:rPr>
                    <w:t>--</w:t>
                  </w:r>
                </w:p>
              </w:tc>
            </w:tr>
          </w:tbl>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p>
            <w:pPr>
              <w:pStyle w:val="37"/>
              <w:ind w:firstLine="480"/>
              <w:rPr>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五、环境保护措施监督检查清单</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426"/>
        <w:gridCol w:w="858"/>
        <w:gridCol w:w="843"/>
        <w:gridCol w:w="870"/>
        <w:gridCol w:w="1135"/>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内容</w:t>
            </w:r>
          </w:p>
          <w:p>
            <w:pPr>
              <w:spacing w:line="360" w:lineRule="exact"/>
              <w:jc w:val="left"/>
              <w:rPr>
                <w:rFonts w:ascii="Times New Roman" w:hAnsi="Times New Roman" w:cs="Times New Roman"/>
              </w:rPr>
            </w:pPr>
            <w:r>
              <w:rPr>
                <w:rFonts w:ascii="Times New Roman" w:hAnsi="Times New Roman" w:cs="Times New Roman"/>
              </w:rPr>
              <w:t>要素</w:t>
            </w:r>
          </w:p>
        </w:tc>
        <w:tc>
          <w:tcPr>
            <w:tcW w:w="2571" w:type="dxa"/>
            <w:gridSpan w:val="3"/>
            <w:vAlign w:val="center"/>
          </w:tcPr>
          <w:p>
            <w:pPr>
              <w:spacing w:line="360" w:lineRule="exact"/>
              <w:jc w:val="center"/>
              <w:rPr>
                <w:rFonts w:ascii="Times New Roman" w:hAnsi="Times New Roman" w:cs="Times New Roman"/>
              </w:rPr>
            </w:pPr>
            <w:r>
              <w:rPr>
                <w:rFonts w:ascii="Times New Roman" w:hAnsi="Times New Roman" w:cs="Times New Roman"/>
              </w:rPr>
              <w:t>排放口（编号、名称）/污染源</w:t>
            </w:r>
          </w:p>
        </w:tc>
        <w:tc>
          <w:tcPr>
            <w:tcW w:w="1135" w:type="dxa"/>
            <w:vAlign w:val="center"/>
          </w:tcPr>
          <w:p>
            <w:pPr>
              <w:spacing w:line="360" w:lineRule="exact"/>
              <w:jc w:val="center"/>
              <w:rPr>
                <w:rFonts w:ascii="Times New Roman" w:hAnsi="Times New Roman" w:cs="Times New Roman"/>
              </w:rPr>
            </w:pPr>
            <w:r>
              <w:rPr>
                <w:rFonts w:ascii="Times New Roman" w:hAnsi="Times New Roman" w:cs="Times New Roman"/>
              </w:rPr>
              <w:t>污染物项目</w:t>
            </w:r>
          </w:p>
        </w:tc>
        <w:tc>
          <w:tcPr>
            <w:tcW w:w="2983" w:type="dxa"/>
            <w:vAlign w:val="center"/>
          </w:tcPr>
          <w:p>
            <w:pPr>
              <w:spacing w:line="360" w:lineRule="exact"/>
              <w:jc w:val="center"/>
              <w:rPr>
                <w:rFonts w:ascii="Times New Roman" w:hAnsi="Times New Roman" w:cs="Times New Roman"/>
              </w:rPr>
            </w:pPr>
            <w:r>
              <w:rPr>
                <w:rFonts w:ascii="Times New Roman" w:hAnsi="Times New Roman" w:cs="Times New Roman"/>
              </w:rPr>
              <w:t>环境保护措施</w:t>
            </w:r>
          </w:p>
        </w:tc>
        <w:tc>
          <w:tcPr>
            <w:tcW w:w="1719" w:type="dxa"/>
            <w:vAlign w:val="center"/>
          </w:tcPr>
          <w:p>
            <w:pPr>
              <w:spacing w:line="36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大气环境</w:t>
            </w:r>
          </w:p>
        </w:tc>
        <w:tc>
          <w:tcPr>
            <w:tcW w:w="426" w:type="dxa"/>
            <w:tcBorders>
              <w:left w:val="single" w:color="auto" w:sz="4" w:space="0"/>
              <w:bottom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1701" w:type="dxa"/>
            <w:gridSpan w:val="2"/>
            <w:tcBorders>
              <w:bottom w:val="single" w:color="auto" w:sz="4" w:space="0"/>
            </w:tcBorders>
            <w:vAlign w:val="center"/>
          </w:tcPr>
          <w:p>
            <w:pPr>
              <w:pStyle w:val="29"/>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施工场地</w:t>
            </w:r>
          </w:p>
        </w:tc>
        <w:tc>
          <w:tcPr>
            <w:tcW w:w="870" w:type="dxa"/>
            <w:tcBorders>
              <w:bottom w:val="single" w:color="auto" w:sz="4" w:space="0"/>
            </w:tcBorders>
            <w:vAlign w:val="center"/>
          </w:tcPr>
          <w:p>
            <w:pPr>
              <w:pStyle w:val="29"/>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无组织</w:t>
            </w:r>
          </w:p>
        </w:tc>
        <w:tc>
          <w:tcPr>
            <w:tcW w:w="1135" w:type="dxa"/>
            <w:tcBorders>
              <w:bottom w:val="single" w:color="auto" w:sz="4" w:space="0"/>
            </w:tcBorders>
            <w:vAlign w:val="center"/>
          </w:tcPr>
          <w:p>
            <w:pPr>
              <w:pStyle w:val="29"/>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扬尘</w:t>
            </w:r>
          </w:p>
        </w:tc>
        <w:tc>
          <w:tcPr>
            <w:tcW w:w="2983" w:type="dxa"/>
            <w:tcBorders>
              <w:bottom w:val="single" w:color="auto" w:sz="4" w:space="0"/>
            </w:tcBorders>
            <w:vAlign w:val="center"/>
          </w:tcPr>
          <w:p>
            <w:pPr>
              <w:pStyle w:val="29"/>
              <w:spacing w:line="360" w:lineRule="exact"/>
              <w:ind w:firstLine="210" w:firstLineChars="100"/>
              <w:jc w:val="both"/>
              <w:rPr>
                <w:color w:val="auto"/>
                <w:szCs w:val="21"/>
              </w:rPr>
            </w:pPr>
            <w:r>
              <w:rPr>
                <w:color w:val="auto"/>
                <w:szCs w:val="21"/>
              </w:rPr>
              <w:fldChar w:fldCharType="begin"/>
            </w:r>
            <w:r>
              <w:rPr>
                <w:color w:val="auto"/>
                <w:szCs w:val="21"/>
              </w:rPr>
              <w:instrText xml:space="preserve"> = 1 \* GB3 </w:instrText>
            </w:r>
            <w:r>
              <w:rPr>
                <w:color w:val="auto"/>
                <w:szCs w:val="21"/>
              </w:rPr>
              <w:fldChar w:fldCharType="separate"/>
            </w:r>
            <w:r>
              <w:rPr>
                <w:rFonts w:ascii="宋体"/>
                <w:color w:val="auto"/>
                <w:szCs w:val="21"/>
              </w:rPr>
              <w:t>①</w:t>
            </w:r>
            <w:r>
              <w:rPr>
                <w:color w:val="auto"/>
                <w:szCs w:val="21"/>
              </w:rPr>
              <w:fldChar w:fldCharType="end"/>
            </w:r>
            <w:r>
              <w:rPr>
                <w:color w:val="auto"/>
                <w:szCs w:val="21"/>
              </w:rPr>
              <w:t>在施工场地安排员工定期对施工场地洒水以减少扬尘量，若遇到大风或干燥天气可适当增加洒水次数；并采取遮阴网覆盖等措施降低扬尘产生；</w:t>
            </w:r>
          </w:p>
          <w:p>
            <w:pPr>
              <w:pStyle w:val="29"/>
              <w:spacing w:line="360" w:lineRule="exact"/>
              <w:ind w:firstLine="210" w:firstLineChars="100"/>
              <w:jc w:val="both"/>
              <w:rPr>
                <w:color w:val="auto"/>
                <w:szCs w:val="21"/>
              </w:rPr>
            </w:pPr>
            <w:r>
              <w:rPr>
                <w:color w:val="auto"/>
                <w:szCs w:val="21"/>
              </w:rPr>
              <w:fldChar w:fldCharType="begin"/>
            </w:r>
            <w:r>
              <w:rPr>
                <w:color w:val="auto"/>
                <w:szCs w:val="21"/>
              </w:rPr>
              <w:instrText xml:space="preserve"> = 2 \* GB3 </w:instrText>
            </w:r>
            <w:r>
              <w:rPr>
                <w:color w:val="auto"/>
                <w:szCs w:val="21"/>
              </w:rPr>
              <w:fldChar w:fldCharType="separate"/>
            </w:r>
            <w:r>
              <w:rPr>
                <w:rFonts w:ascii="宋体"/>
                <w:color w:val="auto"/>
                <w:szCs w:val="21"/>
              </w:rPr>
              <w:t>②</w:t>
            </w:r>
            <w:r>
              <w:rPr>
                <w:color w:val="auto"/>
                <w:szCs w:val="21"/>
              </w:rPr>
              <w:fldChar w:fldCharType="end"/>
            </w:r>
            <w:r>
              <w:rPr>
                <w:color w:val="auto"/>
                <w:szCs w:val="21"/>
              </w:rPr>
              <w:t>尽量避免在大风天气下进行施工作业。根据同类项目工程经验，4级以上大风天气不宜实施土方施工；</w:t>
            </w:r>
          </w:p>
          <w:p>
            <w:pPr>
              <w:pStyle w:val="29"/>
              <w:spacing w:line="360" w:lineRule="exact"/>
              <w:ind w:firstLine="210" w:firstLineChars="100"/>
              <w:jc w:val="both"/>
              <w:rPr>
                <w:color w:val="auto"/>
                <w:szCs w:val="21"/>
              </w:rPr>
            </w:pPr>
            <w:r>
              <w:rPr>
                <w:color w:val="auto"/>
                <w:szCs w:val="21"/>
              </w:rPr>
              <w:fldChar w:fldCharType="begin"/>
            </w:r>
            <w:r>
              <w:rPr>
                <w:color w:val="auto"/>
                <w:szCs w:val="21"/>
              </w:rPr>
              <w:instrText xml:space="preserve"> = 3 \* GB3 </w:instrText>
            </w:r>
            <w:r>
              <w:rPr>
                <w:color w:val="auto"/>
                <w:szCs w:val="21"/>
              </w:rPr>
              <w:fldChar w:fldCharType="separate"/>
            </w:r>
            <w:r>
              <w:rPr>
                <w:rFonts w:ascii="宋体"/>
                <w:color w:val="auto"/>
                <w:szCs w:val="21"/>
              </w:rPr>
              <w:t>③</w:t>
            </w:r>
            <w:r>
              <w:rPr>
                <w:color w:val="auto"/>
                <w:szCs w:val="21"/>
              </w:rPr>
              <w:fldChar w:fldCharType="end"/>
            </w:r>
            <w:r>
              <w:rPr>
                <w:color w:val="auto"/>
                <w:szCs w:val="21"/>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tc>
        <w:tc>
          <w:tcPr>
            <w:tcW w:w="1719" w:type="dxa"/>
            <w:tcBorders>
              <w:bottom w:val="single" w:color="auto" w:sz="4" w:space="0"/>
            </w:tcBorders>
            <w:vAlign w:val="center"/>
          </w:tcPr>
          <w:p>
            <w:pPr>
              <w:pStyle w:val="29"/>
              <w:spacing w:line="360" w:lineRule="exact"/>
              <w:ind w:firstLine="210" w:firstLineChars="100"/>
              <w:jc w:val="both"/>
              <w:rPr>
                <w:rFonts w:eastAsiaTheme="minorEastAsia"/>
                <w:color w:val="auto"/>
                <w:szCs w:val="21"/>
              </w:rPr>
            </w:pPr>
            <w:r>
              <w:rPr>
                <w:color w:val="auto"/>
                <w:szCs w:val="21"/>
              </w:rPr>
              <w:t>《大气污染物综合排放标准》（GB16297-1996）表2中无组织排放浓度排放限值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858" w:type="dxa"/>
            <w:vMerge w:val="restart"/>
            <w:tcBorders>
              <w:top w:val="single" w:color="auto" w:sz="4" w:space="0"/>
            </w:tcBorders>
            <w:vAlign w:val="center"/>
          </w:tcPr>
          <w:p>
            <w:pPr>
              <w:pStyle w:val="29"/>
              <w:spacing w:line="360" w:lineRule="exact"/>
              <w:rPr>
                <w:color w:val="auto"/>
                <w:szCs w:val="21"/>
              </w:rPr>
            </w:pPr>
            <w:r>
              <w:rPr>
                <w:color w:val="auto"/>
                <w:szCs w:val="21"/>
              </w:rPr>
              <w:t>2条生产线</w:t>
            </w:r>
          </w:p>
        </w:tc>
        <w:tc>
          <w:tcPr>
            <w:tcW w:w="843" w:type="dxa"/>
            <w:vMerge w:val="restart"/>
            <w:tcBorders>
              <w:top w:val="single" w:color="auto" w:sz="4" w:space="0"/>
            </w:tcBorders>
            <w:vAlign w:val="center"/>
          </w:tcPr>
          <w:p>
            <w:pPr>
              <w:pStyle w:val="29"/>
              <w:spacing w:line="360" w:lineRule="exact"/>
              <w:rPr>
                <w:color w:val="auto"/>
                <w:szCs w:val="21"/>
              </w:rPr>
            </w:pPr>
            <w:r>
              <w:rPr>
                <w:color w:val="auto"/>
                <w:szCs w:val="21"/>
              </w:rPr>
              <w:t>破碎</w:t>
            </w:r>
          </w:p>
        </w:tc>
        <w:tc>
          <w:tcPr>
            <w:tcW w:w="870" w:type="dxa"/>
            <w:tcBorders>
              <w:top w:val="single" w:color="auto" w:sz="4" w:space="0"/>
            </w:tcBorders>
            <w:vAlign w:val="center"/>
          </w:tcPr>
          <w:p>
            <w:pPr>
              <w:pStyle w:val="29"/>
              <w:spacing w:line="360" w:lineRule="exact"/>
              <w:rPr>
                <w:color w:val="auto"/>
                <w:szCs w:val="21"/>
              </w:rPr>
            </w:pPr>
            <w:r>
              <w:rPr>
                <w:color w:val="auto"/>
                <w:szCs w:val="21"/>
              </w:rPr>
              <w:t>有组织</w:t>
            </w:r>
          </w:p>
        </w:tc>
        <w:tc>
          <w:tcPr>
            <w:tcW w:w="1135" w:type="dxa"/>
            <w:tcBorders>
              <w:top w:val="single" w:color="auto" w:sz="4" w:space="0"/>
            </w:tcBorders>
            <w:vAlign w:val="center"/>
          </w:tcPr>
          <w:p>
            <w:pPr>
              <w:pStyle w:val="29"/>
              <w:rPr>
                <w:color w:val="auto"/>
                <w:szCs w:val="21"/>
              </w:rPr>
            </w:pPr>
            <w:r>
              <w:rPr>
                <w:color w:val="auto"/>
                <w:szCs w:val="21"/>
              </w:rPr>
              <w:t>颗粒物</w:t>
            </w:r>
          </w:p>
        </w:tc>
        <w:tc>
          <w:tcPr>
            <w:tcW w:w="2983" w:type="dxa"/>
            <w:tcBorders>
              <w:top w:val="single" w:color="auto" w:sz="4" w:space="0"/>
            </w:tcBorders>
            <w:vAlign w:val="center"/>
          </w:tcPr>
          <w:p>
            <w:pPr>
              <w:pStyle w:val="29"/>
              <w:spacing w:line="360" w:lineRule="exact"/>
              <w:ind w:firstLine="210" w:firstLineChars="100"/>
              <w:jc w:val="both"/>
              <w:rPr>
                <w:color w:val="auto"/>
                <w:szCs w:val="21"/>
              </w:rPr>
            </w:pPr>
            <w:r>
              <w:rPr>
                <w:color w:val="auto"/>
                <w:szCs w:val="21"/>
              </w:rPr>
              <w:t>项目粉尘</w:t>
            </w:r>
            <w:r>
              <w:rPr>
                <w:rFonts w:hint="eastAsia"/>
                <w:color w:val="auto"/>
                <w:szCs w:val="21"/>
              </w:rPr>
              <w:t>主要</w:t>
            </w:r>
            <w:r>
              <w:rPr>
                <w:color w:val="auto"/>
                <w:szCs w:val="21"/>
              </w:rPr>
              <w:t>产生于破碎工序，项目针对两条生产线破碎工序粉尘，分别对破碎工序产尘点设置集气罩将粉尘进行收集，集气效率不低于92%，并1台处置效率不低于95%的布袋除尘器处理，处理后通过1根高15m、Φ0.4m的排气筒（DA001）外排。</w:t>
            </w:r>
          </w:p>
        </w:tc>
        <w:tc>
          <w:tcPr>
            <w:tcW w:w="1719" w:type="dxa"/>
            <w:vMerge w:val="restart"/>
            <w:tcBorders>
              <w:top w:val="single" w:color="auto" w:sz="4" w:space="0"/>
            </w:tcBorders>
            <w:vAlign w:val="center"/>
          </w:tcPr>
          <w:p>
            <w:pPr>
              <w:pStyle w:val="29"/>
              <w:spacing w:line="360" w:lineRule="exact"/>
              <w:ind w:firstLine="210" w:firstLineChars="100"/>
              <w:jc w:val="both"/>
              <w:rPr>
                <w:color w:val="auto"/>
                <w:szCs w:val="21"/>
              </w:rPr>
            </w:pPr>
            <w:r>
              <w:rPr>
                <w:rFonts w:eastAsiaTheme="minorEastAsia"/>
                <w:color w:val="auto"/>
                <w:szCs w:val="21"/>
              </w:rPr>
              <w:t>《大气污染物综合排放标准》（GB16297-1996）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continue"/>
            <w:vAlign w:val="center"/>
          </w:tcPr>
          <w:p>
            <w:pPr>
              <w:rPr>
                <w:rFonts w:ascii="Times New Roman" w:hAnsi="Times New Roman" w:cs="Times New Roman"/>
              </w:rPr>
            </w:pPr>
          </w:p>
        </w:tc>
        <w:tc>
          <w:tcPr>
            <w:tcW w:w="843" w:type="dxa"/>
            <w:vMerge w:val="continue"/>
            <w:vAlign w:val="center"/>
          </w:tcPr>
          <w:p>
            <w:pPr>
              <w:pStyle w:val="29"/>
              <w:spacing w:line="360" w:lineRule="exact"/>
              <w:rPr>
                <w:color w:val="auto"/>
                <w:szCs w:val="21"/>
              </w:rPr>
            </w:pPr>
          </w:p>
        </w:tc>
        <w:tc>
          <w:tcPr>
            <w:tcW w:w="870" w:type="dxa"/>
            <w:vAlign w:val="center"/>
          </w:tcPr>
          <w:p>
            <w:pPr>
              <w:pStyle w:val="29"/>
              <w:spacing w:line="360" w:lineRule="exact"/>
              <w:rPr>
                <w:color w:val="auto"/>
                <w:szCs w:val="21"/>
              </w:rPr>
            </w:pPr>
            <w:r>
              <w:rPr>
                <w:color w:val="auto"/>
                <w:szCs w:val="21"/>
              </w:rPr>
              <w:t>无组织</w:t>
            </w:r>
          </w:p>
        </w:tc>
        <w:tc>
          <w:tcPr>
            <w:tcW w:w="1135" w:type="dxa"/>
            <w:vAlign w:val="center"/>
          </w:tcPr>
          <w:p>
            <w:pPr>
              <w:pStyle w:val="29"/>
              <w:rPr>
                <w:color w:val="auto"/>
                <w:szCs w:val="21"/>
              </w:rPr>
            </w:pPr>
            <w:r>
              <w:rPr>
                <w:color w:val="auto"/>
                <w:szCs w:val="21"/>
              </w:rPr>
              <w:t>颗粒物</w:t>
            </w:r>
          </w:p>
        </w:tc>
        <w:tc>
          <w:tcPr>
            <w:tcW w:w="2983" w:type="dxa"/>
            <w:vAlign w:val="center"/>
          </w:tcPr>
          <w:p>
            <w:pPr>
              <w:pStyle w:val="29"/>
              <w:spacing w:line="360" w:lineRule="exact"/>
              <w:ind w:firstLine="210" w:firstLineChars="100"/>
              <w:jc w:val="both"/>
              <w:rPr>
                <w:color w:val="auto"/>
                <w:szCs w:val="21"/>
              </w:rPr>
            </w:pPr>
            <w:r>
              <w:rPr>
                <w:color w:val="auto"/>
                <w:szCs w:val="21"/>
              </w:rPr>
              <w:t>未收集部分无组织排放。</w:t>
            </w:r>
          </w:p>
        </w:tc>
        <w:tc>
          <w:tcPr>
            <w:tcW w:w="1719" w:type="dxa"/>
            <w:vMerge w:val="continue"/>
            <w:vAlign w:val="center"/>
          </w:tcPr>
          <w:p>
            <w:pPr>
              <w:pStyle w:val="29"/>
              <w:spacing w:line="360" w:lineRule="exact"/>
              <w:ind w:firstLine="210" w:firstLineChars="100"/>
              <w:jc w:val="both"/>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Align w:val="center"/>
          </w:tcPr>
          <w:p>
            <w:pPr>
              <w:pStyle w:val="29"/>
              <w:spacing w:line="360" w:lineRule="exact"/>
              <w:rPr>
                <w:color w:val="auto"/>
                <w:szCs w:val="21"/>
              </w:rPr>
            </w:pPr>
            <w:r>
              <w:rPr>
                <w:color w:val="auto"/>
                <w:szCs w:val="21"/>
              </w:rPr>
              <w:t>厨房</w:t>
            </w:r>
          </w:p>
        </w:tc>
        <w:tc>
          <w:tcPr>
            <w:tcW w:w="843" w:type="dxa"/>
            <w:vAlign w:val="center"/>
          </w:tcPr>
          <w:p>
            <w:pPr>
              <w:pStyle w:val="29"/>
              <w:spacing w:line="360" w:lineRule="exact"/>
              <w:rPr>
                <w:color w:val="auto"/>
                <w:szCs w:val="21"/>
              </w:rPr>
            </w:pPr>
            <w:r>
              <w:rPr>
                <w:color w:val="auto"/>
                <w:szCs w:val="21"/>
              </w:rPr>
              <w:t>--</w:t>
            </w:r>
          </w:p>
        </w:tc>
        <w:tc>
          <w:tcPr>
            <w:tcW w:w="870" w:type="dxa"/>
            <w:vAlign w:val="center"/>
          </w:tcPr>
          <w:p>
            <w:pPr>
              <w:pStyle w:val="29"/>
              <w:spacing w:line="360" w:lineRule="exact"/>
              <w:rPr>
                <w:color w:val="auto"/>
                <w:szCs w:val="21"/>
              </w:rPr>
            </w:pPr>
            <w:r>
              <w:rPr>
                <w:color w:val="auto"/>
                <w:szCs w:val="21"/>
              </w:rPr>
              <w:t>--</w:t>
            </w:r>
          </w:p>
        </w:tc>
        <w:tc>
          <w:tcPr>
            <w:tcW w:w="1135" w:type="dxa"/>
            <w:vAlign w:val="center"/>
          </w:tcPr>
          <w:p>
            <w:pPr>
              <w:pStyle w:val="29"/>
              <w:rPr>
                <w:color w:val="auto"/>
                <w:szCs w:val="21"/>
              </w:rPr>
            </w:pPr>
            <w:r>
              <w:rPr>
                <w:color w:val="auto"/>
                <w:szCs w:val="21"/>
              </w:rPr>
              <w:t>厨房油烟</w:t>
            </w:r>
          </w:p>
        </w:tc>
        <w:tc>
          <w:tcPr>
            <w:tcW w:w="2983" w:type="dxa"/>
            <w:vAlign w:val="center"/>
          </w:tcPr>
          <w:p>
            <w:pPr>
              <w:pStyle w:val="29"/>
              <w:spacing w:line="360" w:lineRule="exact"/>
              <w:ind w:firstLine="210" w:firstLineChars="100"/>
              <w:jc w:val="both"/>
              <w:rPr>
                <w:color w:val="auto"/>
                <w:szCs w:val="21"/>
              </w:rPr>
            </w:pPr>
            <w:r>
              <w:rPr>
                <w:color w:val="auto"/>
                <w:szCs w:val="21"/>
              </w:rPr>
              <w:t>项目区厨房安装一个最低去除率60%的油烟净化器，高于房顶1.5m的烟道外排。</w:t>
            </w:r>
          </w:p>
        </w:tc>
        <w:tc>
          <w:tcPr>
            <w:tcW w:w="1719" w:type="dxa"/>
            <w:vAlign w:val="center"/>
          </w:tcPr>
          <w:p>
            <w:pPr>
              <w:pStyle w:val="29"/>
              <w:spacing w:line="360" w:lineRule="exact"/>
              <w:ind w:firstLine="210" w:firstLineChars="100"/>
              <w:jc w:val="both"/>
              <w:rPr>
                <w:rFonts w:eastAsiaTheme="minorEastAsia"/>
                <w:color w:val="auto"/>
                <w:szCs w:val="21"/>
              </w:rPr>
            </w:pPr>
            <w:r>
              <w:rPr>
                <w:color w:val="auto"/>
              </w:rPr>
              <w:t>《饮食业油烟排放标准》（GB18483-2001）（试行）小型标准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地表水环境</w:t>
            </w:r>
          </w:p>
        </w:tc>
        <w:tc>
          <w:tcPr>
            <w:tcW w:w="426" w:type="dxa"/>
            <w:vMerge w:val="restart"/>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1701" w:type="dxa"/>
            <w:gridSpan w:val="2"/>
            <w:vMerge w:val="restart"/>
            <w:vAlign w:val="center"/>
          </w:tcPr>
          <w:p>
            <w:pPr>
              <w:pStyle w:val="29"/>
              <w:spacing w:line="360" w:lineRule="exact"/>
              <w:rPr>
                <w:color w:val="auto"/>
                <w:szCs w:val="21"/>
              </w:rPr>
            </w:pPr>
            <w:r>
              <w:rPr>
                <w:color w:val="auto"/>
                <w:szCs w:val="21"/>
              </w:rPr>
              <w:t>施工场地</w:t>
            </w:r>
          </w:p>
        </w:tc>
        <w:tc>
          <w:tcPr>
            <w:tcW w:w="870" w:type="dxa"/>
            <w:vMerge w:val="restart"/>
            <w:vAlign w:val="center"/>
          </w:tcPr>
          <w:p>
            <w:pPr>
              <w:pStyle w:val="29"/>
              <w:spacing w:line="360" w:lineRule="exact"/>
              <w:rPr>
                <w:color w:val="auto"/>
                <w:szCs w:val="21"/>
              </w:rPr>
            </w:pPr>
            <w:r>
              <w:rPr>
                <w:color w:val="auto"/>
                <w:szCs w:val="21"/>
              </w:rPr>
              <w:t>不外排</w:t>
            </w:r>
          </w:p>
        </w:tc>
        <w:tc>
          <w:tcPr>
            <w:tcW w:w="1135" w:type="dxa"/>
            <w:vAlign w:val="center"/>
          </w:tcPr>
          <w:p>
            <w:pPr>
              <w:pStyle w:val="29"/>
              <w:spacing w:line="360" w:lineRule="exact"/>
              <w:rPr>
                <w:color w:val="auto"/>
                <w:szCs w:val="21"/>
              </w:rPr>
            </w:pPr>
            <w:r>
              <w:rPr>
                <w:color w:val="auto"/>
                <w:szCs w:val="21"/>
              </w:rPr>
              <w:t>施工废水</w:t>
            </w:r>
          </w:p>
        </w:tc>
        <w:tc>
          <w:tcPr>
            <w:tcW w:w="2983" w:type="dxa"/>
            <w:vAlign w:val="center"/>
          </w:tcPr>
          <w:p>
            <w:pPr>
              <w:pStyle w:val="29"/>
              <w:spacing w:line="360" w:lineRule="exact"/>
              <w:ind w:firstLine="210" w:firstLineChars="100"/>
              <w:jc w:val="both"/>
              <w:rPr>
                <w:color w:val="auto"/>
                <w:szCs w:val="21"/>
              </w:rPr>
            </w:pPr>
            <w:r>
              <w:rPr>
                <w:color w:val="auto"/>
                <w:szCs w:val="21"/>
              </w:rPr>
              <w:t>施工废水通过施工场地的临时沉淀池沉淀处理后，回用于施工场地洒水降尘，不外排。</w:t>
            </w:r>
          </w:p>
        </w:tc>
        <w:tc>
          <w:tcPr>
            <w:tcW w:w="1719" w:type="dxa"/>
            <w:tcBorders>
              <w:bottom w:val="single" w:color="auto" w:sz="4" w:space="0"/>
            </w:tcBorders>
            <w:vAlign w:val="center"/>
          </w:tcPr>
          <w:p>
            <w:pPr>
              <w:pStyle w:val="29"/>
              <w:spacing w:line="360" w:lineRule="exact"/>
              <w:ind w:firstLine="210" w:firstLineChars="100"/>
              <w:jc w:val="both"/>
              <w:rPr>
                <w:rFonts w:eastAsiaTheme="minorEastAsia"/>
                <w:color w:val="auto"/>
              </w:rPr>
            </w:pPr>
            <w:r>
              <w:rPr>
                <w:rFonts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1701" w:type="dxa"/>
            <w:gridSpan w:val="2"/>
            <w:vMerge w:val="continue"/>
            <w:vAlign w:val="center"/>
          </w:tcPr>
          <w:p>
            <w:pPr>
              <w:pStyle w:val="29"/>
              <w:spacing w:line="360" w:lineRule="exact"/>
              <w:rPr>
                <w:color w:val="auto"/>
                <w:szCs w:val="21"/>
              </w:rPr>
            </w:pPr>
          </w:p>
        </w:tc>
        <w:tc>
          <w:tcPr>
            <w:tcW w:w="870" w:type="dxa"/>
            <w:vMerge w:val="continue"/>
            <w:vAlign w:val="center"/>
          </w:tcPr>
          <w:p>
            <w:pPr>
              <w:pStyle w:val="29"/>
              <w:spacing w:line="360" w:lineRule="exact"/>
              <w:rPr>
                <w:color w:val="auto"/>
                <w:szCs w:val="21"/>
              </w:rPr>
            </w:pPr>
          </w:p>
        </w:tc>
        <w:tc>
          <w:tcPr>
            <w:tcW w:w="1135" w:type="dxa"/>
            <w:vAlign w:val="center"/>
          </w:tcPr>
          <w:p>
            <w:pPr>
              <w:pStyle w:val="29"/>
              <w:spacing w:line="360" w:lineRule="exact"/>
              <w:rPr>
                <w:color w:val="auto"/>
                <w:szCs w:val="21"/>
              </w:rPr>
            </w:pPr>
            <w:r>
              <w:rPr>
                <w:color w:val="auto"/>
                <w:szCs w:val="21"/>
              </w:rPr>
              <w:t>生活污水</w:t>
            </w:r>
          </w:p>
        </w:tc>
        <w:tc>
          <w:tcPr>
            <w:tcW w:w="2983" w:type="dxa"/>
            <w:vAlign w:val="center"/>
          </w:tcPr>
          <w:p>
            <w:pPr>
              <w:pStyle w:val="29"/>
              <w:spacing w:line="360" w:lineRule="exact"/>
              <w:ind w:firstLine="210" w:firstLineChars="100"/>
              <w:jc w:val="both"/>
              <w:rPr>
                <w:color w:val="auto"/>
                <w:szCs w:val="21"/>
              </w:rPr>
            </w:pPr>
            <w:r>
              <w:rPr>
                <w:color w:val="auto"/>
                <w:szCs w:val="21"/>
              </w:rPr>
              <w:t>施工期施工人员不在项目区食宿，生活污水仅为洗手污水，生活污水通过施工场地的临时沉淀池沉淀处理后，回用于施工场地洒水降尘，不外排。</w:t>
            </w:r>
          </w:p>
        </w:tc>
        <w:tc>
          <w:tcPr>
            <w:tcW w:w="1719" w:type="dxa"/>
            <w:tcBorders>
              <w:bottom w:val="single" w:color="auto" w:sz="4" w:space="0"/>
            </w:tcBorders>
            <w:vAlign w:val="center"/>
          </w:tcPr>
          <w:p>
            <w:pPr>
              <w:pStyle w:val="29"/>
              <w:spacing w:line="360" w:lineRule="exact"/>
              <w:ind w:firstLine="210" w:firstLineChars="100"/>
              <w:jc w:val="both"/>
              <w:rPr>
                <w:rFonts w:eastAsiaTheme="minorEastAsia"/>
                <w:color w:val="auto"/>
              </w:rPr>
            </w:pPr>
            <w:r>
              <w:rPr>
                <w:rFonts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rPr>
            </w:pPr>
          </w:p>
        </w:tc>
        <w:tc>
          <w:tcPr>
            <w:tcW w:w="1701" w:type="dxa"/>
            <w:gridSpan w:val="2"/>
            <w:vMerge w:val="continue"/>
            <w:vAlign w:val="center"/>
          </w:tcPr>
          <w:p>
            <w:pPr>
              <w:pStyle w:val="29"/>
              <w:spacing w:line="360" w:lineRule="exact"/>
              <w:rPr>
                <w:color w:val="auto"/>
                <w:szCs w:val="21"/>
              </w:rPr>
            </w:pPr>
          </w:p>
        </w:tc>
        <w:tc>
          <w:tcPr>
            <w:tcW w:w="870" w:type="dxa"/>
            <w:vMerge w:val="continue"/>
            <w:vAlign w:val="center"/>
          </w:tcPr>
          <w:p>
            <w:pPr>
              <w:pStyle w:val="29"/>
              <w:spacing w:line="360" w:lineRule="exact"/>
              <w:rPr>
                <w:color w:val="auto"/>
                <w:szCs w:val="21"/>
              </w:rPr>
            </w:pPr>
          </w:p>
        </w:tc>
        <w:tc>
          <w:tcPr>
            <w:tcW w:w="1135" w:type="dxa"/>
            <w:vAlign w:val="center"/>
          </w:tcPr>
          <w:p>
            <w:pPr>
              <w:pStyle w:val="29"/>
              <w:spacing w:line="360" w:lineRule="exact"/>
              <w:rPr>
                <w:color w:val="auto"/>
                <w:szCs w:val="21"/>
              </w:rPr>
            </w:pPr>
            <w:r>
              <w:rPr>
                <w:color w:val="auto"/>
                <w:szCs w:val="21"/>
              </w:rPr>
              <w:t>地表径流</w:t>
            </w:r>
          </w:p>
        </w:tc>
        <w:tc>
          <w:tcPr>
            <w:tcW w:w="2983" w:type="dxa"/>
            <w:vAlign w:val="center"/>
          </w:tcPr>
          <w:p>
            <w:pPr>
              <w:pStyle w:val="29"/>
              <w:spacing w:line="360" w:lineRule="exact"/>
              <w:ind w:firstLine="210" w:firstLineChars="100"/>
              <w:jc w:val="both"/>
              <w:rPr>
                <w:color w:val="auto"/>
                <w:szCs w:val="21"/>
              </w:rPr>
            </w:pPr>
            <w:r>
              <w:rPr>
                <w:color w:val="auto"/>
                <w:szCs w:val="21"/>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tc>
        <w:tc>
          <w:tcPr>
            <w:tcW w:w="1719" w:type="dxa"/>
            <w:tcBorders>
              <w:bottom w:val="single" w:color="auto" w:sz="4" w:space="0"/>
            </w:tcBorders>
            <w:vAlign w:val="center"/>
          </w:tcPr>
          <w:p>
            <w:pPr>
              <w:pStyle w:val="29"/>
              <w:spacing w:line="360" w:lineRule="exact"/>
              <w:ind w:firstLine="210" w:firstLineChars="100"/>
              <w:jc w:val="both"/>
              <w:rPr>
                <w:rFonts w:eastAsiaTheme="minorEastAsia"/>
                <w:color w:val="auto"/>
              </w:rPr>
            </w:pPr>
            <w:r>
              <w:rPr>
                <w:rFonts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1701" w:type="dxa"/>
            <w:gridSpan w:val="2"/>
            <w:vMerge w:val="restart"/>
            <w:vAlign w:val="center"/>
          </w:tcPr>
          <w:p>
            <w:pPr>
              <w:pStyle w:val="29"/>
              <w:spacing w:line="360" w:lineRule="exact"/>
              <w:rPr>
                <w:color w:val="auto"/>
                <w:szCs w:val="21"/>
              </w:rPr>
            </w:pPr>
            <w:r>
              <w:rPr>
                <w:color w:val="auto"/>
                <w:szCs w:val="21"/>
              </w:rPr>
              <w:t>厂区范围</w:t>
            </w:r>
          </w:p>
        </w:tc>
        <w:tc>
          <w:tcPr>
            <w:tcW w:w="870" w:type="dxa"/>
            <w:vAlign w:val="center"/>
          </w:tcPr>
          <w:p>
            <w:pPr>
              <w:pStyle w:val="29"/>
              <w:spacing w:line="360" w:lineRule="exact"/>
              <w:rPr>
                <w:color w:val="auto"/>
                <w:szCs w:val="21"/>
              </w:rPr>
            </w:pPr>
            <w:r>
              <w:rPr>
                <w:color w:val="auto"/>
                <w:szCs w:val="21"/>
              </w:rPr>
              <w:t>不外排</w:t>
            </w:r>
          </w:p>
        </w:tc>
        <w:tc>
          <w:tcPr>
            <w:tcW w:w="1135" w:type="dxa"/>
            <w:vAlign w:val="center"/>
          </w:tcPr>
          <w:p>
            <w:pPr>
              <w:pStyle w:val="29"/>
              <w:spacing w:line="360" w:lineRule="exact"/>
              <w:rPr>
                <w:color w:val="auto"/>
                <w:szCs w:val="21"/>
              </w:rPr>
            </w:pPr>
            <w:r>
              <w:rPr>
                <w:color w:val="auto"/>
                <w:szCs w:val="21"/>
              </w:rPr>
              <w:t>初期雨水</w:t>
            </w:r>
          </w:p>
        </w:tc>
        <w:tc>
          <w:tcPr>
            <w:tcW w:w="2983" w:type="dxa"/>
            <w:vAlign w:val="center"/>
          </w:tcPr>
          <w:p>
            <w:pPr>
              <w:pStyle w:val="29"/>
              <w:spacing w:line="360" w:lineRule="exact"/>
              <w:ind w:firstLine="210" w:firstLineChars="100"/>
              <w:jc w:val="both"/>
              <w:rPr>
                <w:color w:val="auto"/>
                <w:szCs w:val="21"/>
              </w:rPr>
            </w:pPr>
            <w:r>
              <w:rPr>
                <w:color w:val="auto"/>
                <w:szCs w:val="21"/>
              </w:rPr>
              <w:t>该项目拟配套设置了1个10m³的初期雨水收集池，对厂区的初期雨水进行收集沉淀处理后，回用用于项目区绿化，不外排。</w:t>
            </w:r>
          </w:p>
        </w:tc>
        <w:tc>
          <w:tcPr>
            <w:tcW w:w="1719" w:type="dxa"/>
            <w:tcBorders>
              <w:top w:val="single" w:color="auto" w:sz="4" w:space="0"/>
            </w:tcBorders>
            <w:vAlign w:val="center"/>
          </w:tcPr>
          <w:p>
            <w:pPr>
              <w:pStyle w:val="29"/>
              <w:spacing w:line="360" w:lineRule="exact"/>
              <w:ind w:firstLine="210" w:firstLineChars="100"/>
              <w:jc w:val="both"/>
              <w:rPr>
                <w:rFonts w:eastAsiaTheme="minorEastAsia"/>
                <w:color w:val="auto"/>
              </w:rPr>
            </w:pPr>
            <w:r>
              <w:rPr>
                <w:rFonts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1701" w:type="dxa"/>
            <w:gridSpan w:val="2"/>
            <w:vMerge w:val="continue"/>
            <w:vAlign w:val="center"/>
          </w:tcPr>
          <w:p>
            <w:pPr>
              <w:rPr>
                <w:rFonts w:ascii="Times New Roman" w:hAnsi="Times New Roman" w:cs="Times New Roman"/>
              </w:rPr>
            </w:pPr>
          </w:p>
        </w:tc>
        <w:tc>
          <w:tcPr>
            <w:tcW w:w="870" w:type="dxa"/>
            <w:vAlign w:val="center"/>
          </w:tcPr>
          <w:p>
            <w:pPr>
              <w:pStyle w:val="29"/>
              <w:spacing w:line="360" w:lineRule="exact"/>
              <w:rPr>
                <w:color w:val="auto"/>
                <w:szCs w:val="21"/>
              </w:rPr>
            </w:pPr>
            <w:r>
              <w:rPr>
                <w:color w:val="auto"/>
                <w:szCs w:val="21"/>
              </w:rPr>
              <w:t>雨水口</w:t>
            </w:r>
          </w:p>
        </w:tc>
        <w:tc>
          <w:tcPr>
            <w:tcW w:w="1135" w:type="dxa"/>
            <w:vAlign w:val="center"/>
          </w:tcPr>
          <w:p>
            <w:pPr>
              <w:pStyle w:val="29"/>
              <w:spacing w:line="360" w:lineRule="exact"/>
              <w:rPr>
                <w:color w:val="auto"/>
                <w:szCs w:val="21"/>
              </w:rPr>
            </w:pPr>
            <w:r>
              <w:rPr>
                <w:color w:val="auto"/>
                <w:szCs w:val="21"/>
              </w:rPr>
              <w:t>雨水</w:t>
            </w:r>
          </w:p>
        </w:tc>
        <w:tc>
          <w:tcPr>
            <w:tcW w:w="2983" w:type="dxa"/>
            <w:vAlign w:val="center"/>
          </w:tcPr>
          <w:p>
            <w:pPr>
              <w:pStyle w:val="29"/>
              <w:spacing w:line="360" w:lineRule="exact"/>
              <w:ind w:firstLine="210" w:firstLineChars="100"/>
              <w:jc w:val="both"/>
              <w:rPr>
                <w:color w:val="auto"/>
                <w:szCs w:val="21"/>
              </w:rPr>
            </w:pPr>
            <w:r>
              <w:rPr>
                <w:color w:val="auto"/>
                <w:szCs w:val="21"/>
              </w:rPr>
              <w:t>雨水外排。</w:t>
            </w:r>
          </w:p>
        </w:tc>
        <w:tc>
          <w:tcPr>
            <w:tcW w:w="1719" w:type="dxa"/>
            <w:vAlign w:val="center"/>
          </w:tcPr>
          <w:p>
            <w:pPr>
              <w:pStyle w:val="29"/>
              <w:spacing w:line="360" w:lineRule="exact"/>
              <w:ind w:firstLine="210" w:firstLineChars="100"/>
              <w:jc w:val="both"/>
              <w:rPr>
                <w:rFonts w:eastAsiaTheme="minorEastAsia"/>
                <w:color w:val="auto"/>
              </w:rPr>
            </w:pPr>
            <w:r>
              <w:rPr>
                <w:rFonts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1701" w:type="dxa"/>
            <w:gridSpan w:val="2"/>
            <w:vAlign w:val="center"/>
          </w:tcPr>
          <w:p>
            <w:pPr>
              <w:pStyle w:val="29"/>
              <w:spacing w:line="360" w:lineRule="exact"/>
              <w:rPr>
                <w:color w:val="auto"/>
                <w:szCs w:val="21"/>
              </w:rPr>
            </w:pPr>
            <w:r>
              <w:rPr>
                <w:color w:val="auto"/>
                <w:szCs w:val="21"/>
              </w:rPr>
              <w:t>员工生活</w:t>
            </w:r>
          </w:p>
        </w:tc>
        <w:tc>
          <w:tcPr>
            <w:tcW w:w="870" w:type="dxa"/>
            <w:vAlign w:val="center"/>
          </w:tcPr>
          <w:p>
            <w:pPr>
              <w:pStyle w:val="29"/>
              <w:spacing w:line="360" w:lineRule="exact"/>
              <w:rPr>
                <w:color w:val="auto"/>
                <w:szCs w:val="21"/>
              </w:rPr>
            </w:pPr>
            <w:r>
              <w:rPr>
                <w:color w:val="auto"/>
                <w:szCs w:val="21"/>
              </w:rPr>
              <w:t>不外排</w:t>
            </w:r>
          </w:p>
        </w:tc>
        <w:tc>
          <w:tcPr>
            <w:tcW w:w="1135" w:type="dxa"/>
            <w:vAlign w:val="center"/>
          </w:tcPr>
          <w:p>
            <w:pPr>
              <w:pStyle w:val="29"/>
              <w:spacing w:line="360" w:lineRule="exact"/>
              <w:rPr>
                <w:color w:val="auto"/>
                <w:szCs w:val="21"/>
              </w:rPr>
            </w:pPr>
            <w:r>
              <w:rPr>
                <w:color w:val="auto"/>
                <w:szCs w:val="21"/>
              </w:rPr>
              <w:t>生活污水</w:t>
            </w:r>
          </w:p>
        </w:tc>
        <w:tc>
          <w:tcPr>
            <w:tcW w:w="2983" w:type="dxa"/>
            <w:vAlign w:val="center"/>
          </w:tcPr>
          <w:p>
            <w:pPr>
              <w:pStyle w:val="29"/>
              <w:spacing w:line="360" w:lineRule="exact"/>
              <w:ind w:firstLine="210" w:firstLineChars="100"/>
              <w:jc w:val="both"/>
              <w:rPr>
                <w:color w:val="auto"/>
                <w:szCs w:val="21"/>
              </w:rPr>
            </w:pPr>
            <w:r>
              <w:rPr>
                <w:color w:val="auto"/>
                <w:szCs w:val="24"/>
              </w:rPr>
              <w:t>根据设计，项目拟配套设置1个1m³的隔油池、分别在办公楼和生活区各设置1个有效容积不低于4m³的化粪池、1套处理能力不低于10m³/d和1个10m³的再生水收集池对生活污水进行处理和暂存。</w:t>
            </w:r>
          </w:p>
          <w:p>
            <w:pPr>
              <w:pStyle w:val="29"/>
              <w:spacing w:line="360" w:lineRule="exact"/>
              <w:ind w:firstLine="210" w:firstLineChars="100"/>
              <w:jc w:val="both"/>
              <w:rPr>
                <w:color w:val="auto"/>
                <w:szCs w:val="21"/>
              </w:rPr>
            </w:pPr>
            <w:r>
              <w:rPr>
                <w:color w:val="auto"/>
                <w:szCs w:val="21"/>
              </w:rPr>
              <w:t>近期（园区污水处理厂建成前），回用于绿化不外排；远期（园区污水处理厂建成后），进入东川再就业特区天生桥特色产业园污水处理厂集中处理。</w:t>
            </w:r>
          </w:p>
        </w:tc>
        <w:tc>
          <w:tcPr>
            <w:tcW w:w="1719" w:type="dxa"/>
            <w:vAlign w:val="center"/>
          </w:tcPr>
          <w:p>
            <w:pPr>
              <w:pStyle w:val="29"/>
              <w:spacing w:line="360" w:lineRule="exact"/>
              <w:ind w:firstLine="210" w:firstLineChars="100"/>
              <w:jc w:val="both"/>
              <w:rPr>
                <w:rFonts w:eastAsiaTheme="minorEastAsia"/>
                <w:color w:val="auto"/>
              </w:rPr>
            </w:pPr>
            <w:r>
              <w:rPr>
                <w:rFonts w:eastAsiaTheme="minorEastAsia"/>
                <w:color w:val="auto"/>
                <w:szCs w:val="21"/>
              </w:rPr>
              <w:t>近期（园区污水处理厂建成前）：</w:t>
            </w:r>
            <w:r>
              <w:rPr>
                <w:rFonts w:eastAsiaTheme="minorEastAsia"/>
                <w:color w:val="auto"/>
              </w:rPr>
              <w:t>《城市污水再生利用 城市杂用水水质》（GB/T18920 -2020）城市绿化标准；</w:t>
            </w:r>
          </w:p>
          <w:p>
            <w:pPr>
              <w:pStyle w:val="29"/>
              <w:spacing w:line="360" w:lineRule="exact"/>
              <w:ind w:firstLine="210" w:firstLineChars="100"/>
              <w:jc w:val="both"/>
              <w:rPr>
                <w:rFonts w:eastAsiaTheme="minorEastAsia"/>
                <w:color w:val="auto"/>
              </w:rPr>
            </w:pPr>
            <w:r>
              <w:rPr>
                <w:rFonts w:eastAsiaTheme="minorEastAsia"/>
                <w:color w:val="auto"/>
                <w:szCs w:val="21"/>
              </w:rPr>
              <w:t>远期（园区污水处理厂建成后）：《污水排入城镇下水道水质标准》（GB/T31962-2015）表1 A级标准</w:t>
            </w:r>
            <w:r>
              <w:rPr>
                <w:rFonts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0" w:hRule="atLeast"/>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声环境</w:t>
            </w:r>
          </w:p>
        </w:tc>
        <w:tc>
          <w:tcPr>
            <w:tcW w:w="426"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85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施工场地</w:t>
            </w:r>
          </w:p>
        </w:tc>
        <w:tc>
          <w:tcPr>
            <w:tcW w:w="1713"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生产设备</w:t>
            </w:r>
          </w:p>
        </w:tc>
        <w:tc>
          <w:tcPr>
            <w:tcW w:w="1135" w:type="dxa"/>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2983" w:type="dxa"/>
            <w:vAlign w:val="center"/>
          </w:tcPr>
          <w:p>
            <w:pPr>
              <w:pStyle w:val="29"/>
              <w:spacing w:line="360" w:lineRule="exact"/>
              <w:ind w:firstLine="210" w:firstLineChars="100"/>
              <w:jc w:val="both"/>
              <w:rPr>
                <w:color w:val="auto"/>
                <w:szCs w:val="21"/>
              </w:rPr>
            </w:pPr>
            <w:r>
              <w:rPr>
                <w:rFonts w:ascii="宋体"/>
                <w:color w:val="auto"/>
                <w:szCs w:val="21"/>
              </w:rPr>
              <w:t>①</w:t>
            </w:r>
            <w:r>
              <w:rPr>
                <w:color w:val="auto"/>
                <w:szCs w:val="21"/>
              </w:rPr>
              <w:t>加强施工期的操作规范；</w:t>
            </w:r>
          </w:p>
          <w:p>
            <w:pPr>
              <w:pStyle w:val="29"/>
              <w:spacing w:line="360" w:lineRule="exact"/>
              <w:ind w:firstLine="210" w:firstLineChars="100"/>
              <w:jc w:val="both"/>
              <w:rPr>
                <w:color w:val="auto"/>
                <w:szCs w:val="21"/>
              </w:rPr>
            </w:pPr>
            <w:r>
              <w:rPr>
                <w:rFonts w:ascii="宋体"/>
                <w:color w:val="auto"/>
                <w:szCs w:val="21"/>
              </w:rPr>
              <w:t>②</w:t>
            </w:r>
            <w:r>
              <w:rPr>
                <w:color w:val="auto"/>
                <w:szCs w:val="21"/>
              </w:rPr>
              <w:t>运输车辆进出施工场地时应控制车速，禁止鸣笛，减少车辆在施工场地的停留时间，减小运输噪声对环境的影响；</w:t>
            </w:r>
          </w:p>
          <w:p>
            <w:pPr>
              <w:pStyle w:val="29"/>
              <w:spacing w:line="360" w:lineRule="exact"/>
              <w:ind w:firstLine="210" w:firstLineChars="100"/>
              <w:jc w:val="both"/>
              <w:rPr>
                <w:color w:val="auto"/>
                <w:szCs w:val="21"/>
              </w:rPr>
            </w:pPr>
            <w:r>
              <w:rPr>
                <w:rFonts w:ascii="宋体"/>
                <w:color w:val="auto"/>
                <w:szCs w:val="21"/>
              </w:rPr>
              <w:t>③</w:t>
            </w:r>
            <w:r>
              <w:rPr>
                <w:color w:val="auto"/>
                <w:szCs w:val="21"/>
              </w:rPr>
              <w:t>加强与周围居民的沟通，避免扰民事件发生。</w:t>
            </w:r>
          </w:p>
        </w:tc>
        <w:tc>
          <w:tcPr>
            <w:tcW w:w="1719" w:type="dxa"/>
            <w:vAlign w:val="center"/>
          </w:tcPr>
          <w:p>
            <w:pPr>
              <w:pStyle w:val="29"/>
              <w:spacing w:line="360" w:lineRule="exact"/>
              <w:ind w:firstLine="210" w:firstLineChars="100"/>
              <w:jc w:val="both"/>
              <w:rPr>
                <w:rFonts w:eastAsiaTheme="minorEastAsia"/>
                <w:color w:val="auto"/>
                <w:szCs w:val="21"/>
              </w:rPr>
            </w:pPr>
            <w:r>
              <w:rPr>
                <w:color w:val="auto"/>
                <w:szCs w:val="21"/>
              </w:rPr>
              <w:t>《建筑施工场界噪声环境噪声排放标准》（GB12523-2011）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858" w:type="dxa"/>
            <w:vMerge w:val="restart"/>
            <w:tcBorders>
              <w:top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破碎工序</w:t>
            </w: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上料机</w:t>
            </w:r>
          </w:p>
        </w:tc>
        <w:tc>
          <w:tcPr>
            <w:tcW w:w="1135" w:type="dxa"/>
            <w:vMerge w:val="restart"/>
            <w:tcBorders>
              <w:top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2983" w:type="dxa"/>
            <w:vMerge w:val="restart"/>
            <w:tcBorders>
              <w:top w:val="single" w:color="auto" w:sz="4" w:space="0"/>
            </w:tcBorders>
            <w:vAlign w:val="center"/>
          </w:tcPr>
          <w:p>
            <w:pPr>
              <w:pStyle w:val="29"/>
              <w:spacing w:line="360" w:lineRule="exact"/>
              <w:ind w:firstLine="210" w:firstLineChars="100"/>
              <w:jc w:val="both"/>
              <w:rPr>
                <w:color w:val="auto"/>
                <w:szCs w:val="21"/>
              </w:rPr>
            </w:pPr>
            <w:r>
              <w:rPr>
                <w:color w:val="auto"/>
                <w:szCs w:val="21"/>
              </w:rPr>
              <w:t>破碎设备设置隔音房降噪，其他设施设备基础加装减震垫、消声器等</w:t>
            </w:r>
          </w:p>
        </w:tc>
        <w:tc>
          <w:tcPr>
            <w:tcW w:w="1719" w:type="dxa"/>
            <w:vMerge w:val="restart"/>
            <w:tcBorders>
              <w:top w:val="single" w:color="auto" w:sz="4" w:space="0"/>
            </w:tcBorders>
            <w:vAlign w:val="center"/>
          </w:tcPr>
          <w:p>
            <w:pPr>
              <w:pStyle w:val="29"/>
              <w:spacing w:line="360" w:lineRule="exact"/>
              <w:ind w:firstLine="210" w:firstLineChars="100"/>
              <w:jc w:val="both"/>
              <w:rPr>
                <w:rFonts w:eastAsiaTheme="minorEastAsia"/>
                <w:color w:val="auto"/>
                <w:szCs w:val="21"/>
              </w:rPr>
            </w:pPr>
            <w:r>
              <w:rPr>
                <w:color w:val="auto"/>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continue"/>
            <w:vAlign w:val="center"/>
          </w:tcPr>
          <w:p>
            <w:pPr>
              <w:spacing w:line="360" w:lineRule="exact"/>
              <w:jc w:val="center"/>
              <w:rPr>
                <w:rFonts w:ascii="Times New Roman" w:hAnsi="Times New Roman" w:cs="Times New Roman"/>
              </w:rPr>
            </w:pP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破碎机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continue"/>
            <w:tcBorders>
              <w:bottom w:val="single" w:color="auto" w:sz="4" w:space="0"/>
            </w:tcBorders>
            <w:vAlign w:val="center"/>
          </w:tcPr>
          <w:p>
            <w:pPr>
              <w:spacing w:line="360" w:lineRule="exact"/>
              <w:jc w:val="center"/>
              <w:rPr>
                <w:rFonts w:ascii="Times New Roman" w:hAnsi="Times New Roman" w:cs="Times New Roman"/>
              </w:rPr>
            </w:pP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皮带运输机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restart"/>
            <w:tcBorders>
              <w:top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分选工序</w:t>
            </w: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磁选机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continue"/>
            <w:vAlign w:val="center"/>
          </w:tcPr>
          <w:p>
            <w:pPr>
              <w:spacing w:line="360" w:lineRule="exact"/>
              <w:jc w:val="center"/>
              <w:rPr>
                <w:rFonts w:ascii="Times New Roman" w:hAnsi="Times New Roman" w:cs="Times New Roman"/>
              </w:rPr>
            </w:pP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涡电流分选机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continue"/>
            <w:vAlign w:val="center"/>
          </w:tcPr>
          <w:p>
            <w:pPr>
              <w:spacing w:line="360" w:lineRule="exact"/>
              <w:jc w:val="center"/>
              <w:rPr>
                <w:rFonts w:ascii="Times New Roman" w:hAnsi="Times New Roman" w:cs="Times New Roman"/>
              </w:rPr>
            </w:pP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色选机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continue"/>
            <w:tcBorders>
              <w:bottom w:val="single" w:color="auto" w:sz="4" w:space="0"/>
            </w:tcBorders>
            <w:vAlign w:val="center"/>
          </w:tcPr>
          <w:p>
            <w:pPr>
              <w:spacing w:line="360" w:lineRule="exact"/>
              <w:jc w:val="center"/>
              <w:rPr>
                <w:rFonts w:ascii="Times New Roman" w:hAnsi="Times New Roman" w:cs="Times New Roman"/>
              </w:rPr>
            </w:pP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皮带运输机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restart"/>
            <w:tcBorders>
              <w:top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储运</w:t>
            </w: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打包机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continue"/>
            <w:tcBorders>
              <w:bottom w:val="single" w:color="auto" w:sz="4" w:space="0"/>
            </w:tcBorders>
            <w:vAlign w:val="center"/>
          </w:tcPr>
          <w:p>
            <w:pPr>
              <w:spacing w:line="360" w:lineRule="exact"/>
              <w:jc w:val="center"/>
              <w:rPr>
                <w:rFonts w:ascii="Times New Roman" w:hAnsi="Times New Roman" w:cs="Times New Roman"/>
              </w:rPr>
            </w:pP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叉车</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restart"/>
            <w:tcBorders>
              <w:top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废气处理</w:t>
            </w:r>
          </w:p>
        </w:tc>
        <w:tc>
          <w:tcPr>
            <w:tcW w:w="1713" w:type="dxa"/>
            <w:gridSpan w:val="2"/>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集气罩（含风机）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858" w:type="dxa"/>
            <w:vMerge w:val="continue"/>
            <w:vAlign w:val="center"/>
          </w:tcPr>
          <w:p>
            <w:pPr>
              <w:spacing w:line="360" w:lineRule="exact"/>
              <w:jc w:val="center"/>
              <w:rPr>
                <w:rFonts w:ascii="Times New Roman" w:hAnsi="Times New Roman" w:cs="Times New Roman"/>
              </w:rPr>
            </w:pPr>
          </w:p>
        </w:tc>
        <w:tc>
          <w:tcPr>
            <w:tcW w:w="1713" w:type="dxa"/>
            <w:gridSpan w:val="2"/>
            <w:tcBorders>
              <w:bottom w:val="single" w:color="auto" w:sz="4" w:space="0"/>
            </w:tcBorders>
            <w:vAlign w:val="center"/>
          </w:tcPr>
          <w:p>
            <w:pPr>
              <w:pStyle w:val="29"/>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布袋除尘器（含风机）</w:t>
            </w:r>
          </w:p>
        </w:tc>
        <w:tc>
          <w:tcPr>
            <w:tcW w:w="1135"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29"/>
              <w:spacing w:line="360" w:lineRule="exact"/>
              <w:rPr>
                <w:rFonts w:eastAsiaTheme="minorEastAsia"/>
                <w:color w:val="auto"/>
                <w:szCs w:val="21"/>
              </w:rPr>
            </w:pP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固体废物</w:t>
            </w:r>
          </w:p>
        </w:tc>
        <w:tc>
          <w:tcPr>
            <w:tcW w:w="426" w:type="dxa"/>
            <w:vMerge w:val="restart"/>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2571" w:type="dxa"/>
            <w:gridSpan w:val="3"/>
            <w:vMerge w:val="restart"/>
            <w:vAlign w:val="center"/>
          </w:tcPr>
          <w:p>
            <w:pPr>
              <w:pStyle w:val="29"/>
              <w:spacing w:line="360" w:lineRule="exact"/>
              <w:rPr>
                <w:rFonts w:eastAsiaTheme="minorEastAsia"/>
                <w:color w:val="auto"/>
                <w:szCs w:val="21"/>
              </w:rPr>
            </w:pPr>
            <w:r>
              <w:rPr>
                <w:color w:val="auto"/>
                <w:kern w:val="0"/>
              </w:rPr>
              <w:t>施工场地</w:t>
            </w:r>
          </w:p>
        </w:tc>
        <w:tc>
          <w:tcPr>
            <w:tcW w:w="1135" w:type="dxa"/>
            <w:tcBorders>
              <w:bottom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建设垃圾</w:t>
            </w:r>
          </w:p>
        </w:tc>
        <w:tc>
          <w:tcPr>
            <w:tcW w:w="2983" w:type="dxa"/>
            <w:tcBorders>
              <w:bottom w:val="single" w:color="auto" w:sz="4" w:space="0"/>
            </w:tcBorders>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建设垃圾包括混凝土块、废木材、废钢材等，严格按照园区的要求，对其进行分类收集，其中废钢材收集后外售废品收购站，其他不能回收部分运至管理部门指定地点进行合理处置。</w:t>
            </w:r>
          </w:p>
        </w:tc>
        <w:tc>
          <w:tcPr>
            <w:tcW w:w="1719" w:type="dxa"/>
            <w:vMerge w:val="restart"/>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continue"/>
            <w:vAlign w:val="center"/>
          </w:tcPr>
          <w:p>
            <w:pPr>
              <w:pStyle w:val="29"/>
              <w:spacing w:line="360" w:lineRule="exact"/>
              <w:rPr>
                <w:color w:val="auto"/>
                <w:kern w:val="0"/>
              </w:rPr>
            </w:pPr>
          </w:p>
        </w:tc>
        <w:tc>
          <w:tcPr>
            <w:tcW w:w="1135" w:type="dxa"/>
            <w:tcBorders>
              <w:bottom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废土石方</w:t>
            </w:r>
          </w:p>
        </w:tc>
        <w:tc>
          <w:tcPr>
            <w:tcW w:w="2983" w:type="dxa"/>
            <w:tcBorders>
              <w:bottom w:val="single" w:color="auto" w:sz="4" w:space="0"/>
            </w:tcBorders>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产生的少量废土石方直接用于场地低洼处平整。</w:t>
            </w: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continue"/>
            <w:vAlign w:val="center"/>
          </w:tcPr>
          <w:p>
            <w:pPr>
              <w:pStyle w:val="29"/>
              <w:spacing w:line="360" w:lineRule="exact"/>
              <w:rPr>
                <w:color w:val="auto"/>
                <w:kern w:val="0"/>
              </w:rPr>
            </w:pPr>
          </w:p>
        </w:tc>
        <w:tc>
          <w:tcPr>
            <w:tcW w:w="1135" w:type="dxa"/>
            <w:tcBorders>
              <w:bottom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生活垃圾</w:t>
            </w:r>
          </w:p>
        </w:tc>
        <w:tc>
          <w:tcPr>
            <w:tcW w:w="2983" w:type="dxa"/>
            <w:tcBorders>
              <w:bottom w:val="single" w:color="auto" w:sz="4" w:space="0"/>
            </w:tcBorders>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生活垃圾委托环卫部门清运处置。</w:t>
            </w:r>
          </w:p>
        </w:tc>
        <w:tc>
          <w:tcPr>
            <w:tcW w:w="1719" w:type="dxa"/>
            <w:vMerge w:val="continue"/>
            <w:tcBorders>
              <w:bottom w:val="single" w:color="auto" w:sz="4" w:space="0"/>
            </w:tcBorders>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restart"/>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2571" w:type="dxa"/>
            <w:gridSpan w:val="3"/>
            <w:vMerge w:val="restart"/>
            <w:vAlign w:val="center"/>
          </w:tcPr>
          <w:p>
            <w:pPr>
              <w:pStyle w:val="29"/>
              <w:spacing w:line="360" w:lineRule="exact"/>
              <w:rPr>
                <w:rFonts w:eastAsiaTheme="minorEastAsia"/>
                <w:color w:val="auto"/>
                <w:szCs w:val="21"/>
              </w:rPr>
            </w:pPr>
            <w:r>
              <w:rPr>
                <w:rFonts w:eastAsiaTheme="minorEastAsia"/>
                <w:color w:val="auto"/>
                <w:szCs w:val="21"/>
              </w:rPr>
              <w:t>分选</w:t>
            </w:r>
          </w:p>
        </w:tc>
        <w:tc>
          <w:tcPr>
            <w:tcW w:w="1135" w:type="dxa"/>
            <w:tcBorders>
              <w:bottom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废铁料</w:t>
            </w:r>
          </w:p>
        </w:tc>
        <w:tc>
          <w:tcPr>
            <w:tcW w:w="2983" w:type="dxa"/>
            <w:vMerge w:val="restart"/>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4"/>
              </w:rPr>
              <w:t>分类收集后暂存于废料暂存库外卖相关回收单位再生利用。</w:t>
            </w:r>
          </w:p>
        </w:tc>
        <w:tc>
          <w:tcPr>
            <w:tcW w:w="1719" w:type="dxa"/>
            <w:vMerge w:val="restart"/>
            <w:tcBorders>
              <w:top w:val="single" w:color="auto" w:sz="4" w:space="0"/>
            </w:tcBorders>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continue"/>
            <w:vAlign w:val="center"/>
          </w:tcPr>
          <w:p>
            <w:pPr>
              <w:pStyle w:val="29"/>
              <w:spacing w:line="360" w:lineRule="exact"/>
              <w:rPr>
                <w:rFonts w:eastAsiaTheme="minorEastAsia"/>
                <w:color w:val="auto"/>
                <w:szCs w:val="21"/>
              </w:rPr>
            </w:pPr>
          </w:p>
        </w:tc>
        <w:tc>
          <w:tcPr>
            <w:tcW w:w="1135" w:type="dxa"/>
            <w:tcBorders>
              <w:bottom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废塑料</w:t>
            </w:r>
          </w:p>
        </w:tc>
        <w:tc>
          <w:tcPr>
            <w:tcW w:w="2983" w:type="dxa"/>
            <w:vMerge w:val="continue"/>
            <w:vAlign w:val="center"/>
          </w:tcPr>
          <w:p>
            <w:pPr>
              <w:pStyle w:val="29"/>
              <w:spacing w:line="360" w:lineRule="exact"/>
              <w:ind w:firstLine="210" w:firstLineChars="100"/>
              <w:jc w:val="both"/>
              <w:rPr>
                <w:rFonts w:eastAsiaTheme="minorEastAsia"/>
                <w:color w:val="auto"/>
                <w:szCs w:val="21"/>
              </w:rPr>
            </w:pPr>
          </w:p>
        </w:tc>
        <w:tc>
          <w:tcPr>
            <w:tcW w:w="1719" w:type="dxa"/>
            <w:vMerge w:val="continue"/>
            <w:tcBorders>
              <w:top w:val="single" w:color="auto" w:sz="4" w:space="0"/>
            </w:tcBorders>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continue"/>
            <w:vAlign w:val="center"/>
          </w:tcPr>
          <w:p>
            <w:pPr>
              <w:pStyle w:val="29"/>
              <w:spacing w:line="360" w:lineRule="exact"/>
              <w:rPr>
                <w:rFonts w:eastAsiaTheme="minorEastAsia"/>
                <w:color w:val="auto"/>
                <w:szCs w:val="21"/>
              </w:rPr>
            </w:pPr>
          </w:p>
        </w:tc>
        <w:tc>
          <w:tcPr>
            <w:tcW w:w="1135" w:type="dxa"/>
            <w:tcBorders>
              <w:bottom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废锌、铜等</w:t>
            </w:r>
          </w:p>
        </w:tc>
        <w:tc>
          <w:tcPr>
            <w:tcW w:w="2983" w:type="dxa"/>
            <w:vMerge w:val="continue"/>
            <w:tcBorders>
              <w:bottom w:val="single" w:color="auto" w:sz="4" w:space="0"/>
            </w:tcBorders>
            <w:vAlign w:val="center"/>
          </w:tcPr>
          <w:p>
            <w:pPr>
              <w:pStyle w:val="29"/>
              <w:spacing w:line="360" w:lineRule="exact"/>
              <w:ind w:firstLine="210" w:firstLineChars="100"/>
              <w:jc w:val="both"/>
              <w:rPr>
                <w:rFonts w:eastAsiaTheme="minorEastAsia"/>
                <w:color w:val="auto"/>
                <w:szCs w:val="21"/>
              </w:rPr>
            </w:pPr>
          </w:p>
        </w:tc>
        <w:tc>
          <w:tcPr>
            <w:tcW w:w="1719" w:type="dxa"/>
            <w:vMerge w:val="continue"/>
            <w:tcBorders>
              <w:top w:val="single" w:color="auto" w:sz="4" w:space="0"/>
            </w:tcBorders>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tcBorders>
              <w:top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布袋除尘器</w:t>
            </w:r>
          </w:p>
        </w:tc>
        <w:tc>
          <w:tcPr>
            <w:tcW w:w="1135" w:type="dxa"/>
            <w:tcBorders>
              <w:bottom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收集粉尘</w:t>
            </w:r>
          </w:p>
        </w:tc>
        <w:tc>
          <w:tcPr>
            <w:tcW w:w="2983" w:type="dxa"/>
            <w:tcBorders>
              <w:top w:val="single" w:color="auto" w:sz="4" w:space="0"/>
              <w:bottom w:val="single" w:color="auto" w:sz="4" w:space="0"/>
            </w:tcBorders>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统一收集后外卖废品站。</w:t>
            </w: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0" w:hRule="atLeast"/>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rPr>
              <w:t>设备维护</w:t>
            </w:r>
          </w:p>
        </w:tc>
        <w:tc>
          <w:tcPr>
            <w:tcW w:w="1135" w:type="dxa"/>
            <w:vAlign w:val="center"/>
          </w:tcPr>
          <w:p>
            <w:pPr>
              <w:pStyle w:val="29"/>
              <w:spacing w:line="360" w:lineRule="exact"/>
              <w:rPr>
                <w:rFonts w:eastAsiaTheme="minorEastAsia"/>
                <w:color w:val="auto"/>
                <w:szCs w:val="21"/>
              </w:rPr>
            </w:pPr>
            <w:r>
              <w:rPr>
                <w:rFonts w:eastAsiaTheme="minorEastAsia"/>
                <w:color w:val="auto"/>
                <w:szCs w:val="21"/>
              </w:rPr>
              <w:t>废机油</w:t>
            </w:r>
          </w:p>
        </w:tc>
        <w:tc>
          <w:tcPr>
            <w:tcW w:w="2983" w:type="dxa"/>
            <w:tcBorders>
              <w:top w:val="single" w:color="auto" w:sz="4" w:space="0"/>
            </w:tcBorders>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厂区拟建设了1个5m²的危险废物贮存间对项目区危险废物进行分类暂存；委托有资质的单位处置。</w:t>
            </w:r>
          </w:p>
        </w:tc>
        <w:tc>
          <w:tcPr>
            <w:tcW w:w="1719" w:type="dxa"/>
            <w:tcBorders>
              <w:top w:val="single" w:color="auto" w:sz="4" w:space="0"/>
            </w:tcBorders>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continue"/>
            <w:vAlign w:val="center"/>
          </w:tcPr>
          <w:p>
            <w:pPr>
              <w:spacing w:line="360" w:lineRule="exact"/>
              <w:jc w:val="center"/>
              <w:rPr>
                <w:rFonts w:ascii="Times New Roman" w:hAnsi="Times New Roman" w:cs="Times New Roman"/>
                <w:kern w:val="0"/>
              </w:rPr>
            </w:pPr>
          </w:p>
        </w:tc>
        <w:tc>
          <w:tcPr>
            <w:tcW w:w="1135" w:type="dxa"/>
            <w:tcBorders>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废弃沾油抹布</w:t>
            </w:r>
          </w:p>
        </w:tc>
        <w:tc>
          <w:tcPr>
            <w:tcW w:w="2983" w:type="dxa"/>
            <w:tcBorders>
              <w:left w:val="single" w:color="auto" w:sz="4" w:space="0"/>
            </w:tcBorders>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1719" w:type="dxa"/>
            <w:vMerge w:val="restart"/>
            <w:vAlign w:val="center"/>
          </w:tcPr>
          <w:p>
            <w:pPr>
              <w:pStyle w:val="29"/>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restart"/>
            <w:vAlign w:val="center"/>
          </w:tcPr>
          <w:p>
            <w:pPr>
              <w:pStyle w:val="29"/>
              <w:spacing w:line="360" w:lineRule="exact"/>
              <w:rPr>
                <w:color w:val="auto"/>
                <w:szCs w:val="21"/>
              </w:rPr>
            </w:pPr>
            <w:r>
              <w:rPr>
                <w:color w:val="auto"/>
                <w:szCs w:val="21"/>
              </w:rPr>
              <w:t>员工生活</w:t>
            </w:r>
          </w:p>
        </w:tc>
        <w:tc>
          <w:tcPr>
            <w:tcW w:w="1135" w:type="dxa"/>
            <w:vAlign w:val="center"/>
          </w:tcPr>
          <w:p>
            <w:pPr>
              <w:pStyle w:val="29"/>
              <w:spacing w:line="360" w:lineRule="exact"/>
              <w:rPr>
                <w:rFonts w:eastAsiaTheme="minorEastAsia"/>
                <w:color w:val="auto"/>
                <w:szCs w:val="21"/>
              </w:rPr>
            </w:pPr>
            <w:r>
              <w:rPr>
                <w:rFonts w:eastAsiaTheme="minorEastAsia"/>
                <w:color w:val="auto"/>
                <w:szCs w:val="21"/>
              </w:rPr>
              <w:t>生活垃圾</w:t>
            </w:r>
          </w:p>
        </w:tc>
        <w:tc>
          <w:tcPr>
            <w:tcW w:w="2983" w:type="dxa"/>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continue"/>
            <w:vAlign w:val="center"/>
          </w:tcPr>
          <w:p>
            <w:pPr>
              <w:rPr>
                <w:rFonts w:ascii="Times New Roman" w:hAnsi="Times New Roman" w:cs="Times New Roman"/>
              </w:rPr>
            </w:pPr>
          </w:p>
        </w:tc>
        <w:tc>
          <w:tcPr>
            <w:tcW w:w="1135" w:type="dxa"/>
            <w:vAlign w:val="center"/>
          </w:tcPr>
          <w:p>
            <w:pPr>
              <w:pStyle w:val="29"/>
              <w:spacing w:line="360" w:lineRule="exact"/>
              <w:rPr>
                <w:rFonts w:eastAsiaTheme="minorEastAsia"/>
                <w:color w:val="auto"/>
                <w:szCs w:val="21"/>
              </w:rPr>
            </w:pPr>
            <w:r>
              <w:rPr>
                <w:rFonts w:eastAsiaTheme="minorEastAsia"/>
                <w:color w:val="auto"/>
                <w:szCs w:val="21"/>
              </w:rPr>
              <w:t>餐厨废物</w:t>
            </w:r>
          </w:p>
        </w:tc>
        <w:tc>
          <w:tcPr>
            <w:tcW w:w="2983" w:type="dxa"/>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委托有资质的单位进行处置。</w:t>
            </w: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continue"/>
            <w:vAlign w:val="center"/>
          </w:tcPr>
          <w:p>
            <w:pPr>
              <w:rPr>
                <w:rFonts w:ascii="Times New Roman" w:hAnsi="Times New Roman" w:cs="Times New Roman"/>
              </w:rPr>
            </w:pPr>
          </w:p>
        </w:tc>
        <w:tc>
          <w:tcPr>
            <w:tcW w:w="1135" w:type="dxa"/>
            <w:vAlign w:val="center"/>
          </w:tcPr>
          <w:p>
            <w:pPr>
              <w:pStyle w:val="29"/>
              <w:spacing w:line="360" w:lineRule="exact"/>
              <w:rPr>
                <w:rFonts w:eastAsiaTheme="minorEastAsia"/>
                <w:color w:val="auto"/>
                <w:szCs w:val="21"/>
              </w:rPr>
            </w:pPr>
            <w:r>
              <w:rPr>
                <w:rFonts w:eastAsiaTheme="minorEastAsia"/>
                <w:color w:val="auto"/>
                <w:szCs w:val="21"/>
              </w:rPr>
              <w:t>隔油池浮油</w:t>
            </w:r>
          </w:p>
        </w:tc>
        <w:tc>
          <w:tcPr>
            <w:tcW w:w="2983" w:type="dxa"/>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委托有资质的单位进行清理和处置。</w:t>
            </w: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6"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571" w:type="dxa"/>
            <w:gridSpan w:val="3"/>
            <w:vMerge w:val="continue"/>
            <w:vAlign w:val="center"/>
          </w:tcPr>
          <w:p>
            <w:pPr>
              <w:rPr>
                <w:rFonts w:ascii="Times New Roman" w:hAnsi="Times New Roman" w:cs="Times New Roman"/>
              </w:rPr>
            </w:pPr>
          </w:p>
        </w:tc>
        <w:tc>
          <w:tcPr>
            <w:tcW w:w="1135" w:type="dxa"/>
            <w:vAlign w:val="center"/>
          </w:tcPr>
          <w:p>
            <w:pPr>
              <w:pStyle w:val="29"/>
              <w:spacing w:line="360" w:lineRule="exact"/>
              <w:rPr>
                <w:rFonts w:eastAsiaTheme="minorEastAsia"/>
                <w:color w:val="auto"/>
                <w:szCs w:val="21"/>
              </w:rPr>
            </w:pPr>
            <w:r>
              <w:rPr>
                <w:rFonts w:eastAsiaTheme="minorEastAsia"/>
                <w:color w:val="auto"/>
                <w:szCs w:val="21"/>
              </w:rPr>
              <w:t>污水处理设施污泥</w:t>
            </w:r>
          </w:p>
        </w:tc>
        <w:tc>
          <w:tcPr>
            <w:tcW w:w="2983" w:type="dxa"/>
            <w:vAlign w:val="center"/>
          </w:tcPr>
          <w:p>
            <w:pPr>
              <w:pStyle w:val="29"/>
              <w:spacing w:line="360" w:lineRule="exact"/>
              <w:ind w:firstLine="210" w:firstLineChars="100"/>
              <w:jc w:val="both"/>
              <w:rPr>
                <w:rFonts w:eastAsiaTheme="minorEastAsia"/>
                <w:color w:val="auto"/>
                <w:szCs w:val="24"/>
              </w:rPr>
            </w:pPr>
            <w:r>
              <w:rPr>
                <w:rFonts w:eastAsiaTheme="minorEastAsia"/>
                <w:color w:val="auto"/>
                <w:szCs w:val="24"/>
              </w:rPr>
              <w:t>委托环卫部门清运处理。</w:t>
            </w:r>
          </w:p>
        </w:tc>
        <w:tc>
          <w:tcPr>
            <w:tcW w:w="1719" w:type="dxa"/>
            <w:vMerge w:val="continue"/>
            <w:vAlign w:val="center"/>
          </w:tcPr>
          <w:p>
            <w:pPr>
              <w:pStyle w:val="29"/>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vAlign w:val="center"/>
          </w:tcPr>
          <w:p>
            <w:pPr>
              <w:spacing w:line="360" w:lineRule="exact"/>
              <w:jc w:val="center"/>
              <w:rPr>
                <w:rFonts w:ascii="Times New Roman" w:hAnsi="Times New Roman" w:cs="Times New Roman"/>
              </w:rPr>
            </w:pPr>
            <w:r>
              <w:rPr>
                <w:rFonts w:ascii="Times New Roman" w:hAnsi="Times New Roman" w:cs="Times New Roman"/>
              </w:rPr>
              <w:t>土壤及地下水污染防治措施</w:t>
            </w:r>
          </w:p>
        </w:tc>
        <w:tc>
          <w:tcPr>
            <w:tcW w:w="8408" w:type="dxa"/>
            <w:gridSpan w:val="6"/>
            <w:vAlign w:val="center"/>
          </w:tcPr>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1 \* GB2 </w:instrText>
            </w:r>
            <w:r>
              <w:rPr>
                <w:rFonts w:eastAsiaTheme="minorEastAsia"/>
                <w:color w:val="auto"/>
                <w:sz w:val="24"/>
                <w:szCs w:val="21"/>
              </w:rPr>
              <w:fldChar w:fldCharType="separate"/>
            </w:r>
            <w:r>
              <w:rPr>
                <w:color w:val="auto"/>
                <w:sz w:val="24"/>
                <w:szCs w:val="21"/>
              </w:rPr>
              <w:t>⑴</w:t>
            </w:r>
            <w:r>
              <w:rPr>
                <w:rFonts w:eastAsiaTheme="minorEastAsia"/>
                <w:color w:val="auto"/>
                <w:sz w:val="24"/>
                <w:szCs w:val="21"/>
              </w:rPr>
              <w:fldChar w:fldCharType="end"/>
            </w:r>
            <w:r>
              <w:rPr>
                <w:rFonts w:eastAsiaTheme="minorEastAsia"/>
                <w:color w:val="auto"/>
                <w:sz w:val="24"/>
                <w:szCs w:val="21"/>
              </w:rPr>
              <w:t>重点防渗区</w:t>
            </w:r>
          </w:p>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t>危险废物贮存间地面和裙墙应采用不低于2mm厚的HDPE膜或其他人工防渗材料进行防渗，使其渗透系数≤10</w:t>
            </w:r>
            <w:r>
              <w:rPr>
                <w:rFonts w:eastAsiaTheme="minorEastAsia"/>
                <w:color w:val="auto"/>
                <w:sz w:val="24"/>
                <w:szCs w:val="21"/>
                <w:vertAlign w:val="superscript"/>
              </w:rPr>
              <w:t>-10</w:t>
            </w:r>
            <w:r>
              <w:rPr>
                <w:rFonts w:eastAsiaTheme="minorEastAsia"/>
                <w:color w:val="auto"/>
                <w:sz w:val="24"/>
                <w:szCs w:val="21"/>
              </w:rPr>
              <w:t>cm/s；</w:t>
            </w:r>
          </w:p>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2 \* GB2 </w:instrText>
            </w:r>
            <w:r>
              <w:rPr>
                <w:rFonts w:eastAsiaTheme="minorEastAsia"/>
                <w:color w:val="auto"/>
                <w:sz w:val="24"/>
                <w:szCs w:val="21"/>
              </w:rPr>
              <w:fldChar w:fldCharType="separate"/>
            </w:r>
            <w:r>
              <w:rPr>
                <w:color w:val="auto"/>
                <w:sz w:val="24"/>
                <w:szCs w:val="21"/>
              </w:rPr>
              <w:t>⑵</w:t>
            </w:r>
            <w:r>
              <w:rPr>
                <w:rFonts w:eastAsiaTheme="minorEastAsia"/>
                <w:color w:val="auto"/>
                <w:sz w:val="24"/>
                <w:szCs w:val="21"/>
              </w:rPr>
              <w:fldChar w:fldCharType="end"/>
            </w:r>
            <w:r>
              <w:rPr>
                <w:rFonts w:eastAsiaTheme="minorEastAsia"/>
                <w:color w:val="auto"/>
                <w:sz w:val="24"/>
                <w:szCs w:val="21"/>
              </w:rPr>
              <w:t>一般防渗区</w:t>
            </w:r>
          </w:p>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t>一般防渗区措施在地面应采取粘土铺底，并在上层铺30cm的混凝土进行硬化。确保防渗性能，使其渗透系数≤1.0×10</w:t>
            </w:r>
            <w:r>
              <w:rPr>
                <w:rFonts w:eastAsiaTheme="minorEastAsia"/>
                <w:color w:val="auto"/>
                <w:sz w:val="24"/>
                <w:szCs w:val="21"/>
                <w:vertAlign w:val="superscript"/>
              </w:rPr>
              <w:t>-7</w:t>
            </w:r>
            <w:r>
              <w:rPr>
                <w:rFonts w:eastAsiaTheme="minorEastAsia"/>
                <w:color w:val="auto"/>
                <w:sz w:val="24"/>
                <w:szCs w:val="21"/>
              </w:rPr>
              <w:t>cm/s。</w:t>
            </w:r>
          </w:p>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3 \* GB2 </w:instrText>
            </w:r>
            <w:r>
              <w:rPr>
                <w:rFonts w:eastAsiaTheme="minorEastAsia"/>
                <w:color w:val="auto"/>
                <w:sz w:val="24"/>
                <w:szCs w:val="21"/>
              </w:rPr>
              <w:fldChar w:fldCharType="separate"/>
            </w:r>
            <w:r>
              <w:rPr>
                <w:color w:val="auto"/>
                <w:sz w:val="24"/>
                <w:szCs w:val="21"/>
              </w:rPr>
              <w:t>⑶</w:t>
            </w:r>
            <w:r>
              <w:rPr>
                <w:rFonts w:eastAsiaTheme="minorEastAsia"/>
                <w:color w:val="auto"/>
                <w:sz w:val="24"/>
                <w:szCs w:val="21"/>
              </w:rPr>
              <w:fldChar w:fldCharType="end"/>
            </w:r>
            <w:r>
              <w:rPr>
                <w:rFonts w:eastAsiaTheme="minorEastAsia"/>
                <w:color w:val="auto"/>
                <w:sz w:val="24"/>
                <w:szCs w:val="21"/>
              </w:rPr>
              <w:t>简单防渗区</w:t>
            </w:r>
          </w:p>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vAlign w:val="center"/>
          </w:tcPr>
          <w:p>
            <w:pPr>
              <w:spacing w:line="360" w:lineRule="exact"/>
              <w:jc w:val="center"/>
              <w:rPr>
                <w:rFonts w:ascii="Times New Roman" w:hAnsi="Times New Roman" w:cs="Times New Roman"/>
              </w:rPr>
            </w:pPr>
            <w:r>
              <w:rPr>
                <w:rFonts w:ascii="Times New Roman" w:hAnsi="Times New Roman" w:cs="Times New Roman"/>
              </w:rPr>
              <w:t>生态保护措施</w:t>
            </w:r>
          </w:p>
        </w:tc>
        <w:tc>
          <w:tcPr>
            <w:tcW w:w="8408" w:type="dxa"/>
            <w:gridSpan w:val="6"/>
            <w:vAlign w:val="center"/>
          </w:tcPr>
          <w:p>
            <w:pPr>
              <w:pStyle w:val="29"/>
              <w:spacing w:line="360" w:lineRule="auto"/>
              <w:ind w:firstLine="240" w:firstLineChars="100"/>
              <w:jc w:val="both"/>
              <w:rPr>
                <w:rFonts w:eastAsiaTheme="minorEastAsia"/>
                <w:color w:val="auto"/>
                <w:szCs w:val="21"/>
              </w:rPr>
            </w:pPr>
            <w:r>
              <w:rPr>
                <w:rFonts w:eastAsiaTheme="minorEastAsia"/>
                <w:color w:val="auto"/>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vAlign w:val="center"/>
          </w:tcPr>
          <w:p>
            <w:pPr>
              <w:spacing w:line="360" w:lineRule="exact"/>
              <w:jc w:val="center"/>
              <w:rPr>
                <w:rFonts w:ascii="Times New Roman" w:hAnsi="Times New Roman" w:cs="Times New Roman"/>
              </w:rPr>
            </w:pPr>
            <w:r>
              <w:rPr>
                <w:rFonts w:ascii="Times New Roman" w:hAnsi="Times New Roman" w:cs="Times New Roman"/>
              </w:rPr>
              <w:t>环境风险防范措施</w:t>
            </w:r>
          </w:p>
        </w:tc>
        <w:tc>
          <w:tcPr>
            <w:tcW w:w="8408" w:type="dxa"/>
            <w:gridSpan w:val="6"/>
            <w:vAlign w:val="center"/>
          </w:tcPr>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t>根据该项目环境影响途经，提出以下风险防范措施：</w:t>
            </w:r>
          </w:p>
          <w:p>
            <w:pPr>
              <w:pStyle w:val="29"/>
              <w:spacing w:line="360" w:lineRule="auto"/>
              <w:ind w:firstLine="240" w:firstLineChars="100"/>
              <w:jc w:val="both"/>
              <w:rPr>
                <w:rFonts w:eastAsiaTheme="minorEastAsia"/>
                <w:color w:val="auto"/>
                <w:sz w:val="24"/>
                <w:szCs w:val="21"/>
              </w:rPr>
            </w:pPr>
            <w:r>
              <w:rPr>
                <w:color w:val="auto"/>
                <w:sz w:val="24"/>
                <w:szCs w:val="21"/>
              </w:rPr>
              <w:t>①</w:t>
            </w:r>
            <w:r>
              <w:rPr>
                <w:rFonts w:eastAsiaTheme="minorEastAsia"/>
                <w:color w:val="auto"/>
                <w:sz w:val="24"/>
                <w:szCs w:val="21"/>
              </w:rPr>
              <w:t>废机油应储存于规范的危险废物贮存间；</w:t>
            </w:r>
          </w:p>
          <w:p>
            <w:pPr>
              <w:pStyle w:val="29"/>
              <w:spacing w:line="360" w:lineRule="auto"/>
              <w:ind w:firstLine="240" w:firstLineChars="100"/>
              <w:jc w:val="both"/>
              <w:rPr>
                <w:rFonts w:eastAsiaTheme="minorEastAsia"/>
                <w:color w:val="auto"/>
                <w:sz w:val="24"/>
                <w:szCs w:val="21"/>
              </w:rPr>
            </w:pPr>
            <w:r>
              <w:rPr>
                <w:color w:val="auto"/>
                <w:sz w:val="24"/>
                <w:szCs w:val="21"/>
              </w:rPr>
              <w:t>②</w:t>
            </w:r>
            <w:r>
              <w:rPr>
                <w:rFonts w:eastAsiaTheme="minorEastAsia"/>
                <w:color w:val="auto"/>
                <w:sz w:val="24"/>
                <w:szCs w:val="21"/>
              </w:rPr>
              <w:t>项目区配备相应品种的消防器材；</w:t>
            </w:r>
          </w:p>
          <w:p>
            <w:pPr>
              <w:pStyle w:val="29"/>
              <w:spacing w:line="360" w:lineRule="auto"/>
              <w:ind w:firstLine="240" w:firstLineChars="100"/>
              <w:jc w:val="both"/>
              <w:rPr>
                <w:rFonts w:eastAsiaTheme="minorEastAsia"/>
                <w:color w:val="auto"/>
                <w:sz w:val="24"/>
                <w:szCs w:val="21"/>
              </w:rPr>
            </w:pPr>
            <w:r>
              <w:rPr>
                <w:color w:val="auto"/>
                <w:sz w:val="24"/>
                <w:szCs w:val="21"/>
              </w:rPr>
              <w:t>③</w:t>
            </w:r>
            <w:r>
              <w:rPr>
                <w:rFonts w:eastAsiaTheme="minorEastAsia"/>
                <w:color w:val="auto"/>
                <w:sz w:val="24"/>
                <w:szCs w:val="21"/>
              </w:rPr>
              <w:t>严格按照安全、消防部门以及安全预评价的要求存储区出入口处设置消防设备。</w:t>
            </w:r>
          </w:p>
          <w:p>
            <w:pPr>
              <w:pStyle w:val="29"/>
              <w:spacing w:line="360" w:lineRule="auto"/>
              <w:ind w:firstLine="240" w:firstLineChars="100"/>
              <w:jc w:val="both"/>
              <w:rPr>
                <w:rFonts w:eastAsiaTheme="minorEastAsia"/>
                <w:color w:val="auto"/>
                <w:sz w:val="24"/>
                <w:szCs w:val="21"/>
              </w:rPr>
            </w:pPr>
            <w:r>
              <w:rPr>
                <w:color w:val="auto"/>
                <w:sz w:val="24"/>
                <w:szCs w:val="21"/>
              </w:rPr>
              <w:t>④</w:t>
            </w:r>
            <w:r>
              <w:rPr>
                <w:rFonts w:eastAsiaTheme="minorEastAsia"/>
                <w:color w:val="auto"/>
                <w:sz w:val="24"/>
                <w:szCs w:val="21"/>
              </w:rPr>
              <w:t>强化禁火区域安全管理，严禁烟火，将生产、储存装置区域列为禁火区，区内加强火源管理，严禁吸烟。</w:t>
            </w:r>
          </w:p>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5 \* GB3 </w:instrText>
            </w:r>
            <w:r>
              <w:rPr>
                <w:rFonts w:eastAsiaTheme="minorEastAsia"/>
                <w:color w:val="auto"/>
                <w:sz w:val="24"/>
                <w:szCs w:val="21"/>
              </w:rPr>
              <w:fldChar w:fldCharType="separate"/>
            </w:r>
            <w:r>
              <w:rPr>
                <w:color w:val="auto"/>
                <w:sz w:val="24"/>
                <w:szCs w:val="21"/>
              </w:rPr>
              <w:t>⑤</w:t>
            </w:r>
            <w:r>
              <w:rPr>
                <w:rFonts w:eastAsiaTheme="minorEastAsia"/>
                <w:color w:val="auto"/>
                <w:sz w:val="24"/>
                <w:szCs w:val="21"/>
              </w:rPr>
              <w:fldChar w:fldCharType="end"/>
            </w:r>
            <w:r>
              <w:rPr>
                <w:rFonts w:eastAsiaTheme="minorEastAsia"/>
                <w:color w:val="auto"/>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9"/>
              <w:spacing w:line="360" w:lineRule="auto"/>
              <w:ind w:firstLine="240" w:firstLineChars="100"/>
              <w:jc w:val="both"/>
              <w:rPr>
                <w:rFonts w:eastAsiaTheme="minorEastAsia"/>
                <w:color w:val="auto"/>
                <w:sz w:val="24"/>
                <w:szCs w:val="21"/>
              </w:rPr>
            </w:pPr>
            <w:r>
              <w:rPr>
                <w:rFonts w:eastAsiaTheme="minorEastAsia"/>
                <w:color w:val="auto"/>
                <w:sz w:val="24"/>
                <w:szCs w:val="21"/>
              </w:rPr>
              <w:t>⑥次氯酸钠入库时，严格检验物品质量、数量、包装情况、有无泄漏。入库后应采取适当的养护措施，在贮存期内，定期检查，发现其品质变化、包装破损、渗漏等，应及时处理。</w:t>
            </w:r>
          </w:p>
          <w:p>
            <w:pPr>
              <w:pStyle w:val="29"/>
              <w:spacing w:line="360" w:lineRule="auto"/>
              <w:ind w:firstLine="240" w:firstLineChars="100"/>
              <w:jc w:val="both"/>
              <w:rPr>
                <w:rFonts w:eastAsiaTheme="minorEastAsia"/>
                <w:color w:val="auto"/>
                <w:sz w:val="24"/>
                <w:szCs w:val="24"/>
                <w:lang w:val="en-US"/>
              </w:rPr>
            </w:pPr>
            <w:r>
              <w:rPr>
                <w:rFonts w:eastAsiaTheme="minorEastAsia"/>
                <w:color w:val="auto"/>
                <w:sz w:val="24"/>
                <w:szCs w:val="21"/>
              </w:rPr>
              <w:t>⑦项目拟设置1个有效容积不低于5m³的应急池，对风险事故废水进行收集，以满足事故状态下收集泄漏物料、污染消防水、污染雨水和生活污水的需要。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8" w:type="dxa"/>
            <w:gridSpan w:val="2"/>
            <w:vAlign w:val="center"/>
          </w:tcPr>
          <w:p>
            <w:pPr>
              <w:spacing w:line="360" w:lineRule="exact"/>
              <w:jc w:val="center"/>
              <w:rPr>
                <w:rFonts w:ascii="Times New Roman" w:hAnsi="Times New Roman" w:cs="Times New Roman"/>
              </w:rPr>
            </w:pPr>
            <w:r>
              <w:rPr>
                <w:rFonts w:ascii="Times New Roman" w:hAnsi="Times New Roman" w:cs="Times New Roman"/>
              </w:rPr>
              <w:t>其他环境管理要求</w:t>
            </w:r>
          </w:p>
        </w:tc>
        <w:tc>
          <w:tcPr>
            <w:tcW w:w="8408" w:type="dxa"/>
            <w:gridSpan w:val="6"/>
            <w:vAlign w:val="center"/>
          </w:tcPr>
          <w:p>
            <w:pPr>
              <w:pStyle w:val="29"/>
              <w:spacing w:line="360" w:lineRule="auto"/>
              <w:ind w:firstLine="240" w:firstLineChars="100"/>
              <w:jc w:val="both"/>
              <w:rPr>
                <w:rFonts w:eastAsiaTheme="minorEastAsia"/>
                <w:color w:val="auto"/>
                <w:sz w:val="24"/>
                <w:szCs w:val="21"/>
              </w:rPr>
            </w:pPr>
            <w:r>
              <w:rPr>
                <w:color w:val="auto"/>
                <w:sz w:val="24"/>
                <w:szCs w:val="21"/>
              </w:rPr>
              <w:t>①</w:t>
            </w:r>
            <w:r>
              <w:rPr>
                <w:rFonts w:eastAsiaTheme="minorEastAsia"/>
                <w:color w:val="auto"/>
                <w:sz w:val="24"/>
                <w:szCs w:val="21"/>
              </w:rPr>
              <w:t>建设单位按照危险废物管理的规范要求，设置危险废物识别标志、环境保护图形标志。</w:t>
            </w:r>
          </w:p>
          <w:p>
            <w:pPr>
              <w:pStyle w:val="29"/>
              <w:spacing w:line="360" w:lineRule="auto"/>
              <w:ind w:firstLine="240" w:firstLineChars="100"/>
              <w:jc w:val="both"/>
              <w:rPr>
                <w:rFonts w:eastAsiaTheme="minorEastAsia"/>
                <w:color w:val="auto"/>
                <w:sz w:val="24"/>
                <w:szCs w:val="21"/>
              </w:rPr>
            </w:pPr>
            <w:r>
              <w:rPr>
                <w:color w:val="auto"/>
                <w:sz w:val="24"/>
                <w:szCs w:val="21"/>
              </w:rPr>
              <w:t>②</w:t>
            </w:r>
            <w:r>
              <w:rPr>
                <w:rFonts w:eastAsiaTheme="minorEastAsia"/>
                <w:color w:val="auto"/>
                <w:sz w:val="24"/>
                <w:szCs w:val="21"/>
              </w:rPr>
              <w:t>要求建设单位制定突发环境事件应急预案，报所在地县级以上环境保护行政主管部门备案并按照预案要求每年组织演练。</w:t>
            </w: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ind w:firstLine="240" w:firstLineChars="100"/>
              <w:jc w:val="both"/>
              <w:rPr>
                <w:rFonts w:eastAsiaTheme="minorEastAsia"/>
                <w:color w:val="auto"/>
                <w:sz w:val="24"/>
                <w:szCs w:val="21"/>
              </w:rPr>
            </w:pPr>
          </w:p>
          <w:p>
            <w:pPr>
              <w:pStyle w:val="29"/>
              <w:spacing w:line="360" w:lineRule="auto"/>
              <w:jc w:val="both"/>
              <w:rPr>
                <w:rFonts w:eastAsiaTheme="minorEastAsia"/>
                <w:color w:val="auto"/>
                <w:szCs w:val="21"/>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六、结论</w:t>
      </w:r>
    </w:p>
    <w:tbl>
      <w:tblPr>
        <w:tblStyle w:val="19"/>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昆明弘晨新材料科技有限公司拟建设的10万吨/年再生资源综合回收利用建设项目的建设符合国家产业政策，符合相关规划，选址合理，项目建设满足“三线一单”的管理要求，项目选址区域环境空气、地表水环境和声环境质量现状均可达到相应的质量标准要求，该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rPr>
          <w:rFonts w:ascii="Times New Roman" w:hAnsi="Times New Roman" w:cs="Times New Roman"/>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附表</w:t>
      </w:r>
    </w:p>
    <w:p>
      <w:pPr>
        <w:jc w:val="center"/>
        <w:rPr>
          <w:rFonts w:ascii="Times New Roman" w:hAnsi="Times New Roman" w:cs="Times New Roman"/>
          <w:b/>
        </w:rPr>
      </w:pPr>
      <w:r>
        <w:rPr>
          <w:rFonts w:ascii="Times New Roman" w:hAnsi="Times New Roman" w:cs="Times New Roman"/>
          <w:b/>
        </w:rPr>
        <w:t>建设项目污染物排放量汇总表</w:t>
      </w:r>
    </w:p>
    <w:tbl>
      <w:tblPr>
        <w:tblStyle w:val="19"/>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850"/>
        <w:gridCol w:w="127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项目</w:t>
            </w:r>
          </w:p>
          <w:p>
            <w:pPr>
              <w:spacing w:line="360" w:lineRule="exact"/>
              <w:jc w:val="left"/>
              <w:rPr>
                <w:rFonts w:ascii="Times New Roman" w:hAnsi="Times New Roman" w:cs="Times New Roman"/>
              </w:rPr>
            </w:pPr>
            <w:r>
              <w:rPr>
                <w:rFonts w:ascii="Times New Roman" w:hAnsi="Times New Roman" w:cs="Times New Roman"/>
              </w:rPr>
              <w:t>分类</w:t>
            </w:r>
          </w:p>
        </w:tc>
        <w:tc>
          <w:tcPr>
            <w:tcW w:w="2126" w:type="dxa"/>
            <w:gridSpan w:val="2"/>
            <w:vAlign w:val="center"/>
          </w:tcPr>
          <w:p>
            <w:pPr>
              <w:spacing w:line="360" w:lineRule="exact"/>
              <w:jc w:val="center"/>
              <w:rPr>
                <w:rFonts w:ascii="Times New Roman" w:hAnsi="Times New Roman" w:cs="Times New Roman"/>
              </w:rPr>
            </w:pPr>
            <w:r>
              <w:rPr>
                <w:rFonts w:ascii="Times New Roman" w:hAnsi="Times New Roman" w:cs="Times New Roman"/>
              </w:rPr>
              <w:t>污染物名称</w:t>
            </w:r>
          </w:p>
        </w:tc>
        <w:tc>
          <w:tcPr>
            <w:tcW w:w="1559" w:type="dxa"/>
            <w:vAlign w:val="center"/>
          </w:tcPr>
          <w:p>
            <w:pPr>
              <w:spacing w:line="360" w:lineRule="exact"/>
              <w:jc w:val="center"/>
              <w:rPr>
                <w:rFonts w:ascii="Times New Roman" w:hAnsi="Times New Roman" w:cs="Times New Roman"/>
              </w:rPr>
            </w:pPr>
            <w:r>
              <w:rPr>
                <w:rFonts w:ascii="Times New Roman" w:hAnsi="Times New Roman" w:cs="Times New Roman"/>
              </w:rPr>
              <w:t>现有工程排放量（固体废物产生量）</w:t>
            </w:r>
            <w:r>
              <w:rPr>
                <w:rFonts w:ascii="Times New Roman" w:hAnsi="Times New Roman" w:eastAsia="宋体" w:cs="Times New Roman"/>
              </w:rPr>
              <w:t>①</w:t>
            </w:r>
          </w:p>
        </w:tc>
        <w:tc>
          <w:tcPr>
            <w:tcW w:w="1276" w:type="dxa"/>
            <w:vAlign w:val="center"/>
          </w:tcPr>
          <w:p>
            <w:pPr>
              <w:spacing w:line="360" w:lineRule="exact"/>
              <w:jc w:val="center"/>
              <w:rPr>
                <w:rFonts w:ascii="Times New Roman" w:hAnsi="Times New Roman" w:cs="Times New Roman"/>
              </w:rPr>
            </w:pPr>
            <w:r>
              <w:rPr>
                <w:rFonts w:ascii="Times New Roman" w:hAnsi="Times New Roman" w:cs="Times New Roman"/>
              </w:rPr>
              <w:t>现有工程许可排放量</w:t>
            </w:r>
            <w:r>
              <w:rPr>
                <w:rFonts w:ascii="Times New Roman" w:hAnsi="Times New Roman" w:eastAsia="宋体" w:cs="Times New Roman"/>
              </w:rPr>
              <w:t>②</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rPr>
              <w:t>在建工程排放量（固体废物产生量）</w:t>
            </w:r>
            <w:r>
              <w:rPr>
                <w:rFonts w:ascii="Times New Roman" w:hAnsi="Times New Roman" w:eastAsia="宋体" w:cs="Times New Roman"/>
              </w:rPr>
              <w:t>③</w:t>
            </w:r>
          </w:p>
        </w:tc>
        <w:tc>
          <w:tcPr>
            <w:tcW w:w="1828" w:type="dxa"/>
            <w:vAlign w:val="center"/>
          </w:tcPr>
          <w:p>
            <w:pPr>
              <w:spacing w:line="360" w:lineRule="exact"/>
              <w:jc w:val="center"/>
              <w:rPr>
                <w:rFonts w:ascii="Times New Roman" w:hAnsi="Times New Roman" w:cs="Times New Roman"/>
              </w:rPr>
            </w:pPr>
            <w:r>
              <w:rPr>
                <w:rFonts w:ascii="Times New Roman" w:hAnsi="Times New Roman" w:cs="Times New Roman"/>
              </w:rPr>
              <w:t>该项目排放量（固体废物产生量）</w:t>
            </w:r>
            <w:r>
              <w:rPr>
                <w:rFonts w:ascii="Times New Roman" w:hAnsi="Times New Roman" w:eastAsia="宋体" w:cs="Times New Roman"/>
              </w:rPr>
              <w:t>④</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rPr>
              <w:t>以新带老削减量（新建项目不填）</w:t>
            </w:r>
            <w:r>
              <w:rPr>
                <w:rFonts w:ascii="Times New Roman" w:hAnsi="Times New Roman" w:eastAsia="宋体" w:cs="Times New Roman"/>
              </w:rPr>
              <w:t>⑤</w:t>
            </w:r>
          </w:p>
        </w:tc>
        <w:tc>
          <w:tcPr>
            <w:tcW w:w="1842" w:type="dxa"/>
            <w:vAlign w:val="center"/>
          </w:tcPr>
          <w:p>
            <w:pPr>
              <w:spacing w:line="360" w:lineRule="exact"/>
              <w:jc w:val="center"/>
              <w:rPr>
                <w:rFonts w:ascii="Times New Roman" w:hAnsi="Times New Roman" w:cs="Times New Roman"/>
              </w:rPr>
            </w:pPr>
            <w:r>
              <w:rPr>
                <w:rFonts w:ascii="Times New Roman" w:hAnsi="Times New Roman" w:cs="Times New Roman"/>
              </w:rPr>
              <w:t>该项目建成后全厂排放量（固体废物产生量）</w:t>
            </w:r>
            <w:r>
              <w:rPr>
                <w:rFonts w:ascii="Times New Roman" w:hAnsi="Times New Roman" w:eastAsia="宋体" w:cs="Times New Roman"/>
              </w:rPr>
              <w:t>⑥</w:t>
            </w:r>
          </w:p>
        </w:tc>
        <w:tc>
          <w:tcPr>
            <w:tcW w:w="1308" w:type="dxa"/>
            <w:vAlign w:val="center"/>
          </w:tcPr>
          <w:p>
            <w:pPr>
              <w:spacing w:line="360" w:lineRule="exact"/>
              <w:jc w:val="center"/>
              <w:rPr>
                <w:rFonts w:ascii="Times New Roman" w:hAnsi="Times New Roman" w:cs="Times New Roman"/>
              </w:rPr>
            </w:pPr>
            <w:r>
              <w:rPr>
                <w:rFonts w:ascii="Times New Roman" w:hAnsi="Times New Roman" w:cs="Times New Roman"/>
              </w:rPr>
              <w:t>变化量</w:t>
            </w:r>
            <w:r>
              <w:rPr>
                <w:rFonts w:ascii="Times New Roman" w:hAnsi="Times New Roman" w:eastAsia="宋体" w:cs="Times New Roman"/>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9"/>
              <w:spacing w:line="360" w:lineRule="exact"/>
              <w:rPr>
                <w:rFonts w:eastAsiaTheme="minorEastAsia"/>
                <w:color w:val="auto"/>
                <w:szCs w:val="21"/>
              </w:rPr>
            </w:pPr>
            <w:r>
              <w:rPr>
                <w:rFonts w:eastAsiaTheme="minorEastAsia"/>
                <w:color w:val="auto"/>
                <w:szCs w:val="21"/>
              </w:rPr>
              <w:t>废气</w:t>
            </w:r>
          </w:p>
        </w:tc>
        <w:tc>
          <w:tcPr>
            <w:tcW w:w="2126" w:type="dxa"/>
            <w:gridSpan w:val="2"/>
            <w:vAlign w:val="center"/>
          </w:tcPr>
          <w:p>
            <w:pPr>
              <w:pStyle w:val="29"/>
              <w:spacing w:line="360" w:lineRule="exact"/>
              <w:rPr>
                <w:color w:val="auto"/>
                <w:szCs w:val="21"/>
              </w:rPr>
            </w:pPr>
            <w:r>
              <w:rPr>
                <w:color w:val="auto"/>
                <w:szCs w:val="21"/>
              </w:rPr>
              <w:t>颗粒物（有组织）</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hint="eastAsia"/>
                <w:color w:val="auto"/>
                <w:szCs w:val="21"/>
              </w:rPr>
              <w:t>1.66</w:t>
            </w:r>
            <w:r>
              <w:rPr>
                <w:rFonts w:eastAsiaTheme="minorEastAsia"/>
                <w:color w:val="auto"/>
                <w:szCs w:val="21"/>
              </w:rPr>
              <w:t>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hint="eastAsia"/>
                <w:color w:val="auto"/>
                <w:szCs w:val="21"/>
              </w:rPr>
              <w:t>1.66</w:t>
            </w:r>
            <w:r>
              <w:rPr>
                <w:rFonts w:eastAsiaTheme="minorEastAsia"/>
                <w:color w:val="auto"/>
                <w:szCs w:val="21"/>
              </w:rPr>
              <w:t>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auto"/>
                <w:szCs w:val="21"/>
              </w:rPr>
            </w:pPr>
          </w:p>
        </w:tc>
        <w:tc>
          <w:tcPr>
            <w:tcW w:w="2126" w:type="dxa"/>
            <w:gridSpan w:val="2"/>
            <w:vAlign w:val="center"/>
          </w:tcPr>
          <w:p>
            <w:pPr>
              <w:pStyle w:val="29"/>
              <w:spacing w:line="360" w:lineRule="exact"/>
              <w:rPr>
                <w:color w:val="auto"/>
                <w:szCs w:val="21"/>
              </w:rPr>
            </w:pPr>
            <w:r>
              <w:rPr>
                <w:color w:val="auto"/>
                <w:szCs w:val="21"/>
              </w:rPr>
              <w:t>颗粒物（无组织）</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hint="eastAsia"/>
                <w:color w:val="auto"/>
                <w:szCs w:val="21"/>
              </w:rPr>
              <w:t>2.88</w:t>
            </w:r>
            <w:r>
              <w:rPr>
                <w:rFonts w:eastAsiaTheme="minorEastAsia"/>
                <w:color w:val="auto"/>
                <w:szCs w:val="21"/>
              </w:rPr>
              <w:t>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hint="eastAsia"/>
                <w:color w:val="auto"/>
                <w:szCs w:val="21"/>
              </w:rPr>
              <w:t>2.88</w:t>
            </w:r>
            <w:r>
              <w:rPr>
                <w:rFonts w:eastAsiaTheme="minorEastAsia"/>
                <w:color w:val="auto"/>
                <w:szCs w:val="21"/>
              </w:rPr>
              <w:t>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废水量</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768m³/a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768m³/a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pH</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CODcr</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0.22t/a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0.22t/a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0.15t/a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0.15t/a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0.03t/a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0.03t/a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SS</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0.12t/a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0.12t/a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总磷</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0.01t/a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0.01t/a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总氮</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0.03t/a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0.03t/a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动植物油</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0.05t/a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0.05t/a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阴离子表面活性剂</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0.01t/a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0.01t/a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粪大肠菌群数（MPN/L）</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29"/>
              <w:spacing w:line="360" w:lineRule="exact"/>
              <w:rPr>
                <w:rFonts w:eastAsiaTheme="minorEastAsia"/>
                <w:color w:val="auto"/>
                <w:szCs w:val="21"/>
              </w:rPr>
            </w:pPr>
            <w:r>
              <w:rPr>
                <w:rFonts w:eastAsiaTheme="minorEastAsia"/>
                <w:color w:val="auto"/>
                <w:szCs w:val="21"/>
              </w:rPr>
              <w:t>一般工业固废</w:t>
            </w:r>
          </w:p>
        </w:tc>
        <w:tc>
          <w:tcPr>
            <w:tcW w:w="850" w:type="dxa"/>
            <w:vMerge w:val="restart"/>
            <w:tcBorders>
              <w:righ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分选废料</w:t>
            </w:r>
          </w:p>
        </w:tc>
        <w:tc>
          <w:tcPr>
            <w:tcW w:w="1276" w:type="dxa"/>
            <w:tcBorders>
              <w:lef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废铁料</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1.5万t/a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1.5万t/a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auto"/>
                <w:szCs w:val="21"/>
              </w:rPr>
            </w:pPr>
          </w:p>
        </w:tc>
        <w:tc>
          <w:tcPr>
            <w:tcW w:w="850" w:type="dxa"/>
            <w:vMerge w:val="continue"/>
            <w:tcBorders>
              <w:right w:val="single" w:color="auto" w:sz="4" w:space="0"/>
            </w:tcBorders>
            <w:vAlign w:val="center"/>
          </w:tcPr>
          <w:p>
            <w:pPr>
              <w:pStyle w:val="29"/>
              <w:spacing w:line="360" w:lineRule="exact"/>
              <w:rPr>
                <w:rFonts w:eastAsiaTheme="minorEastAsia"/>
                <w:color w:val="auto"/>
                <w:szCs w:val="21"/>
              </w:rPr>
            </w:pPr>
          </w:p>
        </w:tc>
        <w:tc>
          <w:tcPr>
            <w:tcW w:w="1276" w:type="dxa"/>
            <w:tcBorders>
              <w:lef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废塑料</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0.8万t/a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0.8万t/a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auto"/>
                <w:szCs w:val="21"/>
              </w:rPr>
            </w:pPr>
          </w:p>
        </w:tc>
        <w:tc>
          <w:tcPr>
            <w:tcW w:w="850" w:type="dxa"/>
            <w:vMerge w:val="continue"/>
            <w:tcBorders>
              <w:right w:val="single" w:color="auto" w:sz="4" w:space="0"/>
            </w:tcBorders>
            <w:vAlign w:val="center"/>
          </w:tcPr>
          <w:p>
            <w:pPr>
              <w:pStyle w:val="29"/>
              <w:spacing w:line="360" w:lineRule="exact"/>
              <w:rPr>
                <w:rFonts w:eastAsiaTheme="minorEastAsia"/>
                <w:color w:val="auto"/>
                <w:szCs w:val="21"/>
              </w:rPr>
            </w:pPr>
          </w:p>
        </w:tc>
        <w:tc>
          <w:tcPr>
            <w:tcW w:w="1276" w:type="dxa"/>
            <w:tcBorders>
              <w:left w:val="single" w:color="auto" w:sz="4" w:space="0"/>
            </w:tcBorders>
            <w:vAlign w:val="center"/>
          </w:tcPr>
          <w:p>
            <w:pPr>
              <w:pStyle w:val="29"/>
              <w:spacing w:line="360" w:lineRule="exact"/>
              <w:rPr>
                <w:rFonts w:eastAsiaTheme="minorEastAsia"/>
                <w:color w:val="auto"/>
                <w:szCs w:val="21"/>
              </w:rPr>
            </w:pPr>
            <w:r>
              <w:rPr>
                <w:rFonts w:eastAsiaTheme="minorEastAsia"/>
                <w:color w:val="auto"/>
                <w:szCs w:val="21"/>
              </w:rPr>
              <w:t>废锌、铜等</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0.7万t/a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0.7万t/a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auto"/>
                <w:szCs w:val="21"/>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收集粉尘</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4"/>
              </w:rPr>
              <w:t>31.46t/a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4"/>
              </w:rPr>
              <w:t>31.46t/a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29"/>
              <w:spacing w:line="360" w:lineRule="exact"/>
              <w:rPr>
                <w:rFonts w:eastAsiaTheme="minorEastAsia"/>
                <w:color w:val="auto"/>
                <w:szCs w:val="21"/>
              </w:rPr>
            </w:pP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废弃沾油抹布</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10kg/a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10kg/a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29"/>
              <w:spacing w:line="360" w:lineRule="exact"/>
              <w:rPr>
                <w:rFonts w:eastAsiaTheme="minorEastAsia"/>
                <w:color w:val="auto"/>
                <w:szCs w:val="21"/>
              </w:rPr>
            </w:pPr>
            <w:r>
              <w:rPr>
                <w:rFonts w:eastAsiaTheme="minorEastAsia"/>
                <w:color w:val="auto"/>
                <w:szCs w:val="21"/>
              </w:rPr>
              <w:t>危险废物</w:t>
            </w:r>
          </w:p>
        </w:tc>
        <w:tc>
          <w:tcPr>
            <w:tcW w:w="2126" w:type="dxa"/>
            <w:gridSpan w:val="2"/>
            <w:vAlign w:val="center"/>
          </w:tcPr>
          <w:p>
            <w:pPr>
              <w:pStyle w:val="29"/>
              <w:spacing w:line="360" w:lineRule="exact"/>
              <w:rPr>
                <w:rFonts w:eastAsiaTheme="minorEastAsia"/>
                <w:color w:val="auto"/>
                <w:szCs w:val="21"/>
              </w:rPr>
            </w:pPr>
            <w:r>
              <w:rPr>
                <w:rFonts w:eastAsiaTheme="minorEastAsia"/>
                <w:color w:val="auto"/>
                <w:szCs w:val="21"/>
              </w:rPr>
              <w:t>废机油</w:t>
            </w:r>
          </w:p>
        </w:tc>
        <w:tc>
          <w:tcPr>
            <w:tcW w:w="1559" w:type="dxa"/>
            <w:vAlign w:val="center"/>
          </w:tcPr>
          <w:p>
            <w:pPr>
              <w:pStyle w:val="29"/>
              <w:spacing w:line="360" w:lineRule="exact"/>
              <w:rPr>
                <w:rFonts w:eastAsiaTheme="minorEastAsia"/>
                <w:color w:val="auto"/>
                <w:szCs w:val="21"/>
              </w:rPr>
            </w:pPr>
            <w:r>
              <w:rPr>
                <w:rFonts w:eastAsiaTheme="minorEastAsia"/>
                <w:color w:val="auto"/>
                <w:szCs w:val="21"/>
              </w:rPr>
              <w:t>80kg/a</w:t>
            </w:r>
          </w:p>
        </w:tc>
        <w:tc>
          <w:tcPr>
            <w:tcW w:w="1276"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9"/>
              <w:spacing w:line="360" w:lineRule="exact"/>
              <w:rPr>
                <w:rFonts w:eastAsiaTheme="minorEastAsia"/>
                <w:color w:val="auto"/>
                <w:szCs w:val="21"/>
              </w:rPr>
            </w:pPr>
            <w:r>
              <w:rPr>
                <w:rFonts w:eastAsiaTheme="minorEastAsia"/>
                <w:color w:val="auto"/>
                <w:szCs w:val="21"/>
              </w:rPr>
              <w:t>80kg/a</w:t>
            </w:r>
          </w:p>
        </w:tc>
        <w:tc>
          <w:tcPr>
            <w:tcW w:w="1575" w:type="dxa"/>
            <w:vAlign w:val="center"/>
          </w:tcPr>
          <w:p>
            <w:pPr>
              <w:pStyle w:val="29"/>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9"/>
              <w:spacing w:line="360" w:lineRule="exact"/>
              <w:rPr>
                <w:rFonts w:eastAsiaTheme="minorEastAsia"/>
                <w:color w:val="auto"/>
                <w:szCs w:val="21"/>
              </w:rPr>
            </w:pPr>
            <w:r>
              <w:rPr>
                <w:rFonts w:eastAsiaTheme="minorEastAsia"/>
                <w:color w:val="auto"/>
                <w:szCs w:val="21"/>
              </w:rPr>
              <w:t>80kg/a</w:t>
            </w:r>
          </w:p>
        </w:tc>
        <w:tc>
          <w:tcPr>
            <w:tcW w:w="1308" w:type="dxa"/>
            <w:vAlign w:val="center"/>
          </w:tcPr>
          <w:p>
            <w:pPr>
              <w:pStyle w:val="29"/>
              <w:spacing w:line="360" w:lineRule="exact"/>
              <w:rPr>
                <w:rFonts w:eastAsiaTheme="minorEastAsia"/>
                <w:color w:val="auto"/>
                <w:szCs w:val="21"/>
              </w:rPr>
            </w:pPr>
            <w:r>
              <w:rPr>
                <w:rFonts w:eastAsiaTheme="minorEastAsia"/>
                <w:color w:val="auto"/>
                <w:szCs w:val="21"/>
              </w:rPr>
              <w:t>0</w:t>
            </w:r>
          </w:p>
        </w:tc>
      </w:tr>
    </w:tbl>
    <w:p>
      <w:pPr>
        <w:ind w:firstLine="422" w:firstLineChars="200"/>
        <w:jc w:val="left"/>
        <w:rPr>
          <w:rFonts w:ascii="Times New Roman" w:hAnsi="Times New Roman" w:eastAsia="宋体" w:cs="Times New Roman"/>
          <w:b/>
        </w:rPr>
      </w:pPr>
      <w:r>
        <w:rPr>
          <w:rFonts w:ascii="Times New Roman" w:hAnsi="Times New Roman" w:cs="Times New Roman"/>
          <w:b/>
        </w:rPr>
        <w:t>注：</w:t>
      </w:r>
      <w:r>
        <w:rPr>
          <w:rFonts w:ascii="Times New Roman" w:hAnsi="Times New Roman" w:eastAsia="宋体" w:cs="Times New Roman"/>
          <w:b/>
        </w:rPr>
        <w:t>⑥</w:t>
      </w:r>
      <w:r>
        <w:rPr>
          <w:rFonts w:ascii="Times New Roman" w:hAnsi="Times New Roman" w:cs="Times New Roman"/>
          <w:b/>
        </w:rPr>
        <w:t>=</w:t>
      </w:r>
      <w:r>
        <w:rPr>
          <w:rFonts w:ascii="Times New Roman" w:hAnsi="Times New Roman" w:eastAsia="宋体" w:cs="Times New Roman"/>
          <w:b/>
        </w:rPr>
        <w:t>①</w:t>
      </w:r>
      <w:r>
        <w:rPr>
          <w:rFonts w:ascii="Times New Roman" w:hAnsi="Times New Roman" w:cs="Times New Roman"/>
          <w:b/>
        </w:rPr>
        <w:t>+</w:t>
      </w:r>
      <w:r>
        <w:rPr>
          <w:rFonts w:ascii="Times New Roman" w:hAnsi="Times New Roman" w:eastAsia="宋体" w:cs="Times New Roman"/>
          <w:b/>
        </w:rPr>
        <w:t>③</w:t>
      </w:r>
      <w:r>
        <w:rPr>
          <w:rFonts w:ascii="Times New Roman" w:hAnsi="Times New Roman" w:cs="Times New Roman"/>
          <w:b/>
        </w:rPr>
        <w:t>+</w:t>
      </w:r>
      <w:r>
        <w:rPr>
          <w:rFonts w:ascii="Times New Roman" w:hAnsi="Times New Roman" w:eastAsia="宋体" w:cs="Times New Roman"/>
          <w:b/>
        </w:rPr>
        <w:t>④</w:t>
      </w:r>
      <w:r>
        <w:rPr>
          <w:rFonts w:ascii="Times New Roman" w:hAnsi="Times New Roman" w:cs="Times New Roman"/>
          <w:b/>
        </w:rPr>
        <w:t>-</w:t>
      </w:r>
      <w:r>
        <w:rPr>
          <w:rFonts w:ascii="Times New Roman" w:hAnsi="Times New Roman" w:eastAsia="宋体" w:cs="Times New Roman"/>
          <w:b/>
        </w:rPr>
        <w:t>⑤</w:t>
      </w:r>
      <w:r>
        <w:rPr>
          <w:rFonts w:ascii="Times New Roman" w:hAnsi="Times New Roman" w:cs="Times New Roman"/>
          <w:b/>
        </w:rPr>
        <w:t>；</w:t>
      </w:r>
      <w:r>
        <w:rPr>
          <w:rFonts w:ascii="Times New Roman" w:hAnsi="Times New Roman" w:eastAsia="宋体" w:cs="Times New Roman"/>
          <w:b/>
        </w:rPr>
        <w:t>⑦</w:t>
      </w:r>
      <w:r>
        <w:rPr>
          <w:rFonts w:ascii="Times New Roman" w:hAnsi="Times New Roman" w:cs="Times New Roman"/>
          <w:b/>
        </w:rPr>
        <w:t>=</w:t>
      </w:r>
      <w:r>
        <w:rPr>
          <w:rFonts w:ascii="Times New Roman" w:hAnsi="Times New Roman" w:eastAsia="宋体" w:cs="Times New Roman"/>
          <w:b/>
        </w:rPr>
        <w:t>⑥</w:t>
      </w:r>
      <w:r>
        <w:rPr>
          <w:rFonts w:ascii="Times New Roman" w:hAnsi="Times New Roman" w:cs="Times New Roman"/>
          <w:b/>
        </w:rPr>
        <w:t>-</w:t>
      </w:r>
      <w:r>
        <w:rPr>
          <w:rFonts w:ascii="Times New Roman" w:hAnsi="Times New Roman" w:eastAsia="宋体" w:cs="Times New Roman"/>
          <w:b/>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1"/>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U8Ngf6BPOetIo35pQ8c4/8G7C4c=" w:salt="LyrxU3xpG+B4pD7QqzYeb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518"/>
    <w:rsid w:val="0001072D"/>
    <w:rsid w:val="00010A49"/>
    <w:rsid w:val="00010CB7"/>
    <w:rsid w:val="00010E27"/>
    <w:rsid w:val="00012C80"/>
    <w:rsid w:val="00013833"/>
    <w:rsid w:val="00020BF9"/>
    <w:rsid w:val="00021721"/>
    <w:rsid w:val="0002285A"/>
    <w:rsid w:val="00031A59"/>
    <w:rsid w:val="00032B08"/>
    <w:rsid w:val="000344EF"/>
    <w:rsid w:val="00034809"/>
    <w:rsid w:val="00034BCB"/>
    <w:rsid w:val="00035576"/>
    <w:rsid w:val="00035E53"/>
    <w:rsid w:val="0003626F"/>
    <w:rsid w:val="00040A28"/>
    <w:rsid w:val="00040D99"/>
    <w:rsid w:val="00041527"/>
    <w:rsid w:val="00041801"/>
    <w:rsid w:val="00042762"/>
    <w:rsid w:val="00044769"/>
    <w:rsid w:val="000464AC"/>
    <w:rsid w:val="00046D9B"/>
    <w:rsid w:val="00050973"/>
    <w:rsid w:val="00050E55"/>
    <w:rsid w:val="00052BD5"/>
    <w:rsid w:val="00053C3A"/>
    <w:rsid w:val="00054F28"/>
    <w:rsid w:val="00055DB8"/>
    <w:rsid w:val="0005744F"/>
    <w:rsid w:val="00062FAD"/>
    <w:rsid w:val="0006358B"/>
    <w:rsid w:val="00065728"/>
    <w:rsid w:val="00067BF4"/>
    <w:rsid w:val="00070F66"/>
    <w:rsid w:val="000740ED"/>
    <w:rsid w:val="00075FFD"/>
    <w:rsid w:val="000760FE"/>
    <w:rsid w:val="00077A07"/>
    <w:rsid w:val="00082602"/>
    <w:rsid w:val="000874EA"/>
    <w:rsid w:val="000937C3"/>
    <w:rsid w:val="00094A5C"/>
    <w:rsid w:val="000954A9"/>
    <w:rsid w:val="00096181"/>
    <w:rsid w:val="000A300A"/>
    <w:rsid w:val="000A45BB"/>
    <w:rsid w:val="000A68EF"/>
    <w:rsid w:val="000B04E4"/>
    <w:rsid w:val="000B1397"/>
    <w:rsid w:val="000B35C4"/>
    <w:rsid w:val="000B45CF"/>
    <w:rsid w:val="000B5F10"/>
    <w:rsid w:val="000B6EE8"/>
    <w:rsid w:val="000B7436"/>
    <w:rsid w:val="000B7547"/>
    <w:rsid w:val="000C1A95"/>
    <w:rsid w:val="000C3E43"/>
    <w:rsid w:val="000D1B94"/>
    <w:rsid w:val="000D4915"/>
    <w:rsid w:val="000D4A13"/>
    <w:rsid w:val="000D4A25"/>
    <w:rsid w:val="000D4D91"/>
    <w:rsid w:val="000D5958"/>
    <w:rsid w:val="000D6CBC"/>
    <w:rsid w:val="000E2BC7"/>
    <w:rsid w:val="000E500A"/>
    <w:rsid w:val="000E6F05"/>
    <w:rsid w:val="000F2BCA"/>
    <w:rsid w:val="000F30C5"/>
    <w:rsid w:val="000F5394"/>
    <w:rsid w:val="000F5DE9"/>
    <w:rsid w:val="000F6FB2"/>
    <w:rsid w:val="0010241D"/>
    <w:rsid w:val="00103773"/>
    <w:rsid w:val="00106BF5"/>
    <w:rsid w:val="00111F14"/>
    <w:rsid w:val="00112617"/>
    <w:rsid w:val="00113083"/>
    <w:rsid w:val="00115BEA"/>
    <w:rsid w:val="00116200"/>
    <w:rsid w:val="00121AAE"/>
    <w:rsid w:val="00122036"/>
    <w:rsid w:val="0012274E"/>
    <w:rsid w:val="001250CA"/>
    <w:rsid w:val="00125B5D"/>
    <w:rsid w:val="00126836"/>
    <w:rsid w:val="00127ECB"/>
    <w:rsid w:val="001307E7"/>
    <w:rsid w:val="00133999"/>
    <w:rsid w:val="00134859"/>
    <w:rsid w:val="00135F33"/>
    <w:rsid w:val="00137165"/>
    <w:rsid w:val="00141A1D"/>
    <w:rsid w:val="001463C7"/>
    <w:rsid w:val="0015464F"/>
    <w:rsid w:val="00155F9A"/>
    <w:rsid w:val="001603DF"/>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89D"/>
    <w:rsid w:val="00182D5B"/>
    <w:rsid w:val="00182E34"/>
    <w:rsid w:val="00183565"/>
    <w:rsid w:val="00183AD8"/>
    <w:rsid w:val="0018559B"/>
    <w:rsid w:val="001864CE"/>
    <w:rsid w:val="00187B44"/>
    <w:rsid w:val="00187D74"/>
    <w:rsid w:val="00197070"/>
    <w:rsid w:val="001977B7"/>
    <w:rsid w:val="00197A97"/>
    <w:rsid w:val="00197C78"/>
    <w:rsid w:val="001A023F"/>
    <w:rsid w:val="001A6330"/>
    <w:rsid w:val="001A70EF"/>
    <w:rsid w:val="001B071C"/>
    <w:rsid w:val="001B0D06"/>
    <w:rsid w:val="001B0D8D"/>
    <w:rsid w:val="001B3F75"/>
    <w:rsid w:val="001B4AA1"/>
    <w:rsid w:val="001B4D27"/>
    <w:rsid w:val="001C04D4"/>
    <w:rsid w:val="001C0A81"/>
    <w:rsid w:val="001C3FC6"/>
    <w:rsid w:val="001D1DBF"/>
    <w:rsid w:val="001D29FB"/>
    <w:rsid w:val="001D36CB"/>
    <w:rsid w:val="001D3CCB"/>
    <w:rsid w:val="001D510D"/>
    <w:rsid w:val="001E143D"/>
    <w:rsid w:val="001E1551"/>
    <w:rsid w:val="001E1D94"/>
    <w:rsid w:val="001E35E6"/>
    <w:rsid w:val="001E5F00"/>
    <w:rsid w:val="001E68D7"/>
    <w:rsid w:val="001E6DE2"/>
    <w:rsid w:val="001E6F65"/>
    <w:rsid w:val="001E72A9"/>
    <w:rsid w:val="001F03FE"/>
    <w:rsid w:val="001F0A05"/>
    <w:rsid w:val="001F2DED"/>
    <w:rsid w:val="001F348B"/>
    <w:rsid w:val="001F522D"/>
    <w:rsid w:val="001F6029"/>
    <w:rsid w:val="00203A93"/>
    <w:rsid w:val="00203E7C"/>
    <w:rsid w:val="00204DBF"/>
    <w:rsid w:val="0021020E"/>
    <w:rsid w:val="002210A0"/>
    <w:rsid w:val="00224AFE"/>
    <w:rsid w:val="0024363B"/>
    <w:rsid w:val="002449EE"/>
    <w:rsid w:val="00245CA3"/>
    <w:rsid w:val="0024786E"/>
    <w:rsid w:val="00252D41"/>
    <w:rsid w:val="00255193"/>
    <w:rsid w:val="00257C11"/>
    <w:rsid w:val="00262006"/>
    <w:rsid w:val="00262823"/>
    <w:rsid w:val="00264DB3"/>
    <w:rsid w:val="002666BE"/>
    <w:rsid w:val="00271EF2"/>
    <w:rsid w:val="002735A4"/>
    <w:rsid w:val="00275CD2"/>
    <w:rsid w:val="00277862"/>
    <w:rsid w:val="00280993"/>
    <w:rsid w:val="00281AA2"/>
    <w:rsid w:val="00282347"/>
    <w:rsid w:val="00283425"/>
    <w:rsid w:val="00283568"/>
    <w:rsid w:val="00283E7B"/>
    <w:rsid w:val="0029185D"/>
    <w:rsid w:val="002931E6"/>
    <w:rsid w:val="002963A7"/>
    <w:rsid w:val="00296512"/>
    <w:rsid w:val="002A1028"/>
    <w:rsid w:val="002A17DA"/>
    <w:rsid w:val="002A1BFA"/>
    <w:rsid w:val="002A1DB1"/>
    <w:rsid w:val="002A1EAA"/>
    <w:rsid w:val="002A736A"/>
    <w:rsid w:val="002A7A00"/>
    <w:rsid w:val="002B2BE4"/>
    <w:rsid w:val="002B40E5"/>
    <w:rsid w:val="002B4C32"/>
    <w:rsid w:val="002B5B05"/>
    <w:rsid w:val="002C07C0"/>
    <w:rsid w:val="002C1E30"/>
    <w:rsid w:val="002C2FBC"/>
    <w:rsid w:val="002C3853"/>
    <w:rsid w:val="002D2352"/>
    <w:rsid w:val="002D4D58"/>
    <w:rsid w:val="002D6140"/>
    <w:rsid w:val="002E21DE"/>
    <w:rsid w:val="002E25DE"/>
    <w:rsid w:val="002E3C02"/>
    <w:rsid w:val="002E3E71"/>
    <w:rsid w:val="002E3F5D"/>
    <w:rsid w:val="002E4EE2"/>
    <w:rsid w:val="002E5628"/>
    <w:rsid w:val="002E75FC"/>
    <w:rsid w:val="002E79C7"/>
    <w:rsid w:val="002F1A15"/>
    <w:rsid w:val="002F37F6"/>
    <w:rsid w:val="003012BB"/>
    <w:rsid w:val="003015F8"/>
    <w:rsid w:val="0030385F"/>
    <w:rsid w:val="00303B11"/>
    <w:rsid w:val="00304186"/>
    <w:rsid w:val="003041C9"/>
    <w:rsid w:val="0031189D"/>
    <w:rsid w:val="00314239"/>
    <w:rsid w:val="00317F26"/>
    <w:rsid w:val="00322356"/>
    <w:rsid w:val="00322DCE"/>
    <w:rsid w:val="00322E15"/>
    <w:rsid w:val="00323170"/>
    <w:rsid w:val="003251CD"/>
    <w:rsid w:val="00325224"/>
    <w:rsid w:val="00327766"/>
    <w:rsid w:val="00332BCA"/>
    <w:rsid w:val="00332E06"/>
    <w:rsid w:val="00340DCE"/>
    <w:rsid w:val="0034317D"/>
    <w:rsid w:val="00344B4D"/>
    <w:rsid w:val="00354B52"/>
    <w:rsid w:val="00361CF9"/>
    <w:rsid w:val="0036211A"/>
    <w:rsid w:val="0036783D"/>
    <w:rsid w:val="00371986"/>
    <w:rsid w:val="00371B13"/>
    <w:rsid w:val="00372641"/>
    <w:rsid w:val="00372FF4"/>
    <w:rsid w:val="00377A08"/>
    <w:rsid w:val="00377DC3"/>
    <w:rsid w:val="003852E6"/>
    <w:rsid w:val="00385DE6"/>
    <w:rsid w:val="00387588"/>
    <w:rsid w:val="003879AF"/>
    <w:rsid w:val="00390401"/>
    <w:rsid w:val="00394E91"/>
    <w:rsid w:val="003A1A97"/>
    <w:rsid w:val="003A2C94"/>
    <w:rsid w:val="003A4F39"/>
    <w:rsid w:val="003A593B"/>
    <w:rsid w:val="003B149E"/>
    <w:rsid w:val="003B69D3"/>
    <w:rsid w:val="003B6B9D"/>
    <w:rsid w:val="003C01B9"/>
    <w:rsid w:val="003C4D0F"/>
    <w:rsid w:val="003C6729"/>
    <w:rsid w:val="003D03A2"/>
    <w:rsid w:val="003D15BD"/>
    <w:rsid w:val="003D25E7"/>
    <w:rsid w:val="003D4831"/>
    <w:rsid w:val="003D587A"/>
    <w:rsid w:val="003D7B53"/>
    <w:rsid w:val="003D7D56"/>
    <w:rsid w:val="003E0E2B"/>
    <w:rsid w:val="003E1314"/>
    <w:rsid w:val="003E1A39"/>
    <w:rsid w:val="003E1A96"/>
    <w:rsid w:val="003E24A1"/>
    <w:rsid w:val="003E2878"/>
    <w:rsid w:val="003E35D9"/>
    <w:rsid w:val="003E4647"/>
    <w:rsid w:val="003E6DE4"/>
    <w:rsid w:val="003F03B7"/>
    <w:rsid w:val="003F0CB4"/>
    <w:rsid w:val="003F4B40"/>
    <w:rsid w:val="003F5310"/>
    <w:rsid w:val="003F6BE4"/>
    <w:rsid w:val="00405DB9"/>
    <w:rsid w:val="00407D01"/>
    <w:rsid w:val="00412056"/>
    <w:rsid w:val="00412CB6"/>
    <w:rsid w:val="0042165D"/>
    <w:rsid w:val="0042483F"/>
    <w:rsid w:val="0043268F"/>
    <w:rsid w:val="004329BC"/>
    <w:rsid w:val="004369B4"/>
    <w:rsid w:val="00442410"/>
    <w:rsid w:val="004431BA"/>
    <w:rsid w:val="004459AB"/>
    <w:rsid w:val="00445CD5"/>
    <w:rsid w:val="004521CF"/>
    <w:rsid w:val="00452F00"/>
    <w:rsid w:val="00453113"/>
    <w:rsid w:val="00465080"/>
    <w:rsid w:val="004662C7"/>
    <w:rsid w:val="004670AB"/>
    <w:rsid w:val="00471AD5"/>
    <w:rsid w:val="004726FA"/>
    <w:rsid w:val="00476210"/>
    <w:rsid w:val="00476CE8"/>
    <w:rsid w:val="00477A89"/>
    <w:rsid w:val="00482E80"/>
    <w:rsid w:val="004840C4"/>
    <w:rsid w:val="00484777"/>
    <w:rsid w:val="00490019"/>
    <w:rsid w:val="0049067C"/>
    <w:rsid w:val="00490ECA"/>
    <w:rsid w:val="004922A1"/>
    <w:rsid w:val="004A0E4C"/>
    <w:rsid w:val="004A1EEA"/>
    <w:rsid w:val="004A2FFF"/>
    <w:rsid w:val="004A30C2"/>
    <w:rsid w:val="004A37C5"/>
    <w:rsid w:val="004A4E36"/>
    <w:rsid w:val="004A5C36"/>
    <w:rsid w:val="004A7486"/>
    <w:rsid w:val="004A78E1"/>
    <w:rsid w:val="004B47E3"/>
    <w:rsid w:val="004B66D9"/>
    <w:rsid w:val="004C0667"/>
    <w:rsid w:val="004C7D2E"/>
    <w:rsid w:val="004D004C"/>
    <w:rsid w:val="004D07B2"/>
    <w:rsid w:val="004D164D"/>
    <w:rsid w:val="004D2751"/>
    <w:rsid w:val="004D3DA8"/>
    <w:rsid w:val="004D5133"/>
    <w:rsid w:val="004E0B6A"/>
    <w:rsid w:val="004F046C"/>
    <w:rsid w:val="004F0EA1"/>
    <w:rsid w:val="004F243F"/>
    <w:rsid w:val="004F5E7C"/>
    <w:rsid w:val="004F79F0"/>
    <w:rsid w:val="004F7D4D"/>
    <w:rsid w:val="004F7ED7"/>
    <w:rsid w:val="005036FC"/>
    <w:rsid w:val="00505002"/>
    <w:rsid w:val="00511B6E"/>
    <w:rsid w:val="005123D3"/>
    <w:rsid w:val="005164B3"/>
    <w:rsid w:val="00516F69"/>
    <w:rsid w:val="00522BBF"/>
    <w:rsid w:val="0052679C"/>
    <w:rsid w:val="00527BC5"/>
    <w:rsid w:val="00531AD8"/>
    <w:rsid w:val="00531E5D"/>
    <w:rsid w:val="00533467"/>
    <w:rsid w:val="00533CB2"/>
    <w:rsid w:val="005340F1"/>
    <w:rsid w:val="005342CF"/>
    <w:rsid w:val="005344D8"/>
    <w:rsid w:val="00534EF3"/>
    <w:rsid w:val="005356B8"/>
    <w:rsid w:val="00535FDC"/>
    <w:rsid w:val="00536875"/>
    <w:rsid w:val="00540530"/>
    <w:rsid w:val="00542078"/>
    <w:rsid w:val="005420E0"/>
    <w:rsid w:val="00543C10"/>
    <w:rsid w:val="00544F28"/>
    <w:rsid w:val="00551B30"/>
    <w:rsid w:val="00551E76"/>
    <w:rsid w:val="0055254C"/>
    <w:rsid w:val="005528F5"/>
    <w:rsid w:val="00552B40"/>
    <w:rsid w:val="0055331A"/>
    <w:rsid w:val="0055687A"/>
    <w:rsid w:val="005568AC"/>
    <w:rsid w:val="005571AA"/>
    <w:rsid w:val="00560C22"/>
    <w:rsid w:val="00561BEF"/>
    <w:rsid w:val="00566250"/>
    <w:rsid w:val="00570AC5"/>
    <w:rsid w:val="00570B7C"/>
    <w:rsid w:val="00570F48"/>
    <w:rsid w:val="00570FC3"/>
    <w:rsid w:val="005719DF"/>
    <w:rsid w:val="00572A09"/>
    <w:rsid w:val="0057365C"/>
    <w:rsid w:val="00582D37"/>
    <w:rsid w:val="00582E9E"/>
    <w:rsid w:val="00586942"/>
    <w:rsid w:val="00593696"/>
    <w:rsid w:val="00595DFB"/>
    <w:rsid w:val="00595DFF"/>
    <w:rsid w:val="005A040B"/>
    <w:rsid w:val="005A0B8C"/>
    <w:rsid w:val="005A390C"/>
    <w:rsid w:val="005A468F"/>
    <w:rsid w:val="005A4F7F"/>
    <w:rsid w:val="005A7C25"/>
    <w:rsid w:val="005B19F5"/>
    <w:rsid w:val="005B5075"/>
    <w:rsid w:val="005B60E2"/>
    <w:rsid w:val="005C270F"/>
    <w:rsid w:val="005C3240"/>
    <w:rsid w:val="005C358A"/>
    <w:rsid w:val="005C38F9"/>
    <w:rsid w:val="005C5209"/>
    <w:rsid w:val="005C6ECF"/>
    <w:rsid w:val="005C780A"/>
    <w:rsid w:val="005D1BB5"/>
    <w:rsid w:val="005D2878"/>
    <w:rsid w:val="005D2DAC"/>
    <w:rsid w:val="005D40A7"/>
    <w:rsid w:val="005D6D94"/>
    <w:rsid w:val="005E43DF"/>
    <w:rsid w:val="005E7578"/>
    <w:rsid w:val="005F1128"/>
    <w:rsid w:val="006002DA"/>
    <w:rsid w:val="00606ED5"/>
    <w:rsid w:val="00607B6F"/>
    <w:rsid w:val="006111E1"/>
    <w:rsid w:val="00611305"/>
    <w:rsid w:val="00613C50"/>
    <w:rsid w:val="00616F4F"/>
    <w:rsid w:val="006179D4"/>
    <w:rsid w:val="00617A01"/>
    <w:rsid w:val="0062045F"/>
    <w:rsid w:val="0062070A"/>
    <w:rsid w:val="00621929"/>
    <w:rsid w:val="006237D0"/>
    <w:rsid w:val="00623A6B"/>
    <w:rsid w:val="006247CC"/>
    <w:rsid w:val="0063095F"/>
    <w:rsid w:val="00634AB7"/>
    <w:rsid w:val="0063583F"/>
    <w:rsid w:val="00636BF7"/>
    <w:rsid w:val="006379C6"/>
    <w:rsid w:val="00642BBC"/>
    <w:rsid w:val="00645F0B"/>
    <w:rsid w:val="0064649D"/>
    <w:rsid w:val="00647C5E"/>
    <w:rsid w:val="00657734"/>
    <w:rsid w:val="00663A36"/>
    <w:rsid w:val="00663F4D"/>
    <w:rsid w:val="006641F1"/>
    <w:rsid w:val="006641FE"/>
    <w:rsid w:val="0066506A"/>
    <w:rsid w:val="00667E93"/>
    <w:rsid w:val="00670600"/>
    <w:rsid w:val="006826DF"/>
    <w:rsid w:val="00685451"/>
    <w:rsid w:val="0068738A"/>
    <w:rsid w:val="00687932"/>
    <w:rsid w:val="00687D0A"/>
    <w:rsid w:val="006946BA"/>
    <w:rsid w:val="006952FD"/>
    <w:rsid w:val="006956DC"/>
    <w:rsid w:val="006A0148"/>
    <w:rsid w:val="006A1718"/>
    <w:rsid w:val="006A2739"/>
    <w:rsid w:val="006A310F"/>
    <w:rsid w:val="006A5256"/>
    <w:rsid w:val="006A7586"/>
    <w:rsid w:val="006B30E2"/>
    <w:rsid w:val="006B737C"/>
    <w:rsid w:val="006C0272"/>
    <w:rsid w:val="006C0B93"/>
    <w:rsid w:val="006C1364"/>
    <w:rsid w:val="006C1666"/>
    <w:rsid w:val="006C1D02"/>
    <w:rsid w:val="006C1F44"/>
    <w:rsid w:val="006C52A7"/>
    <w:rsid w:val="006C58DC"/>
    <w:rsid w:val="006C640B"/>
    <w:rsid w:val="006D1F47"/>
    <w:rsid w:val="006D449A"/>
    <w:rsid w:val="006D469B"/>
    <w:rsid w:val="006D4F2D"/>
    <w:rsid w:val="006D7038"/>
    <w:rsid w:val="006D705B"/>
    <w:rsid w:val="006E20AC"/>
    <w:rsid w:val="006E20DA"/>
    <w:rsid w:val="006E2C47"/>
    <w:rsid w:val="006E3BBE"/>
    <w:rsid w:val="006E4148"/>
    <w:rsid w:val="006E69D9"/>
    <w:rsid w:val="006F2742"/>
    <w:rsid w:val="006F31A9"/>
    <w:rsid w:val="006F404F"/>
    <w:rsid w:val="006F6817"/>
    <w:rsid w:val="00702658"/>
    <w:rsid w:val="00702A5D"/>
    <w:rsid w:val="00710575"/>
    <w:rsid w:val="00712452"/>
    <w:rsid w:val="0071387B"/>
    <w:rsid w:val="00715081"/>
    <w:rsid w:val="0072050A"/>
    <w:rsid w:val="007205B9"/>
    <w:rsid w:val="00720B5F"/>
    <w:rsid w:val="00734F3E"/>
    <w:rsid w:val="00736B7D"/>
    <w:rsid w:val="00740A4F"/>
    <w:rsid w:val="007411A2"/>
    <w:rsid w:val="007431C8"/>
    <w:rsid w:val="00744A62"/>
    <w:rsid w:val="00745C1E"/>
    <w:rsid w:val="00746002"/>
    <w:rsid w:val="00751732"/>
    <w:rsid w:val="00751969"/>
    <w:rsid w:val="00755489"/>
    <w:rsid w:val="0075551E"/>
    <w:rsid w:val="00756F3F"/>
    <w:rsid w:val="00760397"/>
    <w:rsid w:val="007620A6"/>
    <w:rsid w:val="0076339E"/>
    <w:rsid w:val="00766209"/>
    <w:rsid w:val="00766AE0"/>
    <w:rsid w:val="00766D22"/>
    <w:rsid w:val="00767B9A"/>
    <w:rsid w:val="0077006B"/>
    <w:rsid w:val="00771B0E"/>
    <w:rsid w:val="00771C0E"/>
    <w:rsid w:val="007721B1"/>
    <w:rsid w:val="007752A9"/>
    <w:rsid w:val="00775FC8"/>
    <w:rsid w:val="0077659E"/>
    <w:rsid w:val="007809B0"/>
    <w:rsid w:val="0078157C"/>
    <w:rsid w:val="00785FBC"/>
    <w:rsid w:val="00786705"/>
    <w:rsid w:val="00786DA9"/>
    <w:rsid w:val="0079096A"/>
    <w:rsid w:val="007923CD"/>
    <w:rsid w:val="00793033"/>
    <w:rsid w:val="00793C8B"/>
    <w:rsid w:val="00797D3A"/>
    <w:rsid w:val="007A17E9"/>
    <w:rsid w:val="007A1811"/>
    <w:rsid w:val="007A4B48"/>
    <w:rsid w:val="007A6586"/>
    <w:rsid w:val="007B0225"/>
    <w:rsid w:val="007B035A"/>
    <w:rsid w:val="007B296B"/>
    <w:rsid w:val="007B41B7"/>
    <w:rsid w:val="007B5DB7"/>
    <w:rsid w:val="007B6A3A"/>
    <w:rsid w:val="007B741C"/>
    <w:rsid w:val="007C037E"/>
    <w:rsid w:val="007C0DE2"/>
    <w:rsid w:val="007C32DA"/>
    <w:rsid w:val="007C48B8"/>
    <w:rsid w:val="007D01C3"/>
    <w:rsid w:val="007D01EC"/>
    <w:rsid w:val="007D04D8"/>
    <w:rsid w:val="007D28A1"/>
    <w:rsid w:val="007D3FF0"/>
    <w:rsid w:val="007D440B"/>
    <w:rsid w:val="007D66D8"/>
    <w:rsid w:val="007E0A1C"/>
    <w:rsid w:val="007E2B38"/>
    <w:rsid w:val="007E58CE"/>
    <w:rsid w:val="007E62B8"/>
    <w:rsid w:val="007E7373"/>
    <w:rsid w:val="007F4217"/>
    <w:rsid w:val="007F4C63"/>
    <w:rsid w:val="007F60A3"/>
    <w:rsid w:val="007F7111"/>
    <w:rsid w:val="007F72CF"/>
    <w:rsid w:val="00800713"/>
    <w:rsid w:val="0080313A"/>
    <w:rsid w:val="008037FF"/>
    <w:rsid w:val="00804005"/>
    <w:rsid w:val="00804BBD"/>
    <w:rsid w:val="008104AE"/>
    <w:rsid w:val="0081079E"/>
    <w:rsid w:val="00811780"/>
    <w:rsid w:val="008122FD"/>
    <w:rsid w:val="0081398F"/>
    <w:rsid w:val="00813D79"/>
    <w:rsid w:val="00814387"/>
    <w:rsid w:val="00820EEF"/>
    <w:rsid w:val="00824EC0"/>
    <w:rsid w:val="008278FC"/>
    <w:rsid w:val="00827D2F"/>
    <w:rsid w:val="0083260C"/>
    <w:rsid w:val="008400C8"/>
    <w:rsid w:val="00842F04"/>
    <w:rsid w:val="00844558"/>
    <w:rsid w:val="008468FB"/>
    <w:rsid w:val="00847A3B"/>
    <w:rsid w:val="00850DAA"/>
    <w:rsid w:val="0085166B"/>
    <w:rsid w:val="00853681"/>
    <w:rsid w:val="00854B7E"/>
    <w:rsid w:val="00857DB7"/>
    <w:rsid w:val="00860E36"/>
    <w:rsid w:val="00861F57"/>
    <w:rsid w:val="00862A78"/>
    <w:rsid w:val="0086307C"/>
    <w:rsid w:val="008710F5"/>
    <w:rsid w:val="00872FEB"/>
    <w:rsid w:val="0087341F"/>
    <w:rsid w:val="00876278"/>
    <w:rsid w:val="0087758A"/>
    <w:rsid w:val="00877DC6"/>
    <w:rsid w:val="00884880"/>
    <w:rsid w:val="008902AE"/>
    <w:rsid w:val="00892FB6"/>
    <w:rsid w:val="0089429D"/>
    <w:rsid w:val="008948EB"/>
    <w:rsid w:val="00897E97"/>
    <w:rsid w:val="008A1159"/>
    <w:rsid w:val="008A6FD6"/>
    <w:rsid w:val="008A7883"/>
    <w:rsid w:val="008B06C1"/>
    <w:rsid w:val="008B21E0"/>
    <w:rsid w:val="008B702B"/>
    <w:rsid w:val="008C08AB"/>
    <w:rsid w:val="008C10CD"/>
    <w:rsid w:val="008C1FB7"/>
    <w:rsid w:val="008C50F0"/>
    <w:rsid w:val="008C6990"/>
    <w:rsid w:val="008C7652"/>
    <w:rsid w:val="008D15CE"/>
    <w:rsid w:val="008D164F"/>
    <w:rsid w:val="008D1CB6"/>
    <w:rsid w:val="008D35CB"/>
    <w:rsid w:val="008D63D5"/>
    <w:rsid w:val="008D71B5"/>
    <w:rsid w:val="008E150B"/>
    <w:rsid w:val="008E375A"/>
    <w:rsid w:val="008E56A4"/>
    <w:rsid w:val="008F4139"/>
    <w:rsid w:val="008F4CE6"/>
    <w:rsid w:val="008F5F3E"/>
    <w:rsid w:val="008F74C5"/>
    <w:rsid w:val="008F7660"/>
    <w:rsid w:val="008F7AE0"/>
    <w:rsid w:val="009020D0"/>
    <w:rsid w:val="00903A8B"/>
    <w:rsid w:val="009050A1"/>
    <w:rsid w:val="00913BBF"/>
    <w:rsid w:val="00915356"/>
    <w:rsid w:val="009206AC"/>
    <w:rsid w:val="009252EF"/>
    <w:rsid w:val="0092535F"/>
    <w:rsid w:val="00925E63"/>
    <w:rsid w:val="00927433"/>
    <w:rsid w:val="00927C70"/>
    <w:rsid w:val="00931F67"/>
    <w:rsid w:val="00935E07"/>
    <w:rsid w:val="00936AFA"/>
    <w:rsid w:val="009371D8"/>
    <w:rsid w:val="00945C5E"/>
    <w:rsid w:val="00954268"/>
    <w:rsid w:val="009545F8"/>
    <w:rsid w:val="00955FBB"/>
    <w:rsid w:val="00961096"/>
    <w:rsid w:val="00966221"/>
    <w:rsid w:val="0096793E"/>
    <w:rsid w:val="0097199A"/>
    <w:rsid w:val="00972136"/>
    <w:rsid w:val="00973DC5"/>
    <w:rsid w:val="00974646"/>
    <w:rsid w:val="0097785B"/>
    <w:rsid w:val="009800F5"/>
    <w:rsid w:val="00981D79"/>
    <w:rsid w:val="00986814"/>
    <w:rsid w:val="00987D4A"/>
    <w:rsid w:val="00992423"/>
    <w:rsid w:val="00994933"/>
    <w:rsid w:val="0099505A"/>
    <w:rsid w:val="00997EBB"/>
    <w:rsid w:val="009A143E"/>
    <w:rsid w:val="009A28F3"/>
    <w:rsid w:val="009A570D"/>
    <w:rsid w:val="009A5AE9"/>
    <w:rsid w:val="009A6B88"/>
    <w:rsid w:val="009A7332"/>
    <w:rsid w:val="009A76FF"/>
    <w:rsid w:val="009B347A"/>
    <w:rsid w:val="009B4A69"/>
    <w:rsid w:val="009B4CB9"/>
    <w:rsid w:val="009B75EA"/>
    <w:rsid w:val="009B7740"/>
    <w:rsid w:val="009C091A"/>
    <w:rsid w:val="009C166B"/>
    <w:rsid w:val="009C5216"/>
    <w:rsid w:val="009D27CC"/>
    <w:rsid w:val="009D3066"/>
    <w:rsid w:val="009D368A"/>
    <w:rsid w:val="009D41A3"/>
    <w:rsid w:val="009E0D00"/>
    <w:rsid w:val="009E1F4B"/>
    <w:rsid w:val="009E20A5"/>
    <w:rsid w:val="009E33D7"/>
    <w:rsid w:val="009E461F"/>
    <w:rsid w:val="009E4666"/>
    <w:rsid w:val="009E5130"/>
    <w:rsid w:val="009E69BE"/>
    <w:rsid w:val="009F0187"/>
    <w:rsid w:val="009F11FE"/>
    <w:rsid w:val="009F1793"/>
    <w:rsid w:val="009F2273"/>
    <w:rsid w:val="009F2D07"/>
    <w:rsid w:val="00A0047A"/>
    <w:rsid w:val="00A05998"/>
    <w:rsid w:val="00A06B38"/>
    <w:rsid w:val="00A100F9"/>
    <w:rsid w:val="00A14CAB"/>
    <w:rsid w:val="00A158CC"/>
    <w:rsid w:val="00A22965"/>
    <w:rsid w:val="00A23664"/>
    <w:rsid w:val="00A23BE2"/>
    <w:rsid w:val="00A24C7A"/>
    <w:rsid w:val="00A264E8"/>
    <w:rsid w:val="00A268CC"/>
    <w:rsid w:val="00A27475"/>
    <w:rsid w:val="00A32548"/>
    <w:rsid w:val="00A35FB8"/>
    <w:rsid w:val="00A3685D"/>
    <w:rsid w:val="00A378E7"/>
    <w:rsid w:val="00A37D8D"/>
    <w:rsid w:val="00A402CD"/>
    <w:rsid w:val="00A40F4A"/>
    <w:rsid w:val="00A4202F"/>
    <w:rsid w:val="00A4354F"/>
    <w:rsid w:val="00A44C6C"/>
    <w:rsid w:val="00A457BA"/>
    <w:rsid w:val="00A4616E"/>
    <w:rsid w:val="00A46859"/>
    <w:rsid w:val="00A46F3A"/>
    <w:rsid w:val="00A475BE"/>
    <w:rsid w:val="00A52AFE"/>
    <w:rsid w:val="00A53A9D"/>
    <w:rsid w:val="00A53E67"/>
    <w:rsid w:val="00A67B2E"/>
    <w:rsid w:val="00A707E4"/>
    <w:rsid w:val="00A719DE"/>
    <w:rsid w:val="00A74B4A"/>
    <w:rsid w:val="00A77714"/>
    <w:rsid w:val="00A809E1"/>
    <w:rsid w:val="00A80A3E"/>
    <w:rsid w:val="00A80C65"/>
    <w:rsid w:val="00A853F5"/>
    <w:rsid w:val="00A923EE"/>
    <w:rsid w:val="00A92F34"/>
    <w:rsid w:val="00A96334"/>
    <w:rsid w:val="00A97D54"/>
    <w:rsid w:val="00AA1BE8"/>
    <w:rsid w:val="00AA1FA5"/>
    <w:rsid w:val="00AA4DC1"/>
    <w:rsid w:val="00AA5A9C"/>
    <w:rsid w:val="00AA7709"/>
    <w:rsid w:val="00AB199B"/>
    <w:rsid w:val="00AB571D"/>
    <w:rsid w:val="00AB68A8"/>
    <w:rsid w:val="00AB6D1E"/>
    <w:rsid w:val="00AC07DE"/>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2F03"/>
    <w:rsid w:val="00B059C2"/>
    <w:rsid w:val="00B10876"/>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B0"/>
    <w:rsid w:val="00B25CC2"/>
    <w:rsid w:val="00B26AB9"/>
    <w:rsid w:val="00B3109F"/>
    <w:rsid w:val="00B31882"/>
    <w:rsid w:val="00B32EBF"/>
    <w:rsid w:val="00B33013"/>
    <w:rsid w:val="00B34E06"/>
    <w:rsid w:val="00B36D8A"/>
    <w:rsid w:val="00B40F11"/>
    <w:rsid w:val="00B4575C"/>
    <w:rsid w:val="00B45987"/>
    <w:rsid w:val="00B45CFC"/>
    <w:rsid w:val="00B46837"/>
    <w:rsid w:val="00B46E0F"/>
    <w:rsid w:val="00B5125D"/>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415E"/>
    <w:rsid w:val="00B8599C"/>
    <w:rsid w:val="00B863DF"/>
    <w:rsid w:val="00B87833"/>
    <w:rsid w:val="00B9657F"/>
    <w:rsid w:val="00BA39DB"/>
    <w:rsid w:val="00BA4DC1"/>
    <w:rsid w:val="00BA79D2"/>
    <w:rsid w:val="00BB1999"/>
    <w:rsid w:val="00BB5F36"/>
    <w:rsid w:val="00BC42B9"/>
    <w:rsid w:val="00BC4C15"/>
    <w:rsid w:val="00BC5093"/>
    <w:rsid w:val="00BC545B"/>
    <w:rsid w:val="00BC5C9B"/>
    <w:rsid w:val="00BD0523"/>
    <w:rsid w:val="00BD0FFC"/>
    <w:rsid w:val="00BD317E"/>
    <w:rsid w:val="00BD4155"/>
    <w:rsid w:val="00BE0032"/>
    <w:rsid w:val="00BE0418"/>
    <w:rsid w:val="00BE2390"/>
    <w:rsid w:val="00BE3F4A"/>
    <w:rsid w:val="00BE4393"/>
    <w:rsid w:val="00BE6965"/>
    <w:rsid w:val="00BE716A"/>
    <w:rsid w:val="00BF0309"/>
    <w:rsid w:val="00BF0650"/>
    <w:rsid w:val="00BF117C"/>
    <w:rsid w:val="00BF35B2"/>
    <w:rsid w:val="00BF5489"/>
    <w:rsid w:val="00BF592F"/>
    <w:rsid w:val="00BF6030"/>
    <w:rsid w:val="00BF739D"/>
    <w:rsid w:val="00BF7C1F"/>
    <w:rsid w:val="00C01A74"/>
    <w:rsid w:val="00C023BF"/>
    <w:rsid w:val="00C11EC6"/>
    <w:rsid w:val="00C15E0E"/>
    <w:rsid w:val="00C20A2D"/>
    <w:rsid w:val="00C21282"/>
    <w:rsid w:val="00C23A0D"/>
    <w:rsid w:val="00C23DA0"/>
    <w:rsid w:val="00C2445F"/>
    <w:rsid w:val="00C30954"/>
    <w:rsid w:val="00C31F22"/>
    <w:rsid w:val="00C337D6"/>
    <w:rsid w:val="00C36564"/>
    <w:rsid w:val="00C37163"/>
    <w:rsid w:val="00C37EB4"/>
    <w:rsid w:val="00C416AA"/>
    <w:rsid w:val="00C43DEB"/>
    <w:rsid w:val="00C458C4"/>
    <w:rsid w:val="00C45A52"/>
    <w:rsid w:val="00C466EA"/>
    <w:rsid w:val="00C46C54"/>
    <w:rsid w:val="00C51A7A"/>
    <w:rsid w:val="00C520B8"/>
    <w:rsid w:val="00C557EE"/>
    <w:rsid w:val="00C5657F"/>
    <w:rsid w:val="00C566D3"/>
    <w:rsid w:val="00C56BD4"/>
    <w:rsid w:val="00C5703D"/>
    <w:rsid w:val="00C5732C"/>
    <w:rsid w:val="00C62458"/>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63A7"/>
    <w:rsid w:val="00C77C13"/>
    <w:rsid w:val="00C85CB3"/>
    <w:rsid w:val="00C87811"/>
    <w:rsid w:val="00C92CDF"/>
    <w:rsid w:val="00C9314B"/>
    <w:rsid w:val="00C959F8"/>
    <w:rsid w:val="00C9674D"/>
    <w:rsid w:val="00CA1213"/>
    <w:rsid w:val="00CA2ECA"/>
    <w:rsid w:val="00CA4BB4"/>
    <w:rsid w:val="00CA4DD5"/>
    <w:rsid w:val="00CA6CE9"/>
    <w:rsid w:val="00CB0CAB"/>
    <w:rsid w:val="00CB20C7"/>
    <w:rsid w:val="00CB2F29"/>
    <w:rsid w:val="00CB6B6A"/>
    <w:rsid w:val="00CB7739"/>
    <w:rsid w:val="00CC1372"/>
    <w:rsid w:val="00CC2BD0"/>
    <w:rsid w:val="00CC3974"/>
    <w:rsid w:val="00CC5962"/>
    <w:rsid w:val="00CC600C"/>
    <w:rsid w:val="00CD0C29"/>
    <w:rsid w:val="00CD10E5"/>
    <w:rsid w:val="00CD1F33"/>
    <w:rsid w:val="00CD42BA"/>
    <w:rsid w:val="00CD485D"/>
    <w:rsid w:val="00CD511C"/>
    <w:rsid w:val="00CE2306"/>
    <w:rsid w:val="00CE3245"/>
    <w:rsid w:val="00CE32C0"/>
    <w:rsid w:val="00CE3876"/>
    <w:rsid w:val="00CE4D56"/>
    <w:rsid w:val="00CF2AC6"/>
    <w:rsid w:val="00CF31B0"/>
    <w:rsid w:val="00CF3D6D"/>
    <w:rsid w:val="00CF5DE2"/>
    <w:rsid w:val="00CF64FE"/>
    <w:rsid w:val="00CF7FB1"/>
    <w:rsid w:val="00D02159"/>
    <w:rsid w:val="00D054A8"/>
    <w:rsid w:val="00D07345"/>
    <w:rsid w:val="00D11373"/>
    <w:rsid w:val="00D11CB4"/>
    <w:rsid w:val="00D11EC0"/>
    <w:rsid w:val="00D13852"/>
    <w:rsid w:val="00D13EA8"/>
    <w:rsid w:val="00D1449F"/>
    <w:rsid w:val="00D14861"/>
    <w:rsid w:val="00D2157C"/>
    <w:rsid w:val="00D21A6D"/>
    <w:rsid w:val="00D21E22"/>
    <w:rsid w:val="00D23738"/>
    <w:rsid w:val="00D2536F"/>
    <w:rsid w:val="00D27F81"/>
    <w:rsid w:val="00D329B3"/>
    <w:rsid w:val="00D33433"/>
    <w:rsid w:val="00D33CC5"/>
    <w:rsid w:val="00D33F3C"/>
    <w:rsid w:val="00D426F0"/>
    <w:rsid w:val="00D428EC"/>
    <w:rsid w:val="00D47800"/>
    <w:rsid w:val="00D517AE"/>
    <w:rsid w:val="00D51EA8"/>
    <w:rsid w:val="00D52226"/>
    <w:rsid w:val="00D53138"/>
    <w:rsid w:val="00D54364"/>
    <w:rsid w:val="00D554CF"/>
    <w:rsid w:val="00D56234"/>
    <w:rsid w:val="00D566E7"/>
    <w:rsid w:val="00D62262"/>
    <w:rsid w:val="00D66B7D"/>
    <w:rsid w:val="00D707F7"/>
    <w:rsid w:val="00D708CF"/>
    <w:rsid w:val="00D71E9C"/>
    <w:rsid w:val="00D72434"/>
    <w:rsid w:val="00D731D2"/>
    <w:rsid w:val="00D73B45"/>
    <w:rsid w:val="00D83485"/>
    <w:rsid w:val="00D84A5C"/>
    <w:rsid w:val="00D86B2B"/>
    <w:rsid w:val="00D87F06"/>
    <w:rsid w:val="00D911B2"/>
    <w:rsid w:val="00D93E5A"/>
    <w:rsid w:val="00D95413"/>
    <w:rsid w:val="00D965D5"/>
    <w:rsid w:val="00D97FE5"/>
    <w:rsid w:val="00DA1769"/>
    <w:rsid w:val="00DA2FBA"/>
    <w:rsid w:val="00DA4341"/>
    <w:rsid w:val="00DA4F63"/>
    <w:rsid w:val="00DA6C99"/>
    <w:rsid w:val="00DA707D"/>
    <w:rsid w:val="00DB0213"/>
    <w:rsid w:val="00DB378E"/>
    <w:rsid w:val="00DB3F8F"/>
    <w:rsid w:val="00DB6353"/>
    <w:rsid w:val="00DB680A"/>
    <w:rsid w:val="00DC06F8"/>
    <w:rsid w:val="00DC1D24"/>
    <w:rsid w:val="00DC20B6"/>
    <w:rsid w:val="00DC2EEA"/>
    <w:rsid w:val="00DC2F9F"/>
    <w:rsid w:val="00DC671C"/>
    <w:rsid w:val="00DC67B5"/>
    <w:rsid w:val="00DD0426"/>
    <w:rsid w:val="00DD2265"/>
    <w:rsid w:val="00DD2721"/>
    <w:rsid w:val="00DD3936"/>
    <w:rsid w:val="00DD66A8"/>
    <w:rsid w:val="00DD7A9F"/>
    <w:rsid w:val="00DE4B23"/>
    <w:rsid w:val="00DF31E2"/>
    <w:rsid w:val="00DF42B8"/>
    <w:rsid w:val="00DF5A36"/>
    <w:rsid w:val="00DF7764"/>
    <w:rsid w:val="00E01BE9"/>
    <w:rsid w:val="00E01CDE"/>
    <w:rsid w:val="00E0275E"/>
    <w:rsid w:val="00E1063F"/>
    <w:rsid w:val="00E16C03"/>
    <w:rsid w:val="00E2185D"/>
    <w:rsid w:val="00E25E37"/>
    <w:rsid w:val="00E27815"/>
    <w:rsid w:val="00E303D4"/>
    <w:rsid w:val="00E30FB6"/>
    <w:rsid w:val="00E35AAF"/>
    <w:rsid w:val="00E41921"/>
    <w:rsid w:val="00E42FBC"/>
    <w:rsid w:val="00E45849"/>
    <w:rsid w:val="00E45A39"/>
    <w:rsid w:val="00E463B2"/>
    <w:rsid w:val="00E47D8B"/>
    <w:rsid w:val="00E47DD5"/>
    <w:rsid w:val="00E519CE"/>
    <w:rsid w:val="00E51BFD"/>
    <w:rsid w:val="00E536F0"/>
    <w:rsid w:val="00E53D2E"/>
    <w:rsid w:val="00E60D48"/>
    <w:rsid w:val="00E63B58"/>
    <w:rsid w:val="00E661F8"/>
    <w:rsid w:val="00E66A27"/>
    <w:rsid w:val="00E66D1F"/>
    <w:rsid w:val="00E6708D"/>
    <w:rsid w:val="00E67620"/>
    <w:rsid w:val="00E73632"/>
    <w:rsid w:val="00E73C73"/>
    <w:rsid w:val="00E7474A"/>
    <w:rsid w:val="00E75E2F"/>
    <w:rsid w:val="00E8453C"/>
    <w:rsid w:val="00E87BC1"/>
    <w:rsid w:val="00E914AF"/>
    <w:rsid w:val="00E9156B"/>
    <w:rsid w:val="00E91797"/>
    <w:rsid w:val="00E92C24"/>
    <w:rsid w:val="00E964EA"/>
    <w:rsid w:val="00E9735A"/>
    <w:rsid w:val="00EA0CF8"/>
    <w:rsid w:val="00EA3639"/>
    <w:rsid w:val="00EA3913"/>
    <w:rsid w:val="00EA5A64"/>
    <w:rsid w:val="00EA5BB4"/>
    <w:rsid w:val="00EA7D37"/>
    <w:rsid w:val="00EB0DD5"/>
    <w:rsid w:val="00EB0E32"/>
    <w:rsid w:val="00EB160B"/>
    <w:rsid w:val="00EB1CB2"/>
    <w:rsid w:val="00EB297D"/>
    <w:rsid w:val="00EB2C43"/>
    <w:rsid w:val="00EB681D"/>
    <w:rsid w:val="00EB6CFB"/>
    <w:rsid w:val="00EC0172"/>
    <w:rsid w:val="00EC0446"/>
    <w:rsid w:val="00EC04E3"/>
    <w:rsid w:val="00EC2475"/>
    <w:rsid w:val="00EC4FEC"/>
    <w:rsid w:val="00ED1DD8"/>
    <w:rsid w:val="00ED2EC4"/>
    <w:rsid w:val="00ED35F4"/>
    <w:rsid w:val="00ED3A56"/>
    <w:rsid w:val="00ED71D0"/>
    <w:rsid w:val="00EE14D0"/>
    <w:rsid w:val="00EE44A3"/>
    <w:rsid w:val="00EE65E6"/>
    <w:rsid w:val="00EE66D1"/>
    <w:rsid w:val="00EF36F5"/>
    <w:rsid w:val="00EF3C0E"/>
    <w:rsid w:val="00EF4749"/>
    <w:rsid w:val="00EF4C8C"/>
    <w:rsid w:val="00EF62C3"/>
    <w:rsid w:val="00F003D2"/>
    <w:rsid w:val="00F00F8C"/>
    <w:rsid w:val="00F020A5"/>
    <w:rsid w:val="00F02D22"/>
    <w:rsid w:val="00F05B9B"/>
    <w:rsid w:val="00F05E66"/>
    <w:rsid w:val="00F07E2C"/>
    <w:rsid w:val="00F12E9C"/>
    <w:rsid w:val="00F1433A"/>
    <w:rsid w:val="00F153FF"/>
    <w:rsid w:val="00F203C5"/>
    <w:rsid w:val="00F234D9"/>
    <w:rsid w:val="00F249CA"/>
    <w:rsid w:val="00F2526D"/>
    <w:rsid w:val="00F31064"/>
    <w:rsid w:val="00F32629"/>
    <w:rsid w:val="00F33608"/>
    <w:rsid w:val="00F344C5"/>
    <w:rsid w:val="00F34579"/>
    <w:rsid w:val="00F41EA4"/>
    <w:rsid w:val="00F500E4"/>
    <w:rsid w:val="00F53A6F"/>
    <w:rsid w:val="00F55261"/>
    <w:rsid w:val="00F600C0"/>
    <w:rsid w:val="00F60F88"/>
    <w:rsid w:val="00F615CE"/>
    <w:rsid w:val="00F6192B"/>
    <w:rsid w:val="00F624A7"/>
    <w:rsid w:val="00F63B25"/>
    <w:rsid w:val="00F66265"/>
    <w:rsid w:val="00F66966"/>
    <w:rsid w:val="00F744F4"/>
    <w:rsid w:val="00F754CE"/>
    <w:rsid w:val="00F772AB"/>
    <w:rsid w:val="00F80C21"/>
    <w:rsid w:val="00F81460"/>
    <w:rsid w:val="00F82262"/>
    <w:rsid w:val="00F827AD"/>
    <w:rsid w:val="00F82C79"/>
    <w:rsid w:val="00F83B32"/>
    <w:rsid w:val="00F83F93"/>
    <w:rsid w:val="00F90BD7"/>
    <w:rsid w:val="00F91ABB"/>
    <w:rsid w:val="00F91AD7"/>
    <w:rsid w:val="00F924C3"/>
    <w:rsid w:val="00F93088"/>
    <w:rsid w:val="00F97DC0"/>
    <w:rsid w:val="00FA0B2F"/>
    <w:rsid w:val="00FA1481"/>
    <w:rsid w:val="00FA4813"/>
    <w:rsid w:val="00FA5145"/>
    <w:rsid w:val="00FB01E5"/>
    <w:rsid w:val="00FB1246"/>
    <w:rsid w:val="00FB2A67"/>
    <w:rsid w:val="00FB484A"/>
    <w:rsid w:val="00FB5B45"/>
    <w:rsid w:val="00FB7E10"/>
    <w:rsid w:val="00FC09F8"/>
    <w:rsid w:val="00FC3E3A"/>
    <w:rsid w:val="00FC5C61"/>
    <w:rsid w:val="00FD2BFA"/>
    <w:rsid w:val="00FD675C"/>
    <w:rsid w:val="00FD7052"/>
    <w:rsid w:val="00FE1A1E"/>
    <w:rsid w:val="00FE27FD"/>
    <w:rsid w:val="00FE2E68"/>
    <w:rsid w:val="00FE4015"/>
    <w:rsid w:val="00FE596E"/>
    <w:rsid w:val="00FF3D00"/>
    <w:rsid w:val="00FF5C9B"/>
    <w:rsid w:val="00FF6DC3"/>
    <w:rsid w:val="00FF727E"/>
    <w:rsid w:val="08052A15"/>
    <w:rsid w:val="260D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43"/>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49"/>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6"/>
    <w:semiHidden/>
    <w:unhideWhenUsed/>
    <w:uiPriority w:val="99"/>
    <w:rPr>
      <w:rFonts w:ascii="宋体" w:eastAsia="宋体"/>
      <w:sz w:val="20"/>
      <w:szCs w:val="18"/>
    </w:rPr>
  </w:style>
  <w:style w:type="paragraph" w:styleId="7">
    <w:name w:val="annotation text"/>
    <w:basedOn w:val="1"/>
    <w:link w:val="33"/>
    <w:semiHidden/>
    <w:unhideWhenUsed/>
    <w:uiPriority w:val="99"/>
    <w:pPr>
      <w:jc w:val="left"/>
    </w:pPr>
  </w:style>
  <w:style w:type="paragraph" w:styleId="8">
    <w:name w:val="Salutation"/>
    <w:basedOn w:val="1"/>
    <w:next w:val="1"/>
    <w:link w:val="55"/>
    <w:semiHidden/>
    <w:unhideWhenUsed/>
    <w:qFormat/>
    <w:uiPriority w:val="99"/>
  </w:style>
  <w:style w:type="paragraph" w:styleId="9">
    <w:name w:val="Body Text"/>
    <w:basedOn w:val="1"/>
    <w:link w:val="42"/>
    <w:semiHidden/>
    <w:unhideWhenUsed/>
    <w:uiPriority w:val="99"/>
    <w:pPr>
      <w:spacing w:after="120"/>
    </w:pPr>
  </w:style>
  <w:style w:type="paragraph" w:styleId="10">
    <w:name w:val="Plain Text"/>
    <w:basedOn w:val="1"/>
    <w:next w:val="8"/>
    <w:link w:val="53"/>
    <w:qFormat/>
    <w:uiPriority w:val="5"/>
    <w:pPr>
      <w:spacing w:line="360" w:lineRule="exact"/>
    </w:pPr>
    <w:rPr>
      <w:rFonts w:ascii="宋体" w:hAnsi="Courier New" w:eastAsia="宋体" w:cs="Times New Roman"/>
      <w:szCs w:val="20"/>
    </w:rPr>
  </w:style>
  <w:style w:type="paragraph" w:styleId="11">
    <w:name w:val="Balloon Text"/>
    <w:basedOn w:val="1"/>
    <w:link w:val="25"/>
    <w:unhideWhenUsed/>
    <w:uiPriority w:val="99"/>
    <w:rPr>
      <w:sz w:val="18"/>
      <w:szCs w:val="18"/>
    </w:rPr>
  </w:style>
  <w:style w:type="paragraph" w:styleId="12">
    <w:name w:val="footer"/>
    <w:basedOn w:val="1"/>
    <w:link w:val="28"/>
    <w:semiHidden/>
    <w:unhideWhenUsed/>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30"/>
    <w:qFormat/>
    <w:uiPriority w:val="0"/>
    <w:pPr>
      <w:spacing w:after="120"/>
      <w:ind w:left="420" w:leftChars="200"/>
    </w:pPr>
    <w:rPr>
      <w:rFonts w:ascii="Times New Roman" w:hAnsi="Times New Roman" w:eastAsia="宋体" w:cs="Times New Roman"/>
      <w:sz w:val="16"/>
      <w:szCs w:val="16"/>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index 1"/>
    <w:basedOn w:val="1"/>
    <w:next w:val="1"/>
    <w:qFormat/>
    <w:uiPriority w:val="0"/>
    <w:pPr>
      <w:ind w:left="560" w:hanging="560"/>
    </w:pPr>
    <w:rPr>
      <w:rFonts w:ascii="Times New Roman" w:hAnsi="宋体" w:eastAsia="宋体" w:cs="Times New Roman"/>
      <w:spacing w:val="10"/>
      <w:szCs w:val="24"/>
    </w:rPr>
  </w:style>
  <w:style w:type="paragraph" w:styleId="17">
    <w:name w:val="annotation subject"/>
    <w:basedOn w:val="7"/>
    <w:next w:val="7"/>
    <w:link w:val="34"/>
    <w:semiHidden/>
    <w:unhideWhenUsed/>
    <w:uiPriority w:val="99"/>
    <w:rPr>
      <w:b/>
      <w:bCs/>
    </w:rPr>
  </w:style>
  <w:style w:type="table" w:styleId="19">
    <w:name w:val="Table Grid"/>
    <w:basedOn w:val="1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uiPriority w:val="0"/>
  </w:style>
  <w:style w:type="character" w:styleId="23">
    <w:name w:val="Hyperlink"/>
    <w:basedOn w:val="20"/>
    <w:semiHidden/>
    <w:unhideWhenUsed/>
    <w:uiPriority w:val="99"/>
    <w:rPr>
      <w:color w:val="0000FF"/>
      <w:u w:val="single"/>
    </w:rPr>
  </w:style>
  <w:style w:type="character" w:styleId="24">
    <w:name w:val="annotation reference"/>
    <w:basedOn w:val="20"/>
    <w:semiHidden/>
    <w:unhideWhenUsed/>
    <w:uiPriority w:val="99"/>
    <w:rPr>
      <w:sz w:val="21"/>
      <w:szCs w:val="21"/>
    </w:rPr>
  </w:style>
  <w:style w:type="character" w:customStyle="1" w:styleId="25">
    <w:name w:val="批注框文本 Char"/>
    <w:basedOn w:val="20"/>
    <w:link w:val="11"/>
    <w:uiPriority w:val="99"/>
    <w:rPr>
      <w:sz w:val="18"/>
      <w:szCs w:val="18"/>
    </w:rPr>
  </w:style>
  <w:style w:type="character" w:customStyle="1" w:styleId="26">
    <w:name w:val="文档结构图 Char"/>
    <w:basedOn w:val="20"/>
    <w:link w:val="6"/>
    <w:semiHidden/>
    <w:uiPriority w:val="99"/>
    <w:rPr>
      <w:rFonts w:ascii="宋体" w:eastAsia="宋体"/>
      <w:sz w:val="20"/>
      <w:szCs w:val="18"/>
    </w:rPr>
  </w:style>
  <w:style w:type="character" w:customStyle="1" w:styleId="27">
    <w:name w:val="页眉 Char"/>
    <w:basedOn w:val="20"/>
    <w:link w:val="13"/>
    <w:uiPriority w:val="0"/>
    <w:rPr>
      <w:sz w:val="18"/>
      <w:szCs w:val="18"/>
    </w:rPr>
  </w:style>
  <w:style w:type="character" w:customStyle="1" w:styleId="28">
    <w:name w:val="页脚 Char"/>
    <w:basedOn w:val="20"/>
    <w:link w:val="12"/>
    <w:semiHidden/>
    <w:uiPriority w:val="99"/>
    <w:rPr>
      <w:sz w:val="18"/>
      <w:szCs w:val="18"/>
    </w:rPr>
  </w:style>
  <w:style w:type="paragraph" w:customStyle="1" w:styleId="29">
    <w:name w:val="表体"/>
    <w:basedOn w:val="1"/>
    <w:link w:val="41"/>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0">
    <w:name w:val="正文文本缩进 3 Char"/>
    <w:basedOn w:val="20"/>
    <w:link w:val="14"/>
    <w:uiPriority w:val="0"/>
    <w:rPr>
      <w:rFonts w:ascii="Times New Roman" w:hAnsi="Times New Roman" w:eastAsia="宋体" w:cs="Times New Roman"/>
      <w:sz w:val="16"/>
      <w:szCs w:val="16"/>
    </w:rPr>
  </w:style>
  <w:style w:type="paragraph" w:customStyle="1" w:styleId="31">
    <w:name w:val="表头"/>
    <w:basedOn w:val="1"/>
    <w:link w:val="32"/>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2">
    <w:name w:val="表头 Char Char"/>
    <w:link w:val="31"/>
    <w:uiPriority w:val="0"/>
    <w:rPr>
      <w:rFonts w:ascii="Times New Roman" w:hAnsi="宋体" w:eastAsia="FangSong_GB2312" w:cs="Times New Roman"/>
      <w:b/>
      <w:kern w:val="0"/>
      <w:sz w:val="28"/>
      <w:szCs w:val="28"/>
    </w:rPr>
  </w:style>
  <w:style w:type="character" w:customStyle="1" w:styleId="33">
    <w:name w:val="批注文字 Char"/>
    <w:basedOn w:val="20"/>
    <w:link w:val="7"/>
    <w:semiHidden/>
    <w:qFormat/>
    <w:uiPriority w:val="99"/>
  </w:style>
  <w:style w:type="character" w:customStyle="1" w:styleId="34">
    <w:name w:val="批注主题 Char"/>
    <w:basedOn w:val="33"/>
    <w:link w:val="17"/>
    <w:semiHidden/>
    <w:uiPriority w:val="99"/>
    <w:rPr>
      <w:b/>
      <w:bCs/>
    </w:rPr>
  </w:style>
  <w:style w:type="character" w:customStyle="1" w:styleId="35">
    <w:name w:val="题注1 Char"/>
    <w:link w:val="36"/>
    <w:uiPriority w:val="0"/>
    <w:rPr>
      <w:rFonts w:cs="宋体"/>
      <w:b/>
      <w:bCs/>
      <w:spacing w:val="10"/>
      <w:szCs w:val="24"/>
    </w:rPr>
  </w:style>
  <w:style w:type="paragraph" w:customStyle="1" w:styleId="36">
    <w:name w:val="题注1"/>
    <w:basedOn w:val="1"/>
    <w:link w:val="35"/>
    <w:qFormat/>
    <w:uiPriority w:val="0"/>
    <w:pPr>
      <w:spacing w:beforeLines="20" w:afterLines="20"/>
      <w:jc w:val="center"/>
    </w:pPr>
    <w:rPr>
      <w:rFonts w:cs="宋体"/>
      <w:b/>
      <w:bCs/>
      <w:spacing w:val="10"/>
      <w:szCs w:val="24"/>
    </w:rPr>
  </w:style>
  <w:style w:type="paragraph" w:customStyle="1" w:styleId="37">
    <w:name w:val="赵"/>
    <w:basedOn w:val="1"/>
    <w:link w:val="38"/>
    <w:uiPriority w:val="0"/>
    <w:pPr>
      <w:spacing w:line="360" w:lineRule="auto"/>
      <w:ind w:firstLine="200" w:firstLineChars="200"/>
    </w:pPr>
    <w:rPr>
      <w:rFonts w:ascii="Times New Roman" w:hAnsi="Times New Roman" w:eastAsia="宋体" w:cs="Times New Roman"/>
      <w:sz w:val="24"/>
      <w:szCs w:val="30"/>
    </w:rPr>
  </w:style>
  <w:style w:type="character" w:customStyle="1" w:styleId="38">
    <w:name w:val="赵 Char"/>
    <w:basedOn w:val="20"/>
    <w:link w:val="37"/>
    <w:uiPriority w:val="0"/>
    <w:rPr>
      <w:rFonts w:ascii="Times New Roman" w:hAnsi="Times New Roman" w:eastAsia="宋体" w:cs="Times New Roman"/>
      <w:sz w:val="24"/>
      <w:szCs w:val="30"/>
    </w:rPr>
  </w:style>
  <w:style w:type="paragraph" w:customStyle="1" w:styleId="39">
    <w:name w:val="【表头】"/>
    <w:basedOn w:val="1"/>
    <w:link w:val="40"/>
    <w:uiPriority w:val="0"/>
    <w:pPr>
      <w:jc w:val="center"/>
    </w:pPr>
    <w:rPr>
      <w:rFonts w:ascii="Times New Roman" w:hAnsi="Times New Roman" w:eastAsia="宋体" w:cs="Times New Roman"/>
      <w:b/>
      <w:szCs w:val="24"/>
    </w:rPr>
  </w:style>
  <w:style w:type="character" w:customStyle="1" w:styleId="40">
    <w:name w:val="【表头】 Char"/>
    <w:link w:val="39"/>
    <w:uiPriority w:val="0"/>
    <w:rPr>
      <w:rFonts w:ascii="Times New Roman" w:hAnsi="Times New Roman" w:eastAsia="宋体" w:cs="Times New Roman"/>
      <w:b/>
      <w:szCs w:val="24"/>
    </w:rPr>
  </w:style>
  <w:style w:type="character" w:customStyle="1" w:styleId="41">
    <w:name w:val="表体 Char Char"/>
    <w:link w:val="29"/>
    <w:qFormat/>
    <w:locked/>
    <w:uiPriority w:val="0"/>
    <w:rPr>
      <w:rFonts w:ascii="Times New Roman" w:hAnsi="Times New Roman" w:eastAsia="宋体" w:cs="Times New Roman"/>
      <w:bCs/>
      <w:snapToGrid w:val="0"/>
      <w:color w:val="000000"/>
      <w:kern w:val="32"/>
      <w:szCs w:val="20"/>
      <w:lang w:val="zh-CN"/>
    </w:rPr>
  </w:style>
  <w:style w:type="character" w:customStyle="1" w:styleId="42">
    <w:name w:val="正文文本 Char"/>
    <w:basedOn w:val="20"/>
    <w:link w:val="9"/>
    <w:semiHidden/>
    <w:uiPriority w:val="99"/>
  </w:style>
  <w:style w:type="character" w:customStyle="1" w:styleId="43">
    <w:name w:val="标题 2 Char"/>
    <w:basedOn w:val="20"/>
    <w:link w:val="2"/>
    <w:uiPriority w:val="0"/>
    <w:rPr>
      <w:rFonts w:ascii="Times New Roman" w:hAnsi="Times New Roman" w:eastAsia="黑体" w:cs="Times New Roman"/>
      <w:color w:val="000000" w:themeColor="text1"/>
      <w:sz w:val="30"/>
      <w:szCs w:val="24"/>
    </w:rPr>
  </w:style>
  <w:style w:type="character" w:customStyle="1" w:styleId="44">
    <w:name w:val="表头 Char1"/>
    <w:basedOn w:val="20"/>
    <w:uiPriority w:val="0"/>
    <w:rPr>
      <w:rFonts w:ascii="Times New Roman" w:hAnsi="Times New Roman" w:eastAsia="宋体" w:cs="Times New Roman"/>
      <w:b/>
      <w:bCs/>
      <w:kern w:val="0"/>
      <w:szCs w:val="28"/>
    </w:rPr>
  </w:style>
  <w:style w:type="character" w:customStyle="1" w:styleId="45">
    <w:name w:val="标题 3 Char"/>
    <w:basedOn w:val="20"/>
    <w:link w:val="3"/>
    <w:semiHidden/>
    <w:uiPriority w:val="9"/>
    <w:rPr>
      <w:b/>
      <w:bCs/>
      <w:sz w:val="32"/>
      <w:szCs w:val="32"/>
    </w:rPr>
  </w:style>
  <w:style w:type="table" w:customStyle="1" w:styleId="46">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47">
    <w:name w:val="标题 8 Char"/>
    <w:basedOn w:val="20"/>
    <w:link w:val="4"/>
    <w:uiPriority w:val="99"/>
    <w:rPr>
      <w:rFonts w:asciiTheme="majorHAnsi" w:hAnsiTheme="majorHAnsi" w:eastAsiaTheme="majorEastAsia" w:cstheme="majorBidi"/>
      <w:sz w:val="24"/>
      <w:szCs w:val="24"/>
    </w:rPr>
  </w:style>
  <w:style w:type="paragraph" w:customStyle="1" w:styleId="48">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49">
    <w:name w:val="正文缩进 Char1"/>
    <w:link w:val="5"/>
    <w:qFormat/>
    <w:uiPriority w:val="99"/>
    <w:rPr>
      <w:rFonts w:ascii="Calibri" w:hAnsi="Calibri" w:eastAsia="宋体" w:cs="Times New Roman"/>
      <w:sz w:val="28"/>
      <w:szCs w:val="20"/>
    </w:rPr>
  </w:style>
  <w:style w:type="paragraph" w:customStyle="1" w:styleId="50">
    <w:name w:val="样式1"/>
    <w:basedOn w:val="1"/>
    <w:link w:val="51"/>
    <w:qFormat/>
    <w:uiPriority w:val="0"/>
    <w:pPr>
      <w:spacing w:line="360" w:lineRule="auto"/>
      <w:ind w:firstLine="510"/>
    </w:pPr>
    <w:rPr>
      <w:rFonts w:ascii="Times New Roman" w:hAnsi="Times New Roman" w:eastAsia="宋体" w:cs="Times New Roman"/>
      <w:sz w:val="24"/>
      <w:szCs w:val="20"/>
    </w:rPr>
  </w:style>
  <w:style w:type="character" w:customStyle="1" w:styleId="51">
    <w:name w:val="样式1 Char"/>
    <w:link w:val="50"/>
    <w:locked/>
    <w:uiPriority w:val="0"/>
    <w:rPr>
      <w:rFonts w:ascii="Times New Roman" w:hAnsi="Times New Roman" w:eastAsia="宋体" w:cs="Times New Roman"/>
      <w:sz w:val="24"/>
      <w:szCs w:val="20"/>
    </w:rPr>
  </w:style>
  <w:style w:type="paragraph" w:customStyle="1" w:styleId="5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3">
    <w:name w:val="纯文本 Char"/>
    <w:basedOn w:val="20"/>
    <w:link w:val="10"/>
    <w:qFormat/>
    <w:uiPriority w:val="5"/>
    <w:rPr>
      <w:rFonts w:ascii="宋体" w:hAnsi="Courier New" w:eastAsia="宋体" w:cs="Times New Roman"/>
      <w:szCs w:val="20"/>
    </w:rPr>
  </w:style>
  <w:style w:type="character" w:customStyle="1" w:styleId="54">
    <w:name w:val="15"/>
    <w:qFormat/>
    <w:uiPriority w:val="0"/>
    <w:rPr>
      <w:rFonts w:hint="default" w:ascii="Calibri" w:hAnsi="Calibri"/>
      <w:sz w:val="21"/>
      <w:szCs w:val="21"/>
    </w:rPr>
  </w:style>
  <w:style w:type="character" w:customStyle="1" w:styleId="55">
    <w:name w:val="称呼 Char"/>
    <w:basedOn w:val="20"/>
    <w:link w:val="8"/>
    <w:semiHidden/>
    <w:uiPriority w:val="99"/>
  </w:style>
  <w:style w:type="paragraph" w:customStyle="1" w:styleId="56">
    <w:name w:val="Defaul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57">
    <w:name w:val="正文1"/>
    <w:basedOn w:val="1"/>
    <w:qFormat/>
    <w:uiPriority w:val="0"/>
    <w:pPr>
      <w:widowControl/>
    </w:pPr>
    <w:rPr>
      <w:rFonts w:ascii="Calibri" w:hAnsi="Calibri" w:eastAsia="宋体" w:cs="宋体"/>
    </w:rPr>
  </w:style>
  <w:style w:type="paragraph" w:customStyle="1" w:styleId="58">
    <w:name w:val="表格内容"/>
    <w:basedOn w:val="5"/>
    <w:qFormat/>
    <w:uiPriority w:val="0"/>
    <w:pPr>
      <w:widowControl w:val="0"/>
      <w:ind w:firstLine="0" w:firstLineChars="0"/>
      <w:jc w:val="center"/>
    </w:pPr>
    <w:rPr>
      <w:rFonts w:ascii="Times New Roman" w:hAnsi="Times New Roman"/>
      <w:sz w:val="21"/>
      <w:szCs w:val="18"/>
    </w:rPr>
  </w:style>
  <w:style w:type="character" w:customStyle="1" w:styleId="59">
    <w:name w:val="表格文字 Char"/>
    <w:basedOn w:val="20"/>
    <w:link w:val="60"/>
    <w:qFormat/>
    <w:uiPriority w:val="0"/>
    <w:rPr>
      <w:rFonts w:eastAsia="宋体"/>
      <w:kern w:val="24"/>
      <w:sz w:val="24"/>
    </w:rPr>
  </w:style>
  <w:style w:type="paragraph" w:customStyle="1" w:styleId="60">
    <w:name w:val="表格文字"/>
    <w:basedOn w:val="1"/>
    <w:link w:val="59"/>
    <w:qFormat/>
    <w:uiPriority w:val="0"/>
    <w:pPr>
      <w:adjustRightInd w:val="0"/>
      <w:spacing w:line="400" w:lineRule="atLeast"/>
      <w:jc w:val="center"/>
    </w:pPr>
    <w:rPr>
      <w:rFonts w:eastAsia="宋体"/>
      <w:kern w:val="24"/>
      <w:sz w:val="24"/>
    </w:rPr>
  </w:style>
  <w:style w:type="character" w:customStyle="1" w:styleId="61">
    <w:name w:val="表格 Char Char"/>
    <w:basedOn w:val="20"/>
    <w:qFormat/>
    <w:uiPriority w:val="0"/>
    <w:rPr>
      <w:sz w:val="21"/>
      <w:szCs w:val="21"/>
      <w:lang w:bidi="ar-SA"/>
    </w:rPr>
  </w:style>
  <w:style w:type="paragraph" w:customStyle="1" w:styleId="62">
    <w:name w:val="_Style 17"/>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emf"/><Relationship Id="rId14" Type="http://schemas.openxmlformats.org/officeDocument/2006/relationships/oleObject" Target="embeddings/oleObject5.bin"/><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0EF71-5E04-46E8-831B-137100CF22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7364</Words>
  <Characters>41977</Characters>
  <Lines>349</Lines>
  <Paragraphs>98</Paragraphs>
  <TotalTime>2828</TotalTime>
  <ScaleCrop>false</ScaleCrop>
  <LinksUpToDate>false</LinksUpToDate>
  <CharactersWithSpaces>49243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2022-06-27T00:30:41Z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